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D916E">
      <w:pPr>
        <w:pStyle w:val="25"/>
        <w:adjustRightInd w:val="0"/>
        <w:snapToGrid w:val="0"/>
        <w:spacing w:line="240" w:lineRule="atLeast"/>
        <w:jc w:val="left"/>
        <w:rPr>
          <w:rFonts w:hAnsi="宋体"/>
          <w:color w:val="auto"/>
          <w:sz w:val="21"/>
          <w:highlight w:val="none"/>
        </w:rPr>
      </w:pPr>
    </w:p>
    <w:p w14:paraId="24FC60B8">
      <w:pPr>
        <w:pStyle w:val="25"/>
        <w:adjustRightInd w:val="0"/>
        <w:snapToGrid w:val="0"/>
        <w:spacing w:line="240" w:lineRule="atLeast"/>
        <w:rPr>
          <w:rFonts w:hAnsi="宋体"/>
          <w:color w:val="auto"/>
          <w:sz w:val="44"/>
          <w:highlight w:val="none"/>
        </w:rPr>
      </w:pPr>
    </w:p>
    <w:p w14:paraId="43718C3B">
      <w:pPr>
        <w:pStyle w:val="25"/>
        <w:adjustRightInd w:val="0"/>
        <w:snapToGrid w:val="0"/>
        <w:spacing w:line="240" w:lineRule="atLeast"/>
        <w:rPr>
          <w:rFonts w:hAnsi="宋体"/>
          <w:color w:val="auto"/>
          <w:sz w:val="21"/>
          <w:highlight w:val="none"/>
        </w:rPr>
      </w:pPr>
    </w:p>
    <w:p w14:paraId="0042DF8B">
      <w:pPr>
        <w:pStyle w:val="25"/>
        <w:adjustRightInd w:val="0"/>
        <w:snapToGrid w:val="0"/>
        <w:spacing w:line="240" w:lineRule="atLeast"/>
        <w:rPr>
          <w:rFonts w:hAnsi="宋体"/>
          <w:color w:val="auto"/>
          <w:sz w:val="21"/>
          <w:highlight w:val="none"/>
        </w:rPr>
      </w:pPr>
    </w:p>
    <w:p w14:paraId="09D96ED1">
      <w:pPr>
        <w:pStyle w:val="25"/>
        <w:adjustRightInd w:val="0"/>
        <w:snapToGrid w:val="0"/>
        <w:spacing w:line="240" w:lineRule="atLeast"/>
        <w:rPr>
          <w:rFonts w:hAnsi="宋体"/>
          <w:color w:val="auto"/>
          <w:sz w:val="21"/>
          <w:highlight w:val="none"/>
        </w:rPr>
      </w:pPr>
    </w:p>
    <w:p w14:paraId="1E030EE2">
      <w:pPr>
        <w:pStyle w:val="25"/>
        <w:adjustRightInd w:val="0"/>
        <w:snapToGrid w:val="0"/>
        <w:spacing w:line="240" w:lineRule="atLeast"/>
        <w:rPr>
          <w:rFonts w:hAnsi="宋体"/>
          <w:color w:val="auto"/>
          <w:sz w:val="28"/>
          <w:szCs w:val="28"/>
          <w:highlight w:val="none"/>
        </w:rPr>
      </w:pPr>
    </w:p>
    <w:p w14:paraId="7A36137A">
      <w:pPr>
        <w:pStyle w:val="25"/>
        <w:adjustRightInd w:val="0"/>
        <w:snapToGrid w:val="0"/>
        <w:spacing w:line="240" w:lineRule="atLeast"/>
        <w:jc w:val="center"/>
        <w:rPr>
          <w:rFonts w:hAnsi="宋体"/>
          <w:b/>
          <w:bCs/>
          <w:color w:val="auto"/>
          <w:sz w:val="84"/>
          <w:szCs w:val="84"/>
          <w:highlight w:val="none"/>
        </w:rPr>
      </w:pPr>
      <w:r>
        <w:rPr>
          <w:rFonts w:hint="eastAsia" w:hAnsi="宋体"/>
          <w:b/>
          <w:bCs/>
          <w:color w:val="auto"/>
          <w:sz w:val="84"/>
          <w:szCs w:val="84"/>
          <w:highlight w:val="none"/>
        </w:rPr>
        <w:t>政府采购招标文件</w:t>
      </w:r>
    </w:p>
    <w:p w14:paraId="1AC10315">
      <w:pPr>
        <w:pStyle w:val="25"/>
        <w:adjustRightInd w:val="0"/>
        <w:snapToGrid w:val="0"/>
        <w:spacing w:line="240" w:lineRule="atLeast"/>
        <w:rPr>
          <w:rFonts w:hAnsi="宋体"/>
          <w:b/>
          <w:bCs/>
          <w:color w:val="auto"/>
          <w:sz w:val="44"/>
          <w:szCs w:val="44"/>
          <w:highlight w:val="none"/>
        </w:rPr>
      </w:pPr>
    </w:p>
    <w:p w14:paraId="077706C1">
      <w:pPr>
        <w:pStyle w:val="25"/>
        <w:adjustRightInd w:val="0"/>
        <w:snapToGrid w:val="0"/>
        <w:spacing w:line="240" w:lineRule="atLeast"/>
        <w:jc w:val="center"/>
        <w:rPr>
          <w:rFonts w:hAnsi="宋体"/>
          <w:b/>
          <w:bCs/>
          <w:color w:val="auto"/>
          <w:sz w:val="28"/>
          <w:szCs w:val="28"/>
          <w:highlight w:val="none"/>
        </w:rPr>
      </w:pPr>
    </w:p>
    <w:p w14:paraId="22771DA6">
      <w:pPr>
        <w:pStyle w:val="25"/>
        <w:adjustRightInd w:val="0"/>
        <w:snapToGrid w:val="0"/>
        <w:spacing w:line="240" w:lineRule="atLeast"/>
        <w:jc w:val="center"/>
        <w:rPr>
          <w:rFonts w:hAnsi="宋体"/>
          <w:b/>
          <w:bCs/>
          <w:color w:val="auto"/>
          <w:sz w:val="44"/>
          <w:szCs w:val="44"/>
          <w:highlight w:val="none"/>
        </w:rPr>
      </w:pPr>
    </w:p>
    <w:p w14:paraId="3AEF1A32">
      <w:pPr>
        <w:pStyle w:val="25"/>
        <w:adjustRightInd w:val="0"/>
        <w:snapToGrid w:val="0"/>
        <w:spacing w:line="240" w:lineRule="atLeast"/>
        <w:jc w:val="center"/>
        <w:rPr>
          <w:rFonts w:hAnsi="宋体"/>
          <w:bCs/>
          <w:color w:val="auto"/>
          <w:highlight w:val="none"/>
        </w:rPr>
      </w:pPr>
    </w:p>
    <w:p w14:paraId="7834642A">
      <w:pPr>
        <w:pStyle w:val="25"/>
        <w:adjustRightInd w:val="0"/>
        <w:snapToGrid w:val="0"/>
        <w:spacing w:line="240" w:lineRule="atLeast"/>
        <w:jc w:val="center"/>
        <w:rPr>
          <w:rFonts w:hAnsi="宋体"/>
          <w:bCs/>
          <w:color w:val="auto"/>
          <w:highlight w:val="none"/>
        </w:rPr>
      </w:pPr>
    </w:p>
    <w:p w14:paraId="6542C0A4">
      <w:pPr>
        <w:pStyle w:val="25"/>
        <w:adjustRightInd w:val="0"/>
        <w:snapToGrid w:val="0"/>
        <w:spacing w:line="240" w:lineRule="atLeast"/>
        <w:jc w:val="center"/>
        <w:rPr>
          <w:rFonts w:hAnsi="宋体"/>
          <w:bCs/>
          <w:color w:val="auto"/>
          <w:highlight w:val="none"/>
        </w:rPr>
      </w:pPr>
    </w:p>
    <w:p w14:paraId="05555874">
      <w:pPr>
        <w:pStyle w:val="25"/>
        <w:adjustRightInd w:val="0"/>
        <w:snapToGrid w:val="0"/>
        <w:spacing w:line="240" w:lineRule="atLeast"/>
        <w:jc w:val="center"/>
        <w:rPr>
          <w:rFonts w:hAnsi="宋体"/>
          <w:bCs/>
          <w:color w:val="auto"/>
          <w:highlight w:val="none"/>
        </w:rPr>
      </w:pPr>
    </w:p>
    <w:p w14:paraId="78CA758C">
      <w:pPr>
        <w:pStyle w:val="25"/>
        <w:adjustRightInd w:val="0"/>
        <w:snapToGrid w:val="0"/>
        <w:spacing w:line="240" w:lineRule="atLeast"/>
        <w:jc w:val="center"/>
        <w:rPr>
          <w:rFonts w:hAnsi="宋体"/>
          <w:bCs/>
          <w:color w:val="auto"/>
          <w:highlight w:val="none"/>
        </w:rPr>
      </w:pPr>
    </w:p>
    <w:p w14:paraId="529EA90A">
      <w:pPr>
        <w:adjustRightInd w:val="0"/>
        <w:snapToGrid w:val="0"/>
        <w:spacing w:line="360" w:lineRule="auto"/>
        <w:ind w:left="3375" w:leftChars="536" w:hanging="2249" w:hangingChars="700"/>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rPr>
        <w:t>采购项目名称：</w:t>
      </w:r>
      <w:r>
        <w:rPr>
          <w:rFonts w:hint="eastAsia" w:ascii="宋体" w:hAnsi="宋体"/>
          <w:b/>
          <w:color w:val="auto"/>
          <w:sz w:val="32"/>
          <w:szCs w:val="32"/>
          <w:highlight w:val="none"/>
          <w:u w:val="single"/>
          <w:lang w:eastAsia="zh-CN"/>
        </w:rPr>
        <w:t>新化县资江风光带绿化养护服务项目</w:t>
      </w:r>
    </w:p>
    <w:p w14:paraId="675F2E23">
      <w:pPr>
        <w:adjustRightInd w:val="0"/>
        <w:snapToGrid w:val="0"/>
        <w:spacing w:line="360" w:lineRule="auto"/>
        <w:ind w:firstLine="1124" w:firstLineChars="350"/>
        <w:rPr>
          <w:rFonts w:hint="default" w:ascii="宋体" w:hAnsi="宋体"/>
          <w:b/>
          <w:color w:val="auto"/>
          <w:sz w:val="32"/>
          <w:szCs w:val="32"/>
          <w:highlight w:val="none"/>
          <w:u w:val="single"/>
          <w:lang w:val="en-US"/>
        </w:rPr>
      </w:pPr>
      <w:r>
        <w:rPr>
          <w:rFonts w:hint="eastAsia" w:ascii="宋体" w:hAnsi="宋体"/>
          <w:b/>
          <w:color w:val="auto"/>
          <w:sz w:val="32"/>
          <w:szCs w:val="32"/>
          <w:highlight w:val="none"/>
        </w:rPr>
        <w:t>政府采购计划编号：</w:t>
      </w:r>
      <w:r>
        <w:rPr>
          <w:rFonts w:hint="eastAsia" w:ascii="宋体" w:hAnsi="宋体"/>
          <w:b/>
          <w:color w:val="auto"/>
          <w:sz w:val="32"/>
          <w:szCs w:val="32"/>
          <w:highlight w:val="none"/>
          <w:u w:val="single"/>
          <w:lang w:eastAsia="zh-CN"/>
        </w:rPr>
        <w:t>（</w:t>
      </w:r>
      <w:r>
        <w:rPr>
          <w:rFonts w:hint="eastAsia" w:ascii="宋体" w:hAnsi="宋体"/>
          <w:b/>
          <w:color w:val="auto"/>
          <w:sz w:val="32"/>
          <w:szCs w:val="32"/>
          <w:highlight w:val="none"/>
          <w:u w:val="single"/>
        </w:rPr>
        <w:t>202</w:t>
      </w:r>
      <w:r>
        <w:rPr>
          <w:rFonts w:hint="eastAsia" w:ascii="宋体" w:hAnsi="宋体"/>
          <w:b/>
          <w:color w:val="auto"/>
          <w:sz w:val="32"/>
          <w:szCs w:val="32"/>
          <w:highlight w:val="none"/>
          <w:u w:val="single"/>
          <w:lang w:val="en-US" w:eastAsia="zh-CN"/>
        </w:rPr>
        <w:t>6</w:t>
      </w:r>
      <w:r>
        <w:rPr>
          <w:rFonts w:hint="eastAsia" w:ascii="宋体" w:hAnsi="宋体"/>
          <w:b/>
          <w:color w:val="auto"/>
          <w:sz w:val="32"/>
          <w:szCs w:val="32"/>
          <w:highlight w:val="none"/>
          <w:u w:val="single"/>
          <w:lang w:eastAsia="zh-CN"/>
        </w:rPr>
        <w:t>）</w:t>
      </w:r>
      <w:r>
        <w:rPr>
          <w:rFonts w:hint="eastAsia" w:ascii="宋体" w:hAnsi="宋体"/>
          <w:b/>
          <w:color w:val="auto"/>
          <w:sz w:val="32"/>
          <w:szCs w:val="32"/>
          <w:highlight w:val="none"/>
          <w:u w:val="single"/>
          <w:lang w:val="en-US" w:eastAsia="zh-CN"/>
        </w:rPr>
        <w:t>431322000009-1</w:t>
      </w:r>
    </w:p>
    <w:p w14:paraId="7EF89CA4">
      <w:pPr>
        <w:adjustRightInd w:val="0"/>
        <w:snapToGrid w:val="0"/>
        <w:spacing w:line="360" w:lineRule="auto"/>
        <w:ind w:firstLine="1124" w:firstLineChars="350"/>
        <w:rPr>
          <w:rFonts w:ascii="宋体" w:hAnsi="宋体"/>
          <w:b/>
          <w:color w:val="auto"/>
          <w:sz w:val="32"/>
          <w:szCs w:val="32"/>
          <w:highlight w:val="none"/>
        </w:rPr>
      </w:pPr>
      <w:r>
        <w:rPr>
          <w:rFonts w:hint="eastAsia" w:ascii="宋体" w:hAnsi="宋体"/>
          <w:b/>
          <w:color w:val="auto"/>
          <w:sz w:val="32"/>
          <w:szCs w:val="32"/>
          <w:highlight w:val="none"/>
        </w:rPr>
        <w:t>委托代理编号：</w:t>
      </w:r>
      <w:r>
        <w:rPr>
          <w:rFonts w:hint="eastAsia" w:ascii="宋体" w:hAnsi="宋体"/>
          <w:b/>
          <w:color w:val="auto"/>
          <w:sz w:val="32"/>
          <w:szCs w:val="32"/>
          <w:highlight w:val="none"/>
          <w:u w:val="single"/>
        </w:rPr>
        <w:t>HNTXXH202</w:t>
      </w:r>
      <w:r>
        <w:rPr>
          <w:rFonts w:hint="eastAsia" w:ascii="宋体" w:hAnsi="宋体"/>
          <w:b/>
          <w:color w:val="auto"/>
          <w:sz w:val="32"/>
          <w:szCs w:val="32"/>
          <w:highlight w:val="none"/>
          <w:u w:val="single"/>
          <w:lang w:val="en-US" w:eastAsia="zh-CN"/>
        </w:rPr>
        <w:t>6</w:t>
      </w:r>
      <w:r>
        <w:rPr>
          <w:rFonts w:hint="eastAsia" w:ascii="宋体" w:hAnsi="宋体"/>
          <w:b/>
          <w:color w:val="auto"/>
          <w:sz w:val="32"/>
          <w:szCs w:val="32"/>
          <w:highlight w:val="none"/>
          <w:u w:val="single"/>
        </w:rPr>
        <w:t>-0</w:t>
      </w:r>
      <w:r>
        <w:rPr>
          <w:rFonts w:hint="eastAsia" w:ascii="宋体" w:hAnsi="宋体"/>
          <w:b/>
          <w:color w:val="auto"/>
          <w:sz w:val="32"/>
          <w:szCs w:val="32"/>
          <w:highlight w:val="none"/>
          <w:u w:val="single"/>
          <w:lang w:val="en-US" w:eastAsia="zh-CN"/>
        </w:rPr>
        <w:t>30</w:t>
      </w:r>
      <w:r>
        <w:rPr>
          <w:rFonts w:hint="eastAsia" w:ascii="宋体" w:hAnsi="宋体"/>
          <w:b/>
          <w:color w:val="auto"/>
          <w:sz w:val="32"/>
          <w:szCs w:val="32"/>
          <w:highlight w:val="none"/>
          <w:u w:val="single"/>
        </w:rPr>
        <w:t xml:space="preserve"> </w:t>
      </w:r>
    </w:p>
    <w:p w14:paraId="7EE3B745">
      <w:pPr>
        <w:adjustRightInd w:val="0"/>
        <w:snapToGrid w:val="0"/>
        <w:spacing w:line="360" w:lineRule="auto"/>
        <w:ind w:left="3350" w:leftChars="532" w:hanging="2233" w:hangingChars="695"/>
        <w:rPr>
          <w:rFonts w:ascii="宋体" w:hAnsi="宋体"/>
          <w:b/>
          <w:color w:val="auto"/>
          <w:sz w:val="32"/>
          <w:szCs w:val="32"/>
          <w:highlight w:val="none"/>
        </w:rPr>
      </w:pPr>
      <w:r>
        <w:rPr>
          <w:rFonts w:hint="eastAsia" w:ascii="宋体" w:hAnsi="宋体"/>
          <w:b/>
          <w:color w:val="auto"/>
          <w:sz w:val="32"/>
          <w:szCs w:val="32"/>
          <w:highlight w:val="none"/>
        </w:rPr>
        <w:t>采   购   人：</w:t>
      </w:r>
      <w:r>
        <w:rPr>
          <w:rFonts w:hint="eastAsia" w:ascii="宋体" w:hAnsi="宋体"/>
          <w:b/>
          <w:color w:val="auto"/>
          <w:sz w:val="32"/>
          <w:szCs w:val="32"/>
          <w:highlight w:val="none"/>
          <w:u w:val="single"/>
        </w:rPr>
        <w:t>新化县城市管理和综合执法局</w:t>
      </w:r>
    </w:p>
    <w:p w14:paraId="1E5E0701">
      <w:pPr>
        <w:adjustRightInd w:val="0"/>
        <w:snapToGrid w:val="0"/>
        <w:spacing w:line="360" w:lineRule="auto"/>
        <w:ind w:firstLine="1124" w:firstLineChars="350"/>
        <w:rPr>
          <w:rFonts w:ascii="宋体" w:hAnsi="宋体"/>
          <w:b/>
          <w:color w:val="auto"/>
          <w:sz w:val="32"/>
          <w:szCs w:val="21"/>
          <w:highlight w:val="none"/>
        </w:rPr>
      </w:pPr>
      <w:r>
        <w:rPr>
          <w:rFonts w:hint="eastAsia" w:ascii="宋体" w:hAnsi="宋体"/>
          <w:b/>
          <w:color w:val="auto"/>
          <w:sz w:val="32"/>
          <w:szCs w:val="21"/>
          <w:highlight w:val="none"/>
        </w:rPr>
        <w:t>采购代理机构：</w:t>
      </w:r>
      <w:r>
        <w:rPr>
          <w:rFonts w:hint="eastAsia" w:ascii="宋体" w:hAnsi="宋体"/>
          <w:b/>
          <w:color w:val="auto"/>
          <w:sz w:val="32"/>
          <w:szCs w:val="21"/>
          <w:highlight w:val="none"/>
          <w:u w:val="single"/>
        </w:rPr>
        <w:t>湖南天湘项目管理有限公司</w:t>
      </w:r>
    </w:p>
    <w:p w14:paraId="0DB18103">
      <w:pPr>
        <w:pStyle w:val="25"/>
        <w:adjustRightInd w:val="0"/>
        <w:snapToGrid w:val="0"/>
        <w:spacing w:line="360" w:lineRule="auto"/>
        <w:jc w:val="center"/>
        <w:rPr>
          <w:rFonts w:hAnsi="宋体"/>
          <w:bCs/>
          <w:color w:val="auto"/>
          <w:sz w:val="32"/>
          <w:szCs w:val="32"/>
          <w:highlight w:val="none"/>
        </w:rPr>
      </w:pPr>
    </w:p>
    <w:p w14:paraId="7804B2E2">
      <w:pPr>
        <w:pStyle w:val="25"/>
        <w:adjustRightInd w:val="0"/>
        <w:snapToGrid w:val="0"/>
        <w:spacing w:line="240" w:lineRule="atLeast"/>
        <w:jc w:val="center"/>
        <w:rPr>
          <w:rFonts w:hAnsi="宋体"/>
          <w:bCs/>
          <w:color w:val="auto"/>
          <w:sz w:val="21"/>
          <w:highlight w:val="none"/>
        </w:rPr>
      </w:pPr>
    </w:p>
    <w:p w14:paraId="5A1A8002">
      <w:pPr>
        <w:pStyle w:val="25"/>
        <w:adjustRightInd w:val="0"/>
        <w:snapToGrid w:val="0"/>
        <w:spacing w:line="240" w:lineRule="atLeast"/>
        <w:jc w:val="center"/>
        <w:rPr>
          <w:rFonts w:hAnsi="宋体"/>
          <w:bCs/>
          <w:color w:val="auto"/>
          <w:sz w:val="21"/>
          <w:highlight w:val="none"/>
        </w:rPr>
      </w:pPr>
    </w:p>
    <w:p w14:paraId="1CF7543B">
      <w:pPr>
        <w:pStyle w:val="25"/>
        <w:adjustRightInd w:val="0"/>
        <w:snapToGrid w:val="0"/>
        <w:spacing w:line="240" w:lineRule="atLeast"/>
        <w:jc w:val="center"/>
        <w:rPr>
          <w:rFonts w:hAnsi="宋体"/>
          <w:bCs/>
          <w:color w:val="auto"/>
          <w:sz w:val="21"/>
          <w:highlight w:val="none"/>
        </w:rPr>
      </w:pPr>
    </w:p>
    <w:p w14:paraId="6362816F">
      <w:pPr>
        <w:pStyle w:val="25"/>
        <w:adjustRightInd w:val="0"/>
        <w:snapToGrid w:val="0"/>
        <w:spacing w:line="240" w:lineRule="atLeast"/>
        <w:jc w:val="center"/>
        <w:rPr>
          <w:rFonts w:hAnsi="宋体"/>
          <w:bCs/>
          <w:color w:val="auto"/>
          <w:sz w:val="21"/>
          <w:highlight w:val="none"/>
        </w:rPr>
      </w:pPr>
    </w:p>
    <w:p w14:paraId="3C2B6C0F">
      <w:pPr>
        <w:pStyle w:val="25"/>
        <w:adjustRightInd w:val="0"/>
        <w:snapToGrid w:val="0"/>
        <w:spacing w:line="240" w:lineRule="atLeast"/>
        <w:jc w:val="center"/>
        <w:rPr>
          <w:rFonts w:hAnsi="宋体"/>
          <w:bCs/>
          <w:color w:val="auto"/>
          <w:sz w:val="21"/>
          <w:highlight w:val="none"/>
        </w:rPr>
      </w:pPr>
    </w:p>
    <w:p w14:paraId="49E29BB1">
      <w:pPr>
        <w:pStyle w:val="25"/>
        <w:adjustRightInd w:val="0"/>
        <w:snapToGrid w:val="0"/>
        <w:spacing w:line="240" w:lineRule="atLeast"/>
        <w:jc w:val="center"/>
        <w:rPr>
          <w:rFonts w:hAnsi="宋体"/>
          <w:bCs/>
          <w:color w:val="auto"/>
          <w:sz w:val="21"/>
          <w:highlight w:val="none"/>
        </w:rPr>
      </w:pPr>
    </w:p>
    <w:p w14:paraId="0BB310B9">
      <w:pPr>
        <w:pStyle w:val="25"/>
        <w:adjustRightInd w:val="0"/>
        <w:snapToGrid w:val="0"/>
        <w:spacing w:line="240" w:lineRule="atLeast"/>
        <w:jc w:val="center"/>
        <w:rPr>
          <w:rFonts w:hAnsi="宋体"/>
          <w:b/>
          <w:bCs/>
          <w:color w:val="auto"/>
          <w:sz w:val="32"/>
          <w:szCs w:val="32"/>
          <w:highlight w:val="none"/>
        </w:rPr>
      </w:pPr>
      <w:r>
        <w:rPr>
          <w:rFonts w:hint="eastAsia" w:hAnsi="宋体"/>
          <w:b/>
          <w:color w:val="auto"/>
          <w:sz w:val="32"/>
          <w:highlight w:val="none"/>
        </w:rPr>
        <w:t xml:space="preserve"> 202</w:t>
      </w:r>
      <w:r>
        <w:rPr>
          <w:rFonts w:hint="eastAsia" w:hAnsi="宋体"/>
          <w:b/>
          <w:color w:val="auto"/>
          <w:sz w:val="32"/>
          <w:highlight w:val="none"/>
          <w:lang w:val="en-US" w:eastAsia="zh-CN"/>
        </w:rPr>
        <w:t>6</w:t>
      </w:r>
      <w:r>
        <w:rPr>
          <w:rFonts w:hint="eastAsia" w:hAnsi="宋体"/>
          <w:b/>
          <w:color w:val="auto"/>
          <w:sz w:val="32"/>
          <w:highlight w:val="none"/>
        </w:rPr>
        <w:t>年</w:t>
      </w:r>
      <w:r>
        <w:rPr>
          <w:rFonts w:hint="eastAsia" w:hAnsi="宋体"/>
          <w:b/>
          <w:color w:val="auto"/>
          <w:sz w:val="32"/>
          <w:highlight w:val="none"/>
          <w:lang w:val="en-US" w:eastAsia="zh-CN"/>
        </w:rPr>
        <w:t>8</w:t>
      </w:r>
      <w:r>
        <w:rPr>
          <w:rFonts w:hint="eastAsia" w:hAnsi="宋体"/>
          <w:b/>
          <w:color w:val="auto"/>
          <w:sz w:val="32"/>
          <w:highlight w:val="none"/>
        </w:rPr>
        <w:t>月</w:t>
      </w:r>
    </w:p>
    <w:p w14:paraId="0F68C789">
      <w:pPr>
        <w:pStyle w:val="25"/>
        <w:adjustRightInd w:val="0"/>
        <w:snapToGrid w:val="0"/>
        <w:spacing w:line="240" w:lineRule="atLeast"/>
        <w:rPr>
          <w:rFonts w:hAnsi="宋体"/>
          <w:b/>
          <w:bCs/>
          <w:color w:val="auto"/>
          <w:sz w:val="32"/>
          <w:szCs w:val="32"/>
          <w:highlight w:val="none"/>
        </w:rPr>
        <w:sectPr>
          <w:headerReference r:id="rId3" w:type="default"/>
          <w:footerReference r:id="rId4" w:type="default"/>
          <w:pgSz w:w="11906" w:h="16838"/>
          <w:pgMar w:top="1440" w:right="1588" w:bottom="1440" w:left="1588" w:header="851" w:footer="992" w:gutter="0"/>
          <w:cols w:space="720" w:num="1"/>
          <w:docGrid w:type="lines" w:linePitch="312" w:charSpace="0"/>
        </w:sectPr>
      </w:pPr>
    </w:p>
    <w:p w14:paraId="4BD6EFF0">
      <w:pPr>
        <w:pStyle w:val="25"/>
        <w:adjustRightInd w:val="0"/>
        <w:snapToGrid w:val="0"/>
        <w:spacing w:line="360" w:lineRule="auto"/>
        <w:jc w:val="center"/>
        <w:rPr>
          <w:rFonts w:hAnsi="宋体"/>
          <w:b/>
          <w:color w:val="auto"/>
          <w:spacing w:val="160"/>
          <w:sz w:val="36"/>
          <w:szCs w:val="36"/>
          <w:highlight w:val="none"/>
        </w:rPr>
      </w:pPr>
      <w:r>
        <w:rPr>
          <w:rFonts w:hint="eastAsia" w:hAnsi="宋体"/>
          <w:b/>
          <w:color w:val="auto"/>
          <w:spacing w:val="160"/>
          <w:sz w:val="36"/>
          <w:szCs w:val="36"/>
          <w:highlight w:val="none"/>
        </w:rPr>
        <w:t>目录</w:t>
      </w:r>
    </w:p>
    <w:p w14:paraId="56490745">
      <w:pPr>
        <w:pStyle w:val="32"/>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TOC \o "1-3" \h \u </w:instrText>
      </w:r>
      <w:r>
        <w:rPr>
          <w:rFonts w:hAnsi="宋体"/>
          <w:color w:val="auto"/>
          <w:highlight w:val="none"/>
        </w:rPr>
        <w:fldChar w:fldCharType="separate"/>
      </w:r>
      <w:r>
        <w:rPr>
          <w:rFonts w:hAnsi="宋体"/>
          <w:color w:val="auto"/>
          <w:highlight w:val="none"/>
        </w:rPr>
        <w:fldChar w:fldCharType="begin"/>
      </w:r>
      <w:r>
        <w:rPr>
          <w:rFonts w:hAnsi="宋体"/>
          <w:color w:val="auto"/>
          <w:highlight w:val="none"/>
        </w:rPr>
        <w:instrText xml:space="preserve"> HYPERLINK \l _Toc6115 </w:instrText>
      </w:r>
      <w:r>
        <w:rPr>
          <w:rFonts w:hAnsi="宋体"/>
          <w:color w:val="auto"/>
          <w:highlight w:val="none"/>
        </w:rPr>
        <w:fldChar w:fldCharType="separate"/>
      </w:r>
      <w:r>
        <w:rPr>
          <w:rFonts w:hint="eastAsia" w:ascii="宋体" w:hAnsi="宋体"/>
          <w:color w:val="auto"/>
          <w:szCs w:val="30"/>
          <w:highlight w:val="none"/>
        </w:rPr>
        <w:t xml:space="preserve">第一章 </w:t>
      </w:r>
      <w:r>
        <w:rPr>
          <w:rFonts w:hint="eastAsia"/>
          <w:color w:val="auto"/>
          <w:szCs w:val="30"/>
          <w:highlight w:val="none"/>
          <w:lang w:eastAsia="zh-CN"/>
        </w:rPr>
        <w:t>新化县资江风光带绿化养护服务项目</w:t>
      </w:r>
      <w:r>
        <w:rPr>
          <w:rFonts w:hint="eastAsia" w:ascii="宋体" w:hAnsi="宋体"/>
          <w:color w:val="auto"/>
          <w:szCs w:val="30"/>
          <w:highlight w:val="none"/>
        </w:rPr>
        <w:t>公开招标公告</w:t>
      </w:r>
      <w:r>
        <w:rPr>
          <w:color w:val="auto"/>
          <w:highlight w:val="none"/>
        </w:rPr>
        <w:tab/>
      </w:r>
      <w:r>
        <w:rPr>
          <w:color w:val="auto"/>
          <w:highlight w:val="none"/>
        </w:rPr>
        <w:fldChar w:fldCharType="begin"/>
      </w:r>
      <w:r>
        <w:rPr>
          <w:color w:val="auto"/>
          <w:highlight w:val="none"/>
        </w:rPr>
        <w:instrText xml:space="preserve"> PAGEREF _Toc6115 \h </w:instrText>
      </w:r>
      <w:r>
        <w:rPr>
          <w:color w:val="auto"/>
          <w:highlight w:val="none"/>
        </w:rPr>
        <w:fldChar w:fldCharType="separate"/>
      </w:r>
      <w:r>
        <w:rPr>
          <w:color w:val="auto"/>
          <w:highlight w:val="none"/>
        </w:rPr>
        <w:t>5</w:t>
      </w:r>
      <w:r>
        <w:rPr>
          <w:color w:val="auto"/>
          <w:highlight w:val="none"/>
        </w:rPr>
        <w:fldChar w:fldCharType="end"/>
      </w:r>
      <w:r>
        <w:rPr>
          <w:rFonts w:hAnsi="宋体"/>
          <w:color w:val="auto"/>
          <w:highlight w:val="none"/>
        </w:rPr>
        <w:fldChar w:fldCharType="end"/>
      </w:r>
    </w:p>
    <w:p w14:paraId="51DDA2D8">
      <w:pPr>
        <w:pStyle w:val="32"/>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_Toc8870 </w:instrText>
      </w:r>
      <w:r>
        <w:rPr>
          <w:rFonts w:hAnsi="宋体"/>
          <w:color w:val="auto"/>
          <w:highlight w:val="none"/>
        </w:rPr>
        <w:fldChar w:fldCharType="separate"/>
      </w:r>
      <w:r>
        <w:rPr>
          <w:rFonts w:hint="eastAsia" w:ascii="宋体" w:hAnsi="宋体"/>
          <w:color w:val="auto"/>
          <w:szCs w:val="32"/>
          <w:highlight w:val="none"/>
        </w:rPr>
        <w:t>第二章 投标须知</w:t>
      </w:r>
      <w:r>
        <w:rPr>
          <w:color w:val="auto"/>
          <w:highlight w:val="none"/>
        </w:rPr>
        <w:tab/>
      </w:r>
      <w:r>
        <w:rPr>
          <w:color w:val="auto"/>
          <w:highlight w:val="none"/>
        </w:rPr>
        <w:fldChar w:fldCharType="begin"/>
      </w:r>
      <w:r>
        <w:rPr>
          <w:color w:val="auto"/>
          <w:highlight w:val="none"/>
        </w:rPr>
        <w:instrText xml:space="preserve"> PAGEREF _Toc8870 \h </w:instrText>
      </w:r>
      <w:r>
        <w:rPr>
          <w:color w:val="auto"/>
          <w:highlight w:val="none"/>
        </w:rPr>
        <w:fldChar w:fldCharType="separate"/>
      </w:r>
      <w:r>
        <w:rPr>
          <w:color w:val="auto"/>
          <w:highlight w:val="none"/>
        </w:rPr>
        <w:t>9</w:t>
      </w:r>
      <w:r>
        <w:rPr>
          <w:color w:val="auto"/>
          <w:highlight w:val="none"/>
        </w:rPr>
        <w:fldChar w:fldCharType="end"/>
      </w:r>
      <w:r>
        <w:rPr>
          <w:rFonts w:hAnsi="宋体"/>
          <w:color w:val="auto"/>
          <w:highlight w:val="none"/>
        </w:rPr>
        <w:fldChar w:fldCharType="end"/>
      </w:r>
    </w:p>
    <w:p w14:paraId="428C71CB">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_Toc23611 </w:instrText>
      </w:r>
      <w:r>
        <w:rPr>
          <w:rFonts w:hAnsi="宋体"/>
          <w:color w:val="auto"/>
          <w:highlight w:val="none"/>
        </w:rPr>
        <w:fldChar w:fldCharType="separate"/>
      </w:r>
      <w:r>
        <w:rPr>
          <w:rFonts w:hint="eastAsia" w:ascii="宋体" w:hAnsi="宋体"/>
          <w:color w:val="auto"/>
          <w:szCs w:val="28"/>
          <w:highlight w:val="none"/>
        </w:rPr>
        <w:t>第一节  投标须知前附表</w:t>
      </w:r>
      <w:r>
        <w:rPr>
          <w:color w:val="auto"/>
          <w:highlight w:val="none"/>
        </w:rPr>
        <w:tab/>
      </w:r>
      <w:r>
        <w:rPr>
          <w:color w:val="auto"/>
          <w:highlight w:val="none"/>
        </w:rPr>
        <w:fldChar w:fldCharType="begin"/>
      </w:r>
      <w:r>
        <w:rPr>
          <w:color w:val="auto"/>
          <w:highlight w:val="none"/>
        </w:rPr>
        <w:instrText xml:space="preserve"> PAGEREF _Toc23611 \h </w:instrText>
      </w:r>
      <w:r>
        <w:rPr>
          <w:color w:val="auto"/>
          <w:highlight w:val="none"/>
        </w:rPr>
        <w:fldChar w:fldCharType="separate"/>
      </w:r>
      <w:r>
        <w:rPr>
          <w:color w:val="auto"/>
          <w:highlight w:val="none"/>
        </w:rPr>
        <w:t>9</w:t>
      </w:r>
      <w:r>
        <w:rPr>
          <w:color w:val="auto"/>
          <w:highlight w:val="none"/>
        </w:rPr>
        <w:fldChar w:fldCharType="end"/>
      </w:r>
      <w:r>
        <w:rPr>
          <w:rFonts w:hAnsi="宋体"/>
          <w:color w:val="auto"/>
          <w:highlight w:val="none"/>
        </w:rPr>
        <w:fldChar w:fldCharType="end"/>
      </w:r>
    </w:p>
    <w:p w14:paraId="682A0BE7">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_Toc15315 </w:instrText>
      </w:r>
      <w:r>
        <w:rPr>
          <w:rFonts w:hAnsi="宋体"/>
          <w:color w:val="auto"/>
          <w:highlight w:val="none"/>
        </w:rPr>
        <w:fldChar w:fldCharType="separate"/>
      </w:r>
      <w:r>
        <w:rPr>
          <w:rFonts w:hint="eastAsia" w:ascii="宋体" w:hAnsi="宋体"/>
          <w:color w:val="auto"/>
          <w:szCs w:val="28"/>
          <w:highlight w:val="none"/>
        </w:rPr>
        <w:t>第二节</w:t>
      </w:r>
      <w:r>
        <w:rPr>
          <w:rFonts w:hint="eastAsia" w:ascii="宋体" w:hAnsi="宋体"/>
          <w:color w:val="auto"/>
          <w:szCs w:val="21"/>
          <w:highlight w:val="none"/>
        </w:rPr>
        <w:t xml:space="preserve">  </w:t>
      </w:r>
      <w:r>
        <w:rPr>
          <w:rFonts w:hint="eastAsia" w:ascii="宋体" w:hAnsi="宋体"/>
          <w:color w:val="auto"/>
          <w:szCs w:val="28"/>
          <w:highlight w:val="none"/>
        </w:rPr>
        <w:t>投标须知正文</w:t>
      </w:r>
      <w:r>
        <w:rPr>
          <w:color w:val="auto"/>
          <w:highlight w:val="none"/>
        </w:rPr>
        <w:tab/>
      </w:r>
      <w:r>
        <w:rPr>
          <w:color w:val="auto"/>
          <w:highlight w:val="none"/>
        </w:rPr>
        <w:fldChar w:fldCharType="begin"/>
      </w:r>
      <w:r>
        <w:rPr>
          <w:color w:val="auto"/>
          <w:highlight w:val="none"/>
        </w:rPr>
        <w:instrText xml:space="preserve"> PAGEREF _Toc15315 \h </w:instrText>
      </w:r>
      <w:r>
        <w:rPr>
          <w:color w:val="auto"/>
          <w:highlight w:val="none"/>
        </w:rPr>
        <w:fldChar w:fldCharType="separate"/>
      </w:r>
      <w:r>
        <w:rPr>
          <w:color w:val="auto"/>
          <w:highlight w:val="none"/>
        </w:rPr>
        <w:t>13</w:t>
      </w:r>
      <w:r>
        <w:rPr>
          <w:color w:val="auto"/>
          <w:highlight w:val="none"/>
        </w:rPr>
        <w:fldChar w:fldCharType="end"/>
      </w:r>
      <w:r>
        <w:rPr>
          <w:rFonts w:hAnsi="宋体"/>
          <w:color w:val="auto"/>
          <w:highlight w:val="none"/>
        </w:rPr>
        <w:fldChar w:fldCharType="end"/>
      </w:r>
    </w:p>
    <w:p w14:paraId="3C299F97">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_Toc27189 </w:instrText>
      </w:r>
      <w:r>
        <w:rPr>
          <w:rFonts w:hAnsi="宋体"/>
          <w:color w:val="auto"/>
          <w:highlight w:val="none"/>
        </w:rPr>
        <w:fldChar w:fldCharType="separate"/>
      </w:r>
      <w:r>
        <w:rPr>
          <w:rFonts w:hint="eastAsia" w:ascii="宋体" w:hAnsi="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_Toc27189 \h </w:instrText>
      </w:r>
      <w:r>
        <w:rPr>
          <w:color w:val="auto"/>
          <w:highlight w:val="none"/>
        </w:rPr>
        <w:fldChar w:fldCharType="separate"/>
      </w:r>
      <w:r>
        <w:rPr>
          <w:color w:val="auto"/>
          <w:highlight w:val="none"/>
        </w:rPr>
        <w:t>13</w:t>
      </w:r>
      <w:r>
        <w:rPr>
          <w:color w:val="auto"/>
          <w:highlight w:val="none"/>
        </w:rPr>
        <w:fldChar w:fldCharType="end"/>
      </w:r>
      <w:r>
        <w:rPr>
          <w:rFonts w:hAnsi="宋体"/>
          <w:color w:val="auto"/>
          <w:highlight w:val="none"/>
        </w:rPr>
        <w:fldChar w:fldCharType="end"/>
      </w:r>
    </w:p>
    <w:p w14:paraId="1066D792">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_Toc24830 </w:instrText>
      </w:r>
      <w:r>
        <w:rPr>
          <w:rFonts w:hAnsi="宋体"/>
          <w:color w:val="auto"/>
          <w:highlight w:val="none"/>
        </w:rPr>
        <w:fldChar w:fldCharType="separate"/>
      </w:r>
      <w:r>
        <w:rPr>
          <w:rFonts w:hint="eastAsia" w:ascii="宋体" w:hAnsi="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_Toc24830 \h </w:instrText>
      </w:r>
      <w:r>
        <w:rPr>
          <w:color w:val="auto"/>
          <w:highlight w:val="none"/>
        </w:rPr>
        <w:fldChar w:fldCharType="separate"/>
      </w:r>
      <w:r>
        <w:rPr>
          <w:color w:val="auto"/>
          <w:highlight w:val="none"/>
        </w:rPr>
        <w:t>14</w:t>
      </w:r>
      <w:r>
        <w:rPr>
          <w:color w:val="auto"/>
          <w:highlight w:val="none"/>
        </w:rPr>
        <w:fldChar w:fldCharType="end"/>
      </w:r>
      <w:r>
        <w:rPr>
          <w:rFonts w:hAnsi="宋体"/>
          <w:color w:val="auto"/>
          <w:highlight w:val="none"/>
        </w:rPr>
        <w:fldChar w:fldCharType="end"/>
      </w:r>
    </w:p>
    <w:p w14:paraId="114C3070">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_Toc31371 </w:instrText>
      </w:r>
      <w:r>
        <w:rPr>
          <w:rFonts w:hAnsi="宋体"/>
          <w:color w:val="auto"/>
          <w:highlight w:val="none"/>
        </w:rPr>
        <w:fldChar w:fldCharType="separate"/>
      </w:r>
      <w:r>
        <w:rPr>
          <w:rFonts w:hint="eastAsia" w:ascii="宋体" w:hAnsi="宋体"/>
          <w:color w:val="auto"/>
          <w:szCs w:val="28"/>
          <w:highlight w:val="none"/>
        </w:rPr>
        <w:t>三、投标文件</w:t>
      </w:r>
      <w:r>
        <w:rPr>
          <w:color w:val="auto"/>
          <w:highlight w:val="none"/>
        </w:rPr>
        <w:tab/>
      </w:r>
      <w:r>
        <w:rPr>
          <w:color w:val="auto"/>
          <w:highlight w:val="none"/>
        </w:rPr>
        <w:fldChar w:fldCharType="begin"/>
      </w:r>
      <w:r>
        <w:rPr>
          <w:color w:val="auto"/>
          <w:highlight w:val="none"/>
        </w:rPr>
        <w:instrText xml:space="preserve"> PAGEREF _Toc31371 \h </w:instrText>
      </w:r>
      <w:r>
        <w:rPr>
          <w:color w:val="auto"/>
          <w:highlight w:val="none"/>
        </w:rPr>
        <w:fldChar w:fldCharType="separate"/>
      </w:r>
      <w:r>
        <w:rPr>
          <w:color w:val="auto"/>
          <w:highlight w:val="none"/>
        </w:rPr>
        <w:t>15</w:t>
      </w:r>
      <w:r>
        <w:rPr>
          <w:color w:val="auto"/>
          <w:highlight w:val="none"/>
        </w:rPr>
        <w:fldChar w:fldCharType="end"/>
      </w:r>
      <w:r>
        <w:rPr>
          <w:rFonts w:hAnsi="宋体"/>
          <w:color w:val="auto"/>
          <w:highlight w:val="none"/>
        </w:rPr>
        <w:fldChar w:fldCharType="end"/>
      </w:r>
    </w:p>
    <w:p w14:paraId="4F10968D">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_Toc26905 </w:instrText>
      </w:r>
      <w:r>
        <w:rPr>
          <w:rFonts w:hAnsi="宋体"/>
          <w:color w:val="auto"/>
          <w:highlight w:val="none"/>
        </w:rPr>
        <w:fldChar w:fldCharType="separate"/>
      </w:r>
      <w:r>
        <w:rPr>
          <w:rFonts w:hint="eastAsia" w:ascii="宋体" w:hAnsi="宋体"/>
          <w:color w:val="auto"/>
          <w:szCs w:val="28"/>
          <w:highlight w:val="none"/>
        </w:rPr>
        <w:t>四、投标</w:t>
      </w:r>
      <w:r>
        <w:rPr>
          <w:color w:val="auto"/>
          <w:highlight w:val="none"/>
        </w:rPr>
        <w:tab/>
      </w:r>
      <w:r>
        <w:rPr>
          <w:color w:val="auto"/>
          <w:highlight w:val="none"/>
        </w:rPr>
        <w:fldChar w:fldCharType="begin"/>
      </w:r>
      <w:r>
        <w:rPr>
          <w:color w:val="auto"/>
          <w:highlight w:val="none"/>
        </w:rPr>
        <w:instrText xml:space="preserve"> PAGEREF _Toc26905 \h </w:instrText>
      </w:r>
      <w:r>
        <w:rPr>
          <w:color w:val="auto"/>
          <w:highlight w:val="none"/>
        </w:rPr>
        <w:fldChar w:fldCharType="separate"/>
      </w:r>
      <w:r>
        <w:rPr>
          <w:color w:val="auto"/>
          <w:highlight w:val="none"/>
        </w:rPr>
        <w:t>17</w:t>
      </w:r>
      <w:r>
        <w:rPr>
          <w:color w:val="auto"/>
          <w:highlight w:val="none"/>
        </w:rPr>
        <w:fldChar w:fldCharType="end"/>
      </w:r>
      <w:r>
        <w:rPr>
          <w:rFonts w:hAnsi="宋体"/>
          <w:color w:val="auto"/>
          <w:highlight w:val="none"/>
        </w:rPr>
        <w:fldChar w:fldCharType="end"/>
      </w:r>
    </w:p>
    <w:p w14:paraId="27FF499E">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_Toc3323 </w:instrText>
      </w:r>
      <w:r>
        <w:rPr>
          <w:rFonts w:hAnsi="宋体"/>
          <w:color w:val="auto"/>
          <w:highlight w:val="none"/>
        </w:rPr>
        <w:fldChar w:fldCharType="separate"/>
      </w:r>
      <w:r>
        <w:rPr>
          <w:rFonts w:hint="eastAsia" w:ascii="宋体" w:hAnsi="宋体"/>
          <w:color w:val="auto"/>
          <w:szCs w:val="28"/>
          <w:highlight w:val="none"/>
        </w:rPr>
        <w:t>五、开标，资格审查和评标</w:t>
      </w:r>
      <w:r>
        <w:rPr>
          <w:color w:val="auto"/>
          <w:highlight w:val="none"/>
        </w:rPr>
        <w:tab/>
      </w:r>
      <w:r>
        <w:rPr>
          <w:color w:val="auto"/>
          <w:highlight w:val="none"/>
        </w:rPr>
        <w:fldChar w:fldCharType="begin"/>
      </w:r>
      <w:r>
        <w:rPr>
          <w:color w:val="auto"/>
          <w:highlight w:val="none"/>
        </w:rPr>
        <w:instrText xml:space="preserve"> PAGEREF _Toc3323 \h </w:instrText>
      </w:r>
      <w:r>
        <w:rPr>
          <w:color w:val="auto"/>
          <w:highlight w:val="none"/>
        </w:rPr>
        <w:fldChar w:fldCharType="separate"/>
      </w:r>
      <w:r>
        <w:rPr>
          <w:color w:val="auto"/>
          <w:highlight w:val="none"/>
        </w:rPr>
        <w:t>18</w:t>
      </w:r>
      <w:r>
        <w:rPr>
          <w:color w:val="auto"/>
          <w:highlight w:val="none"/>
        </w:rPr>
        <w:fldChar w:fldCharType="end"/>
      </w:r>
      <w:r>
        <w:rPr>
          <w:rFonts w:hAnsi="宋体"/>
          <w:color w:val="auto"/>
          <w:highlight w:val="none"/>
        </w:rPr>
        <w:fldChar w:fldCharType="end"/>
      </w:r>
    </w:p>
    <w:p w14:paraId="415B6701">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_Toc12066 </w:instrText>
      </w:r>
      <w:r>
        <w:rPr>
          <w:rFonts w:hAnsi="宋体"/>
          <w:color w:val="auto"/>
          <w:highlight w:val="none"/>
        </w:rPr>
        <w:fldChar w:fldCharType="separate"/>
      </w:r>
      <w:r>
        <w:rPr>
          <w:rFonts w:hint="eastAsia" w:ascii="宋体" w:hAnsi="宋体"/>
          <w:color w:val="auto"/>
          <w:szCs w:val="28"/>
          <w:highlight w:val="none"/>
        </w:rPr>
        <w:t>六、中标信息公布</w:t>
      </w:r>
      <w:r>
        <w:rPr>
          <w:color w:val="auto"/>
          <w:highlight w:val="none"/>
        </w:rPr>
        <w:tab/>
      </w:r>
      <w:r>
        <w:rPr>
          <w:color w:val="auto"/>
          <w:highlight w:val="none"/>
        </w:rPr>
        <w:fldChar w:fldCharType="begin"/>
      </w:r>
      <w:r>
        <w:rPr>
          <w:color w:val="auto"/>
          <w:highlight w:val="none"/>
        </w:rPr>
        <w:instrText xml:space="preserve"> PAGEREF _Toc12066 \h </w:instrText>
      </w:r>
      <w:r>
        <w:rPr>
          <w:color w:val="auto"/>
          <w:highlight w:val="none"/>
        </w:rPr>
        <w:fldChar w:fldCharType="separate"/>
      </w:r>
      <w:r>
        <w:rPr>
          <w:color w:val="auto"/>
          <w:highlight w:val="none"/>
        </w:rPr>
        <w:t>19</w:t>
      </w:r>
      <w:r>
        <w:rPr>
          <w:color w:val="auto"/>
          <w:highlight w:val="none"/>
        </w:rPr>
        <w:fldChar w:fldCharType="end"/>
      </w:r>
      <w:r>
        <w:rPr>
          <w:rFonts w:hAnsi="宋体"/>
          <w:color w:val="auto"/>
          <w:highlight w:val="none"/>
        </w:rPr>
        <w:fldChar w:fldCharType="end"/>
      </w:r>
    </w:p>
    <w:p w14:paraId="6048134C">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_Toc13681 </w:instrText>
      </w:r>
      <w:r>
        <w:rPr>
          <w:rFonts w:hAnsi="宋体"/>
          <w:color w:val="auto"/>
          <w:highlight w:val="none"/>
        </w:rPr>
        <w:fldChar w:fldCharType="separate"/>
      </w:r>
      <w:r>
        <w:rPr>
          <w:rFonts w:hint="eastAsia" w:ascii="宋体" w:hAnsi="宋体"/>
          <w:color w:val="auto"/>
          <w:szCs w:val="28"/>
          <w:highlight w:val="none"/>
        </w:rPr>
        <w:t>七、合同签订</w:t>
      </w:r>
      <w:r>
        <w:rPr>
          <w:color w:val="auto"/>
          <w:highlight w:val="none"/>
        </w:rPr>
        <w:tab/>
      </w:r>
      <w:r>
        <w:rPr>
          <w:color w:val="auto"/>
          <w:highlight w:val="none"/>
        </w:rPr>
        <w:fldChar w:fldCharType="begin"/>
      </w:r>
      <w:r>
        <w:rPr>
          <w:color w:val="auto"/>
          <w:highlight w:val="none"/>
        </w:rPr>
        <w:instrText xml:space="preserve"> PAGEREF _Toc13681 \h </w:instrText>
      </w:r>
      <w:r>
        <w:rPr>
          <w:color w:val="auto"/>
          <w:highlight w:val="none"/>
        </w:rPr>
        <w:fldChar w:fldCharType="separate"/>
      </w:r>
      <w:r>
        <w:rPr>
          <w:color w:val="auto"/>
          <w:highlight w:val="none"/>
        </w:rPr>
        <w:t>20</w:t>
      </w:r>
      <w:r>
        <w:rPr>
          <w:color w:val="auto"/>
          <w:highlight w:val="none"/>
        </w:rPr>
        <w:fldChar w:fldCharType="end"/>
      </w:r>
      <w:r>
        <w:rPr>
          <w:rFonts w:hAnsi="宋体"/>
          <w:color w:val="auto"/>
          <w:highlight w:val="none"/>
        </w:rPr>
        <w:fldChar w:fldCharType="end"/>
      </w:r>
    </w:p>
    <w:p w14:paraId="20E113E1">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_Toc16186 </w:instrText>
      </w:r>
      <w:r>
        <w:rPr>
          <w:rFonts w:hAnsi="宋体"/>
          <w:color w:val="auto"/>
          <w:highlight w:val="none"/>
        </w:rPr>
        <w:fldChar w:fldCharType="separate"/>
      </w:r>
      <w:r>
        <w:rPr>
          <w:rFonts w:hint="eastAsia" w:ascii="宋体" w:hAnsi="宋体"/>
          <w:color w:val="auto"/>
          <w:szCs w:val="28"/>
          <w:highlight w:val="none"/>
        </w:rPr>
        <w:t>八、政府采购政策</w:t>
      </w:r>
      <w:r>
        <w:rPr>
          <w:color w:val="auto"/>
          <w:highlight w:val="none"/>
        </w:rPr>
        <w:tab/>
      </w:r>
      <w:r>
        <w:rPr>
          <w:color w:val="auto"/>
          <w:highlight w:val="none"/>
        </w:rPr>
        <w:fldChar w:fldCharType="begin"/>
      </w:r>
      <w:r>
        <w:rPr>
          <w:color w:val="auto"/>
          <w:highlight w:val="none"/>
        </w:rPr>
        <w:instrText xml:space="preserve"> PAGEREF _Toc16186 \h </w:instrText>
      </w:r>
      <w:r>
        <w:rPr>
          <w:color w:val="auto"/>
          <w:highlight w:val="none"/>
        </w:rPr>
        <w:fldChar w:fldCharType="separate"/>
      </w:r>
      <w:r>
        <w:rPr>
          <w:color w:val="auto"/>
          <w:highlight w:val="none"/>
        </w:rPr>
        <w:t>21</w:t>
      </w:r>
      <w:r>
        <w:rPr>
          <w:color w:val="auto"/>
          <w:highlight w:val="none"/>
        </w:rPr>
        <w:fldChar w:fldCharType="end"/>
      </w:r>
      <w:r>
        <w:rPr>
          <w:rFonts w:hAnsi="宋体"/>
          <w:color w:val="auto"/>
          <w:highlight w:val="none"/>
        </w:rPr>
        <w:fldChar w:fldCharType="end"/>
      </w:r>
    </w:p>
    <w:p w14:paraId="279930EF">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_Toc31956 </w:instrText>
      </w:r>
      <w:r>
        <w:rPr>
          <w:rFonts w:hAnsi="宋体"/>
          <w:color w:val="auto"/>
          <w:highlight w:val="none"/>
        </w:rPr>
        <w:fldChar w:fldCharType="separate"/>
      </w:r>
      <w:r>
        <w:rPr>
          <w:rFonts w:hint="eastAsia" w:ascii="宋体" w:hAnsi="宋体"/>
          <w:color w:val="auto"/>
          <w:szCs w:val="28"/>
          <w:highlight w:val="none"/>
        </w:rPr>
        <w:t>九、其他规定</w:t>
      </w:r>
      <w:r>
        <w:rPr>
          <w:color w:val="auto"/>
          <w:highlight w:val="none"/>
        </w:rPr>
        <w:tab/>
      </w:r>
      <w:r>
        <w:rPr>
          <w:color w:val="auto"/>
          <w:highlight w:val="none"/>
        </w:rPr>
        <w:fldChar w:fldCharType="begin"/>
      </w:r>
      <w:r>
        <w:rPr>
          <w:color w:val="auto"/>
          <w:highlight w:val="none"/>
        </w:rPr>
        <w:instrText xml:space="preserve"> PAGEREF _Toc31956 \h </w:instrText>
      </w:r>
      <w:r>
        <w:rPr>
          <w:color w:val="auto"/>
          <w:highlight w:val="none"/>
        </w:rPr>
        <w:fldChar w:fldCharType="separate"/>
      </w:r>
      <w:r>
        <w:rPr>
          <w:color w:val="auto"/>
          <w:highlight w:val="none"/>
        </w:rPr>
        <w:t>23</w:t>
      </w:r>
      <w:r>
        <w:rPr>
          <w:color w:val="auto"/>
          <w:highlight w:val="none"/>
        </w:rPr>
        <w:fldChar w:fldCharType="end"/>
      </w:r>
      <w:r>
        <w:rPr>
          <w:rFonts w:hAnsi="宋体"/>
          <w:color w:val="auto"/>
          <w:highlight w:val="none"/>
        </w:rPr>
        <w:fldChar w:fldCharType="end"/>
      </w:r>
    </w:p>
    <w:p w14:paraId="0658119A">
      <w:pPr>
        <w:pStyle w:val="32"/>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_Toc13528 </w:instrText>
      </w:r>
      <w:r>
        <w:rPr>
          <w:rFonts w:hAnsi="宋体"/>
          <w:color w:val="auto"/>
          <w:highlight w:val="none"/>
        </w:rPr>
        <w:fldChar w:fldCharType="separate"/>
      </w:r>
      <w:r>
        <w:rPr>
          <w:rFonts w:hint="eastAsia" w:hAnsi="宋体"/>
          <w:color w:val="auto"/>
          <w:szCs w:val="32"/>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_Toc13528 \h </w:instrText>
      </w:r>
      <w:r>
        <w:rPr>
          <w:color w:val="auto"/>
          <w:highlight w:val="none"/>
        </w:rPr>
        <w:fldChar w:fldCharType="separate"/>
      </w:r>
      <w:r>
        <w:rPr>
          <w:color w:val="auto"/>
          <w:highlight w:val="none"/>
        </w:rPr>
        <w:t>24</w:t>
      </w:r>
      <w:r>
        <w:rPr>
          <w:color w:val="auto"/>
          <w:highlight w:val="none"/>
        </w:rPr>
        <w:fldChar w:fldCharType="end"/>
      </w:r>
      <w:r>
        <w:rPr>
          <w:rFonts w:hAnsi="宋体"/>
          <w:color w:val="auto"/>
          <w:highlight w:val="none"/>
        </w:rPr>
        <w:fldChar w:fldCharType="end"/>
      </w:r>
    </w:p>
    <w:p w14:paraId="0B56A14D">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_Toc30020 </w:instrText>
      </w:r>
      <w:r>
        <w:rPr>
          <w:rFonts w:hAnsi="宋体"/>
          <w:color w:val="auto"/>
          <w:highlight w:val="none"/>
        </w:rPr>
        <w:fldChar w:fldCharType="separate"/>
      </w:r>
      <w:r>
        <w:rPr>
          <w:rFonts w:hint="eastAsia" w:ascii="宋体" w:hAnsi="宋体"/>
          <w:color w:val="auto"/>
          <w:szCs w:val="24"/>
          <w:highlight w:val="none"/>
        </w:rPr>
        <w:t>1．资格审查主体</w:t>
      </w:r>
      <w:r>
        <w:rPr>
          <w:color w:val="auto"/>
          <w:highlight w:val="none"/>
        </w:rPr>
        <w:tab/>
      </w:r>
      <w:r>
        <w:rPr>
          <w:color w:val="auto"/>
          <w:highlight w:val="none"/>
        </w:rPr>
        <w:fldChar w:fldCharType="begin"/>
      </w:r>
      <w:r>
        <w:rPr>
          <w:color w:val="auto"/>
          <w:highlight w:val="none"/>
        </w:rPr>
        <w:instrText xml:space="preserve"> PAGEREF _Toc30020 \h </w:instrText>
      </w:r>
      <w:r>
        <w:rPr>
          <w:color w:val="auto"/>
          <w:highlight w:val="none"/>
        </w:rPr>
        <w:fldChar w:fldCharType="separate"/>
      </w:r>
      <w:r>
        <w:rPr>
          <w:color w:val="auto"/>
          <w:highlight w:val="none"/>
        </w:rPr>
        <w:t>24</w:t>
      </w:r>
      <w:r>
        <w:rPr>
          <w:color w:val="auto"/>
          <w:highlight w:val="none"/>
        </w:rPr>
        <w:fldChar w:fldCharType="end"/>
      </w:r>
      <w:r>
        <w:rPr>
          <w:rFonts w:hAnsi="宋体"/>
          <w:color w:val="auto"/>
          <w:highlight w:val="none"/>
        </w:rPr>
        <w:fldChar w:fldCharType="end"/>
      </w:r>
    </w:p>
    <w:p w14:paraId="7AACF2CC">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_Toc2499 </w:instrText>
      </w:r>
      <w:r>
        <w:rPr>
          <w:rFonts w:hAnsi="宋体"/>
          <w:color w:val="auto"/>
          <w:highlight w:val="none"/>
        </w:rPr>
        <w:fldChar w:fldCharType="separate"/>
      </w:r>
      <w:r>
        <w:rPr>
          <w:rFonts w:hint="eastAsia" w:ascii="宋体" w:hAnsi="宋体"/>
          <w:color w:val="auto"/>
          <w:szCs w:val="24"/>
          <w:highlight w:val="none"/>
        </w:rPr>
        <w:t>2．资格审查</w:t>
      </w:r>
      <w:r>
        <w:rPr>
          <w:color w:val="auto"/>
          <w:highlight w:val="none"/>
        </w:rPr>
        <w:tab/>
      </w:r>
      <w:r>
        <w:rPr>
          <w:color w:val="auto"/>
          <w:highlight w:val="none"/>
        </w:rPr>
        <w:fldChar w:fldCharType="begin"/>
      </w:r>
      <w:r>
        <w:rPr>
          <w:color w:val="auto"/>
          <w:highlight w:val="none"/>
        </w:rPr>
        <w:instrText xml:space="preserve"> PAGEREF _Toc2499 \h </w:instrText>
      </w:r>
      <w:r>
        <w:rPr>
          <w:color w:val="auto"/>
          <w:highlight w:val="none"/>
        </w:rPr>
        <w:fldChar w:fldCharType="separate"/>
      </w:r>
      <w:r>
        <w:rPr>
          <w:color w:val="auto"/>
          <w:highlight w:val="none"/>
        </w:rPr>
        <w:t>24</w:t>
      </w:r>
      <w:r>
        <w:rPr>
          <w:color w:val="auto"/>
          <w:highlight w:val="none"/>
        </w:rPr>
        <w:fldChar w:fldCharType="end"/>
      </w:r>
      <w:r>
        <w:rPr>
          <w:rFonts w:hAnsi="宋体"/>
          <w:color w:val="auto"/>
          <w:highlight w:val="none"/>
        </w:rPr>
        <w:fldChar w:fldCharType="end"/>
      </w:r>
    </w:p>
    <w:p w14:paraId="3967D5F2">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_Toc23919 </w:instrText>
      </w:r>
      <w:r>
        <w:rPr>
          <w:rFonts w:hAnsi="宋体"/>
          <w:color w:val="auto"/>
          <w:highlight w:val="none"/>
        </w:rPr>
        <w:fldChar w:fldCharType="separate"/>
      </w:r>
      <w:r>
        <w:rPr>
          <w:rFonts w:hint="eastAsia" w:ascii="宋体" w:hAnsi="宋体"/>
          <w:color w:val="auto"/>
          <w:szCs w:val="24"/>
          <w:highlight w:val="none"/>
        </w:rPr>
        <w:t>3．资格审查结果</w:t>
      </w:r>
      <w:r>
        <w:rPr>
          <w:color w:val="auto"/>
          <w:highlight w:val="none"/>
        </w:rPr>
        <w:tab/>
      </w:r>
      <w:r>
        <w:rPr>
          <w:color w:val="auto"/>
          <w:highlight w:val="none"/>
        </w:rPr>
        <w:fldChar w:fldCharType="begin"/>
      </w:r>
      <w:r>
        <w:rPr>
          <w:color w:val="auto"/>
          <w:highlight w:val="none"/>
        </w:rPr>
        <w:instrText xml:space="preserve"> PAGEREF _Toc23919 \h </w:instrText>
      </w:r>
      <w:r>
        <w:rPr>
          <w:color w:val="auto"/>
          <w:highlight w:val="none"/>
        </w:rPr>
        <w:fldChar w:fldCharType="separate"/>
      </w:r>
      <w:r>
        <w:rPr>
          <w:color w:val="auto"/>
          <w:highlight w:val="none"/>
        </w:rPr>
        <w:t>24</w:t>
      </w:r>
      <w:r>
        <w:rPr>
          <w:color w:val="auto"/>
          <w:highlight w:val="none"/>
        </w:rPr>
        <w:fldChar w:fldCharType="end"/>
      </w:r>
      <w:r>
        <w:rPr>
          <w:rFonts w:hAnsi="宋体"/>
          <w:color w:val="auto"/>
          <w:highlight w:val="none"/>
        </w:rPr>
        <w:fldChar w:fldCharType="end"/>
      </w:r>
    </w:p>
    <w:p w14:paraId="010DC3D4">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_Toc14237 </w:instrText>
      </w:r>
      <w:r>
        <w:rPr>
          <w:rFonts w:hAnsi="宋体"/>
          <w:color w:val="auto"/>
          <w:highlight w:val="none"/>
        </w:rPr>
        <w:fldChar w:fldCharType="separate"/>
      </w:r>
      <w:r>
        <w:rPr>
          <w:rFonts w:ascii="宋体" w:hAnsi="宋体"/>
          <w:color w:val="auto"/>
          <w:szCs w:val="28"/>
          <w:highlight w:val="none"/>
        </w:rPr>
        <w:t>资格审查表</w:t>
      </w:r>
      <w:r>
        <w:rPr>
          <w:color w:val="auto"/>
          <w:highlight w:val="none"/>
        </w:rPr>
        <w:tab/>
      </w:r>
      <w:r>
        <w:rPr>
          <w:color w:val="auto"/>
          <w:highlight w:val="none"/>
        </w:rPr>
        <w:fldChar w:fldCharType="begin"/>
      </w:r>
      <w:r>
        <w:rPr>
          <w:color w:val="auto"/>
          <w:highlight w:val="none"/>
        </w:rPr>
        <w:instrText xml:space="preserve"> PAGEREF _Toc14237 \h </w:instrText>
      </w:r>
      <w:r>
        <w:rPr>
          <w:color w:val="auto"/>
          <w:highlight w:val="none"/>
        </w:rPr>
        <w:fldChar w:fldCharType="separate"/>
      </w:r>
      <w:r>
        <w:rPr>
          <w:color w:val="auto"/>
          <w:highlight w:val="none"/>
        </w:rPr>
        <w:t>25</w:t>
      </w:r>
      <w:r>
        <w:rPr>
          <w:color w:val="auto"/>
          <w:highlight w:val="none"/>
        </w:rPr>
        <w:fldChar w:fldCharType="end"/>
      </w:r>
      <w:r>
        <w:rPr>
          <w:rFonts w:hAnsi="宋体"/>
          <w:color w:val="auto"/>
          <w:highlight w:val="none"/>
        </w:rPr>
        <w:fldChar w:fldCharType="end"/>
      </w:r>
    </w:p>
    <w:p w14:paraId="7A108599">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_Toc20338 </w:instrText>
      </w:r>
      <w:r>
        <w:rPr>
          <w:rFonts w:hAnsi="宋体"/>
          <w:color w:val="auto"/>
          <w:highlight w:val="none"/>
        </w:rPr>
        <w:fldChar w:fldCharType="separate"/>
      </w:r>
      <w:r>
        <w:rPr>
          <w:rFonts w:hint="eastAsia" w:ascii="宋体" w:hAnsi="宋体"/>
          <w:color w:val="auto"/>
          <w:szCs w:val="28"/>
          <w:highlight w:val="none"/>
        </w:rPr>
        <w:t>资格审查结果一览表</w:t>
      </w:r>
      <w:r>
        <w:rPr>
          <w:color w:val="auto"/>
          <w:highlight w:val="none"/>
        </w:rPr>
        <w:tab/>
      </w:r>
      <w:r>
        <w:rPr>
          <w:color w:val="auto"/>
          <w:highlight w:val="none"/>
        </w:rPr>
        <w:fldChar w:fldCharType="begin"/>
      </w:r>
      <w:r>
        <w:rPr>
          <w:color w:val="auto"/>
          <w:highlight w:val="none"/>
        </w:rPr>
        <w:instrText xml:space="preserve"> PAGEREF _Toc20338 \h </w:instrText>
      </w:r>
      <w:r>
        <w:rPr>
          <w:color w:val="auto"/>
          <w:highlight w:val="none"/>
        </w:rPr>
        <w:fldChar w:fldCharType="separate"/>
      </w:r>
      <w:r>
        <w:rPr>
          <w:color w:val="auto"/>
          <w:highlight w:val="none"/>
        </w:rPr>
        <w:t>26</w:t>
      </w:r>
      <w:r>
        <w:rPr>
          <w:color w:val="auto"/>
          <w:highlight w:val="none"/>
        </w:rPr>
        <w:fldChar w:fldCharType="end"/>
      </w:r>
      <w:r>
        <w:rPr>
          <w:rFonts w:hAnsi="宋体"/>
          <w:color w:val="auto"/>
          <w:highlight w:val="none"/>
        </w:rPr>
        <w:fldChar w:fldCharType="end"/>
      </w:r>
    </w:p>
    <w:p w14:paraId="5D3C04CB">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_Toc25353 </w:instrText>
      </w:r>
      <w:r>
        <w:rPr>
          <w:rFonts w:hAnsi="宋体"/>
          <w:color w:val="auto"/>
          <w:highlight w:val="none"/>
        </w:rPr>
        <w:fldChar w:fldCharType="separate"/>
      </w:r>
      <w:r>
        <w:rPr>
          <w:rFonts w:hint="eastAsia" w:ascii="宋体" w:hAnsi="宋体"/>
          <w:color w:val="auto"/>
          <w:szCs w:val="28"/>
          <w:highlight w:val="none"/>
        </w:rPr>
        <w:t>资格审查合格投标人名单</w:t>
      </w:r>
      <w:r>
        <w:rPr>
          <w:color w:val="auto"/>
          <w:highlight w:val="none"/>
        </w:rPr>
        <w:tab/>
      </w:r>
      <w:r>
        <w:rPr>
          <w:color w:val="auto"/>
          <w:highlight w:val="none"/>
        </w:rPr>
        <w:fldChar w:fldCharType="begin"/>
      </w:r>
      <w:r>
        <w:rPr>
          <w:color w:val="auto"/>
          <w:highlight w:val="none"/>
        </w:rPr>
        <w:instrText xml:space="preserve"> PAGEREF _Toc25353 \h </w:instrText>
      </w:r>
      <w:r>
        <w:rPr>
          <w:color w:val="auto"/>
          <w:highlight w:val="none"/>
        </w:rPr>
        <w:fldChar w:fldCharType="separate"/>
      </w:r>
      <w:r>
        <w:rPr>
          <w:color w:val="auto"/>
          <w:highlight w:val="none"/>
        </w:rPr>
        <w:t>27</w:t>
      </w:r>
      <w:r>
        <w:rPr>
          <w:color w:val="auto"/>
          <w:highlight w:val="none"/>
        </w:rPr>
        <w:fldChar w:fldCharType="end"/>
      </w:r>
      <w:r>
        <w:rPr>
          <w:rFonts w:hAnsi="宋体"/>
          <w:color w:val="auto"/>
          <w:highlight w:val="none"/>
        </w:rPr>
        <w:fldChar w:fldCharType="end"/>
      </w:r>
    </w:p>
    <w:p w14:paraId="486295EC">
      <w:pPr>
        <w:pStyle w:val="32"/>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_Toc27760 </w:instrText>
      </w:r>
      <w:r>
        <w:rPr>
          <w:rFonts w:hAnsi="宋体"/>
          <w:color w:val="auto"/>
          <w:highlight w:val="none"/>
        </w:rPr>
        <w:fldChar w:fldCharType="separate"/>
      </w:r>
      <w:r>
        <w:rPr>
          <w:rFonts w:hint="eastAsia" w:ascii="宋体" w:hAnsi="宋体"/>
          <w:color w:val="auto"/>
          <w:szCs w:val="32"/>
          <w:highlight w:val="none"/>
        </w:rPr>
        <w:t>第四章  评标方法及标准</w:t>
      </w:r>
      <w:r>
        <w:rPr>
          <w:color w:val="auto"/>
          <w:highlight w:val="none"/>
        </w:rPr>
        <w:tab/>
      </w:r>
      <w:r>
        <w:rPr>
          <w:color w:val="auto"/>
          <w:highlight w:val="none"/>
        </w:rPr>
        <w:fldChar w:fldCharType="begin"/>
      </w:r>
      <w:r>
        <w:rPr>
          <w:color w:val="auto"/>
          <w:highlight w:val="none"/>
        </w:rPr>
        <w:instrText xml:space="preserve"> PAGEREF _Toc27760 \h </w:instrText>
      </w:r>
      <w:r>
        <w:rPr>
          <w:color w:val="auto"/>
          <w:highlight w:val="none"/>
        </w:rPr>
        <w:fldChar w:fldCharType="separate"/>
      </w:r>
      <w:r>
        <w:rPr>
          <w:color w:val="auto"/>
          <w:highlight w:val="none"/>
        </w:rPr>
        <w:t>28</w:t>
      </w:r>
      <w:r>
        <w:rPr>
          <w:color w:val="auto"/>
          <w:highlight w:val="none"/>
        </w:rPr>
        <w:fldChar w:fldCharType="end"/>
      </w:r>
      <w:r>
        <w:rPr>
          <w:rFonts w:hAnsi="宋体"/>
          <w:color w:val="auto"/>
          <w:highlight w:val="none"/>
        </w:rPr>
        <w:fldChar w:fldCharType="end"/>
      </w:r>
    </w:p>
    <w:p w14:paraId="346C7A41">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_Toc17253 </w:instrText>
      </w:r>
      <w:r>
        <w:rPr>
          <w:rFonts w:hAnsi="宋体"/>
          <w:color w:val="auto"/>
          <w:highlight w:val="none"/>
        </w:rPr>
        <w:fldChar w:fldCharType="separate"/>
      </w:r>
      <w:r>
        <w:rPr>
          <w:rFonts w:hint="eastAsia" w:ascii="宋体" w:hAnsi="宋体"/>
          <w:bCs w:val="0"/>
          <w:color w:val="auto"/>
          <w:szCs w:val="28"/>
          <w:highlight w:val="none"/>
        </w:rPr>
        <w:t>第一</w:t>
      </w:r>
      <w:r>
        <w:rPr>
          <w:rFonts w:hint="eastAsia" w:ascii="宋体" w:hAnsi="宋体"/>
          <w:color w:val="auto"/>
          <w:szCs w:val="28"/>
          <w:highlight w:val="none"/>
        </w:rPr>
        <w:t>节  评标方法及标准前附表</w:t>
      </w:r>
      <w:r>
        <w:rPr>
          <w:color w:val="auto"/>
          <w:highlight w:val="none"/>
        </w:rPr>
        <w:tab/>
      </w:r>
      <w:r>
        <w:rPr>
          <w:color w:val="auto"/>
          <w:highlight w:val="none"/>
        </w:rPr>
        <w:fldChar w:fldCharType="begin"/>
      </w:r>
      <w:r>
        <w:rPr>
          <w:color w:val="auto"/>
          <w:highlight w:val="none"/>
        </w:rPr>
        <w:instrText xml:space="preserve"> PAGEREF _Toc17253 \h </w:instrText>
      </w:r>
      <w:r>
        <w:rPr>
          <w:color w:val="auto"/>
          <w:highlight w:val="none"/>
        </w:rPr>
        <w:fldChar w:fldCharType="separate"/>
      </w:r>
      <w:r>
        <w:rPr>
          <w:color w:val="auto"/>
          <w:highlight w:val="none"/>
        </w:rPr>
        <w:t>28</w:t>
      </w:r>
      <w:r>
        <w:rPr>
          <w:color w:val="auto"/>
          <w:highlight w:val="none"/>
        </w:rPr>
        <w:fldChar w:fldCharType="end"/>
      </w:r>
      <w:r>
        <w:rPr>
          <w:rFonts w:hAnsi="宋体"/>
          <w:color w:val="auto"/>
          <w:highlight w:val="none"/>
        </w:rPr>
        <w:fldChar w:fldCharType="end"/>
      </w:r>
    </w:p>
    <w:p w14:paraId="003D9DEC">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_Toc26100 </w:instrText>
      </w:r>
      <w:r>
        <w:rPr>
          <w:rFonts w:hAnsi="宋体"/>
          <w:color w:val="auto"/>
          <w:highlight w:val="none"/>
        </w:rPr>
        <w:fldChar w:fldCharType="separate"/>
      </w:r>
      <w:r>
        <w:rPr>
          <w:rFonts w:hint="eastAsia" w:ascii="宋体" w:hAnsi="宋体"/>
          <w:color w:val="auto"/>
          <w:szCs w:val="28"/>
          <w:highlight w:val="none"/>
        </w:rPr>
        <w:t>第二节  评标方法及标准</w:t>
      </w:r>
      <w:r>
        <w:rPr>
          <w:color w:val="auto"/>
          <w:highlight w:val="none"/>
        </w:rPr>
        <w:tab/>
      </w:r>
      <w:r>
        <w:rPr>
          <w:color w:val="auto"/>
          <w:highlight w:val="none"/>
        </w:rPr>
        <w:fldChar w:fldCharType="begin"/>
      </w:r>
      <w:r>
        <w:rPr>
          <w:color w:val="auto"/>
          <w:highlight w:val="none"/>
        </w:rPr>
        <w:instrText xml:space="preserve"> PAGEREF _Toc26100 \h </w:instrText>
      </w:r>
      <w:r>
        <w:rPr>
          <w:color w:val="auto"/>
          <w:highlight w:val="none"/>
        </w:rPr>
        <w:fldChar w:fldCharType="separate"/>
      </w:r>
      <w:r>
        <w:rPr>
          <w:color w:val="auto"/>
          <w:highlight w:val="none"/>
        </w:rPr>
        <w:t>29</w:t>
      </w:r>
      <w:r>
        <w:rPr>
          <w:color w:val="auto"/>
          <w:highlight w:val="none"/>
        </w:rPr>
        <w:fldChar w:fldCharType="end"/>
      </w:r>
      <w:r>
        <w:rPr>
          <w:rFonts w:hAnsi="宋体"/>
          <w:color w:val="auto"/>
          <w:highlight w:val="none"/>
        </w:rPr>
        <w:fldChar w:fldCharType="end"/>
      </w:r>
    </w:p>
    <w:p w14:paraId="00A466F3">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_Toc17712 </w:instrText>
      </w:r>
      <w:r>
        <w:rPr>
          <w:rFonts w:hAnsi="宋体"/>
          <w:color w:val="auto"/>
          <w:highlight w:val="none"/>
        </w:rPr>
        <w:fldChar w:fldCharType="separate"/>
      </w:r>
      <w:r>
        <w:rPr>
          <w:rFonts w:hint="eastAsia" w:ascii="宋体" w:hAnsi="宋体"/>
          <w:color w:val="auto"/>
          <w:szCs w:val="24"/>
          <w:highlight w:val="none"/>
        </w:rPr>
        <w:t>1．评标方法</w:t>
      </w:r>
      <w:r>
        <w:rPr>
          <w:color w:val="auto"/>
          <w:highlight w:val="none"/>
        </w:rPr>
        <w:tab/>
      </w:r>
      <w:r>
        <w:rPr>
          <w:color w:val="auto"/>
          <w:highlight w:val="none"/>
        </w:rPr>
        <w:fldChar w:fldCharType="begin"/>
      </w:r>
      <w:r>
        <w:rPr>
          <w:color w:val="auto"/>
          <w:highlight w:val="none"/>
        </w:rPr>
        <w:instrText xml:space="preserve"> PAGEREF _Toc17712 \h </w:instrText>
      </w:r>
      <w:r>
        <w:rPr>
          <w:color w:val="auto"/>
          <w:highlight w:val="none"/>
        </w:rPr>
        <w:fldChar w:fldCharType="separate"/>
      </w:r>
      <w:r>
        <w:rPr>
          <w:color w:val="auto"/>
          <w:highlight w:val="none"/>
        </w:rPr>
        <w:t>29</w:t>
      </w:r>
      <w:r>
        <w:rPr>
          <w:color w:val="auto"/>
          <w:highlight w:val="none"/>
        </w:rPr>
        <w:fldChar w:fldCharType="end"/>
      </w:r>
      <w:r>
        <w:rPr>
          <w:rFonts w:hAnsi="宋体"/>
          <w:color w:val="auto"/>
          <w:highlight w:val="none"/>
        </w:rPr>
        <w:fldChar w:fldCharType="end"/>
      </w:r>
    </w:p>
    <w:p w14:paraId="377E7511">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_Toc23350 </w:instrText>
      </w:r>
      <w:r>
        <w:rPr>
          <w:rFonts w:hAnsi="宋体"/>
          <w:color w:val="auto"/>
          <w:highlight w:val="none"/>
        </w:rPr>
        <w:fldChar w:fldCharType="separate"/>
      </w:r>
      <w:r>
        <w:rPr>
          <w:rFonts w:hint="eastAsia" w:ascii="宋体" w:hAnsi="宋体"/>
          <w:bCs w:val="0"/>
          <w:color w:val="auto"/>
          <w:szCs w:val="24"/>
          <w:highlight w:val="none"/>
        </w:rPr>
        <w:t>2．评标程序</w:t>
      </w:r>
      <w:r>
        <w:rPr>
          <w:color w:val="auto"/>
          <w:highlight w:val="none"/>
        </w:rPr>
        <w:tab/>
      </w:r>
      <w:r>
        <w:rPr>
          <w:color w:val="auto"/>
          <w:highlight w:val="none"/>
        </w:rPr>
        <w:fldChar w:fldCharType="begin"/>
      </w:r>
      <w:r>
        <w:rPr>
          <w:color w:val="auto"/>
          <w:highlight w:val="none"/>
        </w:rPr>
        <w:instrText xml:space="preserve"> PAGEREF _Toc23350 \h </w:instrText>
      </w:r>
      <w:r>
        <w:rPr>
          <w:color w:val="auto"/>
          <w:highlight w:val="none"/>
        </w:rPr>
        <w:fldChar w:fldCharType="separate"/>
      </w:r>
      <w:r>
        <w:rPr>
          <w:color w:val="auto"/>
          <w:highlight w:val="none"/>
        </w:rPr>
        <w:t>29</w:t>
      </w:r>
      <w:r>
        <w:rPr>
          <w:color w:val="auto"/>
          <w:highlight w:val="none"/>
        </w:rPr>
        <w:fldChar w:fldCharType="end"/>
      </w:r>
      <w:r>
        <w:rPr>
          <w:rFonts w:hAnsi="宋体"/>
          <w:color w:val="auto"/>
          <w:highlight w:val="none"/>
        </w:rPr>
        <w:fldChar w:fldCharType="end"/>
      </w:r>
    </w:p>
    <w:p w14:paraId="4F43DC05">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_Toc9382 </w:instrText>
      </w:r>
      <w:r>
        <w:rPr>
          <w:rFonts w:hAnsi="宋体"/>
          <w:color w:val="auto"/>
          <w:highlight w:val="none"/>
        </w:rPr>
        <w:fldChar w:fldCharType="separate"/>
      </w:r>
      <w:r>
        <w:rPr>
          <w:rFonts w:hint="eastAsia" w:ascii="宋体" w:hAnsi="宋体"/>
          <w:bCs w:val="0"/>
          <w:color w:val="auto"/>
          <w:szCs w:val="24"/>
          <w:highlight w:val="none"/>
        </w:rPr>
        <w:t>3．投标文件符合性审查</w:t>
      </w:r>
      <w:r>
        <w:rPr>
          <w:color w:val="auto"/>
          <w:highlight w:val="none"/>
        </w:rPr>
        <w:tab/>
      </w:r>
      <w:r>
        <w:rPr>
          <w:color w:val="auto"/>
          <w:highlight w:val="none"/>
        </w:rPr>
        <w:fldChar w:fldCharType="begin"/>
      </w:r>
      <w:r>
        <w:rPr>
          <w:color w:val="auto"/>
          <w:highlight w:val="none"/>
        </w:rPr>
        <w:instrText xml:space="preserve"> PAGEREF _Toc9382 \h </w:instrText>
      </w:r>
      <w:r>
        <w:rPr>
          <w:color w:val="auto"/>
          <w:highlight w:val="none"/>
        </w:rPr>
        <w:fldChar w:fldCharType="separate"/>
      </w:r>
      <w:r>
        <w:rPr>
          <w:color w:val="auto"/>
          <w:highlight w:val="none"/>
        </w:rPr>
        <w:t>29</w:t>
      </w:r>
      <w:r>
        <w:rPr>
          <w:color w:val="auto"/>
          <w:highlight w:val="none"/>
        </w:rPr>
        <w:fldChar w:fldCharType="end"/>
      </w:r>
      <w:r>
        <w:rPr>
          <w:rFonts w:hAnsi="宋体"/>
          <w:color w:val="auto"/>
          <w:highlight w:val="none"/>
        </w:rPr>
        <w:fldChar w:fldCharType="end"/>
      </w:r>
    </w:p>
    <w:p w14:paraId="2727607A">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_Toc29120 </w:instrText>
      </w:r>
      <w:r>
        <w:rPr>
          <w:rFonts w:hAnsi="宋体"/>
          <w:color w:val="auto"/>
          <w:highlight w:val="none"/>
        </w:rPr>
        <w:fldChar w:fldCharType="separate"/>
      </w:r>
      <w:r>
        <w:rPr>
          <w:rFonts w:hint="eastAsia" w:ascii="宋体" w:hAnsi="宋体"/>
          <w:bCs w:val="0"/>
          <w:color w:val="auto"/>
          <w:szCs w:val="24"/>
          <w:highlight w:val="none"/>
        </w:rPr>
        <w:t>4．投标文件的澄清</w:t>
      </w:r>
      <w:r>
        <w:rPr>
          <w:color w:val="auto"/>
          <w:highlight w:val="none"/>
        </w:rPr>
        <w:tab/>
      </w:r>
      <w:r>
        <w:rPr>
          <w:color w:val="auto"/>
          <w:highlight w:val="none"/>
        </w:rPr>
        <w:fldChar w:fldCharType="begin"/>
      </w:r>
      <w:r>
        <w:rPr>
          <w:color w:val="auto"/>
          <w:highlight w:val="none"/>
        </w:rPr>
        <w:instrText xml:space="preserve"> PAGEREF _Toc29120 \h </w:instrText>
      </w:r>
      <w:r>
        <w:rPr>
          <w:color w:val="auto"/>
          <w:highlight w:val="none"/>
        </w:rPr>
        <w:fldChar w:fldCharType="separate"/>
      </w:r>
      <w:r>
        <w:rPr>
          <w:color w:val="auto"/>
          <w:highlight w:val="none"/>
        </w:rPr>
        <w:t>29</w:t>
      </w:r>
      <w:r>
        <w:rPr>
          <w:color w:val="auto"/>
          <w:highlight w:val="none"/>
        </w:rPr>
        <w:fldChar w:fldCharType="end"/>
      </w:r>
      <w:r>
        <w:rPr>
          <w:rFonts w:hAnsi="宋体"/>
          <w:color w:val="auto"/>
          <w:highlight w:val="none"/>
        </w:rPr>
        <w:fldChar w:fldCharType="end"/>
      </w:r>
    </w:p>
    <w:p w14:paraId="56AA3936">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_Toc27238 </w:instrText>
      </w:r>
      <w:r>
        <w:rPr>
          <w:rFonts w:hAnsi="宋体"/>
          <w:color w:val="auto"/>
          <w:highlight w:val="none"/>
        </w:rPr>
        <w:fldChar w:fldCharType="separate"/>
      </w:r>
      <w:r>
        <w:rPr>
          <w:rFonts w:hint="eastAsia" w:ascii="宋体" w:hAnsi="宋体"/>
          <w:bCs w:val="0"/>
          <w:color w:val="auto"/>
          <w:szCs w:val="24"/>
          <w:highlight w:val="none"/>
        </w:rPr>
        <w:t>5．投标文件的比较与评价</w:t>
      </w:r>
      <w:r>
        <w:rPr>
          <w:color w:val="auto"/>
          <w:highlight w:val="none"/>
        </w:rPr>
        <w:tab/>
      </w:r>
      <w:r>
        <w:rPr>
          <w:color w:val="auto"/>
          <w:highlight w:val="none"/>
        </w:rPr>
        <w:fldChar w:fldCharType="begin"/>
      </w:r>
      <w:r>
        <w:rPr>
          <w:color w:val="auto"/>
          <w:highlight w:val="none"/>
        </w:rPr>
        <w:instrText xml:space="preserve"> PAGEREF _Toc27238 \h </w:instrText>
      </w:r>
      <w:r>
        <w:rPr>
          <w:color w:val="auto"/>
          <w:highlight w:val="none"/>
        </w:rPr>
        <w:fldChar w:fldCharType="separate"/>
      </w:r>
      <w:r>
        <w:rPr>
          <w:color w:val="auto"/>
          <w:highlight w:val="none"/>
        </w:rPr>
        <w:t>29</w:t>
      </w:r>
      <w:r>
        <w:rPr>
          <w:color w:val="auto"/>
          <w:highlight w:val="none"/>
        </w:rPr>
        <w:fldChar w:fldCharType="end"/>
      </w:r>
      <w:r>
        <w:rPr>
          <w:rFonts w:hAnsi="宋体"/>
          <w:color w:val="auto"/>
          <w:highlight w:val="none"/>
        </w:rPr>
        <w:fldChar w:fldCharType="end"/>
      </w:r>
    </w:p>
    <w:p w14:paraId="0AA05D69">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_Toc3078 </w:instrText>
      </w:r>
      <w:r>
        <w:rPr>
          <w:rFonts w:hAnsi="宋体"/>
          <w:color w:val="auto"/>
          <w:highlight w:val="none"/>
        </w:rPr>
        <w:fldChar w:fldCharType="separate"/>
      </w:r>
      <w:r>
        <w:rPr>
          <w:rFonts w:hint="eastAsia" w:ascii="宋体" w:hAnsi="宋体"/>
          <w:bCs w:val="0"/>
          <w:color w:val="auto"/>
          <w:szCs w:val="24"/>
          <w:highlight w:val="none"/>
        </w:rPr>
        <w:t>6．</w:t>
      </w:r>
      <w:r>
        <w:rPr>
          <w:rFonts w:hint="eastAsia" w:ascii="宋体" w:hAnsi="宋体"/>
          <w:color w:val="auto"/>
          <w:szCs w:val="24"/>
          <w:highlight w:val="none"/>
        </w:rPr>
        <w:t>推荐中标候选人</w:t>
      </w:r>
      <w:r>
        <w:rPr>
          <w:color w:val="auto"/>
          <w:highlight w:val="none"/>
        </w:rPr>
        <w:tab/>
      </w:r>
      <w:r>
        <w:rPr>
          <w:color w:val="auto"/>
          <w:highlight w:val="none"/>
        </w:rPr>
        <w:fldChar w:fldCharType="begin"/>
      </w:r>
      <w:r>
        <w:rPr>
          <w:color w:val="auto"/>
          <w:highlight w:val="none"/>
        </w:rPr>
        <w:instrText xml:space="preserve"> PAGEREF _Toc3078 \h </w:instrText>
      </w:r>
      <w:r>
        <w:rPr>
          <w:color w:val="auto"/>
          <w:highlight w:val="none"/>
        </w:rPr>
        <w:fldChar w:fldCharType="separate"/>
      </w:r>
      <w:r>
        <w:rPr>
          <w:color w:val="auto"/>
          <w:highlight w:val="none"/>
        </w:rPr>
        <w:t>30</w:t>
      </w:r>
      <w:r>
        <w:rPr>
          <w:color w:val="auto"/>
          <w:highlight w:val="none"/>
        </w:rPr>
        <w:fldChar w:fldCharType="end"/>
      </w:r>
      <w:r>
        <w:rPr>
          <w:rFonts w:hAnsi="宋体"/>
          <w:color w:val="auto"/>
          <w:highlight w:val="none"/>
        </w:rPr>
        <w:fldChar w:fldCharType="end"/>
      </w:r>
    </w:p>
    <w:p w14:paraId="5C7BF4DB">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_Toc16923 </w:instrText>
      </w:r>
      <w:r>
        <w:rPr>
          <w:rFonts w:hAnsi="宋体"/>
          <w:color w:val="auto"/>
          <w:highlight w:val="none"/>
        </w:rPr>
        <w:fldChar w:fldCharType="separate"/>
      </w:r>
      <w:r>
        <w:rPr>
          <w:rFonts w:hint="eastAsia" w:ascii="宋体" w:hAnsi="宋体"/>
          <w:bCs w:val="0"/>
          <w:color w:val="auto"/>
          <w:szCs w:val="24"/>
          <w:highlight w:val="none"/>
        </w:rPr>
        <w:t>7．</w:t>
      </w:r>
      <w:r>
        <w:rPr>
          <w:rFonts w:hint="eastAsia" w:ascii="宋体" w:hAnsi="宋体"/>
          <w:color w:val="auto"/>
          <w:szCs w:val="24"/>
          <w:highlight w:val="none"/>
        </w:rPr>
        <w:t>编写评标报告</w:t>
      </w:r>
      <w:r>
        <w:rPr>
          <w:color w:val="auto"/>
          <w:highlight w:val="none"/>
        </w:rPr>
        <w:tab/>
      </w:r>
      <w:r>
        <w:rPr>
          <w:color w:val="auto"/>
          <w:highlight w:val="none"/>
        </w:rPr>
        <w:fldChar w:fldCharType="begin"/>
      </w:r>
      <w:r>
        <w:rPr>
          <w:color w:val="auto"/>
          <w:highlight w:val="none"/>
        </w:rPr>
        <w:instrText xml:space="preserve"> PAGEREF _Toc16923 \h </w:instrText>
      </w:r>
      <w:r>
        <w:rPr>
          <w:color w:val="auto"/>
          <w:highlight w:val="none"/>
        </w:rPr>
        <w:fldChar w:fldCharType="separate"/>
      </w:r>
      <w:r>
        <w:rPr>
          <w:color w:val="auto"/>
          <w:highlight w:val="none"/>
        </w:rPr>
        <w:t>31</w:t>
      </w:r>
      <w:r>
        <w:rPr>
          <w:color w:val="auto"/>
          <w:highlight w:val="none"/>
        </w:rPr>
        <w:fldChar w:fldCharType="end"/>
      </w:r>
      <w:r>
        <w:rPr>
          <w:rFonts w:hAnsi="宋体"/>
          <w:color w:val="auto"/>
          <w:highlight w:val="none"/>
        </w:rPr>
        <w:fldChar w:fldCharType="end"/>
      </w:r>
    </w:p>
    <w:p w14:paraId="4CF8C5B5">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_Toc21996 </w:instrText>
      </w:r>
      <w:r>
        <w:rPr>
          <w:rFonts w:hAnsi="宋体"/>
          <w:color w:val="auto"/>
          <w:highlight w:val="none"/>
        </w:rPr>
        <w:fldChar w:fldCharType="separate"/>
      </w:r>
      <w:r>
        <w:rPr>
          <w:rFonts w:hint="eastAsia" w:ascii="宋体" w:hAnsi="宋体"/>
          <w:bCs w:val="0"/>
          <w:color w:val="auto"/>
          <w:szCs w:val="24"/>
          <w:highlight w:val="none"/>
        </w:rPr>
        <w:t>8．</w:t>
      </w:r>
      <w:r>
        <w:rPr>
          <w:rFonts w:hint="eastAsia" w:ascii="宋体" w:hAnsi="宋体"/>
          <w:color w:val="auto"/>
          <w:szCs w:val="24"/>
          <w:highlight w:val="none"/>
        </w:rPr>
        <w:t>评标报告</w:t>
      </w:r>
      <w:r>
        <w:rPr>
          <w:rFonts w:hint="eastAsia" w:ascii="宋体" w:hAnsi="宋体"/>
          <w:bCs w:val="0"/>
          <w:color w:val="auto"/>
          <w:szCs w:val="24"/>
          <w:highlight w:val="none"/>
        </w:rPr>
        <w:t>复核</w:t>
      </w:r>
      <w:r>
        <w:rPr>
          <w:color w:val="auto"/>
          <w:highlight w:val="none"/>
        </w:rPr>
        <w:tab/>
      </w:r>
      <w:r>
        <w:rPr>
          <w:color w:val="auto"/>
          <w:highlight w:val="none"/>
        </w:rPr>
        <w:fldChar w:fldCharType="begin"/>
      </w:r>
      <w:r>
        <w:rPr>
          <w:color w:val="auto"/>
          <w:highlight w:val="none"/>
        </w:rPr>
        <w:instrText xml:space="preserve"> PAGEREF _Toc21996 \h </w:instrText>
      </w:r>
      <w:r>
        <w:rPr>
          <w:color w:val="auto"/>
          <w:highlight w:val="none"/>
        </w:rPr>
        <w:fldChar w:fldCharType="separate"/>
      </w:r>
      <w:r>
        <w:rPr>
          <w:color w:val="auto"/>
          <w:highlight w:val="none"/>
        </w:rPr>
        <w:t>31</w:t>
      </w:r>
      <w:r>
        <w:rPr>
          <w:color w:val="auto"/>
          <w:highlight w:val="none"/>
        </w:rPr>
        <w:fldChar w:fldCharType="end"/>
      </w:r>
      <w:r>
        <w:rPr>
          <w:rFonts w:hAnsi="宋体"/>
          <w:color w:val="auto"/>
          <w:highlight w:val="none"/>
        </w:rPr>
        <w:fldChar w:fldCharType="end"/>
      </w:r>
    </w:p>
    <w:p w14:paraId="184ADABC">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_Toc9078 </w:instrText>
      </w:r>
      <w:r>
        <w:rPr>
          <w:rFonts w:hAnsi="宋体"/>
          <w:color w:val="auto"/>
          <w:highlight w:val="none"/>
        </w:rPr>
        <w:fldChar w:fldCharType="separate"/>
      </w:r>
      <w:r>
        <w:rPr>
          <w:rFonts w:hint="eastAsia" w:ascii="宋体" w:hAnsi="宋体"/>
          <w:color w:val="auto"/>
          <w:szCs w:val="24"/>
          <w:highlight w:val="none"/>
        </w:rPr>
        <w:t>9．</w:t>
      </w:r>
      <w:r>
        <w:rPr>
          <w:rFonts w:hint="eastAsia" w:ascii="宋体" w:hAnsi="宋体"/>
          <w:bCs w:val="0"/>
          <w:color w:val="auto"/>
          <w:szCs w:val="24"/>
          <w:highlight w:val="none"/>
        </w:rPr>
        <w:t>停止评标</w:t>
      </w:r>
      <w:r>
        <w:rPr>
          <w:color w:val="auto"/>
          <w:highlight w:val="none"/>
        </w:rPr>
        <w:tab/>
      </w:r>
      <w:r>
        <w:rPr>
          <w:color w:val="auto"/>
          <w:highlight w:val="none"/>
        </w:rPr>
        <w:fldChar w:fldCharType="begin"/>
      </w:r>
      <w:r>
        <w:rPr>
          <w:color w:val="auto"/>
          <w:highlight w:val="none"/>
        </w:rPr>
        <w:instrText xml:space="preserve"> PAGEREF _Toc9078 \h </w:instrText>
      </w:r>
      <w:r>
        <w:rPr>
          <w:color w:val="auto"/>
          <w:highlight w:val="none"/>
        </w:rPr>
        <w:fldChar w:fldCharType="separate"/>
      </w:r>
      <w:r>
        <w:rPr>
          <w:color w:val="auto"/>
          <w:highlight w:val="none"/>
        </w:rPr>
        <w:t>31</w:t>
      </w:r>
      <w:r>
        <w:rPr>
          <w:color w:val="auto"/>
          <w:highlight w:val="none"/>
        </w:rPr>
        <w:fldChar w:fldCharType="end"/>
      </w:r>
      <w:r>
        <w:rPr>
          <w:rFonts w:hAnsi="宋体"/>
          <w:color w:val="auto"/>
          <w:highlight w:val="none"/>
        </w:rPr>
        <w:fldChar w:fldCharType="end"/>
      </w:r>
    </w:p>
    <w:p w14:paraId="47732D8E">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_Toc24146 </w:instrText>
      </w:r>
      <w:r>
        <w:rPr>
          <w:rFonts w:hAnsi="宋体"/>
          <w:color w:val="auto"/>
          <w:highlight w:val="none"/>
        </w:rPr>
        <w:fldChar w:fldCharType="separate"/>
      </w:r>
      <w:r>
        <w:rPr>
          <w:rFonts w:hint="eastAsia" w:ascii="宋体" w:hAnsi="宋体"/>
          <w:bCs w:val="0"/>
          <w:color w:val="auto"/>
          <w:szCs w:val="24"/>
          <w:highlight w:val="none"/>
        </w:rPr>
        <w:t>10.废标</w:t>
      </w:r>
      <w:r>
        <w:rPr>
          <w:color w:val="auto"/>
          <w:highlight w:val="none"/>
        </w:rPr>
        <w:tab/>
      </w:r>
      <w:r>
        <w:rPr>
          <w:color w:val="auto"/>
          <w:highlight w:val="none"/>
        </w:rPr>
        <w:fldChar w:fldCharType="begin"/>
      </w:r>
      <w:r>
        <w:rPr>
          <w:color w:val="auto"/>
          <w:highlight w:val="none"/>
        </w:rPr>
        <w:instrText xml:space="preserve"> PAGEREF _Toc24146 \h </w:instrText>
      </w:r>
      <w:r>
        <w:rPr>
          <w:color w:val="auto"/>
          <w:highlight w:val="none"/>
        </w:rPr>
        <w:fldChar w:fldCharType="separate"/>
      </w:r>
      <w:r>
        <w:rPr>
          <w:color w:val="auto"/>
          <w:highlight w:val="none"/>
        </w:rPr>
        <w:t>31</w:t>
      </w:r>
      <w:r>
        <w:rPr>
          <w:color w:val="auto"/>
          <w:highlight w:val="none"/>
        </w:rPr>
        <w:fldChar w:fldCharType="end"/>
      </w:r>
      <w:r>
        <w:rPr>
          <w:rFonts w:hAnsi="宋体"/>
          <w:color w:val="auto"/>
          <w:highlight w:val="none"/>
        </w:rPr>
        <w:fldChar w:fldCharType="end"/>
      </w:r>
    </w:p>
    <w:p w14:paraId="090BA273">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_Toc18434 </w:instrText>
      </w:r>
      <w:r>
        <w:rPr>
          <w:rFonts w:hAnsi="宋体"/>
          <w:color w:val="auto"/>
          <w:highlight w:val="none"/>
        </w:rPr>
        <w:fldChar w:fldCharType="separate"/>
      </w:r>
      <w:r>
        <w:rPr>
          <w:rFonts w:hint="eastAsia" w:ascii="宋体" w:hAnsi="宋体" w:cs="宋体"/>
          <w:color w:val="auto"/>
          <w:szCs w:val="24"/>
          <w:highlight w:val="none"/>
        </w:rPr>
        <w:t>11．重新组建评标委员会进行评标</w:t>
      </w:r>
      <w:r>
        <w:rPr>
          <w:color w:val="auto"/>
          <w:highlight w:val="none"/>
        </w:rPr>
        <w:tab/>
      </w:r>
      <w:r>
        <w:rPr>
          <w:color w:val="auto"/>
          <w:highlight w:val="none"/>
        </w:rPr>
        <w:fldChar w:fldCharType="begin"/>
      </w:r>
      <w:r>
        <w:rPr>
          <w:color w:val="auto"/>
          <w:highlight w:val="none"/>
        </w:rPr>
        <w:instrText xml:space="preserve"> PAGEREF _Toc18434 \h </w:instrText>
      </w:r>
      <w:r>
        <w:rPr>
          <w:color w:val="auto"/>
          <w:highlight w:val="none"/>
        </w:rPr>
        <w:fldChar w:fldCharType="separate"/>
      </w:r>
      <w:r>
        <w:rPr>
          <w:color w:val="auto"/>
          <w:highlight w:val="none"/>
        </w:rPr>
        <w:t>31</w:t>
      </w:r>
      <w:r>
        <w:rPr>
          <w:color w:val="auto"/>
          <w:highlight w:val="none"/>
        </w:rPr>
        <w:fldChar w:fldCharType="end"/>
      </w:r>
      <w:r>
        <w:rPr>
          <w:rFonts w:hAnsi="宋体"/>
          <w:color w:val="auto"/>
          <w:highlight w:val="none"/>
        </w:rPr>
        <w:fldChar w:fldCharType="end"/>
      </w:r>
    </w:p>
    <w:p w14:paraId="33650902">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_Toc28183 </w:instrText>
      </w:r>
      <w:r>
        <w:rPr>
          <w:rFonts w:hAnsi="宋体"/>
          <w:color w:val="auto"/>
          <w:highlight w:val="none"/>
        </w:rPr>
        <w:fldChar w:fldCharType="separate"/>
      </w:r>
      <w:r>
        <w:rPr>
          <w:rFonts w:hint="eastAsia" w:ascii="宋体" w:hAnsi="宋体"/>
          <w:color w:val="auto"/>
          <w:szCs w:val="28"/>
          <w:highlight w:val="none"/>
        </w:rPr>
        <w:t>第三节 投标文件的符合性审查</w:t>
      </w:r>
      <w:r>
        <w:rPr>
          <w:color w:val="auto"/>
          <w:highlight w:val="none"/>
        </w:rPr>
        <w:tab/>
      </w:r>
      <w:r>
        <w:rPr>
          <w:color w:val="auto"/>
          <w:highlight w:val="none"/>
        </w:rPr>
        <w:fldChar w:fldCharType="begin"/>
      </w:r>
      <w:r>
        <w:rPr>
          <w:color w:val="auto"/>
          <w:highlight w:val="none"/>
        </w:rPr>
        <w:instrText xml:space="preserve"> PAGEREF _Toc28183 \h </w:instrText>
      </w:r>
      <w:r>
        <w:rPr>
          <w:color w:val="auto"/>
          <w:highlight w:val="none"/>
        </w:rPr>
        <w:fldChar w:fldCharType="separate"/>
      </w:r>
      <w:r>
        <w:rPr>
          <w:color w:val="auto"/>
          <w:highlight w:val="none"/>
        </w:rPr>
        <w:t>33</w:t>
      </w:r>
      <w:r>
        <w:rPr>
          <w:color w:val="auto"/>
          <w:highlight w:val="none"/>
        </w:rPr>
        <w:fldChar w:fldCharType="end"/>
      </w:r>
      <w:r>
        <w:rPr>
          <w:rFonts w:hAnsi="宋体"/>
          <w:color w:val="auto"/>
          <w:highlight w:val="none"/>
        </w:rPr>
        <w:fldChar w:fldCharType="end"/>
      </w:r>
    </w:p>
    <w:p w14:paraId="09E89DF3">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_Toc31898 </w:instrText>
      </w:r>
      <w:r>
        <w:rPr>
          <w:rFonts w:hAnsi="宋体"/>
          <w:color w:val="auto"/>
          <w:highlight w:val="none"/>
        </w:rPr>
        <w:fldChar w:fldCharType="separate"/>
      </w:r>
      <w:r>
        <w:rPr>
          <w:rFonts w:hint="eastAsia" w:ascii="宋体" w:hAnsi="宋体"/>
          <w:color w:val="auto"/>
          <w:szCs w:val="21"/>
          <w:highlight w:val="none"/>
        </w:rPr>
        <w:t>附表1 符合性审查表</w:t>
      </w:r>
      <w:r>
        <w:rPr>
          <w:color w:val="auto"/>
          <w:highlight w:val="none"/>
        </w:rPr>
        <w:tab/>
      </w:r>
      <w:r>
        <w:rPr>
          <w:color w:val="auto"/>
          <w:highlight w:val="none"/>
        </w:rPr>
        <w:fldChar w:fldCharType="begin"/>
      </w:r>
      <w:r>
        <w:rPr>
          <w:color w:val="auto"/>
          <w:highlight w:val="none"/>
        </w:rPr>
        <w:instrText xml:space="preserve"> PAGEREF _Toc31898 \h </w:instrText>
      </w:r>
      <w:r>
        <w:rPr>
          <w:color w:val="auto"/>
          <w:highlight w:val="none"/>
        </w:rPr>
        <w:fldChar w:fldCharType="separate"/>
      </w:r>
      <w:r>
        <w:rPr>
          <w:color w:val="auto"/>
          <w:highlight w:val="none"/>
        </w:rPr>
        <w:t>34</w:t>
      </w:r>
      <w:r>
        <w:rPr>
          <w:color w:val="auto"/>
          <w:highlight w:val="none"/>
        </w:rPr>
        <w:fldChar w:fldCharType="end"/>
      </w:r>
      <w:r>
        <w:rPr>
          <w:rFonts w:hAnsi="宋体"/>
          <w:color w:val="auto"/>
          <w:highlight w:val="none"/>
        </w:rPr>
        <w:fldChar w:fldCharType="end"/>
      </w:r>
    </w:p>
    <w:p w14:paraId="2C0C0429">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_Toc4155 </w:instrText>
      </w:r>
      <w:r>
        <w:rPr>
          <w:rFonts w:hAnsi="宋体"/>
          <w:color w:val="auto"/>
          <w:highlight w:val="none"/>
        </w:rPr>
        <w:fldChar w:fldCharType="separate"/>
      </w:r>
      <w:r>
        <w:rPr>
          <w:rFonts w:hint="eastAsia" w:ascii="宋体" w:hAnsi="宋体"/>
          <w:color w:val="auto"/>
          <w:szCs w:val="28"/>
          <w:highlight w:val="none"/>
        </w:rPr>
        <w:t>符合性审查表</w:t>
      </w:r>
      <w:r>
        <w:rPr>
          <w:color w:val="auto"/>
          <w:highlight w:val="none"/>
        </w:rPr>
        <w:tab/>
      </w:r>
      <w:r>
        <w:rPr>
          <w:color w:val="auto"/>
          <w:highlight w:val="none"/>
        </w:rPr>
        <w:fldChar w:fldCharType="begin"/>
      </w:r>
      <w:r>
        <w:rPr>
          <w:color w:val="auto"/>
          <w:highlight w:val="none"/>
        </w:rPr>
        <w:instrText xml:space="preserve"> PAGEREF _Toc4155 \h </w:instrText>
      </w:r>
      <w:r>
        <w:rPr>
          <w:color w:val="auto"/>
          <w:highlight w:val="none"/>
        </w:rPr>
        <w:fldChar w:fldCharType="separate"/>
      </w:r>
      <w:r>
        <w:rPr>
          <w:color w:val="auto"/>
          <w:highlight w:val="none"/>
        </w:rPr>
        <w:t>34</w:t>
      </w:r>
      <w:r>
        <w:rPr>
          <w:color w:val="auto"/>
          <w:highlight w:val="none"/>
        </w:rPr>
        <w:fldChar w:fldCharType="end"/>
      </w:r>
      <w:r>
        <w:rPr>
          <w:rFonts w:hAnsi="宋体"/>
          <w:color w:val="auto"/>
          <w:highlight w:val="none"/>
        </w:rPr>
        <w:fldChar w:fldCharType="end"/>
      </w:r>
    </w:p>
    <w:p w14:paraId="31A751C2">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_Toc5000 </w:instrText>
      </w:r>
      <w:r>
        <w:rPr>
          <w:rFonts w:hAnsi="宋体"/>
          <w:color w:val="auto"/>
          <w:highlight w:val="none"/>
        </w:rPr>
        <w:fldChar w:fldCharType="separate"/>
      </w:r>
      <w:r>
        <w:rPr>
          <w:rFonts w:hint="eastAsia" w:ascii="宋体" w:hAnsi="宋体"/>
          <w:color w:val="auto"/>
          <w:szCs w:val="28"/>
          <w:highlight w:val="none"/>
        </w:rPr>
        <w:t>符合性审查结果一览表</w:t>
      </w:r>
      <w:r>
        <w:rPr>
          <w:color w:val="auto"/>
          <w:highlight w:val="none"/>
        </w:rPr>
        <w:tab/>
      </w:r>
      <w:r>
        <w:rPr>
          <w:color w:val="auto"/>
          <w:highlight w:val="none"/>
        </w:rPr>
        <w:fldChar w:fldCharType="begin"/>
      </w:r>
      <w:r>
        <w:rPr>
          <w:color w:val="auto"/>
          <w:highlight w:val="none"/>
        </w:rPr>
        <w:instrText xml:space="preserve"> PAGEREF _Toc5000 \h </w:instrText>
      </w:r>
      <w:r>
        <w:rPr>
          <w:color w:val="auto"/>
          <w:highlight w:val="none"/>
        </w:rPr>
        <w:fldChar w:fldCharType="separate"/>
      </w:r>
      <w:r>
        <w:rPr>
          <w:color w:val="auto"/>
          <w:highlight w:val="none"/>
        </w:rPr>
        <w:t>35</w:t>
      </w:r>
      <w:r>
        <w:rPr>
          <w:color w:val="auto"/>
          <w:highlight w:val="none"/>
        </w:rPr>
        <w:fldChar w:fldCharType="end"/>
      </w:r>
      <w:r>
        <w:rPr>
          <w:rFonts w:hAnsi="宋体"/>
          <w:color w:val="auto"/>
          <w:highlight w:val="none"/>
        </w:rPr>
        <w:fldChar w:fldCharType="end"/>
      </w:r>
    </w:p>
    <w:p w14:paraId="1234D537">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_Toc7173 </w:instrText>
      </w:r>
      <w:r>
        <w:rPr>
          <w:rFonts w:hAnsi="宋体"/>
          <w:color w:val="auto"/>
          <w:highlight w:val="none"/>
        </w:rPr>
        <w:fldChar w:fldCharType="separate"/>
      </w:r>
      <w:r>
        <w:rPr>
          <w:rFonts w:hint="eastAsia" w:ascii="宋体" w:hAnsi="宋体"/>
          <w:color w:val="auto"/>
          <w:szCs w:val="28"/>
          <w:highlight w:val="none"/>
        </w:rPr>
        <w:t>符合性审查合格投标人名单</w:t>
      </w:r>
      <w:r>
        <w:rPr>
          <w:color w:val="auto"/>
          <w:highlight w:val="none"/>
        </w:rPr>
        <w:tab/>
      </w:r>
      <w:r>
        <w:rPr>
          <w:color w:val="auto"/>
          <w:highlight w:val="none"/>
        </w:rPr>
        <w:fldChar w:fldCharType="begin"/>
      </w:r>
      <w:r>
        <w:rPr>
          <w:color w:val="auto"/>
          <w:highlight w:val="none"/>
        </w:rPr>
        <w:instrText xml:space="preserve"> PAGEREF _Toc7173 \h </w:instrText>
      </w:r>
      <w:r>
        <w:rPr>
          <w:color w:val="auto"/>
          <w:highlight w:val="none"/>
        </w:rPr>
        <w:fldChar w:fldCharType="separate"/>
      </w:r>
      <w:r>
        <w:rPr>
          <w:color w:val="auto"/>
          <w:highlight w:val="none"/>
        </w:rPr>
        <w:t>36</w:t>
      </w:r>
      <w:r>
        <w:rPr>
          <w:color w:val="auto"/>
          <w:highlight w:val="none"/>
        </w:rPr>
        <w:fldChar w:fldCharType="end"/>
      </w:r>
      <w:r>
        <w:rPr>
          <w:rFonts w:hAnsi="宋体"/>
          <w:color w:val="auto"/>
          <w:highlight w:val="none"/>
        </w:rPr>
        <w:fldChar w:fldCharType="end"/>
      </w:r>
    </w:p>
    <w:p w14:paraId="4764F923">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_Toc9361 </w:instrText>
      </w:r>
      <w:r>
        <w:rPr>
          <w:rFonts w:hAnsi="宋体"/>
          <w:color w:val="auto"/>
          <w:highlight w:val="none"/>
        </w:rPr>
        <w:fldChar w:fldCharType="separate"/>
      </w:r>
      <w:r>
        <w:rPr>
          <w:rFonts w:hint="eastAsia" w:ascii="宋体" w:hAnsi="宋体"/>
          <w:color w:val="auto"/>
          <w:szCs w:val="28"/>
          <w:highlight w:val="none"/>
        </w:rPr>
        <w:t>第四节 投标文件的比较与评价（综合评分法）</w:t>
      </w:r>
      <w:r>
        <w:rPr>
          <w:color w:val="auto"/>
          <w:highlight w:val="none"/>
        </w:rPr>
        <w:tab/>
      </w:r>
      <w:r>
        <w:rPr>
          <w:color w:val="auto"/>
          <w:highlight w:val="none"/>
        </w:rPr>
        <w:fldChar w:fldCharType="begin"/>
      </w:r>
      <w:r>
        <w:rPr>
          <w:color w:val="auto"/>
          <w:highlight w:val="none"/>
        </w:rPr>
        <w:instrText xml:space="preserve"> PAGEREF _Toc9361 \h </w:instrText>
      </w:r>
      <w:r>
        <w:rPr>
          <w:color w:val="auto"/>
          <w:highlight w:val="none"/>
        </w:rPr>
        <w:fldChar w:fldCharType="separate"/>
      </w:r>
      <w:r>
        <w:rPr>
          <w:color w:val="auto"/>
          <w:highlight w:val="none"/>
        </w:rPr>
        <w:t>37</w:t>
      </w:r>
      <w:r>
        <w:rPr>
          <w:color w:val="auto"/>
          <w:highlight w:val="none"/>
        </w:rPr>
        <w:fldChar w:fldCharType="end"/>
      </w:r>
      <w:r>
        <w:rPr>
          <w:rFonts w:hAnsi="宋体"/>
          <w:color w:val="auto"/>
          <w:highlight w:val="none"/>
        </w:rPr>
        <w:fldChar w:fldCharType="end"/>
      </w:r>
    </w:p>
    <w:p w14:paraId="44BD86AB">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_Toc22868 </w:instrText>
      </w:r>
      <w:r>
        <w:rPr>
          <w:rFonts w:hAnsi="宋体"/>
          <w:color w:val="auto"/>
          <w:highlight w:val="none"/>
        </w:rPr>
        <w:fldChar w:fldCharType="separate"/>
      </w:r>
      <w:r>
        <w:rPr>
          <w:rFonts w:hint="eastAsia" w:ascii="宋体" w:hAnsi="宋体"/>
          <w:color w:val="auto"/>
          <w:szCs w:val="21"/>
          <w:highlight w:val="none"/>
        </w:rPr>
        <w:t>附页1 评标方法及标准表</w:t>
      </w:r>
      <w:r>
        <w:rPr>
          <w:color w:val="auto"/>
          <w:highlight w:val="none"/>
        </w:rPr>
        <w:tab/>
      </w:r>
      <w:r>
        <w:rPr>
          <w:color w:val="auto"/>
          <w:highlight w:val="none"/>
        </w:rPr>
        <w:fldChar w:fldCharType="begin"/>
      </w:r>
      <w:r>
        <w:rPr>
          <w:color w:val="auto"/>
          <w:highlight w:val="none"/>
        </w:rPr>
        <w:instrText xml:space="preserve"> PAGEREF _Toc22868 \h </w:instrText>
      </w:r>
      <w:r>
        <w:rPr>
          <w:color w:val="auto"/>
          <w:highlight w:val="none"/>
        </w:rPr>
        <w:fldChar w:fldCharType="separate"/>
      </w:r>
      <w:r>
        <w:rPr>
          <w:color w:val="auto"/>
          <w:highlight w:val="none"/>
        </w:rPr>
        <w:t>39</w:t>
      </w:r>
      <w:r>
        <w:rPr>
          <w:color w:val="auto"/>
          <w:highlight w:val="none"/>
        </w:rPr>
        <w:fldChar w:fldCharType="end"/>
      </w:r>
      <w:r>
        <w:rPr>
          <w:rFonts w:hAnsi="宋体"/>
          <w:color w:val="auto"/>
          <w:highlight w:val="none"/>
        </w:rPr>
        <w:fldChar w:fldCharType="end"/>
      </w:r>
    </w:p>
    <w:p w14:paraId="75552A4A">
      <w:pPr>
        <w:pStyle w:val="32"/>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_Toc29314 </w:instrText>
      </w:r>
      <w:r>
        <w:rPr>
          <w:rFonts w:hAnsi="宋体"/>
          <w:color w:val="auto"/>
          <w:highlight w:val="none"/>
        </w:rPr>
        <w:fldChar w:fldCharType="separate"/>
      </w:r>
      <w:r>
        <w:rPr>
          <w:rFonts w:hint="eastAsia" w:ascii="宋体" w:hAnsi="宋体" w:cs="Courier New"/>
          <w:color w:val="auto"/>
          <w:szCs w:val="32"/>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_Toc29314 \h </w:instrText>
      </w:r>
      <w:r>
        <w:rPr>
          <w:color w:val="auto"/>
          <w:highlight w:val="none"/>
        </w:rPr>
        <w:fldChar w:fldCharType="separate"/>
      </w:r>
      <w:r>
        <w:rPr>
          <w:color w:val="auto"/>
          <w:highlight w:val="none"/>
        </w:rPr>
        <w:t>41</w:t>
      </w:r>
      <w:r>
        <w:rPr>
          <w:color w:val="auto"/>
          <w:highlight w:val="none"/>
        </w:rPr>
        <w:fldChar w:fldCharType="end"/>
      </w:r>
      <w:r>
        <w:rPr>
          <w:rFonts w:hAnsi="宋体"/>
          <w:color w:val="auto"/>
          <w:highlight w:val="none"/>
        </w:rPr>
        <w:fldChar w:fldCharType="end"/>
      </w:r>
    </w:p>
    <w:p w14:paraId="51AC8096">
      <w:pPr>
        <w:pStyle w:val="32"/>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_Toc2909 </w:instrText>
      </w:r>
      <w:r>
        <w:rPr>
          <w:rFonts w:hAnsi="宋体"/>
          <w:color w:val="auto"/>
          <w:highlight w:val="none"/>
        </w:rPr>
        <w:fldChar w:fldCharType="separate"/>
      </w:r>
      <w:r>
        <w:rPr>
          <w:rFonts w:hint="eastAsia" w:ascii="宋体" w:hAnsi="宋体"/>
          <w:color w:val="auto"/>
          <w:szCs w:val="32"/>
          <w:highlight w:val="none"/>
        </w:rPr>
        <w:t>第六章 政府采购合同</w:t>
      </w:r>
      <w:r>
        <w:rPr>
          <w:color w:val="auto"/>
          <w:highlight w:val="none"/>
        </w:rPr>
        <w:tab/>
      </w:r>
      <w:r>
        <w:rPr>
          <w:color w:val="auto"/>
          <w:highlight w:val="none"/>
        </w:rPr>
        <w:fldChar w:fldCharType="begin"/>
      </w:r>
      <w:r>
        <w:rPr>
          <w:color w:val="auto"/>
          <w:highlight w:val="none"/>
        </w:rPr>
        <w:instrText xml:space="preserve"> PAGEREF _Toc2909 \h </w:instrText>
      </w:r>
      <w:r>
        <w:rPr>
          <w:color w:val="auto"/>
          <w:highlight w:val="none"/>
        </w:rPr>
        <w:fldChar w:fldCharType="separate"/>
      </w:r>
      <w:r>
        <w:rPr>
          <w:color w:val="auto"/>
          <w:highlight w:val="none"/>
        </w:rPr>
        <w:t>54</w:t>
      </w:r>
      <w:r>
        <w:rPr>
          <w:color w:val="auto"/>
          <w:highlight w:val="none"/>
        </w:rPr>
        <w:fldChar w:fldCharType="end"/>
      </w:r>
      <w:r>
        <w:rPr>
          <w:rFonts w:hAnsi="宋体"/>
          <w:color w:val="auto"/>
          <w:highlight w:val="none"/>
        </w:rPr>
        <w:fldChar w:fldCharType="end"/>
      </w:r>
    </w:p>
    <w:p w14:paraId="5106E14C">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_Toc19368 </w:instrText>
      </w:r>
      <w:r>
        <w:rPr>
          <w:rFonts w:hAnsi="宋体"/>
          <w:color w:val="auto"/>
          <w:highlight w:val="none"/>
        </w:rPr>
        <w:fldChar w:fldCharType="separate"/>
      </w:r>
      <w:r>
        <w:rPr>
          <w:rFonts w:hint="eastAsia" w:ascii="宋体" w:hAnsi="宋体"/>
          <w:color w:val="auto"/>
          <w:szCs w:val="28"/>
          <w:highlight w:val="none"/>
        </w:rPr>
        <w:t>第一节 政府采购合同协议书</w:t>
      </w:r>
      <w:r>
        <w:rPr>
          <w:color w:val="auto"/>
          <w:highlight w:val="none"/>
        </w:rPr>
        <w:tab/>
      </w:r>
      <w:r>
        <w:rPr>
          <w:color w:val="auto"/>
          <w:highlight w:val="none"/>
        </w:rPr>
        <w:fldChar w:fldCharType="begin"/>
      </w:r>
      <w:r>
        <w:rPr>
          <w:color w:val="auto"/>
          <w:highlight w:val="none"/>
        </w:rPr>
        <w:instrText xml:space="preserve"> PAGEREF _Toc19368 \h </w:instrText>
      </w:r>
      <w:r>
        <w:rPr>
          <w:color w:val="auto"/>
          <w:highlight w:val="none"/>
        </w:rPr>
        <w:fldChar w:fldCharType="separate"/>
      </w:r>
      <w:r>
        <w:rPr>
          <w:color w:val="auto"/>
          <w:highlight w:val="none"/>
        </w:rPr>
        <w:t>54</w:t>
      </w:r>
      <w:r>
        <w:rPr>
          <w:color w:val="auto"/>
          <w:highlight w:val="none"/>
        </w:rPr>
        <w:fldChar w:fldCharType="end"/>
      </w:r>
      <w:r>
        <w:rPr>
          <w:rFonts w:hAnsi="宋体"/>
          <w:color w:val="auto"/>
          <w:highlight w:val="none"/>
        </w:rPr>
        <w:fldChar w:fldCharType="end"/>
      </w:r>
    </w:p>
    <w:p w14:paraId="724C06A6">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_Toc25280 </w:instrText>
      </w:r>
      <w:r>
        <w:rPr>
          <w:rFonts w:hAnsi="宋体"/>
          <w:color w:val="auto"/>
          <w:highlight w:val="none"/>
        </w:rPr>
        <w:fldChar w:fldCharType="separate"/>
      </w:r>
      <w:r>
        <w:rPr>
          <w:rFonts w:hint="eastAsia" w:ascii="宋体" w:hAnsi="宋体"/>
          <w:color w:val="auto"/>
          <w:szCs w:val="28"/>
          <w:highlight w:val="none"/>
        </w:rPr>
        <w:t>第二节  政府采购合同专用条款</w:t>
      </w:r>
      <w:r>
        <w:rPr>
          <w:color w:val="auto"/>
          <w:highlight w:val="none"/>
        </w:rPr>
        <w:tab/>
      </w:r>
      <w:r>
        <w:rPr>
          <w:color w:val="auto"/>
          <w:highlight w:val="none"/>
        </w:rPr>
        <w:fldChar w:fldCharType="begin"/>
      </w:r>
      <w:r>
        <w:rPr>
          <w:color w:val="auto"/>
          <w:highlight w:val="none"/>
        </w:rPr>
        <w:instrText xml:space="preserve"> PAGEREF _Toc25280 \h </w:instrText>
      </w:r>
      <w:r>
        <w:rPr>
          <w:color w:val="auto"/>
          <w:highlight w:val="none"/>
        </w:rPr>
        <w:fldChar w:fldCharType="separate"/>
      </w:r>
      <w:r>
        <w:rPr>
          <w:color w:val="auto"/>
          <w:highlight w:val="none"/>
        </w:rPr>
        <w:t>73</w:t>
      </w:r>
      <w:r>
        <w:rPr>
          <w:color w:val="auto"/>
          <w:highlight w:val="none"/>
        </w:rPr>
        <w:fldChar w:fldCharType="end"/>
      </w:r>
      <w:r>
        <w:rPr>
          <w:rFonts w:hAnsi="宋体"/>
          <w:color w:val="auto"/>
          <w:highlight w:val="none"/>
        </w:rPr>
        <w:fldChar w:fldCharType="end"/>
      </w:r>
    </w:p>
    <w:p w14:paraId="0AD22E01">
      <w:pPr>
        <w:pStyle w:val="32"/>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_Toc0 </w:instrText>
      </w:r>
      <w:r>
        <w:rPr>
          <w:rFonts w:hAnsi="宋体"/>
          <w:color w:val="auto"/>
          <w:highlight w:val="none"/>
        </w:rPr>
        <w:fldChar w:fldCharType="separate"/>
      </w:r>
      <w:r>
        <w:rPr>
          <w:rFonts w:hint="eastAsia" w:hAnsi="宋体"/>
          <w:color w:val="auto"/>
          <w:szCs w:val="32"/>
          <w:highlight w:val="none"/>
        </w:rPr>
        <w:t>第七章 投标文件的组成</w:t>
      </w:r>
      <w:r>
        <w:rPr>
          <w:color w:val="auto"/>
          <w:highlight w:val="none"/>
        </w:rPr>
        <w:tab/>
      </w:r>
      <w:r>
        <w:rPr>
          <w:color w:val="auto"/>
          <w:highlight w:val="none"/>
        </w:rPr>
        <w:fldChar w:fldCharType="begin"/>
      </w:r>
      <w:r>
        <w:rPr>
          <w:color w:val="auto"/>
          <w:highlight w:val="none"/>
        </w:rPr>
        <w:instrText xml:space="preserve"> PAGEREF _Toc0 \h </w:instrText>
      </w:r>
      <w:r>
        <w:rPr>
          <w:color w:val="auto"/>
          <w:highlight w:val="none"/>
        </w:rPr>
        <w:fldChar w:fldCharType="separate"/>
      </w:r>
      <w:r>
        <w:rPr>
          <w:color w:val="auto"/>
          <w:highlight w:val="none"/>
        </w:rPr>
        <w:t>74</w:t>
      </w:r>
      <w:r>
        <w:rPr>
          <w:color w:val="auto"/>
          <w:highlight w:val="none"/>
        </w:rPr>
        <w:fldChar w:fldCharType="end"/>
      </w:r>
      <w:r>
        <w:rPr>
          <w:rFonts w:hAnsi="宋体"/>
          <w:color w:val="auto"/>
          <w:highlight w:val="none"/>
        </w:rPr>
        <w:fldChar w:fldCharType="end"/>
      </w:r>
    </w:p>
    <w:p w14:paraId="04F4B3E5">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_Toc344 </w:instrText>
      </w:r>
      <w:r>
        <w:rPr>
          <w:rFonts w:hAnsi="宋体"/>
          <w:color w:val="auto"/>
          <w:highlight w:val="none"/>
        </w:rPr>
        <w:fldChar w:fldCharType="separate"/>
      </w:r>
      <w:r>
        <w:rPr>
          <w:rFonts w:hint="eastAsia" w:ascii="宋体" w:hAnsi="宋体"/>
          <w:color w:val="auto"/>
          <w:szCs w:val="44"/>
          <w:highlight w:val="none"/>
        </w:rPr>
        <w:t>第一部分 资格证明文件</w:t>
      </w:r>
      <w:r>
        <w:rPr>
          <w:color w:val="auto"/>
          <w:highlight w:val="none"/>
        </w:rPr>
        <w:tab/>
      </w:r>
      <w:r>
        <w:rPr>
          <w:color w:val="auto"/>
          <w:highlight w:val="none"/>
        </w:rPr>
        <w:fldChar w:fldCharType="begin"/>
      </w:r>
      <w:r>
        <w:rPr>
          <w:color w:val="auto"/>
          <w:highlight w:val="none"/>
        </w:rPr>
        <w:instrText xml:space="preserve"> PAGEREF _Toc344 \h </w:instrText>
      </w:r>
      <w:r>
        <w:rPr>
          <w:color w:val="auto"/>
          <w:highlight w:val="none"/>
        </w:rPr>
        <w:fldChar w:fldCharType="separate"/>
      </w:r>
      <w:r>
        <w:rPr>
          <w:color w:val="auto"/>
          <w:highlight w:val="none"/>
        </w:rPr>
        <w:t>75</w:t>
      </w:r>
      <w:r>
        <w:rPr>
          <w:color w:val="auto"/>
          <w:highlight w:val="none"/>
        </w:rPr>
        <w:fldChar w:fldCharType="end"/>
      </w:r>
      <w:r>
        <w:rPr>
          <w:rFonts w:hAnsi="宋体"/>
          <w:color w:val="auto"/>
          <w:highlight w:val="none"/>
        </w:rPr>
        <w:fldChar w:fldCharType="end"/>
      </w:r>
    </w:p>
    <w:p w14:paraId="4687E641">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_Toc12283 </w:instrText>
      </w:r>
      <w:r>
        <w:rPr>
          <w:rFonts w:hAnsi="宋体"/>
          <w:color w:val="auto"/>
          <w:highlight w:val="none"/>
        </w:rPr>
        <w:fldChar w:fldCharType="separate"/>
      </w:r>
      <w:r>
        <w:rPr>
          <w:rFonts w:hint="eastAsia" w:ascii="宋体" w:hAnsi="宋体"/>
          <w:color w:val="auto"/>
          <w:szCs w:val="28"/>
          <w:highlight w:val="none"/>
        </w:rPr>
        <w:t>一、开标一览表</w:t>
      </w:r>
      <w:r>
        <w:rPr>
          <w:color w:val="auto"/>
          <w:highlight w:val="none"/>
        </w:rPr>
        <w:tab/>
      </w:r>
      <w:r>
        <w:rPr>
          <w:color w:val="auto"/>
          <w:highlight w:val="none"/>
        </w:rPr>
        <w:fldChar w:fldCharType="begin"/>
      </w:r>
      <w:r>
        <w:rPr>
          <w:color w:val="auto"/>
          <w:highlight w:val="none"/>
        </w:rPr>
        <w:instrText xml:space="preserve"> PAGEREF _Toc12283 \h </w:instrText>
      </w:r>
      <w:r>
        <w:rPr>
          <w:color w:val="auto"/>
          <w:highlight w:val="none"/>
        </w:rPr>
        <w:fldChar w:fldCharType="separate"/>
      </w:r>
      <w:r>
        <w:rPr>
          <w:color w:val="auto"/>
          <w:highlight w:val="none"/>
        </w:rPr>
        <w:t>76</w:t>
      </w:r>
      <w:r>
        <w:rPr>
          <w:color w:val="auto"/>
          <w:highlight w:val="none"/>
        </w:rPr>
        <w:fldChar w:fldCharType="end"/>
      </w:r>
      <w:r>
        <w:rPr>
          <w:rFonts w:hAnsi="宋体"/>
          <w:color w:val="auto"/>
          <w:highlight w:val="none"/>
        </w:rPr>
        <w:fldChar w:fldCharType="end"/>
      </w:r>
    </w:p>
    <w:p w14:paraId="36381C2D">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_Toc4670 </w:instrText>
      </w:r>
      <w:r>
        <w:rPr>
          <w:rFonts w:hAnsi="宋体"/>
          <w:color w:val="auto"/>
          <w:highlight w:val="none"/>
        </w:rPr>
        <w:fldChar w:fldCharType="separate"/>
      </w:r>
      <w:r>
        <w:rPr>
          <w:rFonts w:hint="eastAsia" w:ascii="宋体" w:hAnsi="宋体"/>
          <w:color w:val="auto"/>
          <w:szCs w:val="28"/>
          <w:highlight w:val="none"/>
        </w:rPr>
        <w:t>二、投标保证金</w:t>
      </w:r>
      <w:r>
        <w:rPr>
          <w:color w:val="auto"/>
          <w:highlight w:val="none"/>
        </w:rPr>
        <w:tab/>
      </w:r>
      <w:r>
        <w:rPr>
          <w:color w:val="auto"/>
          <w:highlight w:val="none"/>
        </w:rPr>
        <w:fldChar w:fldCharType="begin"/>
      </w:r>
      <w:r>
        <w:rPr>
          <w:color w:val="auto"/>
          <w:highlight w:val="none"/>
        </w:rPr>
        <w:instrText xml:space="preserve"> PAGEREF _Toc4670 \h </w:instrText>
      </w:r>
      <w:r>
        <w:rPr>
          <w:color w:val="auto"/>
          <w:highlight w:val="none"/>
        </w:rPr>
        <w:fldChar w:fldCharType="separate"/>
      </w:r>
      <w:r>
        <w:rPr>
          <w:color w:val="auto"/>
          <w:highlight w:val="none"/>
        </w:rPr>
        <w:t>77</w:t>
      </w:r>
      <w:r>
        <w:rPr>
          <w:color w:val="auto"/>
          <w:highlight w:val="none"/>
        </w:rPr>
        <w:fldChar w:fldCharType="end"/>
      </w:r>
      <w:r>
        <w:rPr>
          <w:rFonts w:hAnsi="宋体"/>
          <w:color w:val="auto"/>
          <w:highlight w:val="none"/>
        </w:rPr>
        <w:fldChar w:fldCharType="end"/>
      </w:r>
    </w:p>
    <w:p w14:paraId="3627DF29">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_Toc20062 </w:instrText>
      </w:r>
      <w:r>
        <w:rPr>
          <w:rFonts w:hAnsi="宋体"/>
          <w:color w:val="auto"/>
          <w:highlight w:val="none"/>
        </w:rPr>
        <w:fldChar w:fldCharType="separate"/>
      </w:r>
      <w:r>
        <w:rPr>
          <w:rFonts w:hint="eastAsia" w:ascii="宋体" w:hAnsi="宋体"/>
          <w:color w:val="auto"/>
          <w:szCs w:val="28"/>
          <w:highlight w:val="none"/>
        </w:rPr>
        <w:t>三、授权委托书</w:t>
      </w:r>
      <w:r>
        <w:rPr>
          <w:color w:val="auto"/>
          <w:highlight w:val="none"/>
        </w:rPr>
        <w:tab/>
      </w:r>
      <w:r>
        <w:rPr>
          <w:color w:val="auto"/>
          <w:highlight w:val="none"/>
        </w:rPr>
        <w:fldChar w:fldCharType="begin"/>
      </w:r>
      <w:r>
        <w:rPr>
          <w:color w:val="auto"/>
          <w:highlight w:val="none"/>
        </w:rPr>
        <w:instrText xml:space="preserve"> PAGEREF _Toc20062 \h </w:instrText>
      </w:r>
      <w:r>
        <w:rPr>
          <w:color w:val="auto"/>
          <w:highlight w:val="none"/>
        </w:rPr>
        <w:fldChar w:fldCharType="separate"/>
      </w:r>
      <w:r>
        <w:rPr>
          <w:color w:val="auto"/>
          <w:highlight w:val="none"/>
        </w:rPr>
        <w:t>78</w:t>
      </w:r>
      <w:r>
        <w:rPr>
          <w:color w:val="auto"/>
          <w:highlight w:val="none"/>
        </w:rPr>
        <w:fldChar w:fldCharType="end"/>
      </w:r>
      <w:r>
        <w:rPr>
          <w:rFonts w:hAnsi="宋体"/>
          <w:color w:val="auto"/>
          <w:highlight w:val="none"/>
        </w:rPr>
        <w:fldChar w:fldCharType="end"/>
      </w:r>
    </w:p>
    <w:p w14:paraId="3165F03C">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_Toc10480 </w:instrText>
      </w:r>
      <w:r>
        <w:rPr>
          <w:rFonts w:hAnsi="宋体"/>
          <w:color w:val="auto"/>
          <w:highlight w:val="none"/>
        </w:rPr>
        <w:fldChar w:fldCharType="separate"/>
      </w:r>
      <w:r>
        <w:rPr>
          <w:rFonts w:hint="eastAsia" w:ascii="宋体" w:hAnsi="宋体"/>
          <w:color w:val="auto"/>
          <w:szCs w:val="28"/>
          <w:highlight w:val="none"/>
        </w:rPr>
        <w:t>四、投标人提供的资格证明文件</w:t>
      </w:r>
      <w:r>
        <w:rPr>
          <w:color w:val="auto"/>
          <w:highlight w:val="none"/>
        </w:rPr>
        <w:tab/>
      </w:r>
      <w:r>
        <w:rPr>
          <w:color w:val="auto"/>
          <w:highlight w:val="none"/>
        </w:rPr>
        <w:fldChar w:fldCharType="begin"/>
      </w:r>
      <w:r>
        <w:rPr>
          <w:color w:val="auto"/>
          <w:highlight w:val="none"/>
        </w:rPr>
        <w:instrText xml:space="preserve"> PAGEREF _Toc10480 \h </w:instrText>
      </w:r>
      <w:r>
        <w:rPr>
          <w:color w:val="auto"/>
          <w:highlight w:val="none"/>
        </w:rPr>
        <w:fldChar w:fldCharType="separate"/>
      </w:r>
      <w:r>
        <w:rPr>
          <w:color w:val="auto"/>
          <w:highlight w:val="none"/>
        </w:rPr>
        <w:t>79</w:t>
      </w:r>
      <w:r>
        <w:rPr>
          <w:color w:val="auto"/>
          <w:highlight w:val="none"/>
        </w:rPr>
        <w:fldChar w:fldCharType="end"/>
      </w:r>
      <w:r>
        <w:rPr>
          <w:rFonts w:hAnsi="宋体"/>
          <w:color w:val="auto"/>
          <w:highlight w:val="none"/>
        </w:rPr>
        <w:fldChar w:fldCharType="end"/>
      </w:r>
    </w:p>
    <w:p w14:paraId="250E8024">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_Toc1365 </w:instrText>
      </w:r>
      <w:r>
        <w:rPr>
          <w:rFonts w:hAnsi="宋体"/>
          <w:color w:val="auto"/>
          <w:highlight w:val="none"/>
        </w:rPr>
        <w:fldChar w:fldCharType="separate"/>
      </w:r>
      <w:r>
        <w:rPr>
          <w:rFonts w:hint="eastAsia" w:ascii="黑体" w:hAnsi="仿宋" w:eastAsia="黑体" w:cs="宋体"/>
          <w:color w:val="auto"/>
          <w:szCs w:val="28"/>
          <w:highlight w:val="none"/>
        </w:rPr>
        <w:t>法人或者其他组织的营业执照等主体资格证明文件，自然人的身份证明</w:t>
      </w:r>
      <w:r>
        <w:rPr>
          <w:color w:val="auto"/>
          <w:highlight w:val="none"/>
        </w:rPr>
        <w:tab/>
      </w:r>
      <w:r>
        <w:rPr>
          <w:color w:val="auto"/>
          <w:highlight w:val="none"/>
        </w:rPr>
        <w:fldChar w:fldCharType="begin"/>
      </w:r>
      <w:r>
        <w:rPr>
          <w:color w:val="auto"/>
          <w:highlight w:val="none"/>
        </w:rPr>
        <w:instrText xml:space="preserve"> PAGEREF _Toc1365 \h </w:instrText>
      </w:r>
      <w:r>
        <w:rPr>
          <w:color w:val="auto"/>
          <w:highlight w:val="none"/>
        </w:rPr>
        <w:fldChar w:fldCharType="separate"/>
      </w:r>
      <w:r>
        <w:rPr>
          <w:color w:val="auto"/>
          <w:highlight w:val="none"/>
        </w:rPr>
        <w:t>80</w:t>
      </w:r>
      <w:r>
        <w:rPr>
          <w:color w:val="auto"/>
          <w:highlight w:val="none"/>
        </w:rPr>
        <w:fldChar w:fldCharType="end"/>
      </w:r>
      <w:r>
        <w:rPr>
          <w:rFonts w:hAnsi="宋体"/>
          <w:color w:val="auto"/>
          <w:highlight w:val="none"/>
        </w:rPr>
        <w:fldChar w:fldCharType="end"/>
      </w:r>
    </w:p>
    <w:p w14:paraId="5AAE04E9">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_Toc8453 </w:instrText>
      </w:r>
      <w:r>
        <w:rPr>
          <w:rFonts w:hAnsi="宋体"/>
          <w:color w:val="auto"/>
          <w:highlight w:val="none"/>
        </w:rPr>
        <w:fldChar w:fldCharType="separate"/>
      </w:r>
      <w:r>
        <w:rPr>
          <w:rFonts w:hint="eastAsia" w:ascii="黑体" w:hAnsi="仿宋" w:eastAsia="黑体" w:cs="宋体"/>
          <w:color w:val="auto"/>
          <w:szCs w:val="28"/>
          <w:highlight w:val="none"/>
        </w:rPr>
        <w:t>湖南省政府采购供应商资格承诺函(格式)</w:t>
      </w:r>
      <w:r>
        <w:rPr>
          <w:color w:val="auto"/>
          <w:highlight w:val="none"/>
        </w:rPr>
        <w:tab/>
      </w:r>
      <w:r>
        <w:rPr>
          <w:color w:val="auto"/>
          <w:highlight w:val="none"/>
        </w:rPr>
        <w:fldChar w:fldCharType="begin"/>
      </w:r>
      <w:r>
        <w:rPr>
          <w:color w:val="auto"/>
          <w:highlight w:val="none"/>
        </w:rPr>
        <w:instrText xml:space="preserve"> PAGEREF _Toc8453 \h </w:instrText>
      </w:r>
      <w:r>
        <w:rPr>
          <w:color w:val="auto"/>
          <w:highlight w:val="none"/>
        </w:rPr>
        <w:fldChar w:fldCharType="separate"/>
      </w:r>
      <w:r>
        <w:rPr>
          <w:color w:val="auto"/>
          <w:highlight w:val="none"/>
        </w:rPr>
        <w:t>81</w:t>
      </w:r>
      <w:r>
        <w:rPr>
          <w:color w:val="auto"/>
          <w:highlight w:val="none"/>
        </w:rPr>
        <w:fldChar w:fldCharType="end"/>
      </w:r>
      <w:r>
        <w:rPr>
          <w:rFonts w:hAnsi="宋体"/>
          <w:color w:val="auto"/>
          <w:highlight w:val="none"/>
        </w:rPr>
        <w:fldChar w:fldCharType="end"/>
      </w:r>
    </w:p>
    <w:p w14:paraId="63424AA7">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_Toc7117 </w:instrText>
      </w:r>
      <w:r>
        <w:rPr>
          <w:rFonts w:hAnsi="宋体"/>
          <w:color w:val="auto"/>
          <w:highlight w:val="none"/>
        </w:rPr>
        <w:fldChar w:fldCharType="separate"/>
      </w:r>
      <w:r>
        <w:rPr>
          <w:rFonts w:hint="eastAsia" w:ascii="黑体" w:hAnsi="仿宋" w:eastAsia="黑体" w:cs="宋体"/>
          <w:color w:val="auto"/>
          <w:szCs w:val="28"/>
          <w:highlight w:val="none"/>
        </w:rPr>
        <w:t>符合特定资格条件证明材料复印件或者情况说明</w:t>
      </w:r>
      <w:r>
        <w:rPr>
          <w:color w:val="auto"/>
          <w:highlight w:val="none"/>
        </w:rPr>
        <w:tab/>
      </w:r>
      <w:r>
        <w:rPr>
          <w:color w:val="auto"/>
          <w:highlight w:val="none"/>
        </w:rPr>
        <w:fldChar w:fldCharType="begin"/>
      </w:r>
      <w:r>
        <w:rPr>
          <w:color w:val="auto"/>
          <w:highlight w:val="none"/>
        </w:rPr>
        <w:instrText xml:space="preserve"> PAGEREF _Toc7117 \h </w:instrText>
      </w:r>
      <w:r>
        <w:rPr>
          <w:color w:val="auto"/>
          <w:highlight w:val="none"/>
        </w:rPr>
        <w:fldChar w:fldCharType="separate"/>
      </w:r>
      <w:r>
        <w:rPr>
          <w:color w:val="auto"/>
          <w:highlight w:val="none"/>
        </w:rPr>
        <w:t>82</w:t>
      </w:r>
      <w:r>
        <w:rPr>
          <w:color w:val="auto"/>
          <w:highlight w:val="none"/>
        </w:rPr>
        <w:fldChar w:fldCharType="end"/>
      </w:r>
      <w:r>
        <w:rPr>
          <w:rFonts w:hAnsi="宋体"/>
          <w:color w:val="auto"/>
          <w:highlight w:val="none"/>
        </w:rPr>
        <w:fldChar w:fldCharType="end"/>
      </w:r>
    </w:p>
    <w:p w14:paraId="63D47F49">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_Toc24732 </w:instrText>
      </w:r>
      <w:r>
        <w:rPr>
          <w:rFonts w:hAnsi="宋体"/>
          <w:color w:val="auto"/>
          <w:highlight w:val="none"/>
        </w:rPr>
        <w:fldChar w:fldCharType="separate"/>
      </w:r>
      <w:r>
        <w:rPr>
          <w:rFonts w:hint="eastAsia" w:ascii="黑体" w:hAnsi="仿宋" w:eastAsia="黑体" w:cs="宋体"/>
          <w:color w:val="auto"/>
          <w:szCs w:val="28"/>
          <w:highlight w:val="none"/>
        </w:rPr>
        <w:t>联合体协议书（</w:t>
      </w:r>
      <w:r>
        <w:rPr>
          <w:rFonts w:hint="eastAsia" w:ascii="黑体" w:hAnsi="仿宋" w:eastAsia="黑体" w:cs="宋体"/>
          <w:color w:val="auto"/>
          <w:szCs w:val="28"/>
          <w:highlight w:val="none"/>
          <w:lang w:eastAsia="zh-CN"/>
        </w:rPr>
        <w:t>格式</w:t>
      </w:r>
      <w:r>
        <w:rPr>
          <w:rFonts w:hint="eastAsia" w:ascii="黑体" w:hAnsi="仿宋" w:eastAsia="黑体" w:cs="宋体"/>
          <w:color w:val="auto"/>
          <w:szCs w:val="28"/>
          <w:highlight w:val="none"/>
        </w:rPr>
        <w:t>）</w:t>
      </w:r>
      <w:r>
        <w:rPr>
          <w:color w:val="auto"/>
          <w:highlight w:val="none"/>
        </w:rPr>
        <w:tab/>
      </w:r>
      <w:r>
        <w:rPr>
          <w:color w:val="auto"/>
          <w:highlight w:val="none"/>
        </w:rPr>
        <w:fldChar w:fldCharType="begin"/>
      </w:r>
      <w:r>
        <w:rPr>
          <w:color w:val="auto"/>
          <w:highlight w:val="none"/>
        </w:rPr>
        <w:instrText xml:space="preserve"> PAGEREF _Toc24732 \h </w:instrText>
      </w:r>
      <w:r>
        <w:rPr>
          <w:color w:val="auto"/>
          <w:highlight w:val="none"/>
        </w:rPr>
        <w:fldChar w:fldCharType="separate"/>
      </w:r>
      <w:r>
        <w:rPr>
          <w:color w:val="auto"/>
          <w:highlight w:val="none"/>
        </w:rPr>
        <w:t>83</w:t>
      </w:r>
      <w:r>
        <w:rPr>
          <w:color w:val="auto"/>
          <w:highlight w:val="none"/>
        </w:rPr>
        <w:fldChar w:fldCharType="end"/>
      </w:r>
      <w:r>
        <w:rPr>
          <w:rFonts w:hAnsi="宋体"/>
          <w:color w:val="auto"/>
          <w:highlight w:val="none"/>
        </w:rPr>
        <w:fldChar w:fldCharType="end"/>
      </w:r>
    </w:p>
    <w:p w14:paraId="1458232F">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_Toc22182 </w:instrText>
      </w:r>
      <w:r>
        <w:rPr>
          <w:rFonts w:hAnsi="宋体"/>
          <w:color w:val="auto"/>
          <w:highlight w:val="none"/>
        </w:rPr>
        <w:fldChar w:fldCharType="separate"/>
      </w:r>
      <w:r>
        <w:rPr>
          <w:rFonts w:hint="eastAsia" w:ascii="宋体" w:hAnsi="宋体"/>
          <w:color w:val="auto"/>
          <w:szCs w:val="44"/>
          <w:highlight w:val="none"/>
        </w:rPr>
        <w:t>第二部分 商务技术文件</w:t>
      </w:r>
      <w:r>
        <w:rPr>
          <w:color w:val="auto"/>
          <w:highlight w:val="none"/>
        </w:rPr>
        <w:tab/>
      </w:r>
      <w:r>
        <w:rPr>
          <w:color w:val="auto"/>
          <w:highlight w:val="none"/>
        </w:rPr>
        <w:fldChar w:fldCharType="begin"/>
      </w:r>
      <w:r>
        <w:rPr>
          <w:color w:val="auto"/>
          <w:highlight w:val="none"/>
        </w:rPr>
        <w:instrText xml:space="preserve"> PAGEREF _Toc22182 \h </w:instrText>
      </w:r>
      <w:r>
        <w:rPr>
          <w:color w:val="auto"/>
          <w:highlight w:val="none"/>
        </w:rPr>
        <w:fldChar w:fldCharType="separate"/>
      </w:r>
      <w:r>
        <w:rPr>
          <w:color w:val="auto"/>
          <w:highlight w:val="none"/>
        </w:rPr>
        <w:t>85</w:t>
      </w:r>
      <w:r>
        <w:rPr>
          <w:color w:val="auto"/>
          <w:highlight w:val="none"/>
        </w:rPr>
        <w:fldChar w:fldCharType="end"/>
      </w:r>
      <w:r>
        <w:rPr>
          <w:rFonts w:hAnsi="宋体"/>
          <w:color w:val="auto"/>
          <w:highlight w:val="none"/>
        </w:rPr>
        <w:fldChar w:fldCharType="end"/>
      </w:r>
    </w:p>
    <w:p w14:paraId="68561DE4">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_Toc15187 </w:instrText>
      </w:r>
      <w:r>
        <w:rPr>
          <w:rFonts w:hAnsi="宋体"/>
          <w:color w:val="auto"/>
          <w:highlight w:val="none"/>
        </w:rPr>
        <w:fldChar w:fldCharType="separate"/>
      </w:r>
      <w:r>
        <w:rPr>
          <w:rFonts w:hint="eastAsia" w:ascii="宋体" w:hAnsi="宋体"/>
          <w:color w:val="auto"/>
          <w:szCs w:val="28"/>
          <w:highlight w:val="none"/>
        </w:rPr>
        <w:t>五</w:t>
      </w:r>
      <w:r>
        <w:rPr>
          <w:rFonts w:ascii="宋体" w:hAnsi="宋体"/>
          <w:color w:val="auto"/>
          <w:szCs w:val="28"/>
          <w:highlight w:val="none"/>
        </w:rPr>
        <w:t>、</w:t>
      </w:r>
      <w:r>
        <w:rPr>
          <w:rFonts w:hint="eastAsia" w:ascii="宋体" w:hAnsi="宋体"/>
          <w:color w:val="auto"/>
          <w:szCs w:val="28"/>
          <w:highlight w:val="none"/>
        </w:rPr>
        <w:t>投标函</w:t>
      </w:r>
      <w:r>
        <w:rPr>
          <w:color w:val="auto"/>
          <w:highlight w:val="none"/>
        </w:rPr>
        <w:tab/>
      </w:r>
      <w:r>
        <w:rPr>
          <w:color w:val="auto"/>
          <w:highlight w:val="none"/>
        </w:rPr>
        <w:fldChar w:fldCharType="begin"/>
      </w:r>
      <w:r>
        <w:rPr>
          <w:color w:val="auto"/>
          <w:highlight w:val="none"/>
        </w:rPr>
        <w:instrText xml:space="preserve"> PAGEREF _Toc15187 \h </w:instrText>
      </w:r>
      <w:r>
        <w:rPr>
          <w:color w:val="auto"/>
          <w:highlight w:val="none"/>
        </w:rPr>
        <w:fldChar w:fldCharType="separate"/>
      </w:r>
      <w:r>
        <w:rPr>
          <w:color w:val="auto"/>
          <w:highlight w:val="none"/>
        </w:rPr>
        <w:t>86</w:t>
      </w:r>
      <w:r>
        <w:rPr>
          <w:color w:val="auto"/>
          <w:highlight w:val="none"/>
        </w:rPr>
        <w:fldChar w:fldCharType="end"/>
      </w:r>
      <w:r>
        <w:rPr>
          <w:rFonts w:hAnsi="宋体"/>
          <w:color w:val="auto"/>
          <w:highlight w:val="none"/>
        </w:rPr>
        <w:fldChar w:fldCharType="end"/>
      </w:r>
    </w:p>
    <w:p w14:paraId="6231BC69">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_Toc25019 </w:instrText>
      </w:r>
      <w:r>
        <w:rPr>
          <w:rFonts w:hAnsi="宋体"/>
          <w:color w:val="auto"/>
          <w:highlight w:val="none"/>
        </w:rPr>
        <w:fldChar w:fldCharType="separate"/>
      </w:r>
      <w:r>
        <w:rPr>
          <w:rFonts w:hint="eastAsia" w:ascii="宋体" w:hAnsi="宋体"/>
          <w:bCs/>
          <w:color w:val="auto"/>
          <w:szCs w:val="28"/>
          <w:highlight w:val="none"/>
        </w:rPr>
        <w:t>六、分项报价</w:t>
      </w:r>
      <w:r>
        <w:rPr>
          <w:color w:val="auto"/>
          <w:highlight w:val="none"/>
        </w:rPr>
        <w:tab/>
      </w:r>
      <w:r>
        <w:rPr>
          <w:color w:val="auto"/>
          <w:highlight w:val="none"/>
        </w:rPr>
        <w:fldChar w:fldCharType="begin"/>
      </w:r>
      <w:r>
        <w:rPr>
          <w:color w:val="auto"/>
          <w:highlight w:val="none"/>
        </w:rPr>
        <w:instrText xml:space="preserve"> PAGEREF _Toc25019 \h </w:instrText>
      </w:r>
      <w:r>
        <w:rPr>
          <w:color w:val="auto"/>
          <w:highlight w:val="none"/>
        </w:rPr>
        <w:fldChar w:fldCharType="separate"/>
      </w:r>
      <w:r>
        <w:rPr>
          <w:color w:val="auto"/>
          <w:highlight w:val="none"/>
        </w:rPr>
        <w:t>88</w:t>
      </w:r>
      <w:r>
        <w:rPr>
          <w:color w:val="auto"/>
          <w:highlight w:val="none"/>
        </w:rPr>
        <w:fldChar w:fldCharType="end"/>
      </w:r>
      <w:r>
        <w:rPr>
          <w:rFonts w:hAnsi="宋体"/>
          <w:color w:val="auto"/>
          <w:highlight w:val="none"/>
        </w:rPr>
        <w:fldChar w:fldCharType="end"/>
      </w:r>
    </w:p>
    <w:p w14:paraId="1522316A">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_Toc5919 </w:instrText>
      </w:r>
      <w:r>
        <w:rPr>
          <w:rFonts w:hAnsi="宋体"/>
          <w:color w:val="auto"/>
          <w:highlight w:val="none"/>
        </w:rPr>
        <w:fldChar w:fldCharType="separate"/>
      </w:r>
      <w:r>
        <w:rPr>
          <w:rFonts w:hint="eastAsia" w:ascii="宋体" w:hAnsi="宋体" w:cs="微软雅黑"/>
          <w:color w:val="auto"/>
          <w:spacing w:val="-2"/>
          <w:kern w:val="0"/>
          <w:szCs w:val="28"/>
          <w:highlight w:val="none"/>
        </w:rPr>
        <w:t>分</w:t>
      </w:r>
      <w:r>
        <w:rPr>
          <w:rFonts w:hint="eastAsia" w:ascii="宋体" w:hAnsi="宋体" w:cs="微软雅黑"/>
          <w:color w:val="auto"/>
          <w:kern w:val="0"/>
          <w:szCs w:val="28"/>
          <w:highlight w:val="none"/>
        </w:rPr>
        <w:t>项</w:t>
      </w:r>
      <w:r>
        <w:rPr>
          <w:rFonts w:hint="eastAsia" w:ascii="宋体" w:hAnsi="宋体" w:cs="微软雅黑"/>
          <w:color w:val="auto"/>
          <w:spacing w:val="-2"/>
          <w:kern w:val="0"/>
          <w:szCs w:val="28"/>
          <w:highlight w:val="none"/>
        </w:rPr>
        <w:t>报</w:t>
      </w:r>
      <w:r>
        <w:rPr>
          <w:rFonts w:hint="eastAsia" w:ascii="宋体" w:hAnsi="宋体" w:cs="微软雅黑"/>
          <w:color w:val="auto"/>
          <w:kern w:val="0"/>
          <w:szCs w:val="28"/>
          <w:highlight w:val="none"/>
        </w:rPr>
        <w:t>价说明</w:t>
      </w:r>
      <w:r>
        <w:rPr>
          <w:color w:val="auto"/>
          <w:highlight w:val="none"/>
        </w:rPr>
        <w:tab/>
      </w:r>
      <w:r>
        <w:rPr>
          <w:color w:val="auto"/>
          <w:highlight w:val="none"/>
        </w:rPr>
        <w:fldChar w:fldCharType="begin"/>
      </w:r>
      <w:r>
        <w:rPr>
          <w:color w:val="auto"/>
          <w:highlight w:val="none"/>
        </w:rPr>
        <w:instrText xml:space="preserve"> PAGEREF _Toc5919 \h </w:instrText>
      </w:r>
      <w:r>
        <w:rPr>
          <w:color w:val="auto"/>
          <w:highlight w:val="none"/>
        </w:rPr>
        <w:fldChar w:fldCharType="separate"/>
      </w:r>
      <w:r>
        <w:rPr>
          <w:color w:val="auto"/>
          <w:highlight w:val="none"/>
        </w:rPr>
        <w:t>88</w:t>
      </w:r>
      <w:r>
        <w:rPr>
          <w:color w:val="auto"/>
          <w:highlight w:val="none"/>
        </w:rPr>
        <w:fldChar w:fldCharType="end"/>
      </w:r>
      <w:r>
        <w:rPr>
          <w:rFonts w:hAnsi="宋体"/>
          <w:color w:val="auto"/>
          <w:highlight w:val="none"/>
        </w:rPr>
        <w:fldChar w:fldCharType="end"/>
      </w:r>
    </w:p>
    <w:p w14:paraId="732BA8BB">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_Toc27046 </w:instrText>
      </w:r>
      <w:r>
        <w:rPr>
          <w:rFonts w:hAnsi="宋体"/>
          <w:color w:val="auto"/>
          <w:highlight w:val="none"/>
        </w:rPr>
        <w:fldChar w:fldCharType="separate"/>
      </w:r>
      <w:r>
        <w:rPr>
          <w:rFonts w:hint="eastAsia" w:ascii="宋体" w:hAnsi="宋体" w:cs="微软雅黑"/>
          <w:color w:val="auto"/>
          <w:spacing w:val="-2"/>
          <w:kern w:val="0"/>
          <w:position w:val="-3"/>
          <w:szCs w:val="28"/>
          <w:highlight w:val="none"/>
        </w:rPr>
        <w:t>分</w:t>
      </w:r>
      <w:r>
        <w:rPr>
          <w:rFonts w:hint="eastAsia" w:ascii="宋体" w:hAnsi="宋体" w:cs="微软雅黑"/>
          <w:color w:val="auto"/>
          <w:kern w:val="0"/>
          <w:position w:val="-3"/>
          <w:szCs w:val="28"/>
          <w:highlight w:val="none"/>
        </w:rPr>
        <w:t>项</w:t>
      </w:r>
      <w:r>
        <w:rPr>
          <w:rFonts w:hint="eastAsia" w:ascii="宋体" w:hAnsi="宋体" w:cs="微软雅黑"/>
          <w:color w:val="auto"/>
          <w:spacing w:val="-2"/>
          <w:kern w:val="0"/>
          <w:position w:val="-3"/>
          <w:szCs w:val="28"/>
          <w:highlight w:val="none"/>
        </w:rPr>
        <w:t>报</w:t>
      </w:r>
      <w:r>
        <w:rPr>
          <w:rFonts w:hint="eastAsia" w:ascii="宋体" w:hAnsi="宋体" w:cs="微软雅黑"/>
          <w:color w:val="auto"/>
          <w:kern w:val="0"/>
          <w:position w:val="-3"/>
          <w:szCs w:val="28"/>
          <w:highlight w:val="none"/>
        </w:rPr>
        <w:t>价明细表</w:t>
      </w:r>
      <w:r>
        <w:rPr>
          <w:color w:val="auto"/>
          <w:highlight w:val="none"/>
        </w:rPr>
        <w:tab/>
      </w:r>
      <w:r>
        <w:rPr>
          <w:color w:val="auto"/>
          <w:highlight w:val="none"/>
        </w:rPr>
        <w:fldChar w:fldCharType="begin"/>
      </w:r>
      <w:r>
        <w:rPr>
          <w:color w:val="auto"/>
          <w:highlight w:val="none"/>
        </w:rPr>
        <w:instrText xml:space="preserve"> PAGEREF _Toc27046 \h </w:instrText>
      </w:r>
      <w:r>
        <w:rPr>
          <w:color w:val="auto"/>
          <w:highlight w:val="none"/>
        </w:rPr>
        <w:fldChar w:fldCharType="separate"/>
      </w:r>
      <w:r>
        <w:rPr>
          <w:color w:val="auto"/>
          <w:highlight w:val="none"/>
        </w:rPr>
        <w:t>88</w:t>
      </w:r>
      <w:r>
        <w:rPr>
          <w:color w:val="auto"/>
          <w:highlight w:val="none"/>
        </w:rPr>
        <w:fldChar w:fldCharType="end"/>
      </w:r>
      <w:r>
        <w:rPr>
          <w:rFonts w:hAnsi="宋体"/>
          <w:color w:val="auto"/>
          <w:highlight w:val="none"/>
        </w:rPr>
        <w:fldChar w:fldCharType="end"/>
      </w:r>
    </w:p>
    <w:p w14:paraId="3F700F9B">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_Toc12393 </w:instrText>
      </w:r>
      <w:r>
        <w:rPr>
          <w:rFonts w:hAnsi="宋体"/>
          <w:color w:val="auto"/>
          <w:highlight w:val="none"/>
        </w:rPr>
        <w:fldChar w:fldCharType="separate"/>
      </w:r>
      <w:r>
        <w:rPr>
          <w:rFonts w:hint="eastAsia" w:ascii="宋体" w:hAnsi="宋体"/>
          <w:color w:val="auto"/>
          <w:szCs w:val="28"/>
          <w:highlight w:val="none"/>
        </w:rPr>
        <w:t>七、采购需求响应</w:t>
      </w:r>
      <w:r>
        <w:rPr>
          <w:color w:val="auto"/>
          <w:highlight w:val="none"/>
        </w:rPr>
        <w:tab/>
      </w:r>
      <w:r>
        <w:rPr>
          <w:color w:val="auto"/>
          <w:highlight w:val="none"/>
        </w:rPr>
        <w:fldChar w:fldCharType="begin"/>
      </w:r>
      <w:r>
        <w:rPr>
          <w:color w:val="auto"/>
          <w:highlight w:val="none"/>
        </w:rPr>
        <w:instrText xml:space="preserve"> PAGEREF _Toc12393 \h </w:instrText>
      </w:r>
      <w:r>
        <w:rPr>
          <w:color w:val="auto"/>
          <w:highlight w:val="none"/>
        </w:rPr>
        <w:fldChar w:fldCharType="separate"/>
      </w:r>
      <w:r>
        <w:rPr>
          <w:color w:val="auto"/>
          <w:highlight w:val="none"/>
        </w:rPr>
        <w:t>89</w:t>
      </w:r>
      <w:r>
        <w:rPr>
          <w:color w:val="auto"/>
          <w:highlight w:val="none"/>
        </w:rPr>
        <w:fldChar w:fldCharType="end"/>
      </w:r>
      <w:r>
        <w:rPr>
          <w:rFonts w:hAnsi="宋体"/>
          <w:color w:val="auto"/>
          <w:highlight w:val="none"/>
        </w:rPr>
        <w:fldChar w:fldCharType="end"/>
      </w:r>
    </w:p>
    <w:p w14:paraId="2E772A7E">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_Toc7627 </w:instrText>
      </w:r>
      <w:r>
        <w:rPr>
          <w:rFonts w:hAnsi="宋体"/>
          <w:color w:val="auto"/>
          <w:highlight w:val="none"/>
        </w:rPr>
        <w:fldChar w:fldCharType="separate"/>
      </w:r>
      <w:r>
        <w:rPr>
          <w:rFonts w:hint="eastAsia" w:ascii="宋体" w:hAnsi="宋体" w:cs="Calibri"/>
          <w:color w:val="auto"/>
          <w:szCs w:val="30"/>
          <w:highlight w:val="none"/>
        </w:rPr>
        <w:t>拟投入的主要人员简历表</w:t>
      </w:r>
      <w:r>
        <w:rPr>
          <w:color w:val="auto"/>
          <w:highlight w:val="none"/>
        </w:rPr>
        <w:tab/>
      </w:r>
      <w:r>
        <w:rPr>
          <w:color w:val="auto"/>
          <w:highlight w:val="none"/>
        </w:rPr>
        <w:fldChar w:fldCharType="begin"/>
      </w:r>
      <w:r>
        <w:rPr>
          <w:color w:val="auto"/>
          <w:highlight w:val="none"/>
        </w:rPr>
        <w:instrText xml:space="preserve"> PAGEREF _Toc7627 \h </w:instrText>
      </w:r>
      <w:r>
        <w:rPr>
          <w:color w:val="auto"/>
          <w:highlight w:val="none"/>
        </w:rPr>
        <w:fldChar w:fldCharType="separate"/>
      </w:r>
      <w:r>
        <w:rPr>
          <w:color w:val="auto"/>
          <w:highlight w:val="none"/>
        </w:rPr>
        <w:t>89</w:t>
      </w:r>
      <w:r>
        <w:rPr>
          <w:color w:val="auto"/>
          <w:highlight w:val="none"/>
        </w:rPr>
        <w:fldChar w:fldCharType="end"/>
      </w:r>
      <w:r>
        <w:rPr>
          <w:rFonts w:hAnsi="宋体"/>
          <w:color w:val="auto"/>
          <w:highlight w:val="none"/>
        </w:rPr>
        <w:fldChar w:fldCharType="end"/>
      </w:r>
    </w:p>
    <w:p w14:paraId="4E604605">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_Toc23191 </w:instrText>
      </w:r>
      <w:r>
        <w:rPr>
          <w:rFonts w:hAnsi="宋体"/>
          <w:color w:val="auto"/>
          <w:highlight w:val="none"/>
        </w:rPr>
        <w:fldChar w:fldCharType="separate"/>
      </w:r>
      <w:r>
        <w:rPr>
          <w:rFonts w:hint="eastAsia" w:ascii="宋体" w:hAnsi="宋体"/>
          <w:color w:val="auto"/>
          <w:szCs w:val="28"/>
          <w:highlight w:val="none"/>
        </w:rPr>
        <w:t>八、合同条款偏离表</w:t>
      </w:r>
      <w:r>
        <w:rPr>
          <w:color w:val="auto"/>
          <w:highlight w:val="none"/>
        </w:rPr>
        <w:tab/>
      </w:r>
      <w:r>
        <w:rPr>
          <w:color w:val="auto"/>
          <w:highlight w:val="none"/>
        </w:rPr>
        <w:fldChar w:fldCharType="begin"/>
      </w:r>
      <w:r>
        <w:rPr>
          <w:color w:val="auto"/>
          <w:highlight w:val="none"/>
        </w:rPr>
        <w:instrText xml:space="preserve"> PAGEREF _Toc23191 \h </w:instrText>
      </w:r>
      <w:r>
        <w:rPr>
          <w:color w:val="auto"/>
          <w:highlight w:val="none"/>
        </w:rPr>
        <w:fldChar w:fldCharType="separate"/>
      </w:r>
      <w:r>
        <w:rPr>
          <w:color w:val="auto"/>
          <w:highlight w:val="none"/>
        </w:rPr>
        <w:t>90</w:t>
      </w:r>
      <w:r>
        <w:rPr>
          <w:color w:val="auto"/>
          <w:highlight w:val="none"/>
        </w:rPr>
        <w:fldChar w:fldCharType="end"/>
      </w:r>
      <w:r>
        <w:rPr>
          <w:rFonts w:hAnsi="宋体"/>
          <w:color w:val="auto"/>
          <w:highlight w:val="none"/>
        </w:rPr>
        <w:fldChar w:fldCharType="end"/>
      </w:r>
    </w:p>
    <w:p w14:paraId="764FE4BD">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_Toc30602 </w:instrText>
      </w:r>
      <w:r>
        <w:rPr>
          <w:rFonts w:hAnsi="宋体"/>
          <w:color w:val="auto"/>
          <w:highlight w:val="none"/>
        </w:rPr>
        <w:fldChar w:fldCharType="separate"/>
      </w:r>
      <w:r>
        <w:rPr>
          <w:rFonts w:hint="eastAsia" w:ascii="宋体" w:hAnsi="宋体"/>
          <w:color w:val="auto"/>
          <w:szCs w:val="28"/>
          <w:highlight w:val="none"/>
        </w:rPr>
        <w:t>九、采购需求偏离表</w:t>
      </w:r>
      <w:r>
        <w:rPr>
          <w:color w:val="auto"/>
          <w:highlight w:val="none"/>
        </w:rPr>
        <w:tab/>
      </w:r>
      <w:r>
        <w:rPr>
          <w:color w:val="auto"/>
          <w:highlight w:val="none"/>
        </w:rPr>
        <w:fldChar w:fldCharType="begin"/>
      </w:r>
      <w:r>
        <w:rPr>
          <w:color w:val="auto"/>
          <w:highlight w:val="none"/>
        </w:rPr>
        <w:instrText xml:space="preserve"> PAGEREF _Toc30602 \h </w:instrText>
      </w:r>
      <w:r>
        <w:rPr>
          <w:color w:val="auto"/>
          <w:highlight w:val="none"/>
        </w:rPr>
        <w:fldChar w:fldCharType="separate"/>
      </w:r>
      <w:r>
        <w:rPr>
          <w:color w:val="auto"/>
          <w:highlight w:val="none"/>
        </w:rPr>
        <w:t>91</w:t>
      </w:r>
      <w:r>
        <w:rPr>
          <w:color w:val="auto"/>
          <w:highlight w:val="none"/>
        </w:rPr>
        <w:fldChar w:fldCharType="end"/>
      </w:r>
      <w:r>
        <w:rPr>
          <w:rFonts w:hAnsi="宋体"/>
          <w:color w:val="auto"/>
          <w:highlight w:val="none"/>
        </w:rPr>
        <w:fldChar w:fldCharType="end"/>
      </w:r>
    </w:p>
    <w:p w14:paraId="6B8ACF59">
      <w:pPr>
        <w:pStyle w:val="24"/>
        <w:tabs>
          <w:tab w:val="right" w:leader="dot" w:pos="8844"/>
        </w:tabs>
        <w:ind w:left="0" w:leftChars="0" w:firstLine="422" w:firstLineChars="200"/>
        <w:rPr>
          <w:color w:val="auto"/>
          <w:highlight w:val="none"/>
        </w:rPr>
      </w:pPr>
      <w:r>
        <w:rPr>
          <w:rFonts w:hAnsi="宋体"/>
          <w:color w:val="auto"/>
          <w:highlight w:val="none"/>
        </w:rPr>
        <w:fldChar w:fldCharType="begin"/>
      </w:r>
      <w:r>
        <w:rPr>
          <w:rFonts w:hAnsi="宋体"/>
          <w:color w:val="auto"/>
          <w:highlight w:val="none"/>
        </w:rPr>
        <w:instrText xml:space="preserve"> HYPERLINK \l _Toc16411 </w:instrText>
      </w:r>
      <w:r>
        <w:rPr>
          <w:rFonts w:hAnsi="宋体"/>
          <w:color w:val="auto"/>
          <w:highlight w:val="none"/>
        </w:rPr>
        <w:fldChar w:fldCharType="separate"/>
      </w:r>
      <w:r>
        <w:rPr>
          <w:rFonts w:hint="eastAsia" w:ascii="宋体" w:hAnsi="宋体"/>
          <w:color w:val="auto"/>
          <w:szCs w:val="21"/>
          <w:highlight w:val="none"/>
        </w:rPr>
        <w:t>十</w:t>
      </w:r>
      <w:r>
        <w:rPr>
          <w:rFonts w:hint="eastAsia" w:ascii="宋体" w:hAnsi="宋体"/>
          <w:color w:val="auto"/>
          <w:szCs w:val="28"/>
          <w:highlight w:val="none"/>
        </w:rPr>
        <w:t>、享受政府采购政策优惠的证明资料</w:t>
      </w:r>
      <w:r>
        <w:rPr>
          <w:color w:val="auto"/>
          <w:highlight w:val="none"/>
        </w:rPr>
        <w:tab/>
      </w:r>
      <w:r>
        <w:rPr>
          <w:color w:val="auto"/>
          <w:highlight w:val="none"/>
        </w:rPr>
        <w:fldChar w:fldCharType="begin"/>
      </w:r>
      <w:r>
        <w:rPr>
          <w:color w:val="auto"/>
          <w:highlight w:val="none"/>
        </w:rPr>
        <w:instrText xml:space="preserve"> PAGEREF _Toc16411 \h </w:instrText>
      </w:r>
      <w:r>
        <w:rPr>
          <w:color w:val="auto"/>
          <w:highlight w:val="none"/>
        </w:rPr>
        <w:fldChar w:fldCharType="separate"/>
      </w:r>
      <w:r>
        <w:rPr>
          <w:color w:val="auto"/>
          <w:highlight w:val="none"/>
        </w:rPr>
        <w:t>92</w:t>
      </w:r>
      <w:r>
        <w:rPr>
          <w:color w:val="auto"/>
          <w:highlight w:val="none"/>
        </w:rPr>
        <w:fldChar w:fldCharType="end"/>
      </w:r>
      <w:r>
        <w:rPr>
          <w:rFonts w:hAnsi="宋体"/>
          <w:color w:val="auto"/>
          <w:highlight w:val="none"/>
        </w:rPr>
        <w:fldChar w:fldCharType="end"/>
      </w:r>
    </w:p>
    <w:p w14:paraId="4F0A81E8">
      <w:pPr>
        <w:pStyle w:val="24"/>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_Toc31707 </w:instrText>
      </w:r>
      <w:r>
        <w:rPr>
          <w:rFonts w:hAnsi="宋体"/>
          <w:color w:val="auto"/>
          <w:highlight w:val="none"/>
        </w:rPr>
        <w:fldChar w:fldCharType="separate"/>
      </w:r>
      <w:r>
        <w:rPr>
          <w:rFonts w:hint="eastAsia" w:ascii="黑体" w:hAnsi="仿宋" w:eastAsia="黑体" w:cs="宋体"/>
          <w:color w:val="auto"/>
          <w:szCs w:val="28"/>
          <w:highlight w:val="none"/>
        </w:rPr>
        <w:t>湖南省政府采购供应商资格承诺函(格式)</w:t>
      </w:r>
      <w:r>
        <w:rPr>
          <w:color w:val="auto"/>
          <w:highlight w:val="none"/>
        </w:rPr>
        <w:tab/>
      </w:r>
      <w:r>
        <w:rPr>
          <w:color w:val="auto"/>
          <w:highlight w:val="none"/>
        </w:rPr>
        <w:fldChar w:fldCharType="begin"/>
      </w:r>
      <w:r>
        <w:rPr>
          <w:color w:val="auto"/>
          <w:highlight w:val="none"/>
        </w:rPr>
        <w:instrText xml:space="preserve"> PAGEREF _Toc31707 \h </w:instrText>
      </w:r>
      <w:r>
        <w:rPr>
          <w:color w:val="auto"/>
          <w:highlight w:val="none"/>
        </w:rPr>
        <w:fldChar w:fldCharType="separate"/>
      </w:r>
      <w:r>
        <w:rPr>
          <w:color w:val="auto"/>
          <w:highlight w:val="none"/>
        </w:rPr>
        <w:t>92</w:t>
      </w:r>
      <w:r>
        <w:rPr>
          <w:color w:val="auto"/>
          <w:highlight w:val="none"/>
        </w:rPr>
        <w:fldChar w:fldCharType="end"/>
      </w:r>
      <w:r>
        <w:rPr>
          <w:rFonts w:hAnsi="宋体"/>
          <w:color w:val="auto"/>
          <w:highlight w:val="none"/>
        </w:rPr>
        <w:fldChar w:fldCharType="end"/>
      </w:r>
    </w:p>
    <w:p w14:paraId="0EA199F5">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_Toc27950 </w:instrText>
      </w:r>
      <w:r>
        <w:rPr>
          <w:rFonts w:hAnsi="宋体"/>
          <w:color w:val="auto"/>
          <w:highlight w:val="none"/>
        </w:rPr>
        <w:fldChar w:fldCharType="separate"/>
      </w:r>
      <w:r>
        <w:rPr>
          <w:rFonts w:hint="eastAsia" w:ascii="宋体" w:hAnsi="宋体"/>
          <w:color w:val="auto"/>
          <w:szCs w:val="28"/>
          <w:highlight w:val="none"/>
        </w:rPr>
        <w:t>十一、投标货物符合招标文件规定的证明文件</w:t>
      </w:r>
      <w:r>
        <w:rPr>
          <w:color w:val="auto"/>
          <w:highlight w:val="none"/>
        </w:rPr>
        <w:tab/>
      </w:r>
      <w:r>
        <w:rPr>
          <w:color w:val="auto"/>
          <w:highlight w:val="none"/>
        </w:rPr>
        <w:fldChar w:fldCharType="begin"/>
      </w:r>
      <w:r>
        <w:rPr>
          <w:color w:val="auto"/>
          <w:highlight w:val="none"/>
        </w:rPr>
        <w:instrText xml:space="preserve"> PAGEREF _Toc27950 \h </w:instrText>
      </w:r>
      <w:r>
        <w:rPr>
          <w:color w:val="auto"/>
          <w:highlight w:val="none"/>
        </w:rPr>
        <w:fldChar w:fldCharType="separate"/>
      </w:r>
      <w:r>
        <w:rPr>
          <w:color w:val="auto"/>
          <w:highlight w:val="none"/>
        </w:rPr>
        <w:t>93</w:t>
      </w:r>
      <w:r>
        <w:rPr>
          <w:color w:val="auto"/>
          <w:highlight w:val="none"/>
        </w:rPr>
        <w:fldChar w:fldCharType="end"/>
      </w:r>
      <w:r>
        <w:rPr>
          <w:rFonts w:hAnsi="宋体"/>
          <w:color w:val="auto"/>
          <w:highlight w:val="none"/>
        </w:rPr>
        <w:fldChar w:fldCharType="end"/>
      </w:r>
    </w:p>
    <w:p w14:paraId="6C4A5077">
      <w:pPr>
        <w:pStyle w:val="37"/>
        <w:tabs>
          <w:tab w:val="right" w:leader="dot" w:pos="8844"/>
        </w:tabs>
        <w:rPr>
          <w:color w:val="auto"/>
          <w:highlight w:val="none"/>
        </w:rPr>
      </w:pPr>
      <w:r>
        <w:rPr>
          <w:rFonts w:hAnsi="宋体"/>
          <w:color w:val="auto"/>
          <w:highlight w:val="none"/>
        </w:rPr>
        <w:fldChar w:fldCharType="begin"/>
      </w:r>
      <w:r>
        <w:rPr>
          <w:rFonts w:hAnsi="宋体"/>
          <w:color w:val="auto"/>
          <w:highlight w:val="none"/>
        </w:rPr>
        <w:instrText xml:space="preserve"> HYPERLINK \l _Toc15535 </w:instrText>
      </w:r>
      <w:r>
        <w:rPr>
          <w:rFonts w:hAnsi="宋体"/>
          <w:color w:val="auto"/>
          <w:highlight w:val="none"/>
        </w:rPr>
        <w:fldChar w:fldCharType="separate"/>
      </w:r>
      <w:r>
        <w:rPr>
          <w:rFonts w:hint="eastAsia" w:ascii="宋体" w:hAnsi="宋体"/>
          <w:color w:val="auto"/>
          <w:szCs w:val="28"/>
          <w:highlight w:val="none"/>
        </w:rPr>
        <w:t>十二、投标人认为需提供的其他资料</w:t>
      </w:r>
      <w:r>
        <w:rPr>
          <w:color w:val="auto"/>
          <w:highlight w:val="none"/>
        </w:rPr>
        <w:tab/>
      </w:r>
      <w:r>
        <w:rPr>
          <w:color w:val="auto"/>
          <w:highlight w:val="none"/>
        </w:rPr>
        <w:fldChar w:fldCharType="begin"/>
      </w:r>
      <w:r>
        <w:rPr>
          <w:color w:val="auto"/>
          <w:highlight w:val="none"/>
        </w:rPr>
        <w:instrText xml:space="preserve"> PAGEREF _Toc15535 \h </w:instrText>
      </w:r>
      <w:r>
        <w:rPr>
          <w:color w:val="auto"/>
          <w:highlight w:val="none"/>
        </w:rPr>
        <w:fldChar w:fldCharType="separate"/>
      </w:r>
      <w:r>
        <w:rPr>
          <w:color w:val="auto"/>
          <w:highlight w:val="none"/>
        </w:rPr>
        <w:t>94</w:t>
      </w:r>
      <w:r>
        <w:rPr>
          <w:color w:val="auto"/>
          <w:highlight w:val="none"/>
        </w:rPr>
        <w:fldChar w:fldCharType="end"/>
      </w:r>
      <w:r>
        <w:rPr>
          <w:rFonts w:hAnsi="宋体"/>
          <w:color w:val="auto"/>
          <w:highlight w:val="none"/>
        </w:rPr>
        <w:fldChar w:fldCharType="end"/>
      </w:r>
    </w:p>
    <w:p w14:paraId="1007892F">
      <w:pPr>
        <w:pStyle w:val="25"/>
        <w:adjustRightInd w:val="0"/>
        <w:snapToGrid w:val="0"/>
        <w:spacing w:line="360" w:lineRule="auto"/>
        <w:outlineLvl w:val="0"/>
        <w:rPr>
          <w:rFonts w:hAnsi="宋体"/>
          <w:color w:val="auto"/>
          <w:highlight w:val="none"/>
        </w:rPr>
      </w:pPr>
      <w:r>
        <w:rPr>
          <w:rFonts w:hAnsi="宋体"/>
          <w:color w:val="auto"/>
          <w:highlight w:val="none"/>
        </w:rPr>
        <w:fldChar w:fldCharType="end"/>
      </w:r>
    </w:p>
    <w:p w14:paraId="3B2F2181">
      <w:pPr>
        <w:adjustRightInd w:val="0"/>
        <w:snapToGrid w:val="0"/>
        <w:spacing w:line="240" w:lineRule="atLeast"/>
        <w:ind w:firstLine="840" w:firstLineChars="400"/>
        <w:rPr>
          <w:rFonts w:ascii="宋体" w:hAnsi="宋体"/>
          <w:color w:val="auto"/>
          <w:szCs w:val="21"/>
          <w:highlight w:val="none"/>
        </w:rPr>
      </w:pPr>
    </w:p>
    <w:p w14:paraId="3B94AE00">
      <w:pPr>
        <w:pStyle w:val="2"/>
        <w:rPr>
          <w:rFonts w:ascii="宋体" w:hAnsi="宋体"/>
          <w:color w:val="auto"/>
          <w:highlight w:val="none"/>
        </w:rPr>
        <w:sectPr>
          <w:headerReference r:id="rId7" w:type="first"/>
          <w:headerReference r:id="rId5" w:type="default"/>
          <w:footerReference r:id="rId8" w:type="default"/>
          <w:headerReference r:id="rId6" w:type="even"/>
          <w:pgSz w:w="11906" w:h="16838"/>
          <w:pgMar w:top="1474" w:right="1474" w:bottom="1474" w:left="1588" w:header="851" w:footer="992" w:gutter="0"/>
          <w:pgNumType w:start="1"/>
          <w:cols w:space="720" w:num="1"/>
          <w:docGrid w:type="lines" w:linePitch="312" w:charSpace="0"/>
        </w:sectPr>
      </w:pPr>
      <w:bookmarkStart w:id="0" w:name="_Toc20816073"/>
      <w:bookmarkStart w:id="1" w:name="_Toc20988241"/>
      <w:bookmarkStart w:id="2" w:name="_Toc35421027"/>
      <w:bookmarkStart w:id="3" w:name="_Toc34720698"/>
      <w:bookmarkStart w:id="4" w:name="_Toc21001314"/>
      <w:bookmarkStart w:id="5" w:name="_Toc53472201"/>
      <w:bookmarkStart w:id="6" w:name="_Toc21000471"/>
      <w:bookmarkStart w:id="7" w:name="_Toc20642243"/>
    </w:p>
    <w:p w14:paraId="4FE6A5B9">
      <w:pPr>
        <w:pStyle w:val="2"/>
        <w:rPr>
          <w:rFonts w:ascii="宋体" w:hAnsi="宋体"/>
          <w:color w:val="auto"/>
          <w:highlight w:val="none"/>
        </w:rPr>
      </w:pPr>
      <w:bookmarkStart w:id="8" w:name="_Toc193053694"/>
      <w:bookmarkStart w:id="9" w:name="_Toc9276"/>
      <w:bookmarkStart w:id="10" w:name="_Toc171282393"/>
      <w:bookmarkStart w:id="11" w:name="_Toc6115"/>
      <w:bookmarkStart w:id="12" w:name="_Toc189905350"/>
      <w:bookmarkStart w:id="13" w:name="_Toc166778324"/>
      <w:bookmarkStart w:id="14" w:name="_Toc22186"/>
      <w:bookmarkStart w:id="15" w:name="_Toc14564"/>
      <w:bookmarkStart w:id="16" w:name="_Toc26637"/>
      <w:r>
        <w:rPr>
          <w:rFonts w:hint="eastAsia" w:ascii="宋体" w:hAnsi="宋体"/>
          <w:color w:val="auto"/>
          <w:sz w:val="30"/>
          <w:szCs w:val="30"/>
          <w:highlight w:val="none"/>
        </w:rPr>
        <w:t xml:space="preserve">第一章 </w:t>
      </w:r>
      <w:r>
        <w:rPr>
          <w:rFonts w:hint="eastAsia" w:ascii="宋体" w:hAnsi="宋体"/>
          <w:color w:val="auto"/>
          <w:sz w:val="30"/>
          <w:szCs w:val="30"/>
          <w:highlight w:val="none"/>
          <w:lang w:eastAsia="zh-CN"/>
        </w:rPr>
        <w:t>新化县资江风光带绿化养护服务项目</w:t>
      </w:r>
      <w:r>
        <w:rPr>
          <w:rFonts w:hint="eastAsia" w:ascii="宋体" w:hAnsi="宋体"/>
          <w:color w:val="auto"/>
          <w:sz w:val="30"/>
          <w:szCs w:val="30"/>
          <w:highlight w:val="none"/>
        </w:rPr>
        <w:t>公开招标公告</w:t>
      </w:r>
      <w:bookmarkEnd w:id="8"/>
      <w:bookmarkEnd w:id="9"/>
      <w:bookmarkEnd w:id="10"/>
      <w:bookmarkEnd w:id="11"/>
      <w:bookmarkEnd w:id="12"/>
      <w:bookmarkEnd w:id="13"/>
      <w:bookmarkEnd w:id="14"/>
      <w:bookmarkEnd w:id="15"/>
      <w:bookmarkEnd w:id="16"/>
    </w:p>
    <w:p w14:paraId="0DC4F9FE">
      <w:pPr>
        <w:adjustRightInd w:val="0"/>
        <w:snapToGrid w:val="0"/>
        <w:spacing w:line="360" w:lineRule="auto"/>
        <w:ind w:firstLine="420" w:firstLineChars="200"/>
        <w:jc w:val="center"/>
        <w:rPr>
          <w:rFonts w:ascii="宋体" w:hAnsi="宋体"/>
          <w:color w:val="auto"/>
          <w:szCs w:val="21"/>
          <w:highlight w:val="none"/>
          <w:u w:val="single"/>
        </w:rPr>
      </w:pPr>
      <w:r>
        <w:rPr>
          <w:rFonts w:hint="eastAsia" w:ascii="宋体" w:hAnsi="宋体"/>
          <w:color w:val="auto"/>
          <w:szCs w:val="21"/>
          <w:highlight w:val="none"/>
        </w:rPr>
        <w:t xml:space="preserve"> </w:t>
      </w:r>
    </w:p>
    <w:p w14:paraId="3E4E322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新化县城市管理和综合执法局 </w:t>
      </w:r>
      <w:r>
        <w:rPr>
          <w:rFonts w:hint="eastAsia" w:ascii="宋体" w:hAnsi="宋体"/>
          <w:color w:val="auto"/>
          <w:szCs w:val="21"/>
          <w:highlight w:val="none"/>
        </w:rPr>
        <w:t>的</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新化县资江风光带绿化养护服务项目</w:t>
      </w:r>
      <w:r>
        <w:rPr>
          <w:rFonts w:hint="eastAsia" w:ascii="宋体" w:hAnsi="宋体"/>
          <w:color w:val="auto"/>
          <w:szCs w:val="21"/>
          <w:highlight w:val="none"/>
          <w:u w:val="single"/>
        </w:rPr>
        <w:t xml:space="preserve"> </w:t>
      </w:r>
      <w:r>
        <w:rPr>
          <w:rFonts w:hint="eastAsia" w:ascii="宋体" w:hAnsi="宋体"/>
          <w:color w:val="auto"/>
          <w:szCs w:val="21"/>
          <w:highlight w:val="none"/>
        </w:rPr>
        <w:t>进行公开招标采购，现邀请合格投标人参加投标。</w:t>
      </w:r>
    </w:p>
    <w:p w14:paraId="3403D492">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一、采购项目基本信息</w:t>
      </w:r>
    </w:p>
    <w:p w14:paraId="37E5AADB">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1、采购项目名称：</w:t>
      </w:r>
      <w:r>
        <w:rPr>
          <w:rFonts w:hint="eastAsia" w:ascii="宋体" w:hAnsi="宋体"/>
          <w:color w:val="auto"/>
          <w:szCs w:val="21"/>
          <w:highlight w:val="none"/>
          <w:lang w:eastAsia="zh-CN"/>
        </w:rPr>
        <w:t>新化县资江风光带绿化养护服务项目</w:t>
      </w:r>
    </w:p>
    <w:p w14:paraId="490423A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2、政府采购计划编号：（2026）</w:t>
      </w:r>
      <w:r>
        <w:rPr>
          <w:rFonts w:hint="eastAsia" w:ascii="宋体" w:hAnsi="宋体"/>
          <w:color w:val="auto"/>
          <w:szCs w:val="21"/>
          <w:highlight w:val="none"/>
          <w:lang w:val="en-US" w:eastAsia="zh-CN"/>
        </w:rPr>
        <w:t>431322000009-1</w:t>
      </w:r>
      <w:r>
        <w:rPr>
          <w:rFonts w:hint="eastAsia" w:ascii="宋体" w:hAnsi="宋体"/>
          <w:color w:val="auto"/>
          <w:szCs w:val="21"/>
          <w:highlight w:val="none"/>
        </w:rPr>
        <w:t xml:space="preserve">        </w:t>
      </w:r>
    </w:p>
    <w:p w14:paraId="2239C20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3、委托代理编号：HNTXXH202</w:t>
      </w:r>
      <w:r>
        <w:rPr>
          <w:rFonts w:hint="eastAsia" w:ascii="宋体" w:hAnsi="宋体"/>
          <w:color w:val="auto"/>
          <w:szCs w:val="21"/>
          <w:highlight w:val="none"/>
          <w:lang w:val="en-US" w:eastAsia="zh-CN"/>
        </w:rPr>
        <w:t>6</w:t>
      </w:r>
      <w:r>
        <w:rPr>
          <w:rFonts w:hint="eastAsia" w:ascii="宋体" w:hAnsi="宋体"/>
          <w:color w:val="auto"/>
          <w:szCs w:val="21"/>
          <w:highlight w:val="none"/>
        </w:rPr>
        <w:t>-0</w:t>
      </w:r>
      <w:r>
        <w:rPr>
          <w:rFonts w:hint="eastAsia" w:ascii="宋体" w:hAnsi="宋体"/>
          <w:color w:val="auto"/>
          <w:szCs w:val="21"/>
          <w:highlight w:val="none"/>
          <w:lang w:val="en-US" w:eastAsia="zh-CN"/>
        </w:rPr>
        <w:t>30</w:t>
      </w:r>
      <w:r>
        <w:rPr>
          <w:rFonts w:hint="eastAsia" w:ascii="宋体" w:hAnsi="宋体"/>
          <w:color w:val="auto"/>
          <w:szCs w:val="21"/>
          <w:highlight w:val="none"/>
        </w:rPr>
        <w:t xml:space="preserve"> </w:t>
      </w:r>
    </w:p>
    <w:p w14:paraId="07C66BAE">
      <w:pPr>
        <w:adjustRightInd w:val="0"/>
        <w:snapToGrid w:val="0"/>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4、采购项目预算：</w:t>
      </w:r>
      <w:r>
        <w:rPr>
          <w:rFonts w:hint="eastAsia" w:ascii="宋体" w:hAnsi="宋体"/>
          <w:color w:val="auto"/>
          <w:szCs w:val="21"/>
          <w:highlight w:val="none"/>
          <w:u w:val="single"/>
          <w:lang w:val="en-US" w:eastAsia="zh-CN"/>
        </w:rPr>
        <w:t>1249796.18元</w:t>
      </w:r>
    </w:p>
    <w:p w14:paraId="0CA3506C">
      <w:pPr>
        <w:adjustRightInd w:val="0"/>
        <w:snapToGrid w:val="0"/>
        <w:spacing w:line="360" w:lineRule="auto"/>
        <w:ind w:firstLine="630" w:firstLineChars="300"/>
        <w:rPr>
          <w:rFonts w:ascii="宋体" w:hAnsi="宋体" w:cs="宋体"/>
          <w:bCs/>
          <w:color w:val="auto"/>
          <w:szCs w:val="21"/>
          <w:highlight w:val="none"/>
          <w:u w:val="singl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支持</w:t>
      </w:r>
      <w:r>
        <w:rPr>
          <w:rFonts w:hint="eastAsia" w:ascii="宋体" w:hAnsi="宋体" w:cs="宋体"/>
          <w:bCs/>
          <w:color w:val="auto"/>
          <w:szCs w:val="21"/>
          <w:highlight w:val="none"/>
        </w:rPr>
        <w:t>预付款，预付比例：</w:t>
      </w:r>
      <w:r>
        <w:rPr>
          <w:rFonts w:hint="eastAsia" w:ascii="宋体" w:hAnsi="宋体" w:cs="宋体"/>
          <w:bCs/>
          <w:color w:val="auto"/>
          <w:szCs w:val="21"/>
          <w:highlight w:val="none"/>
          <w:u w:val="single"/>
        </w:rPr>
        <w:t xml:space="preserve">     /      </w:t>
      </w:r>
    </w:p>
    <w:p w14:paraId="72075E5E">
      <w:pPr>
        <w:adjustRightInd w:val="0"/>
        <w:snapToGrid w:val="0"/>
        <w:spacing w:line="360" w:lineRule="auto"/>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5、本项目</w:t>
      </w:r>
      <w:r>
        <w:rPr>
          <w:rFonts w:hint="eastAsia" w:ascii="宋体" w:hAnsi="宋体" w:cs="宋体"/>
          <w:color w:val="auto"/>
          <w:szCs w:val="21"/>
          <w:highlight w:val="none"/>
        </w:rPr>
        <w:t>对应的中小企业划分标准所属行业：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其他未列明行业</w:t>
      </w:r>
      <w:r>
        <w:rPr>
          <w:rFonts w:hint="eastAsia" w:ascii="宋体" w:hAnsi="宋体" w:cs="宋体"/>
          <w:color w:val="auto"/>
          <w:szCs w:val="21"/>
          <w:highlight w:val="none"/>
          <w:u w:val="single"/>
        </w:rPr>
        <w:t xml:space="preserve"> </w:t>
      </w:r>
    </w:p>
    <w:p w14:paraId="04F7E4B6">
      <w:pPr>
        <w:adjustRightInd w:val="0"/>
        <w:snapToGrid w:val="0"/>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6、评标方法：</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综合评分法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最低价法</w:t>
      </w:r>
    </w:p>
    <w:p w14:paraId="756A8A1F">
      <w:pPr>
        <w:adjustRightInd w:val="0"/>
        <w:snapToGrid w:val="0"/>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7、合同定价方式：</w:t>
      </w:r>
      <w:r>
        <w:rPr>
          <w:rFonts w:hint="eastAsia" w:ascii="宋体" w:hAnsi="宋体" w:cs="宋体"/>
          <w:iCs/>
          <w:color w:val="auto"/>
          <w:szCs w:val="21"/>
          <w:highlight w:val="none"/>
        </w:rPr>
        <w:t xml:space="preserve">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固定总价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固定单价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成本补偿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绩效激励</w:t>
      </w:r>
    </w:p>
    <w:p w14:paraId="38D183C3">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8、合同履行期限：</w:t>
      </w:r>
      <w:r>
        <w:rPr>
          <w:rFonts w:hint="eastAsia" w:ascii="宋体" w:hAnsi="宋体" w:cs="宋体"/>
          <w:color w:val="auto"/>
          <w:sz w:val="21"/>
          <w:szCs w:val="21"/>
          <w:highlight w:val="none"/>
          <w:lang w:val="en-US" w:eastAsia="zh-CN"/>
        </w:rPr>
        <w:t>一年</w:t>
      </w:r>
      <w:r>
        <w:rPr>
          <w:rFonts w:hint="eastAsia" w:ascii="宋体" w:hAnsi="宋体" w:cs="宋体"/>
          <w:color w:val="auto"/>
          <w:highlight w:val="none"/>
        </w:rPr>
        <w:t>；</w:t>
      </w:r>
    </w:p>
    <w:p w14:paraId="7A505C87">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9、</w:t>
      </w:r>
      <w:r>
        <w:rPr>
          <w:rFonts w:hint="eastAsia" w:ascii="宋体" w:hAnsi="宋体" w:cs="宋体"/>
          <w:color w:val="auto"/>
          <w:szCs w:val="21"/>
          <w:highlight w:val="none"/>
        </w:rPr>
        <w:t>本项目分阶段要求投标人提供以下保证：</w:t>
      </w:r>
    </w:p>
    <w:p w14:paraId="34EF94F2">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color w:val="auto"/>
          <w:szCs w:val="21"/>
          <w:highlight w:val="none"/>
        </w:rPr>
        <w:t>投标保证金：</w:t>
      </w:r>
      <w:r>
        <w:rPr>
          <w:rFonts w:hint="eastAsia" w:ascii="宋体" w:hAnsi="宋体" w:cs="宋体"/>
          <w:iCs/>
          <w:color w:val="auto"/>
          <w:szCs w:val="21"/>
          <w:highlight w:val="none"/>
        </w:rPr>
        <w:t>采购项目预算的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r>
        <w:rPr>
          <w:rFonts w:hint="eastAsia" w:ascii="宋体" w:hAnsi="宋体" w:cs="宋体"/>
          <w:color w:val="auto"/>
          <w:szCs w:val="21"/>
          <w:highlight w:val="none"/>
        </w:rPr>
        <w:t>；</w:t>
      </w:r>
    </w:p>
    <w:p w14:paraId="638CFC87">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color w:val="auto"/>
          <w:szCs w:val="21"/>
          <w:highlight w:val="none"/>
        </w:rPr>
        <w:t>履约保证金：</w:t>
      </w:r>
      <w:r>
        <w:rPr>
          <w:rFonts w:hint="eastAsia" w:ascii="宋体" w:hAnsi="宋体" w:cs="宋体"/>
          <w:iCs/>
          <w:color w:val="auto"/>
          <w:szCs w:val="21"/>
          <w:highlight w:val="none"/>
        </w:rPr>
        <w:t>中标金额的</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w:t>
      </w:r>
      <w:r>
        <w:rPr>
          <w:rFonts w:hint="eastAsia" w:ascii="宋体" w:hAnsi="宋体" w:cs="宋体"/>
          <w:color w:val="auto"/>
          <w:szCs w:val="21"/>
          <w:highlight w:val="none"/>
        </w:rPr>
        <w:t>；</w:t>
      </w:r>
    </w:p>
    <w:p w14:paraId="4921676E">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预付款保证金：预付款的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p>
    <w:p w14:paraId="68D27356">
      <w:pPr>
        <w:adjustRightInd w:val="0"/>
        <w:snapToGrid w:val="0"/>
        <w:spacing w:line="360" w:lineRule="auto"/>
        <w:ind w:firstLine="420" w:firstLineChars="200"/>
        <w:rPr>
          <w:rFonts w:ascii="宋体" w:hAnsi="宋体" w:cs="宋体"/>
          <w:i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质量保证金：合同金额的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p>
    <w:p w14:paraId="3A8E267F">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二、采购人的采购需求</w:t>
      </w:r>
    </w:p>
    <w:tbl>
      <w:tblPr>
        <w:tblStyle w:val="46"/>
        <w:tblW w:w="8767"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515"/>
        <w:gridCol w:w="693"/>
        <w:gridCol w:w="1308"/>
        <w:gridCol w:w="1305"/>
        <w:gridCol w:w="2684"/>
        <w:gridCol w:w="948"/>
        <w:gridCol w:w="1314"/>
      </w:tblGrid>
      <w:tr w14:paraId="2CD3D59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515" w:type="dxa"/>
            <w:tcBorders>
              <w:right w:val="single" w:color="auto" w:sz="4" w:space="0"/>
            </w:tcBorders>
            <w:vAlign w:val="center"/>
          </w:tcPr>
          <w:p w14:paraId="068019CF">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包号</w:t>
            </w:r>
          </w:p>
        </w:tc>
        <w:tc>
          <w:tcPr>
            <w:tcW w:w="693" w:type="dxa"/>
            <w:tcBorders>
              <w:left w:val="single" w:color="auto" w:sz="4" w:space="0"/>
            </w:tcBorders>
            <w:vAlign w:val="center"/>
          </w:tcPr>
          <w:p w14:paraId="304282BC">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包名称</w:t>
            </w:r>
          </w:p>
        </w:tc>
        <w:tc>
          <w:tcPr>
            <w:tcW w:w="1308" w:type="dxa"/>
            <w:vAlign w:val="center"/>
          </w:tcPr>
          <w:p w14:paraId="55C5FCA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最高限价（元）</w:t>
            </w:r>
          </w:p>
        </w:tc>
        <w:tc>
          <w:tcPr>
            <w:tcW w:w="1305" w:type="dxa"/>
            <w:vAlign w:val="center"/>
          </w:tcPr>
          <w:p w14:paraId="549260DE">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标的名称</w:t>
            </w:r>
          </w:p>
        </w:tc>
        <w:tc>
          <w:tcPr>
            <w:tcW w:w="2684" w:type="dxa"/>
            <w:vAlign w:val="center"/>
          </w:tcPr>
          <w:p w14:paraId="074F9852">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采购要求</w:t>
            </w:r>
          </w:p>
        </w:tc>
        <w:tc>
          <w:tcPr>
            <w:tcW w:w="948" w:type="dxa"/>
            <w:vAlign w:val="center"/>
          </w:tcPr>
          <w:p w14:paraId="3F98A80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服务期限</w:t>
            </w:r>
          </w:p>
        </w:tc>
        <w:tc>
          <w:tcPr>
            <w:tcW w:w="1314" w:type="dxa"/>
            <w:vAlign w:val="center"/>
          </w:tcPr>
          <w:p w14:paraId="5308C31A">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标的预算（元）</w:t>
            </w:r>
          </w:p>
        </w:tc>
      </w:tr>
      <w:tr w14:paraId="30BDFDB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74" w:hRule="atLeast"/>
          <w:jc w:val="center"/>
        </w:trPr>
        <w:tc>
          <w:tcPr>
            <w:tcW w:w="515" w:type="dxa"/>
            <w:tcBorders>
              <w:top w:val="single" w:color="auto" w:sz="4" w:space="0"/>
              <w:right w:val="single" w:color="auto" w:sz="4" w:space="0"/>
            </w:tcBorders>
            <w:vAlign w:val="center"/>
          </w:tcPr>
          <w:p w14:paraId="3F1B89BC">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01</w:t>
            </w:r>
          </w:p>
        </w:tc>
        <w:tc>
          <w:tcPr>
            <w:tcW w:w="693" w:type="dxa"/>
            <w:tcBorders>
              <w:top w:val="single" w:color="auto" w:sz="4" w:space="0"/>
              <w:left w:val="single" w:color="auto" w:sz="4" w:space="0"/>
            </w:tcBorders>
            <w:vAlign w:val="center"/>
          </w:tcPr>
          <w:p w14:paraId="09DB3C2A">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包1</w:t>
            </w:r>
          </w:p>
        </w:tc>
        <w:tc>
          <w:tcPr>
            <w:tcW w:w="1308" w:type="dxa"/>
            <w:tcBorders>
              <w:top w:val="single" w:color="auto" w:sz="4" w:space="0"/>
            </w:tcBorders>
            <w:vAlign w:val="center"/>
          </w:tcPr>
          <w:p w14:paraId="1E239F0A">
            <w:pPr>
              <w:adjustRightInd w:val="0"/>
              <w:snapToGrid w:val="0"/>
              <w:jc w:val="center"/>
              <w:rPr>
                <w:rFonts w:hint="eastAsia" w:ascii="宋体" w:hAnsi="宋体" w:eastAsia="宋体"/>
                <w:color w:val="auto"/>
                <w:szCs w:val="21"/>
                <w:highlight w:val="none"/>
                <w:lang w:eastAsia="zh-CN"/>
              </w:rPr>
            </w:pPr>
            <w:r>
              <w:rPr>
                <w:rFonts w:hint="eastAsia" w:ascii="宋体" w:hAnsi="宋体"/>
                <w:color w:val="auto"/>
                <w:szCs w:val="21"/>
                <w:highlight w:val="none"/>
                <w:u w:val="none"/>
                <w:lang w:val="en-US" w:eastAsia="zh-CN"/>
              </w:rPr>
              <w:t>1249796.18</w:t>
            </w:r>
          </w:p>
        </w:tc>
        <w:tc>
          <w:tcPr>
            <w:tcW w:w="1305" w:type="dxa"/>
            <w:vAlign w:val="center"/>
          </w:tcPr>
          <w:p w14:paraId="57E48C44">
            <w:pPr>
              <w:adjustRightInd w:val="0"/>
              <w:snapToGrid w:val="0"/>
              <w:jc w:val="center"/>
              <w:rPr>
                <w:rFonts w:ascii="宋体" w:hAnsi="宋体"/>
                <w:color w:val="auto"/>
                <w:szCs w:val="21"/>
                <w:highlight w:val="none"/>
              </w:rPr>
            </w:pPr>
            <w:r>
              <w:rPr>
                <w:rFonts w:hint="eastAsia" w:ascii="宋体" w:hAnsi="宋体" w:cs="Courier New"/>
                <w:color w:val="auto"/>
                <w:kern w:val="0"/>
                <w:szCs w:val="21"/>
                <w:highlight w:val="none"/>
                <w:lang w:eastAsia="zh-CN"/>
              </w:rPr>
              <w:t>新化县资江风光带绿化养护服务项目</w:t>
            </w:r>
          </w:p>
        </w:tc>
        <w:tc>
          <w:tcPr>
            <w:tcW w:w="2684" w:type="dxa"/>
            <w:vAlign w:val="center"/>
          </w:tcPr>
          <w:p w14:paraId="26187F36">
            <w:pPr>
              <w:adjustRightInd w:val="0"/>
              <w:snapToGrid w:val="0"/>
              <w:jc w:val="center"/>
              <w:rPr>
                <w:rFonts w:hint="eastAsia" w:ascii="宋体" w:hAnsi="宋体" w:cs="Courier New"/>
                <w:color w:val="auto"/>
                <w:kern w:val="0"/>
                <w:szCs w:val="21"/>
                <w:highlight w:val="none"/>
                <w:lang w:eastAsia="zh-CN"/>
              </w:rPr>
            </w:pPr>
            <w:r>
              <w:rPr>
                <w:rFonts w:hint="eastAsia" w:ascii="宋体" w:hAnsi="宋体" w:cs="Courier New"/>
                <w:color w:val="auto"/>
                <w:kern w:val="0"/>
                <w:szCs w:val="21"/>
                <w:highlight w:val="none"/>
                <w:lang w:eastAsia="zh-CN"/>
              </w:rPr>
              <w:t>城东防洪堤全线区域绿化养护服务长7.92Km，绿化面积共计520748.41㎡。绿化植物松士施</w:t>
            </w:r>
            <w:r>
              <w:rPr>
                <w:rFonts w:hint="eastAsia" w:ascii="宋体" w:hAnsi="宋体" w:cs="Courier New"/>
                <w:color w:val="auto"/>
                <w:kern w:val="0"/>
                <w:szCs w:val="21"/>
                <w:highlight w:val="none"/>
                <w:lang w:val="en-US" w:eastAsia="zh-CN"/>
              </w:rPr>
              <w:t>肥，</w:t>
            </w:r>
            <w:r>
              <w:rPr>
                <w:rFonts w:hint="eastAsia" w:ascii="宋体" w:hAnsi="宋体" w:cs="Courier New"/>
                <w:color w:val="auto"/>
                <w:kern w:val="0"/>
                <w:szCs w:val="21"/>
                <w:highlight w:val="none"/>
                <w:lang w:eastAsia="zh-CN"/>
              </w:rPr>
              <w:t>杂</w:t>
            </w:r>
            <w:r>
              <w:rPr>
                <w:rFonts w:hint="eastAsia" w:ascii="宋体" w:hAnsi="宋体" w:cs="Courier New"/>
                <w:color w:val="auto"/>
                <w:kern w:val="0"/>
                <w:szCs w:val="21"/>
                <w:highlight w:val="none"/>
                <w:lang w:val="en-US" w:eastAsia="zh-CN"/>
              </w:rPr>
              <w:t>草杂树清理、杀虫、浇水、涂白、草皮、灌木（绿蓠）、球类、乔木的修剪造型以及枯树、枯枝、</w:t>
            </w:r>
            <w:r>
              <w:rPr>
                <w:rFonts w:hint="eastAsia" w:ascii="宋体" w:hAnsi="宋体" w:cs="Courier New"/>
                <w:color w:val="auto"/>
                <w:kern w:val="0"/>
                <w:szCs w:val="21"/>
                <w:highlight w:val="none"/>
                <w:lang w:eastAsia="zh-CN"/>
              </w:rPr>
              <w:t>枯草、残枝、落叶的清理和其它绿化日常养护。具体详见第五章采购需求</w:t>
            </w:r>
          </w:p>
        </w:tc>
        <w:tc>
          <w:tcPr>
            <w:tcW w:w="948" w:type="dxa"/>
            <w:tcBorders>
              <w:top w:val="single" w:color="auto" w:sz="4" w:space="0"/>
            </w:tcBorders>
            <w:vAlign w:val="center"/>
          </w:tcPr>
          <w:p w14:paraId="34F9D3FA">
            <w:pPr>
              <w:adjustRightInd w:val="0"/>
              <w:snapToGrid w:val="0"/>
              <w:jc w:val="center"/>
              <w:rPr>
                <w:rFonts w:ascii="宋体" w:hAnsi="宋体"/>
                <w:color w:val="auto"/>
                <w:szCs w:val="21"/>
                <w:highlight w:val="none"/>
              </w:rPr>
            </w:pPr>
            <w:r>
              <w:rPr>
                <w:rFonts w:hint="eastAsia" w:ascii="宋体" w:hAnsi="宋体" w:cs="宋体"/>
                <w:color w:val="auto"/>
                <w:sz w:val="21"/>
                <w:szCs w:val="21"/>
                <w:highlight w:val="none"/>
                <w:lang w:val="en-US" w:eastAsia="zh-CN"/>
              </w:rPr>
              <w:t>一年</w:t>
            </w:r>
          </w:p>
        </w:tc>
        <w:tc>
          <w:tcPr>
            <w:tcW w:w="1314" w:type="dxa"/>
            <w:tcBorders>
              <w:top w:val="single" w:color="auto" w:sz="4" w:space="0"/>
            </w:tcBorders>
            <w:vAlign w:val="center"/>
          </w:tcPr>
          <w:p w14:paraId="707AA9E0">
            <w:pPr>
              <w:adjustRightInd w:val="0"/>
              <w:snapToGrid w:val="0"/>
              <w:jc w:val="center"/>
              <w:rPr>
                <w:rFonts w:hint="eastAsia" w:ascii="宋体" w:hAnsi="宋体" w:eastAsia="宋体"/>
                <w:color w:val="auto"/>
                <w:szCs w:val="21"/>
                <w:highlight w:val="none"/>
                <w:lang w:eastAsia="zh-CN"/>
              </w:rPr>
            </w:pPr>
            <w:r>
              <w:rPr>
                <w:rFonts w:hint="eastAsia" w:ascii="宋体" w:hAnsi="宋体"/>
                <w:color w:val="auto"/>
                <w:szCs w:val="21"/>
                <w:highlight w:val="none"/>
                <w:u w:val="none"/>
                <w:lang w:val="en-US" w:eastAsia="zh-CN"/>
              </w:rPr>
              <w:t>1249796.18</w:t>
            </w:r>
          </w:p>
        </w:tc>
      </w:tr>
    </w:tbl>
    <w:p w14:paraId="7BDC1F0C">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三、</w:t>
      </w:r>
      <w:r>
        <w:rPr>
          <w:rFonts w:hint="eastAsia" w:ascii="宋体" w:hAnsi="宋体"/>
          <w:b/>
          <w:color w:val="auto"/>
          <w:szCs w:val="21"/>
          <w:highlight w:val="none"/>
        </w:rPr>
        <w:t>采购项目需要落实的政府采购政策：</w:t>
      </w:r>
    </w:p>
    <w:p w14:paraId="3D53184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1、优先采购：/</w:t>
      </w:r>
    </w:p>
    <w:p w14:paraId="48FBD3A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14:paraId="63252D80">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14:paraId="6DBD280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1、投标人基本资格条件：投标人必须是在中华人民共和国境内注册登记的法人、非法人组织或者自然人，且应当符合《政府采购法》第二十二条第一款的规定：</w:t>
      </w:r>
    </w:p>
    <w:p w14:paraId="4F4D10B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4B8EA523">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FE"/>
      </w:r>
      <w:r>
        <w:rPr>
          <w:rFonts w:hint="eastAsia" w:ascii="宋体" w:hAnsi="宋体"/>
          <w:iCs/>
          <w:color w:val="auto"/>
          <w:szCs w:val="21"/>
          <w:highlight w:val="none"/>
        </w:rPr>
        <w:t>福利性单位。</w:t>
      </w:r>
    </w:p>
    <w:p w14:paraId="75E63050">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14:paraId="4E9D347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投标人特定资格条件：无；</w:t>
      </w:r>
    </w:p>
    <w:p w14:paraId="7A84052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4、单位负责人为同一人或者存在直接控股、管理关系的不同投标人，不得参加本项目同一合同项下的政府采购活动。</w:t>
      </w:r>
    </w:p>
    <w:p w14:paraId="2B833EB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14:paraId="5F9B5F6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6、未</w:t>
      </w:r>
      <w:r>
        <w:rPr>
          <w:rFonts w:ascii="宋体" w:hAnsi="宋体"/>
          <w:color w:val="auto"/>
          <w:szCs w:val="21"/>
          <w:highlight w:val="none"/>
        </w:rPr>
        <w:t>被</w:t>
      </w:r>
      <w:r>
        <w:rPr>
          <w:rFonts w:hint="eastAsia" w:ascii="宋体" w:hAnsi="宋体"/>
          <w:color w:val="auto"/>
          <w:szCs w:val="21"/>
          <w:highlight w:val="none"/>
        </w:rPr>
        <w:t>列入失信被执行人、重大税收违法案件当事人名单，未</w:t>
      </w:r>
      <w:r>
        <w:rPr>
          <w:rFonts w:ascii="宋体" w:hAnsi="宋体"/>
          <w:color w:val="auto"/>
          <w:szCs w:val="21"/>
          <w:highlight w:val="none"/>
        </w:rPr>
        <w:t>被</w:t>
      </w:r>
      <w:r>
        <w:rPr>
          <w:rFonts w:hint="eastAsia" w:ascii="宋体" w:hAnsi="宋体"/>
          <w:color w:val="auto"/>
          <w:szCs w:val="21"/>
          <w:highlight w:val="none"/>
        </w:rPr>
        <w:t>列入政府采购严重违法失信行为记录名单。</w:t>
      </w:r>
    </w:p>
    <w:p w14:paraId="00B102E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7、联合体投标:本次招标不接受联合体投标。</w:t>
      </w:r>
    </w:p>
    <w:p w14:paraId="6E1F471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五、获取招标文件的时间、期限、地点及方式</w:t>
      </w:r>
    </w:p>
    <w:p w14:paraId="42288401">
      <w:pPr>
        <w:tabs>
          <w:tab w:val="left" w:pos="3500"/>
        </w:tabs>
        <w:autoSpaceDE w:val="0"/>
        <w:autoSpaceDN w:val="0"/>
        <w:adjustRightInd w:val="0"/>
        <w:snapToGrid w:val="0"/>
        <w:spacing w:line="360" w:lineRule="auto"/>
        <w:ind w:firstLine="420" w:firstLineChars="200"/>
        <w:jc w:val="left"/>
        <w:rPr>
          <w:rStyle w:val="98"/>
          <w:rFonts w:ascii="宋体" w:hAnsi="宋体"/>
          <w:color w:val="auto"/>
          <w:szCs w:val="21"/>
          <w:highlight w:val="none"/>
        </w:rPr>
      </w:pPr>
      <w:r>
        <w:rPr>
          <w:rStyle w:val="98"/>
          <w:rFonts w:hint="eastAsia" w:ascii="宋体" w:hAnsi="宋体"/>
          <w:color w:val="auto"/>
          <w:szCs w:val="21"/>
          <w:highlight w:val="none"/>
        </w:rPr>
        <w:t>有意参加投标者，请于</w:t>
      </w:r>
      <w:r>
        <w:rPr>
          <w:rStyle w:val="98"/>
          <w:rFonts w:ascii="宋体" w:hAnsi="宋体"/>
          <w:color w:val="auto"/>
          <w:szCs w:val="21"/>
          <w:highlight w:val="none"/>
        </w:rPr>
        <w:t>即日起至投标文件递交的截止时间止</w:t>
      </w:r>
      <w:r>
        <w:rPr>
          <w:rStyle w:val="98"/>
          <w:rFonts w:hint="eastAsia" w:ascii="宋体" w:hAnsi="宋体"/>
          <w:color w:val="auto"/>
          <w:szCs w:val="21"/>
          <w:highlight w:val="none"/>
        </w:rPr>
        <w:t>，在娄底市公共资源交易网（http://ldggzy.hnloudi.gov.cn/）用湖南CA证书登录后获取电子版招标文件。</w:t>
      </w:r>
    </w:p>
    <w:p w14:paraId="49C1068F">
      <w:pPr>
        <w:tabs>
          <w:tab w:val="left" w:pos="3500"/>
        </w:tabs>
        <w:autoSpaceDE w:val="0"/>
        <w:autoSpaceDN w:val="0"/>
        <w:adjustRightInd w:val="0"/>
        <w:snapToGrid w:val="0"/>
        <w:spacing w:line="360" w:lineRule="auto"/>
        <w:ind w:firstLine="420" w:firstLineChars="200"/>
        <w:jc w:val="left"/>
        <w:rPr>
          <w:rStyle w:val="98"/>
          <w:rFonts w:ascii="宋体" w:hAnsi="宋体"/>
          <w:color w:val="auto"/>
          <w:szCs w:val="21"/>
          <w:highlight w:val="none"/>
        </w:rPr>
      </w:pPr>
      <w:r>
        <w:rPr>
          <w:rStyle w:val="98"/>
          <w:rFonts w:ascii="宋体" w:hAnsi="宋体"/>
          <w:color w:val="auto"/>
          <w:szCs w:val="21"/>
          <w:highlight w:val="none"/>
        </w:rPr>
        <w:object>
          <v:shape id="_x0000_i1025" o:spt="201" alt="" type="#_x0000_t201" style="height:15.6pt;width:20.4pt;" o:ole="t" filled="f" o:preferrelative="t" stroked="f" coordsize="21600,21600">
            <v:path/>
            <v:fill on="f" focussize="0,0"/>
            <v:stroke on="f"/>
            <v:imagedata r:id="rId15" o:title=""/>
            <o:lock v:ext="edit" aspectratio="t"/>
            <w10:wrap type="none"/>
            <w10:anchorlock/>
          </v:shape>
          <w:control r:id="rId14" w:name="CheckBox1" w:shapeid="_x0000_i1025"/>
        </w:object>
      </w:r>
      <w:r>
        <w:rPr>
          <w:rStyle w:val="98"/>
          <w:rFonts w:hint="eastAsia" w:ascii="宋体" w:hAnsi="宋体"/>
          <w:color w:val="auto"/>
          <w:szCs w:val="21"/>
          <w:highlight w:val="none"/>
        </w:rPr>
        <w:t>本项目实行电子交易，有意参加投标者，在娄底市公共资源交易网（http://ldggzy.hnloudi.gov.cn/）用湖南CA证书登录后获取电子版招标文件。</w:t>
      </w:r>
    </w:p>
    <w:p w14:paraId="2792E1A6">
      <w:pPr>
        <w:tabs>
          <w:tab w:val="left" w:pos="3500"/>
        </w:tabs>
        <w:autoSpaceDE w:val="0"/>
        <w:autoSpaceDN w:val="0"/>
        <w:adjustRightInd w:val="0"/>
        <w:snapToGrid w:val="0"/>
        <w:spacing w:line="360" w:lineRule="auto"/>
        <w:ind w:firstLine="420" w:firstLineChars="200"/>
        <w:jc w:val="left"/>
        <w:rPr>
          <w:rStyle w:val="98"/>
          <w:rFonts w:ascii="宋体" w:hAnsi="宋体"/>
          <w:color w:val="auto"/>
          <w:szCs w:val="21"/>
          <w:highlight w:val="none"/>
        </w:rPr>
      </w:pPr>
      <w:r>
        <w:rPr>
          <w:rStyle w:val="98"/>
          <w:rFonts w:ascii="宋体" w:hAnsi="宋体"/>
          <w:color w:val="auto"/>
          <w:szCs w:val="21"/>
          <w:highlight w:val="none"/>
        </w:rPr>
        <w:object>
          <v:shape id="_x0000_i1026" o:spt="201" alt="" type="#_x0000_t201" style="height:15.6pt;width:20.4pt;" o:ole="t" filled="f" o:preferrelative="t" stroked="f" coordsize="21600,21600">
            <v:path/>
            <v:fill on="f" focussize="0,0"/>
            <v:stroke on="f"/>
            <v:imagedata r:id="rId17" o:title=""/>
            <o:lock v:ext="edit" aspectratio="t"/>
            <w10:wrap type="none"/>
            <w10:anchorlock/>
          </v:shape>
          <w:control r:id="rId16" w:name="CheckBox2" w:shapeid="_x0000_i1026"/>
        </w:object>
      </w:r>
      <w:r>
        <w:rPr>
          <w:rStyle w:val="98"/>
          <w:rFonts w:hint="eastAsia" w:ascii="宋体" w:hAnsi="宋体"/>
          <w:color w:val="auto"/>
          <w:szCs w:val="21"/>
          <w:highlight w:val="none"/>
        </w:rPr>
        <w:t>本项目进行资格预审，招标文件将向所有通过资格预审的供应商提供。</w:t>
      </w:r>
    </w:p>
    <w:p w14:paraId="036BCA13">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六、投标截止时间、开标时间及地点</w:t>
      </w:r>
    </w:p>
    <w:p w14:paraId="4FA4649E">
      <w:pPr>
        <w:adjustRightInd w:val="0"/>
        <w:snapToGrid w:val="0"/>
        <w:spacing w:line="360" w:lineRule="auto"/>
        <w:ind w:firstLine="420" w:firstLineChars="200"/>
        <w:rPr>
          <w:rStyle w:val="98"/>
          <w:rFonts w:ascii="宋体" w:hAnsi="宋体"/>
          <w:color w:val="auto"/>
          <w:szCs w:val="21"/>
          <w:highlight w:val="none"/>
        </w:rPr>
      </w:pPr>
      <w:r>
        <w:rPr>
          <w:rStyle w:val="98"/>
          <w:rFonts w:hint="eastAsia" w:ascii="宋体" w:hAnsi="宋体"/>
          <w:color w:val="auto"/>
          <w:szCs w:val="21"/>
          <w:highlight w:val="none"/>
        </w:rPr>
        <w:t>1、</w:t>
      </w:r>
      <w:r>
        <w:rPr>
          <w:rStyle w:val="98"/>
          <w:rFonts w:ascii="宋体" w:hAnsi="宋体"/>
          <w:color w:val="auto"/>
          <w:szCs w:val="21"/>
          <w:highlight w:val="none"/>
        </w:rPr>
        <w:t>提交投标文件的截止时间</w:t>
      </w:r>
      <w:r>
        <w:rPr>
          <w:rStyle w:val="98"/>
          <w:rFonts w:hint="eastAsia" w:ascii="宋体" w:hAnsi="宋体"/>
          <w:color w:val="auto"/>
          <w:szCs w:val="21"/>
          <w:highlight w:val="none"/>
        </w:rPr>
        <w:t>及开标时间</w:t>
      </w:r>
      <w:r>
        <w:rPr>
          <w:rStyle w:val="98"/>
          <w:rFonts w:ascii="宋体" w:hAnsi="宋体"/>
          <w:color w:val="auto"/>
          <w:szCs w:val="21"/>
          <w:highlight w:val="none"/>
        </w:rPr>
        <w:t>：202</w:t>
      </w:r>
      <w:r>
        <w:rPr>
          <w:rStyle w:val="98"/>
          <w:rFonts w:hint="eastAsia" w:ascii="宋体" w:hAnsi="宋体"/>
          <w:color w:val="auto"/>
          <w:szCs w:val="21"/>
          <w:highlight w:val="none"/>
          <w:lang w:val="en-US" w:eastAsia="zh-CN"/>
        </w:rPr>
        <w:t>6</w:t>
      </w:r>
      <w:r>
        <w:rPr>
          <w:rStyle w:val="98"/>
          <w:rFonts w:ascii="宋体" w:hAnsi="宋体"/>
          <w:color w:val="auto"/>
          <w:szCs w:val="21"/>
          <w:highlight w:val="none"/>
        </w:rPr>
        <w:t>年</w:t>
      </w:r>
      <w:r>
        <w:rPr>
          <w:rStyle w:val="98"/>
          <w:rFonts w:hint="eastAsia" w:ascii="宋体" w:hAnsi="宋体"/>
          <w:color w:val="auto"/>
          <w:szCs w:val="21"/>
          <w:highlight w:val="none"/>
          <w:u w:val="single"/>
        </w:rPr>
        <w:t xml:space="preserve"> </w:t>
      </w:r>
      <w:r>
        <w:rPr>
          <w:rStyle w:val="98"/>
          <w:rFonts w:hint="eastAsia" w:ascii="宋体" w:hAnsi="宋体"/>
          <w:color w:val="auto"/>
          <w:szCs w:val="21"/>
          <w:highlight w:val="none"/>
          <w:u w:val="single"/>
          <w:lang w:val="en-US" w:eastAsia="zh-CN"/>
        </w:rPr>
        <w:t xml:space="preserve">9 </w:t>
      </w:r>
      <w:r>
        <w:rPr>
          <w:rStyle w:val="98"/>
          <w:rFonts w:hint="eastAsia" w:ascii="宋体" w:hAnsi="宋体"/>
          <w:color w:val="auto"/>
          <w:szCs w:val="21"/>
          <w:highlight w:val="none"/>
          <w:u w:val="single"/>
        </w:rPr>
        <w:t xml:space="preserve"> </w:t>
      </w:r>
      <w:r>
        <w:rPr>
          <w:rStyle w:val="98"/>
          <w:rFonts w:hint="eastAsia" w:ascii="宋体" w:hAnsi="宋体"/>
          <w:color w:val="auto"/>
          <w:szCs w:val="21"/>
          <w:highlight w:val="none"/>
        </w:rPr>
        <w:t>月</w:t>
      </w:r>
      <w:r>
        <w:rPr>
          <w:rStyle w:val="98"/>
          <w:rFonts w:hint="eastAsia" w:ascii="宋体" w:hAnsi="宋体"/>
          <w:color w:val="auto"/>
          <w:szCs w:val="21"/>
          <w:highlight w:val="none"/>
          <w:u w:val="single"/>
        </w:rPr>
        <w:t xml:space="preserve"> </w:t>
      </w:r>
      <w:r>
        <w:rPr>
          <w:rStyle w:val="98"/>
          <w:rFonts w:hint="eastAsia" w:ascii="宋体" w:hAnsi="宋体"/>
          <w:color w:val="auto"/>
          <w:szCs w:val="21"/>
          <w:highlight w:val="none"/>
          <w:u w:val="single"/>
          <w:lang w:val="en-US" w:eastAsia="zh-CN"/>
        </w:rPr>
        <w:t xml:space="preserve"> 21</w:t>
      </w:r>
      <w:r>
        <w:rPr>
          <w:rStyle w:val="98"/>
          <w:rFonts w:hint="eastAsia" w:ascii="宋体" w:hAnsi="宋体"/>
          <w:color w:val="auto"/>
          <w:szCs w:val="21"/>
          <w:highlight w:val="none"/>
          <w:u w:val="single"/>
        </w:rPr>
        <w:t xml:space="preserve"> </w:t>
      </w:r>
      <w:r>
        <w:rPr>
          <w:rStyle w:val="98"/>
          <w:rFonts w:hint="eastAsia" w:ascii="宋体" w:hAnsi="宋体"/>
          <w:color w:val="auto"/>
          <w:szCs w:val="21"/>
          <w:highlight w:val="none"/>
        </w:rPr>
        <w:t>日09:00（北京时间）</w:t>
      </w:r>
    </w:p>
    <w:p w14:paraId="2972E321">
      <w:pPr>
        <w:adjustRightInd w:val="0"/>
        <w:snapToGrid w:val="0"/>
        <w:spacing w:line="360" w:lineRule="auto"/>
        <w:ind w:firstLine="420" w:firstLineChars="200"/>
        <w:rPr>
          <w:rFonts w:ascii="宋体" w:hAnsi="宋体"/>
          <w:color w:val="auto"/>
          <w:szCs w:val="21"/>
          <w:highlight w:val="none"/>
        </w:rPr>
      </w:pPr>
      <w:r>
        <w:rPr>
          <w:rStyle w:val="98"/>
          <w:rFonts w:hint="eastAsia" w:ascii="宋体" w:hAnsi="宋体"/>
          <w:color w:val="auto"/>
          <w:szCs w:val="21"/>
          <w:highlight w:val="none"/>
        </w:rPr>
        <w:t>2、提交投标文件地点：</w:t>
      </w:r>
      <w:r>
        <w:rPr>
          <w:rStyle w:val="98"/>
          <w:rFonts w:ascii="宋体" w:hAnsi="宋体"/>
          <w:color w:val="auto"/>
          <w:szCs w:val="21"/>
          <w:highlight w:val="none"/>
        </w:rPr>
        <w:t>娄底市公共资源交易中心（http://ldggzy.hnloudi.gov.cn/）。</w:t>
      </w:r>
    </w:p>
    <w:p w14:paraId="61FDAC4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Style w:val="49"/>
          <w:rFonts w:ascii="宋体" w:hAnsi="宋体" w:cs="宋体"/>
          <w:b w:val="0"/>
          <w:bCs w:val="0"/>
          <w:color w:val="auto"/>
          <w:szCs w:val="21"/>
          <w:highlight w:val="none"/>
        </w:rPr>
        <w:t>解密截止时间：202</w:t>
      </w:r>
      <w:r>
        <w:rPr>
          <w:rStyle w:val="49"/>
          <w:rFonts w:hint="eastAsia" w:ascii="宋体" w:hAnsi="宋体" w:cs="宋体"/>
          <w:b w:val="0"/>
          <w:bCs w:val="0"/>
          <w:color w:val="auto"/>
          <w:szCs w:val="21"/>
          <w:highlight w:val="none"/>
          <w:lang w:val="en-US" w:eastAsia="zh-CN"/>
        </w:rPr>
        <w:t>6</w:t>
      </w:r>
      <w:r>
        <w:rPr>
          <w:rStyle w:val="49"/>
          <w:rFonts w:ascii="宋体" w:hAnsi="宋体" w:cs="宋体"/>
          <w:b w:val="0"/>
          <w:bCs w:val="0"/>
          <w:color w:val="auto"/>
          <w:szCs w:val="21"/>
          <w:highlight w:val="none"/>
        </w:rPr>
        <w:t>年</w:t>
      </w:r>
      <w:r>
        <w:rPr>
          <w:rStyle w:val="49"/>
          <w:rFonts w:hint="eastAsia" w:ascii="宋体" w:hAnsi="宋体" w:cs="宋体"/>
          <w:b w:val="0"/>
          <w:bCs w:val="0"/>
          <w:color w:val="auto"/>
          <w:szCs w:val="21"/>
          <w:highlight w:val="none"/>
          <w:u w:val="single"/>
        </w:rPr>
        <w:t xml:space="preserve"> </w:t>
      </w:r>
      <w:r>
        <w:rPr>
          <w:rStyle w:val="49"/>
          <w:rFonts w:hint="eastAsia" w:ascii="宋体" w:hAnsi="宋体" w:cs="宋体"/>
          <w:b w:val="0"/>
          <w:bCs w:val="0"/>
          <w:color w:val="auto"/>
          <w:szCs w:val="21"/>
          <w:highlight w:val="none"/>
          <w:u w:val="single"/>
          <w:lang w:val="en-US" w:eastAsia="zh-CN"/>
        </w:rPr>
        <w:t xml:space="preserve">  9</w:t>
      </w:r>
      <w:r>
        <w:rPr>
          <w:rStyle w:val="49"/>
          <w:rFonts w:hint="eastAsia" w:ascii="宋体" w:hAnsi="宋体" w:cs="宋体"/>
          <w:b w:val="0"/>
          <w:bCs w:val="0"/>
          <w:color w:val="auto"/>
          <w:szCs w:val="21"/>
          <w:highlight w:val="none"/>
          <w:u w:val="single"/>
        </w:rPr>
        <w:t xml:space="preserve">  </w:t>
      </w:r>
      <w:r>
        <w:rPr>
          <w:rStyle w:val="49"/>
          <w:rFonts w:ascii="宋体" w:hAnsi="宋体" w:cs="宋体"/>
          <w:b w:val="0"/>
          <w:bCs w:val="0"/>
          <w:color w:val="auto"/>
          <w:szCs w:val="21"/>
          <w:highlight w:val="none"/>
        </w:rPr>
        <w:t>月</w:t>
      </w:r>
      <w:r>
        <w:rPr>
          <w:rStyle w:val="49"/>
          <w:rFonts w:hint="eastAsia" w:ascii="宋体" w:hAnsi="宋体" w:cs="宋体"/>
          <w:b w:val="0"/>
          <w:bCs w:val="0"/>
          <w:color w:val="auto"/>
          <w:szCs w:val="21"/>
          <w:highlight w:val="none"/>
          <w:u w:val="single"/>
        </w:rPr>
        <w:t xml:space="preserve"> </w:t>
      </w:r>
      <w:r>
        <w:rPr>
          <w:rStyle w:val="49"/>
          <w:rFonts w:hint="eastAsia" w:ascii="宋体" w:hAnsi="宋体" w:cs="宋体"/>
          <w:b w:val="0"/>
          <w:bCs w:val="0"/>
          <w:color w:val="auto"/>
          <w:szCs w:val="21"/>
          <w:highlight w:val="none"/>
          <w:u w:val="single"/>
          <w:lang w:val="en-US" w:eastAsia="zh-CN"/>
        </w:rPr>
        <w:t xml:space="preserve"> 21 </w:t>
      </w:r>
      <w:r>
        <w:rPr>
          <w:rStyle w:val="49"/>
          <w:rFonts w:hint="eastAsia" w:ascii="宋体" w:hAnsi="宋体" w:cs="宋体"/>
          <w:b w:val="0"/>
          <w:bCs w:val="0"/>
          <w:color w:val="auto"/>
          <w:szCs w:val="21"/>
          <w:highlight w:val="none"/>
          <w:u w:val="single"/>
        </w:rPr>
        <w:t xml:space="preserve"> </w:t>
      </w:r>
      <w:r>
        <w:rPr>
          <w:rStyle w:val="49"/>
          <w:rFonts w:ascii="宋体" w:hAnsi="宋体" w:cs="宋体"/>
          <w:b w:val="0"/>
          <w:bCs w:val="0"/>
          <w:color w:val="auto"/>
          <w:szCs w:val="21"/>
          <w:highlight w:val="none"/>
        </w:rPr>
        <w:t>日</w:t>
      </w:r>
      <w:r>
        <w:rPr>
          <w:rStyle w:val="49"/>
          <w:rFonts w:hint="eastAsia" w:ascii="宋体" w:hAnsi="宋体" w:cs="宋体"/>
          <w:b w:val="0"/>
          <w:bCs w:val="0"/>
          <w:color w:val="auto"/>
          <w:szCs w:val="21"/>
          <w:highlight w:val="none"/>
          <w:u w:val="single"/>
        </w:rPr>
        <w:t xml:space="preserve"> 09 </w:t>
      </w:r>
      <w:r>
        <w:rPr>
          <w:rStyle w:val="49"/>
          <w:rFonts w:ascii="宋体" w:hAnsi="宋体" w:cs="宋体"/>
          <w:b w:val="0"/>
          <w:bCs w:val="0"/>
          <w:color w:val="auto"/>
          <w:szCs w:val="21"/>
          <w:highlight w:val="none"/>
        </w:rPr>
        <w:t>时</w:t>
      </w:r>
      <w:r>
        <w:rPr>
          <w:rStyle w:val="49"/>
          <w:rFonts w:hint="eastAsia" w:ascii="宋体" w:hAnsi="宋体" w:cs="宋体"/>
          <w:b w:val="0"/>
          <w:bCs w:val="0"/>
          <w:color w:val="auto"/>
          <w:szCs w:val="21"/>
          <w:highlight w:val="none"/>
          <w:u w:val="single"/>
        </w:rPr>
        <w:t xml:space="preserve"> 30</w:t>
      </w:r>
      <w:r>
        <w:rPr>
          <w:rStyle w:val="49"/>
          <w:rFonts w:ascii="宋体" w:hAnsi="宋体" w:cs="宋体"/>
          <w:b w:val="0"/>
          <w:bCs w:val="0"/>
          <w:color w:val="auto"/>
          <w:szCs w:val="21"/>
          <w:highlight w:val="none"/>
          <w:u w:val="single"/>
        </w:rPr>
        <w:t xml:space="preserve"> </w:t>
      </w:r>
      <w:r>
        <w:rPr>
          <w:rStyle w:val="49"/>
          <w:rFonts w:ascii="宋体" w:hAnsi="宋体" w:cs="宋体"/>
          <w:b w:val="0"/>
          <w:bCs w:val="0"/>
          <w:color w:val="auto"/>
          <w:szCs w:val="21"/>
          <w:highlight w:val="none"/>
        </w:rPr>
        <w:t>分（投标截止时间后30分</w:t>
      </w:r>
      <w:r>
        <w:rPr>
          <w:rStyle w:val="98"/>
          <w:rFonts w:ascii="宋体" w:hAnsi="宋体"/>
          <w:color w:val="auto"/>
          <w:szCs w:val="21"/>
          <w:highlight w:val="none"/>
        </w:rPr>
        <w:t>钟）</w:t>
      </w:r>
      <w:r>
        <w:rPr>
          <w:rStyle w:val="98"/>
          <w:rFonts w:hint="eastAsia" w:ascii="宋体" w:hAnsi="宋体"/>
          <w:color w:val="auto"/>
          <w:szCs w:val="21"/>
          <w:highlight w:val="none"/>
        </w:rPr>
        <w:t>,</w:t>
      </w:r>
      <w:r>
        <w:rPr>
          <w:rStyle w:val="98"/>
          <w:rFonts w:ascii="宋体" w:hAnsi="宋体"/>
          <w:color w:val="auto"/>
          <w:szCs w:val="21"/>
          <w:highlight w:val="none"/>
        </w:rPr>
        <w:t>请投标人确保投标文件如期解密。</w:t>
      </w:r>
    </w:p>
    <w:p w14:paraId="2439BF1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Style w:val="98"/>
          <w:rFonts w:hint="eastAsia" w:ascii="宋体" w:hAnsi="宋体"/>
          <w:color w:val="auto"/>
          <w:szCs w:val="21"/>
          <w:highlight w:val="none"/>
        </w:rPr>
        <w:t>开标地点：</w:t>
      </w:r>
      <w:r>
        <w:rPr>
          <w:rStyle w:val="189"/>
          <w:rFonts w:hAnsi="宋体"/>
          <w:color w:val="auto"/>
          <w:kern w:val="0"/>
          <w:highlight w:val="none"/>
        </w:rPr>
        <w:t>娄底市公共资源交易中心四楼（详见当天电子显示屏的安排）</w:t>
      </w:r>
      <w:r>
        <w:rPr>
          <w:rStyle w:val="98"/>
          <w:rFonts w:ascii="宋体" w:hAnsi="宋体"/>
          <w:color w:val="auto"/>
          <w:szCs w:val="21"/>
          <w:highlight w:val="none"/>
        </w:rPr>
        <w:t>。</w:t>
      </w:r>
    </w:p>
    <w:p w14:paraId="3A09BEA8">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14:paraId="33624A35">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1、本招标公告在中国湖南政府采购网（www.ccgp-hunan.gov.cn</w:t>
      </w:r>
      <w:bookmarkStart w:id="1967" w:name="_GoBack"/>
      <w:bookmarkEnd w:id="1967"/>
      <w:r>
        <w:rPr>
          <w:rFonts w:hint="eastAsia" w:ascii="宋体" w:hAnsi="宋体"/>
          <w:color w:val="auto"/>
          <w:szCs w:val="21"/>
          <w:highlight w:val="none"/>
        </w:rPr>
        <w:t>）和娄底市公共资源交易网（http://ldggzy.hnloudi.gov.cn/）发布。公告期限从本招标公告发布之日起5个工作日。</w:t>
      </w:r>
    </w:p>
    <w:p w14:paraId="4FEC20E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3F6AE2DB">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14:paraId="0F90BDE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14:paraId="77048A4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14:paraId="7D3338F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w:t>
      </w:r>
      <w:r>
        <w:rPr>
          <w:rFonts w:hint="eastAsia" w:ascii="宋体" w:hAnsi="宋体"/>
          <w:color w:val="auto"/>
          <w:szCs w:val="21"/>
          <w:highlight w:val="none"/>
          <w:lang w:eastAsia="zh-CN"/>
        </w:rPr>
        <w:t>〔2024〕67</w:t>
      </w:r>
      <w:r>
        <w:rPr>
          <w:rFonts w:hint="eastAsia" w:ascii="宋体" w:hAnsi="宋体"/>
          <w:color w:val="auto"/>
          <w:szCs w:val="21"/>
          <w:highlight w:val="none"/>
        </w:rPr>
        <w:t>号)规定，以纸质书面形式向采购人、采购代理机构提出质疑。</w:t>
      </w:r>
    </w:p>
    <w:p w14:paraId="6A003228">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九、投标说明</w:t>
      </w:r>
    </w:p>
    <w:p w14:paraId="79DC880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color w:val="auto"/>
          <w:szCs w:val="21"/>
          <w:highlight w:val="none"/>
        </w:rPr>
      </w:pPr>
      <w:r>
        <w:rPr>
          <w:rFonts w:hint="eastAsia" w:ascii="宋体" w:hAnsi="宋体"/>
          <w:color w:val="auto"/>
          <w:szCs w:val="21"/>
          <w:highlight w:val="none"/>
        </w:rPr>
        <w:t>1、本公告选项：</w:t>
      </w:r>
      <w:r>
        <w:rPr>
          <w:rFonts w:hint="eastAsia" w:ascii="宋体" w:hAnsi="宋体" w:cs="宋体"/>
          <w:iCs/>
          <w:color w:val="auto"/>
          <w:szCs w:val="21"/>
          <w:highlight w:val="none"/>
        </w:rPr>
        <w:sym w:font="Wingdings" w:char="00FE"/>
      </w:r>
      <w:r>
        <w:rPr>
          <w:rFonts w:hint="eastAsia" w:ascii="宋体" w:hAnsi="宋体"/>
          <w:color w:val="auto"/>
          <w:szCs w:val="21"/>
          <w:highlight w:val="none"/>
        </w:rPr>
        <w:t>表示选择，</w:t>
      </w:r>
      <w:r>
        <w:rPr>
          <w:rFonts w:hint="eastAsia" w:ascii="宋体" w:hAnsi="宋体"/>
          <w:color w:val="auto"/>
          <w:szCs w:val="21"/>
          <w:highlight w:val="none"/>
        </w:rPr>
        <w:sym w:font="Wingdings" w:char="00A8"/>
      </w:r>
      <w:r>
        <w:rPr>
          <w:rFonts w:hint="eastAsia" w:ascii="宋体" w:hAnsi="宋体"/>
          <w:color w:val="auto"/>
          <w:szCs w:val="21"/>
          <w:highlight w:val="none"/>
        </w:rPr>
        <w:t>表示未选择。</w:t>
      </w:r>
    </w:p>
    <w:p w14:paraId="046A6F29">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2、投标人参与政府采购活动，无需向采购人、代理机构、交易平台缴纳任何费用。</w:t>
      </w:r>
    </w:p>
    <w:p w14:paraId="708F06F3">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十、其他补充事宜</w:t>
      </w:r>
    </w:p>
    <w:p w14:paraId="36B4EC84">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1、本</w:t>
      </w:r>
      <w:r>
        <w:rPr>
          <w:rStyle w:val="98"/>
          <w:rFonts w:ascii="宋体" w:hAnsi="宋体"/>
          <w:color w:val="auto"/>
          <w:szCs w:val="21"/>
          <w:highlight w:val="none"/>
        </w:rPr>
        <w:t>项目采用电子化招标</w:t>
      </w:r>
      <w:r>
        <w:rPr>
          <w:rStyle w:val="98"/>
          <w:rFonts w:hint="eastAsia" w:ascii="宋体" w:hAnsi="宋体"/>
          <w:color w:val="auto"/>
          <w:szCs w:val="21"/>
          <w:highlight w:val="none"/>
        </w:rPr>
        <w:t>，</w:t>
      </w:r>
      <w:r>
        <w:rPr>
          <w:rFonts w:hint="eastAsia" w:ascii="宋体" w:hAnsi="宋体"/>
          <w:color w:val="auto"/>
          <w:highlight w:val="none"/>
          <w:shd w:val="clear" w:color="auto" w:fill="FFFFFF"/>
        </w:rPr>
        <w:t>请各潜在投标人在投标函中提供真实有效的联系人及联系电话，以便联系。</w:t>
      </w:r>
      <w:r>
        <w:rPr>
          <w:rFonts w:hint="eastAsia" w:ascii="宋体" w:hAnsi="宋体"/>
          <w:color w:val="auto"/>
          <w:szCs w:val="21"/>
          <w:highlight w:val="none"/>
        </w:rPr>
        <w:t>评标委员会按投标人提交的电子投标文件进行评审，资料的真实性、合法性由投标人负责，如有虚假，已中标的将取消中标资格，并依法追究相应责任。</w:t>
      </w:r>
    </w:p>
    <w:p w14:paraId="5027D8FE">
      <w:pPr>
        <w:adjustRightInd w:val="0"/>
        <w:snapToGrid w:val="0"/>
        <w:spacing w:line="360" w:lineRule="auto"/>
        <w:ind w:firstLine="420" w:firstLineChars="200"/>
        <w:rPr>
          <w:rFonts w:ascii="宋体" w:hAnsi="宋体"/>
          <w:color w:val="auto"/>
          <w:highlight w:val="none"/>
          <w:shd w:val="clear" w:color="auto" w:fill="FFFFFF"/>
        </w:rPr>
      </w:pPr>
      <w:r>
        <w:rPr>
          <w:rFonts w:hint="eastAsia" w:ascii="宋体" w:hAnsi="宋体"/>
          <w:color w:val="auto"/>
          <w:highlight w:val="none"/>
          <w:shd w:val="clear" w:color="auto" w:fill="FFFFFF"/>
        </w:rPr>
        <w:t>2、澄清说明：专家在评标室对需要进行澄清说明的单位进行提问，投标单位收到短信后在规定时间内在交易平台进行澄清说明（快捷导航-澄清说明-选择进行澄清说明的项目），查看问题并上传附件（澄清说明附件以PDF格式上传至交易系统）；</w:t>
      </w:r>
    </w:p>
    <w:p w14:paraId="7B821019">
      <w:pPr>
        <w:adjustRightInd w:val="0"/>
        <w:snapToGrid w:val="0"/>
        <w:spacing w:line="360" w:lineRule="auto"/>
        <w:ind w:firstLine="422" w:firstLineChars="200"/>
        <w:rPr>
          <w:rFonts w:ascii="宋体" w:hAnsi="宋体"/>
          <w:b/>
          <w:color w:val="auto"/>
          <w:szCs w:val="21"/>
          <w:highlight w:val="none"/>
        </w:rPr>
      </w:pPr>
      <w:r>
        <w:rPr>
          <w:rFonts w:hint="eastAsia" w:ascii="宋体" w:hAnsi="宋体"/>
          <w:b/>
          <w:bCs/>
          <w:color w:val="auto"/>
          <w:szCs w:val="21"/>
          <w:highlight w:val="none"/>
        </w:rPr>
        <w:t>十一</w:t>
      </w:r>
      <w:r>
        <w:rPr>
          <w:rFonts w:hint="eastAsia" w:ascii="宋体" w:hAnsi="宋体"/>
          <w:color w:val="auto"/>
          <w:szCs w:val="21"/>
          <w:highlight w:val="none"/>
        </w:rPr>
        <w:t>、</w:t>
      </w:r>
      <w:r>
        <w:rPr>
          <w:rFonts w:hint="eastAsia" w:ascii="宋体" w:hAnsi="宋体"/>
          <w:b/>
          <w:color w:val="auto"/>
          <w:szCs w:val="21"/>
          <w:highlight w:val="none"/>
        </w:rPr>
        <w:t>采购项目联系人姓名和电话</w:t>
      </w:r>
    </w:p>
    <w:p w14:paraId="25CA730F">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1、联系人姓名：</w:t>
      </w:r>
      <w:r>
        <w:rPr>
          <w:rFonts w:hint="eastAsia" w:ascii="宋体" w:hAnsi="宋体"/>
          <w:color w:val="auto"/>
          <w:szCs w:val="21"/>
          <w:highlight w:val="none"/>
          <w:lang w:eastAsia="zh-CN"/>
        </w:rPr>
        <w:t>孙先生</w:t>
      </w:r>
    </w:p>
    <w:p w14:paraId="49B4C659">
      <w:pPr>
        <w:adjustRightInd w:val="0"/>
        <w:snapToGrid w:val="0"/>
        <w:spacing w:line="360" w:lineRule="auto"/>
        <w:ind w:firstLine="420" w:firstLineChars="200"/>
        <w:rPr>
          <w:rFonts w:hint="default" w:ascii="宋体" w:hAnsi="宋体"/>
          <w:color w:val="auto"/>
          <w:szCs w:val="21"/>
          <w:highlight w:val="none"/>
          <w:lang w:val="en-US"/>
        </w:rPr>
      </w:pPr>
      <w:r>
        <w:rPr>
          <w:rFonts w:hint="eastAsia" w:ascii="宋体" w:hAnsi="宋体" w:cs="宋体"/>
          <w:color w:val="auto"/>
          <w:szCs w:val="21"/>
          <w:highlight w:val="none"/>
        </w:rPr>
        <w:t>2、电话：15377382555</w:t>
      </w:r>
    </w:p>
    <w:p w14:paraId="2C2A94F1">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十二、采购人、采购代理机构的名称、地址和联系方法</w:t>
      </w:r>
    </w:p>
    <w:p w14:paraId="7FF1D8A8">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14:paraId="4BEEBBF1">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（1）名称：新化县城市管理和综合执法局</w:t>
      </w:r>
    </w:p>
    <w:p w14:paraId="1D0217E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（2）地址：</w:t>
      </w:r>
      <w:r>
        <w:rPr>
          <w:rFonts w:hint="eastAsia" w:ascii="宋体" w:hAnsi="宋体" w:cs="宋体"/>
          <w:bCs/>
          <w:color w:val="auto"/>
          <w:szCs w:val="21"/>
          <w:highlight w:val="none"/>
        </w:rPr>
        <w:t>新化县富康路</w:t>
      </w:r>
    </w:p>
    <w:p w14:paraId="0DB15B9E">
      <w:pPr>
        <w:adjustRightInd w:val="0"/>
        <w:snapToGrid w:val="0"/>
        <w:spacing w:line="360" w:lineRule="auto"/>
        <w:ind w:firstLine="411" w:firstLineChars="196"/>
        <w:rPr>
          <w:rFonts w:hint="eastAsia" w:ascii="宋体" w:hAnsi="宋体" w:eastAsia="宋体"/>
          <w:color w:val="auto"/>
          <w:szCs w:val="21"/>
          <w:highlight w:val="none"/>
          <w:lang w:eastAsia="zh-CN"/>
        </w:rPr>
      </w:pPr>
      <w:r>
        <w:rPr>
          <w:rFonts w:hint="eastAsia" w:ascii="宋体" w:hAnsi="宋体"/>
          <w:color w:val="auto"/>
          <w:szCs w:val="21"/>
          <w:highlight w:val="none"/>
        </w:rPr>
        <w:t>（3）联系人：</w:t>
      </w:r>
      <w:r>
        <w:rPr>
          <w:rFonts w:hint="eastAsia" w:ascii="宋体" w:hAnsi="宋体"/>
          <w:color w:val="auto"/>
          <w:szCs w:val="21"/>
          <w:highlight w:val="none"/>
          <w:lang w:eastAsia="zh-CN"/>
        </w:rPr>
        <w:t>孙先生</w:t>
      </w:r>
    </w:p>
    <w:p w14:paraId="7265A51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（4）邮编：417600</w:t>
      </w:r>
    </w:p>
    <w:p w14:paraId="6415FB4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（5）电话：15377382555</w:t>
      </w:r>
    </w:p>
    <w:p w14:paraId="7E4135A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（6）电子邮箱：/</w:t>
      </w:r>
    </w:p>
    <w:p w14:paraId="217D2247">
      <w:p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14:paraId="5AFE7314">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（1）名称：湖南天湘项目管理有限公司</w:t>
      </w:r>
    </w:p>
    <w:p w14:paraId="3CEEE60B">
      <w:pPr>
        <w:adjustRightInd w:val="0"/>
        <w:snapToGrid w:val="0"/>
        <w:spacing w:line="360" w:lineRule="auto"/>
        <w:ind w:firstLine="411" w:firstLineChars="196"/>
        <w:rPr>
          <w:rFonts w:hint="default" w:ascii="宋体" w:hAnsi="宋体" w:eastAsia="宋体"/>
          <w:color w:val="auto"/>
          <w:szCs w:val="21"/>
          <w:highlight w:val="none"/>
          <w:lang w:val="en-US" w:eastAsia="zh-CN"/>
        </w:rPr>
      </w:pPr>
      <w:r>
        <w:rPr>
          <w:rFonts w:hint="eastAsia" w:ascii="宋体" w:hAnsi="宋体"/>
          <w:color w:val="auto"/>
          <w:szCs w:val="21"/>
          <w:highlight w:val="none"/>
        </w:rPr>
        <w:t>（2）地址：</w:t>
      </w:r>
      <w:r>
        <w:rPr>
          <w:rStyle w:val="98"/>
          <w:rFonts w:hint="eastAsia" w:ascii="宋体" w:hAnsi="宋体"/>
          <w:color w:val="auto"/>
          <w:szCs w:val="21"/>
          <w:highlight w:val="none"/>
        </w:rPr>
        <w:t>新化县清水塘路（金水园）第一幢</w:t>
      </w:r>
      <w:r>
        <w:rPr>
          <w:rStyle w:val="98"/>
          <w:rFonts w:hint="eastAsia" w:ascii="宋体" w:hAnsi="宋体"/>
          <w:color w:val="auto"/>
          <w:szCs w:val="21"/>
          <w:highlight w:val="none"/>
          <w:lang w:val="en-US" w:eastAsia="zh-CN"/>
        </w:rPr>
        <w:t>3楼</w:t>
      </w:r>
    </w:p>
    <w:p w14:paraId="0B29D5BC">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（3）联系人：</w:t>
      </w:r>
      <w:r>
        <w:rPr>
          <w:rStyle w:val="98"/>
          <w:rFonts w:hint="eastAsia" w:ascii="宋体" w:hAnsi="宋体"/>
          <w:color w:val="auto"/>
          <w:szCs w:val="21"/>
          <w:highlight w:val="none"/>
        </w:rPr>
        <w:t>曾先生   吴女士</w:t>
      </w:r>
    </w:p>
    <w:p w14:paraId="5D849EFB">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（4）邮编：417600</w:t>
      </w:r>
    </w:p>
    <w:p w14:paraId="659D3FD9">
      <w:pPr>
        <w:adjustRightInd w:val="0"/>
        <w:snapToGrid w:val="0"/>
        <w:spacing w:line="360" w:lineRule="auto"/>
        <w:ind w:firstLine="411" w:firstLineChars="196"/>
        <w:rPr>
          <w:rFonts w:hint="default" w:ascii="宋体" w:hAnsi="宋体" w:eastAsia="宋体" w:cs="宋体"/>
          <w:color w:val="auto"/>
          <w:kern w:val="1"/>
          <w:highlight w:val="none"/>
          <w:lang w:val="en-US" w:eastAsia="zh-CN"/>
        </w:rPr>
      </w:pPr>
      <w:r>
        <w:rPr>
          <w:rFonts w:hint="eastAsia" w:ascii="宋体" w:hAnsi="宋体"/>
          <w:color w:val="auto"/>
          <w:szCs w:val="21"/>
          <w:highlight w:val="none"/>
        </w:rPr>
        <w:t>（5）电话：</w:t>
      </w:r>
      <w:r>
        <w:rPr>
          <w:rStyle w:val="98"/>
          <w:rFonts w:hint="eastAsia" w:ascii="宋体" w:hAnsi="宋体"/>
          <w:color w:val="auto"/>
          <w:szCs w:val="21"/>
          <w:highlight w:val="none"/>
        </w:rPr>
        <w:t>0738-</w:t>
      </w:r>
      <w:r>
        <w:rPr>
          <w:rStyle w:val="98"/>
          <w:rFonts w:hint="eastAsia" w:ascii="宋体" w:hAnsi="宋体"/>
          <w:color w:val="auto"/>
          <w:szCs w:val="21"/>
          <w:highlight w:val="none"/>
          <w:lang w:val="en-US" w:eastAsia="zh-CN"/>
        </w:rPr>
        <w:t>3393997</w:t>
      </w:r>
    </w:p>
    <w:p w14:paraId="123DE116">
      <w:pPr>
        <w:adjustRightInd w:val="0"/>
        <w:snapToGrid w:val="0"/>
        <w:spacing w:line="360" w:lineRule="auto"/>
        <w:ind w:firstLine="411" w:firstLineChars="196"/>
        <w:rPr>
          <w:rFonts w:ascii="宋体" w:hAnsi="宋体" w:cs="宋体"/>
          <w:color w:val="auto"/>
          <w:kern w:val="1"/>
          <w:highlight w:val="none"/>
        </w:rPr>
      </w:pPr>
      <w:r>
        <w:rPr>
          <w:rFonts w:hint="eastAsia" w:ascii="宋体" w:hAnsi="宋体" w:cs="宋体"/>
          <w:color w:val="auto"/>
          <w:kern w:val="1"/>
          <w:highlight w:val="none"/>
        </w:rPr>
        <w:t>（6）电子邮箱：</w:t>
      </w:r>
      <w:r>
        <w:rPr>
          <w:rStyle w:val="98"/>
          <w:rFonts w:hint="eastAsia" w:ascii="宋体" w:hAnsi="宋体"/>
          <w:color w:val="auto"/>
          <w:szCs w:val="21"/>
          <w:highlight w:val="none"/>
        </w:rPr>
        <w:t>289141416@qq.com</w:t>
      </w:r>
    </w:p>
    <w:p w14:paraId="65B73010">
      <w:p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3、电子交易平台服务机构信息</w:t>
      </w:r>
    </w:p>
    <w:p w14:paraId="06975E96">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 称：娄底市公共资源交易中心</w:t>
      </w:r>
    </w:p>
    <w:p w14:paraId="3E5DB22D">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（2）联系人：金润软件 </w:t>
      </w:r>
    </w:p>
    <w:p w14:paraId="6FC4125F">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（3）电 话：4008199995</w:t>
      </w:r>
    </w:p>
    <w:p w14:paraId="2B988EC5">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（4）电子邮箱：</w:t>
      </w:r>
      <w:r>
        <w:rPr>
          <w:color w:val="auto"/>
          <w:highlight w:val="none"/>
        </w:rPr>
        <w:fldChar w:fldCharType="begin"/>
      </w:r>
      <w:r>
        <w:rPr>
          <w:color w:val="auto"/>
          <w:highlight w:val="none"/>
        </w:rPr>
        <w:instrText xml:space="preserve"> HYPERLINK "mailto:2159511823@qq.com" </w:instrText>
      </w:r>
      <w:r>
        <w:rPr>
          <w:color w:val="auto"/>
          <w:highlight w:val="none"/>
        </w:rPr>
        <w:fldChar w:fldCharType="separate"/>
      </w:r>
      <w:r>
        <w:rPr>
          <w:rFonts w:hint="eastAsia" w:ascii="宋体" w:hAnsi="宋体"/>
          <w:color w:val="auto"/>
          <w:szCs w:val="21"/>
          <w:highlight w:val="none"/>
        </w:rPr>
        <w:t>2159511823@qq.com</w:t>
      </w:r>
      <w:r>
        <w:rPr>
          <w:rFonts w:hint="eastAsia" w:ascii="宋体" w:hAnsi="宋体"/>
          <w:color w:val="auto"/>
          <w:szCs w:val="21"/>
          <w:highlight w:val="none"/>
        </w:rPr>
        <w:fldChar w:fldCharType="end"/>
      </w:r>
    </w:p>
    <w:p w14:paraId="20B1515C">
      <w:pPr>
        <w:widowControl/>
        <w:jc w:val="center"/>
        <w:outlineLvl w:val="0"/>
        <w:rPr>
          <w:rFonts w:ascii="宋体" w:hAnsi="宋体"/>
          <w:b/>
          <w:color w:val="auto"/>
          <w:spacing w:val="100"/>
          <w:sz w:val="32"/>
          <w:szCs w:val="32"/>
          <w:highlight w:val="none"/>
        </w:rPr>
      </w:pPr>
      <w:r>
        <w:rPr>
          <w:rFonts w:ascii="宋体" w:hAnsi="宋体"/>
          <w:color w:val="auto"/>
          <w:szCs w:val="21"/>
          <w:highlight w:val="none"/>
        </w:rPr>
        <w:br w:type="page"/>
      </w:r>
      <w:bookmarkStart w:id="17" w:name="_Toc193053695"/>
      <w:bookmarkStart w:id="18" w:name="_Toc108483385"/>
      <w:bookmarkStart w:id="19" w:name="_Toc8870"/>
      <w:bookmarkStart w:id="20" w:name="_Toc99299715"/>
      <w:bookmarkStart w:id="21" w:name="_Toc111543547"/>
      <w:bookmarkStart w:id="22" w:name="_Toc16013"/>
      <w:bookmarkStart w:id="23" w:name="_Toc31056"/>
      <w:bookmarkStart w:id="24" w:name="_Toc25456"/>
      <w:bookmarkStart w:id="25" w:name="_Toc11960"/>
      <w:bookmarkStart w:id="26" w:name="_Toc3621"/>
      <w:bookmarkStart w:id="27" w:name="_Toc23472"/>
      <w:bookmarkStart w:id="28" w:name="_Toc103979568"/>
      <w:bookmarkStart w:id="29" w:name="_Toc189905351"/>
      <w:bookmarkStart w:id="30" w:name="_Toc118209417"/>
      <w:bookmarkStart w:id="31" w:name="_Toc17813"/>
      <w:bookmarkStart w:id="32" w:name="_Toc29909"/>
      <w:bookmarkStart w:id="33" w:name="_Toc29449"/>
      <w:bookmarkStart w:id="34" w:name="_Toc685"/>
      <w:bookmarkStart w:id="35" w:name="_Toc171282394"/>
      <w:bookmarkStart w:id="36" w:name="_Toc21911"/>
      <w:bookmarkStart w:id="37" w:name="_Toc166778325"/>
      <w:bookmarkStart w:id="38" w:name="_Toc140957860"/>
      <w:bookmarkStart w:id="39" w:name="_Toc109656567"/>
      <w:bookmarkStart w:id="40" w:name="_Toc79093661"/>
      <w:bookmarkStart w:id="41" w:name="_Toc137408707"/>
      <w:bookmarkStart w:id="42" w:name="_Toc113350926"/>
      <w:bookmarkStart w:id="43" w:name="_Toc29025"/>
      <w:bookmarkStart w:id="44" w:name="_Toc2850"/>
      <w:bookmarkStart w:id="45" w:name="_Toc4882"/>
      <w:r>
        <w:rPr>
          <w:rFonts w:hint="eastAsia" w:ascii="宋体" w:hAnsi="宋体"/>
          <w:b/>
          <w:color w:val="auto"/>
          <w:sz w:val="32"/>
          <w:szCs w:val="32"/>
          <w:highlight w:val="none"/>
        </w:rPr>
        <w:t>第二章 投标须知</w:t>
      </w:r>
      <w:bookmarkEnd w:id="0"/>
      <w:bookmarkEnd w:id="1"/>
      <w:bookmarkEnd w:id="2"/>
      <w:bookmarkEnd w:id="3"/>
      <w:bookmarkEnd w:id="4"/>
      <w:bookmarkEnd w:id="5"/>
      <w:bookmarkEnd w:id="6"/>
      <w:bookmarkEnd w:id="7"/>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63ADADA">
      <w:pPr>
        <w:pStyle w:val="3"/>
        <w:adjustRightInd w:val="0"/>
        <w:snapToGrid w:val="0"/>
        <w:spacing w:line="240" w:lineRule="auto"/>
        <w:jc w:val="center"/>
        <w:rPr>
          <w:rFonts w:ascii="宋体" w:hAnsi="宋体"/>
          <w:color w:val="auto"/>
          <w:spacing w:val="100"/>
          <w:sz w:val="28"/>
          <w:szCs w:val="28"/>
          <w:highlight w:val="none"/>
        </w:rPr>
      </w:pPr>
      <w:bookmarkStart w:id="46" w:name="_Toc171282395"/>
      <w:bookmarkStart w:id="47" w:name="_Toc113350927"/>
      <w:bookmarkStart w:id="48" w:name="_Toc118209418"/>
      <w:bookmarkStart w:id="49" w:name="_Toc1110"/>
      <w:bookmarkStart w:id="50" w:name="_Toc1645"/>
      <w:bookmarkStart w:id="51" w:name="_Toc32361"/>
      <w:bookmarkStart w:id="52" w:name="_Toc79093662"/>
      <w:bookmarkStart w:id="53" w:name="_Toc137408708"/>
      <w:bookmarkStart w:id="54" w:name="_Toc6425"/>
      <w:bookmarkStart w:id="55" w:name="_Toc99299716"/>
      <w:bookmarkStart w:id="56" w:name="_Toc20572"/>
      <w:bookmarkStart w:id="57" w:name="_Toc27367"/>
      <w:bookmarkStart w:id="58" w:name="_Toc23611"/>
      <w:bookmarkStart w:id="59" w:name="_Toc193053696"/>
      <w:bookmarkStart w:id="60" w:name="_Toc108483386"/>
      <w:bookmarkStart w:id="61" w:name="_Toc5525"/>
      <w:bookmarkStart w:id="62" w:name="_Toc103979569"/>
      <w:bookmarkStart w:id="63" w:name="_Toc166778326"/>
      <w:bookmarkStart w:id="64" w:name="_Toc8100"/>
      <w:bookmarkStart w:id="65" w:name="_Toc109656568"/>
      <w:bookmarkStart w:id="66" w:name="_Toc4239"/>
      <w:bookmarkStart w:id="67" w:name="_Toc140957861"/>
      <w:bookmarkStart w:id="68" w:name="_Toc3862"/>
      <w:bookmarkStart w:id="69" w:name="_Toc9190"/>
      <w:bookmarkStart w:id="70" w:name="_Toc189905352"/>
      <w:bookmarkStart w:id="71" w:name="_Toc6677"/>
      <w:bookmarkStart w:id="72" w:name="_Toc111543548"/>
      <w:bookmarkStart w:id="73" w:name="_Toc9153"/>
      <w:bookmarkStart w:id="74" w:name="_Toc8869"/>
      <w:bookmarkStart w:id="75" w:name="_Toc21582"/>
      <w:r>
        <w:rPr>
          <w:rFonts w:hint="eastAsia" w:ascii="宋体" w:hAnsi="宋体"/>
          <w:color w:val="auto"/>
          <w:sz w:val="28"/>
          <w:szCs w:val="28"/>
          <w:highlight w:val="none"/>
        </w:rPr>
        <w:t>第一节  投标须知前附表</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3995F29A">
      <w:pPr>
        <w:adjustRightInd w:val="0"/>
        <w:snapToGrid w:val="0"/>
        <w:jc w:val="right"/>
        <w:rPr>
          <w:rFonts w:ascii="宋体" w:hAnsi="宋体"/>
          <w:color w:val="auto"/>
          <w:szCs w:val="21"/>
          <w:highlight w:val="none"/>
        </w:rPr>
      </w:pPr>
      <w:r>
        <w:rPr>
          <w:rFonts w:hint="eastAsia" w:ascii="宋体" w:hAnsi="宋体"/>
          <w:color w:val="auto"/>
          <w:szCs w:val="21"/>
          <w:highlight w:val="none"/>
        </w:rPr>
        <w:t>注：本项目启用的条款在“编列内容规定”栏内以“</w:t>
      </w:r>
      <w:r>
        <w:rPr>
          <w:rFonts w:hint="eastAsia" w:ascii="宋体" w:hAnsi="宋体"/>
          <w:iCs/>
          <w:color w:val="auto"/>
          <w:szCs w:val="21"/>
          <w:highlight w:val="none"/>
        </w:rPr>
        <w:sym w:font="Wingdings" w:char="00FE"/>
      </w:r>
      <w:r>
        <w:rPr>
          <w:rFonts w:hint="eastAsia" w:ascii="宋体" w:hAnsi="宋体"/>
          <w:color w:val="auto"/>
          <w:szCs w:val="21"/>
          <w:highlight w:val="none"/>
        </w:rPr>
        <w:t>”标注。</w:t>
      </w:r>
    </w:p>
    <w:tbl>
      <w:tblPr>
        <w:tblStyle w:val="46"/>
        <w:tblW w:w="867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2439"/>
        <w:gridCol w:w="4820"/>
      </w:tblGrid>
      <w:tr w14:paraId="7A7DC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blHeader/>
          <w:jc w:val="center"/>
        </w:trPr>
        <w:tc>
          <w:tcPr>
            <w:tcW w:w="1418" w:type="dxa"/>
            <w:vAlign w:val="center"/>
          </w:tcPr>
          <w:p w14:paraId="50FC5086">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439" w:type="dxa"/>
            <w:vAlign w:val="center"/>
          </w:tcPr>
          <w:p w14:paraId="0C8A64F1">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条款名称</w:t>
            </w:r>
          </w:p>
        </w:tc>
        <w:tc>
          <w:tcPr>
            <w:tcW w:w="4820" w:type="dxa"/>
            <w:vAlign w:val="center"/>
          </w:tcPr>
          <w:p w14:paraId="263D7890">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65BBF9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677" w:type="dxa"/>
            <w:gridSpan w:val="3"/>
            <w:vAlign w:val="center"/>
          </w:tcPr>
          <w:p w14:paraId="1D830C08">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一、说明</w:t>
            </w:r>
          </w:p>
        </w:tc>
      </w:tr>
      <w:tr w14:paraId="4F19D3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19B6C47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第1.1款</w:t>
            </w:r>
          </w:p>
        </w:tc>
        <w:tc>
          <w:tcPr>
            <w:tcW w:w="2439" w:type="dxa"/>
            <w:vAlign w:val="center"/>
          </w:tcPr>
          <w:p w14:paraId="1F18FBD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采购项目</w:t>
            </w:r>
          </w:p>
        </w:tc>
        <w:tc>
          <w:tcPr>
            <w:tcW w:w="4820" w:type="dxa"/>
            <w:vAlign w:val="center"/>
          </w:tcPr>
          <w:p w14:paraId="4B201C92">
            <w:pPr>
              <w:adjustRightInd w:val="0"/>
              <w:snapToGrid w:val="0"/>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新化县资江风光带绿化养护服务项目</w:t>
            </w:r>
          </w:p>
        </w:tc>
      </w:tr>
      <w:tr w14:paraId="1E9F33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1774A66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第1.2款</w:t>
            </w:r>
          </w:p>
        </w:tc>
        <w:tc>
          <w:tcPr>
            <w:tcW w:w="2439" w:type="dxa"/>
            <w:vAlign w:val="center"/>
          </w:tcPr>
          <w:p w14:paraId="1D575319">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是否预留采购份额</w:t>
            </w:r>
          </w:p>
        </w:tc>
        <w:tc>
          <w:tcPr>
            <w:tcW w:w="4820" w:type="dxa"/>
            <w:vAlign w:val="center"/>
          </w:tcPr>
          <w:p w14:paraId="70931AB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否</w:t>
            </w:r>
          </w:p>
        </w:tc>
      </w:tr>
      <w:tr w14:paraId="0AC44F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779A8D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第2.1款</w:t>
            </w:r>
          </w:p>
        </w:tc>
        <w:tc>
          <w:tcPr>
            <w:tcW w:w="2439" w:type="dxa"/>
            <w:vAlign w:val="center"/>
          </w:tcPr>
          <w:p w14:paraId="1F1B078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采购项目联系人姓名和电话</w:t>
            </w:r>
          </w:p>
        </w:tc>
        <w:tc>
          <w:tcPr>
            <w:tcW w:w="4820" w:type="dxa"/>
            <w:vAlign w:val="center"/>
          </w:tcPr>
          <w:p w14:paraId="27F458E5">
            <w:pPr>
              <w:adjustRightInd w:val="0"/>
              <w:snapToGrid w:val="0"/>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孙先生</w:t>
            </w:r>
          </w:p>
          <w:p w14:paraId="05AB1DDE">
            <w:pPr>
              <w:adjustRightInd w:val="0"/>
              <w:snapToGrid w:val="0"/>
              <w:spacing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电话：15377382555</w:t>
            </w:r>
          </w:p>
        </w:tc>
      </w:tr>
      <w:tr w14:paraId="2856B3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18" w:type="dxa"/>
            <w:vAlign w:val="center"/>
          </w:tcPr>
          <w:p w14:paraId="5590FF0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第2.2款</w:t>
            </w:r>
          </w:p>
        </w:tc>
        <w:tc>
          <w:tcPr>
            <w:tcW w:w="2439" w:type="dxa"/>
            <w:vAlign w:val="center"/>
          </w:tcPr>
          <w:p w14:paraId="04BAD5A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采购人</w:t>
            </w:r>
          </w:p>
        </w:tc>
        <w:tc>
          <w:tcPr>
            <w:tcW w:w="4820" w:type="dxa"/>
            <w:vAlign w:val="center"/>
          </w:tcPr>
          <w:p w14:paraId="3B6F0F75">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新化县城市管理和综合执法局</w:t>
            </w:r>
          </w:p>
        </w:tc>
      </w:tr>
      <w:tr w14:paraId="27C3AE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18" w:type="dxa"/>
            <w:vAlign w:val="center"/>
          </w:tcPr>
          <w:p w14:paraId="71132725">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第2.3款</w:t>
            </w:r>
          </w:p>
        </w:tc>
        <w:tc>
          <w:tcPr>
            <w:tcW w:w="2439" w:type="dxa"/>
            <w:vAlign w:val="center"/>
          </w:tcPr>
          <w:p w14:paraId="53612E84">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采购代理机构</w:t>
            </w:r>
          </w:p>
        </w:tc>
        <w:tc>
          <w:tcPr>
            <w:tcW w:w="4820" w:type="dxa"/>
            <w:vAlign w:val="center"/>
          </w:tcPr>
          <w:p w14:paraId="47DE61D0">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湖南天湘项目管理有限公司</w:t>
            </w:r>
          </w:p>
        </w:tc>
      </w:tr>
      <w:tr w14:paraId="4B24C1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10DC814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第3.1款</w:t>
            </w:r>
          </w:p>
        </w:tc>
        <w:tc>
          <w:tcPr>
            <w:tcW w:w="2439" w:type="dxa"/>
            <w:vAlign w:val="center"/>
          </w:tcPr>
          <w:p w14:paraId="417EC17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投标人资格条件</w:t>
            </w:r>
          </w:p>
        </w:tc>
        <w:tc>
          <w:tcPr>
            <w:tcW w:w="4820" w:type="dxa"/>
            <w:vAlign w:val="center"/>
          </w:tcPr>
          <w:p w14:paraId="375B8F2C">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1、投标人基本资格条件：投标人必须是在中华人民共和国境内注册登记的法人、非法人组织或者自然人，且应当符合《政府采购法》第二十二条第一款的规定：</w:t>
            </w:r>
          </w:p>
          <w:p w14:paraId="2EDD5A21">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3593B8D6">
            <w:pPr>
              <w:adjustRightInd w:val="0"/>
              <w:snapToGrid w:val="0"/>
              <w:spacing w:line="360" w:lineRule="exact"/>
              <w:rPr>
                <w:rFonts w:ascii="宋体" w:hAnsi="宋体" w:cs="宋体"/>
                <w:color w:val="auto"/>
                <w:szCs w:val="21"/>
                <w:highlight w:val="none"/>
              </w:rPr>
            </w:pP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专门面向</w:t>
            </w:r>
            <w:r>
              <w:rPr>
                <w:rFonts w:hint="eastAsia" w:ascii="宋体" w:hAnsi="宋体" w:cs="宋体"/>
                <w:bCs/>
                <w:color w:val="auto"/>
                <w:szCs w:val="21"/>
                <w:highlight w:val="none"/>
              </w:rPr>
              <w:t>：</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中小企业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小微企业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监狱企业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福利性单位。</w:t>
            </w:r>
          </w:p>
          <w:p w14:paraId="0C3AC4E7">
            <w:pPr>
              <w:adjustRightInd w:val="0"/>
              <w:snapToGrid w:val="0"/>
              <w:spacing w:line="360" w:lineRule="exact"/>
              <w:rPr>
                <w:rFonts w:ascii="宋体" w:hAnsi="宋体" w:cs="宋体"/>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强制</w:t>
            </w:r>
            <w:r>
              <w:rPr>
                <w:rFonts w:hint="eastAsia" w:ascii="宋体" w:hAnsi="宋体" w:cs="宋体"/>
                <w:bCs/>
                <w:color w:val="auto"/>
                <w:szCs w:val="21"/>
                <w:highlight w:val="none"/>
              </w:rPr>
              <w:t>分包：大型企业应将采购份额的</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%分包给中小企业。</w:t>
            </w:r>
          </w:p>
          <w:p w14:paraId="1D8C979B">
            <w:pPr>
              <w:adjustRightInd w:val="0"/>
              <w:snapToGrid w:val="0"/>
              <w:spacing w:line="360" w:lineRule="exact"/>
              <w:rPr>
                <w:rFonts w:ascii="宋体" w:hAnsi="宋体"/>
                <w:color w:val="auto"/>
                <w:szCs w:val="21"/>
                <w:highlight w:val="none"/>
              </w:rPr>
            </w:pPr>
            <w:r>
              <w:rPr>
                <w:rFonts w:hint="eastAsia" w:ascii="宋体" w:hAnsi="宋体" w:cs="宋体"/>
                <w:color w:val="auto"/>
                <w:szCs w:val="21"/>
                <w:highlight w:val="none"/>
              </w:rPr>
              <w:t>3、投标人特定资格条件：</w:t>
            </w:r>
            <w:r>
              <w:rPr>
                <w:rFonts w:hint="eastAsia" w:ascii="宋体" w:hAnsi="宋体"/>
                <w:color w:val="auto"/>
                <w:szCs w:val="21"/>
                <w:highlight w:val="none"/>
              </w:rPr>
              <w:t>无；</w:t>
            </w:r>
          </w:p>
          <w:p w14:paraId="09D4C10E">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4、单位负责人为同一人或者存在直接控股、管理关系的不同投标人，不得参加本项目同一合同项下的政府采购活动。</w:t>
            </w:r>
          </w:p>
          <w:p w14:paraId="021998D3">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5、为本采购项目提供整体设计、规范编制或者项目管理、监理、检测等服务的，不得再参加此项目的其他采购活动。</w:t>
            </w:r>
          </w:p>
          <w:p w14:paraId="285A30BB">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6、未被列入失信被执行人、重大税收违法案件当事人名单，未被列入政府采购严重违法失信行为记录名单。</w:t>
            </w:r>
          </w:p>
        </w:tc>
      </w:tr>
      <w:tr w14:paraId="6EA5E1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0246095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第3.2款</w:t>
            </w:r>
          </w:p>
        </w:tc>
        <w:tc>
          <w:tcPr>
            <w:tcW w:w="2439" w:type="dxa"/>
            <w:vAlign w:val="center"/>
          </w:tcPr>
          <w:p w14:paraId="144EACBE">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接受联合体形式投标</w:t>
            </w:r>
          </w:p>
        </w:tc>
        <w:tc>
          <w:tcPr>
            <w:tcW w:w="4820" w:type="dxa"/>
            <w:vAlign w:val="center"/>
          </w:tcPr>
          <w:p w14:paraId="7D20CC2A">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sym w:font="Wingdings" w:char="00FE"/>
            </w:r>
            <w:r>
              <w:rPr>
                <w:rFonts w:hint="eastAsia" w:ascii="宋体" w:hAnsi="宋体" w:cs="宋体"/>
                <w:color w:val="auto"/>
                <w:szCs w:val="21"/>
                <w:highlight w:val="none"/>
              </w:rPr>
              <w:t xml:space="preserve"> 不接受</w:t>
            </w:r>
          </w:p>
          <w:p w14:paraId="30A5FE73">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 接受联合体投标的，联合体应当具备下列条件</w:t>
            </w:r>
          </w:p>
        </w:tc>
      </w:tr>
      <w:tr w14:paraId="79EAEE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0F6D216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第5.1</w:t>
            </w:r>
            <w:r>
              <w:rPr>
                <w:rFonts w:hint="eastAsia" w:ascii="宋体" w:hAnsi="宋体" w:cs="宋体"/>
                <w:color w:val="auto"/>
                <w:kern w:val="0"/>
                <w:szCs w:val="21"/>
                <w:highlight w:val="none"/>
                <w:lang w:val="zh-CN"/>
              </w:rPr>
              <w:t>款</w:t>
            </w:r>
          </w:p>
        </w:tc>
        <w:tc>
          <w:tcPr>
            <w:tcW w:w="2439" w:type="dxa"/>
            <w:vAlign w:val="center"/>
          </w:tcPr>
          <w:p w14:paraId="3B0FC863">
            <w:pPr>
              <w:adjustRightInd w:val="0"/>
              <w:snapToGrid w:val="0"/>
              <w:spacing w:line="360" w:lineRule="exact"/>
              <w:jc w:val="center"/>
              <w:rPr>
                <w:rFonts w:hAnsi="宋体"/>
                <w:color w:val="auto"/>
                <w:szCs w:val="21"/>
                <w:highlight w:val="none"/>
              </w:rPr>
            </w:pPr>
            <w:r>
              <w:rPr>
                <w:rFonts w:hint="eastAsia" w:ascii="宋体" w:hAnsi="宋体"/>
                <w:color w:val="auto"/>
                <w:szCs w:val="21"/>
                <w:highlight w:val="none"/>
              </w:rPr>
              <w:t>招标文件提供期限</w:t>
            </w:r>
          </w:p>
        </w:tc>
        <w:tc>
          <w:tcPr>
            <w:tcW w:w="4820" w:type="dxa"/>
            <w:vAlign w:val="center"/>
          </w:tcPr>
          <w:p w14:paraId="4D5870F2">
            <w:pPr>
              <w:snapToGrid w:val="0"/>
              <w:spacing w:line="360" w:lineRule="exact"/>
              <w:rPr>
                <w:rStyle w:val="98"/>
                <w:rFonts w:ascii="宋体" w:hAnsi="宋体"/>
                <w:color w:val="auto"/>
                <w:szCs w:val="21"/>
                <w:highlight w:val="none"/>
              </w:rPr>
            </w:pPr>
            <w:r>
              <w:rPr>
                <w:rStyle w:val="98"/>
                <w:rFonts w:hint="eastAsia" w:ascii="宋体" w:hAnsi="宋体"/>
                <w:color w:val="auto"/>
                <w:szCs w:val="21"/>
                <w:highlight w:val="none"/>
              </w:rPr>
              <w:t>详见招标公告</w:t>
            </w:r>
          </w:p>
        </w:tc>
      </w:tr>
      <w:tr w14:paraId="73AF4C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7519666D">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439" w:type="dxa"/>
            <w:vAlign w:val="center"/>
          </w:tcPr>
          <w:p w14:paraId="296EE03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4820" w:type="dxa"/>
            <w:vAlign w:val="center"/>
          </w:tcPr>
          <w:p w14:paraId="64FD648A">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不组织/不召开</w:t>
            </w:r>
          </w:p>
        </w:tc>
      </w:tr>
      <w:tr w14:paraId="61F046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439CC0FA">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二、招标文件</w:t>
            </w:r>
          </w:p>
        </w:tc>
      </w:tr>
      <w:tr w14:paraId="2A383D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5328524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2439" w:type="dxa"/>
            <w:vAlign w:val="center"/>
          </w:tcPr>
          <w:p w14:paraId="49BFE345">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非实质性偏离的范围和幅度</w:t>
            </w:r>
          </w:p>
        </w:tc>
        <w:tc>
          <w:tcPr>
            <w:tcW w:w="4820" w:type="dxa"/>
            <w:vAlign w:val="center"/>
          </w:tcPr>
          <w:p w14:paraId="418F8933">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一般技术和商务条款偏离≥6项目将导致投标无效，凡标有最低一级序号的条款即为一项，内容不重复计算。</w:t>
            </w:r>
          </w:p>
        </w:tc>
      </w:tr>
      <w:tr w14:paraId="358018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418" w:type="dxa"/>
            <w:vAlign w:val="center"/>
          </w:tcPr>
          <w:p w14:paraId="548E438D">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第9.1款</w:t>
            </w:r>
          </w:p>
        </w:tc>
        <w:tc>
          <w:tcPr>
            <w:tcW w:w="2439" w:type="dxa"/>
            <w:vAlign w:val="center"/>
          </w:tcPr>
          <w:p w14:paraId="50B4F924">
            <w:pPr>
              <w:adjustRightInd w:val="0"/>
              <w:snapToGrid w:val="0"/>
              <w:spacing w:line="360" w:lineRule="exact"/>
              <w:jc w:val="center"/>
              <w:rPr>
                <w:rFonts w:ascii="宋体" w:hAnsi="宋体"/>
                <w:color w:val="auto"/>
                <w:szCs w:val="21"/>
                <w:highlight w:val="none"/>
              </w:rPr>
            </w:pPr>
            <w:r>
              <w:rPr>
                <w:rFonts w:hint="eastAsia" w:ascii="宋体" w:hAnsi="宋体" w:cs="宋体"/>
                <w:color w:val="auto"/>
                <w:szCs w:val="21"/>
                <w:highlight w:val="none"/>
              </w:rPr>
              <w:t>招标公告指定媒体</w:t>
            </w:r>
          </w:p>
        </w:tc>
        <w:tc>
          <w:tcPr>
            <w:tcW w:w="4820" w:type="dxa"/>
            <w:vAlign w:val="center"/>
          </w:tcPr>
          <w:p w14:paraId="74771ED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中国湖南政府采购网（www.ccgp-hunan.gov.cn）和娄底市公共资源交易网（http://ldggzy.hnloudi.gov.cn/）</w:t>
            </w:r>
          </w:p>
        </w:tc>
      </w:tr>
      <w:tr w14:paraId="6A813F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677" w:type="dxa"/>
            <w:gridSpan w:val="3"/>
            <w:vAlign w:val="center"/>
          </w:tcPr>
          <w:p w14:paraId="4E79C00C">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三、投标文件</w:t>
            </w:r>
          </w:p>
        </w:tc>
      </w:tr>
      <w:tr w14:paraId="03E032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03955CDD">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第13.2</w:t>
            </w:r>
            <w:r>
              <w:rPr>
                <w:rFonts w:hint="eastAsia" w:ascii="宋体" w:hAnsi="宋体" w:cs="宋体"/>
                <w:color w:val="auto"/>
                <w:kern w:val="0"/>
                <w:szCs w:val="21"/>
                <w:highlight w:val="none"/>
                <w:lang w:val="zh-CN"/>
              </w:rPr>
              <w:t>款</w:t>
            </w:r>
          </w:p>
        </w:tc>
        <w:tc>
          <w:tcPr>
            <w:tcW w:w="2439" w:type="dxa"/>
            <w:vAlign w:val="center"/>
          </w:tcPr>
          <w:p w14:paraId="4B22333E">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采购预算、最高限价</w:t>
            </w:r>
          </w:p>
        </w:tc>
        <w:tc>
          <w:tcPr>
            <w:tcW w:w="4820" w:type="dxa"/>
            <w:vAlign w:val="center"/>
          </w:tcPr>
          <w:p w14:paraId="378A510D">
            <w:pPr>
              <w:pStyle w:val="134"/>
              <w:spacing w:after="0" w:line="360" w:lineRule="exact"/>
              <w:ind w:left="0" w:leftChars="0" w:firstLine="0" w:firstLineChars="0"/>
              <w:rPr>
                <w:b w:val="0"/>
                <w:color w:val="auto"/>
                <w:highlight w:val="none"/>
              </w:rPr>
            </w:pPr>
            <w:r>
              <w:rPr>
                <w:rFonts w:hint="eastAsia" w:ascii="宋体" w:hAnsi="宋体"/>
                <w:b w:val="0"/>
                <w:color w:val="auto"/>
                <w:szCs w:val="21"/>
                <w:highlight w:val="none"/>
              </w:rPr>
              <w:t>详见招标公告。</w:t>
            </w:r>
          </w:p>
        </w:tc>
      </w:tr>
      <w:tr w14:paraId="1132C5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1418" w:type="dxa"/>
            <w:vAlign w:val="center"/>
          </w:tcPr>
          <w:p w14:paraId="7E26355D">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第13.8</w:t>
            </w:r>
            <w:r>
              <w:rPr>
                <w:rFonts w:hint="eastAsia" w:ascii="宋体" w:hAnsi="宋体" w:cs="宋体"/>
                <w:color w:val="auto"/>
                <w:kern w:val="0"/>
                <w:szCs w:val="21"/>
                <w:highlight w:val="none"/>
                <w:lang w:val="zh-CN"/>
              </w:rPr>
              <w:t>款</w:t>
            </w:r>
          </w:p>
        </w:tc>
        <w:tc>
          <w:tcPr>
            <w:tcW w:w="2439" w:type="dxa"/>
            <w:vAlign w:val="center"/>
          </w:tcPr>
          <w:p w14:paraId="1F1BD22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投标报价的其他要求</w:t>
            </w:r>
          </w:p>
        </w:tc>
        <w:tc>
          <w:tcPr>
            <w:tcW w:w="4820" w:type="dxa"/>
            <w:vAlign w:val="center"/>
          </w:tcPr>
          <w:p w14:paraId="2210E2D3">
            <w:pPr>
              <w:keepNext w:val="0"/>
              <w:keepLines w:val="0"/>
              <w:widowControl/>
              <w:suppressLineNumbers w:val="0"/>
              <w:jc w:val="left"/>
              <w:rPr>
                <w:rFonts w:ascii="宋体" w:hAnsi="宋体"/>
                <w:color w:val="auto"/>
                <w:szCs w:val="21"/>
                <w:highlight w:val="none"/>
              </w:rPr>
            </w:pPr>
            <w:r>
              <w:rPr>
                <w:rFonts w:hint="eastAsia" w:ascii="宋体" w:hAnsi="宋体" w:eastAsia="宋体" w:cs="宋体"/>
                <w:b w:val="0"/>
                <w:bCs w:val="0"/>
                <w:color w:val="auto"/>
                <w:kern w:val="0"/>
                <w:sz w:val="20"/>
                <w:szCs w:val="20"/>
                <w:highlight w:val="none"/>
                <w:lang w:val="en-US" w:eastAsia="zh-CN" w:bidi="ar"/>
              </w:rPr>
              <w:t>投标人的投标报价超过招标文件规的最高限价的，该投标人为不合格投标人。</w:t>
            </w:r>
          </w:p>
        </w:tc>
      </w:tr>
      <w:tr w14:paraId="526572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1418" w:type="dxa"/>
            <w:vAlign w:val="center"/>
          </w:tcPr>
          <w:p w14:paraId="45BB0B6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第14.1款</w:t>
            </w:r>
          </w:p>
        </w:tc>
        <w:tc>
          <w:tcPr>
            <w:tcW w:w="2439" w:type="dxa"/>
            <w:vAlign w:val="center"/>
          </w:tcPr>
          <w:p w14:paraId="1D66E966">
            <w:pPr>
              <w:adjustRightInd w:val="0"/>
              <w:snapToGrid w:val="0"/>
              <w:spacing w:line="360" w:lineRule="exact"/>
              <w:jc w:val="center"/>
              <w:rPr>
                <w:rFonts w:ascii="宋体" w:hAnsi="宋体"/>
                <w:bCs/>
                <w:color w:val="auto"/>
                <w:szCs w:val="21"/>
                <w:highlight w:val="none"/>
              </w:rPr>
            </w:pPr>
            <w:r>
              <w:rPr>
                <w:rFonts w:hint="eastAsia" w:ascii="宋体" w:hAnsi="宋体"/>
                <w:color w:val="auto"/>
                <w:szCs w:val="21"/>
                <w:highlight w:val="none"/>
              </w:rPr>
              <w:t>投标人应提供资格审查资料</w:t>
            </w:r>
          </w:p>
        </w:tc>
        <w:tc>
          <w:tcPr>
            <w:tcW w:w="4820" w:type="dxa"/>
            <w:vAlign w:val="center"/>
          </w:tcPr>
          <w:p w14:paraId="315693AB">
            <w:pPr>
              <w:adjustRightInd w:val="0"/>
              <w:snapToGrid w:val="0"/>
              <w:spacing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包含但不限于（格式详见第七章）：</w:t>
            </w:r>
          </w:p>
          <w:p w14:paraId="18D7A1B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1、法人提交企业法人营业执照副本(或者法人登记证书)扫描件；</w:t>
            </w:r>
          </w:p>
          <w:p w14:paraId="0F5F172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2、湖南省政府采购供应商资格承诺函；</w:t>
            </w:r>
          </w:p>
        </w:tc>
      </w:tr>
      <w:tr w14:paraId="38CA92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2146C814">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第16.1</w:t>
            </w:r>
            <w:r>
              <w:rPr>
                <w:rFonts w:hint="eastAsia" w:ascii="宋体" w:hAnsi="宋体" w:cs="宋体"/>
                <w:color w:val="auto"/>
                <w:kern w:val="0"/>
                <w:szCs w:val="21"/>
                <w:highlight w:val="none"/>
                <w:lang w:val="zh-CN"/>
              </w:rPr>
              <w:t>款</w:t>
            </w:r>
          </w:p>
        </w:tc>
        <w:tc>
          <w:tcPr>
            <w:tcW w:w="2439" w:type="dxa"/>
            <w:vAlign w:val="center"/>
          </w:tcPr>
          <w:p w14:paraId="35189A96">
            <w:pPr>
              <w:adjustRightInd w:val="0"/>
              <w:snapToGrid w:val="0"/>
              <w:spacing w:line="360" w:lineRule="exact"/>
              <w:jc w:val="center"/>
              <w:rPr>
                <w:rFonts w:ascii="宋体" w:hAnsi="宋体"/>
                <w:bCs/>
                <w:color w:val="auto"/>
                <w:szCs w:val="21"/>
                <w:highlight w:val="none"/>
              </w:rPr>
            </w:pPr>
            <w:r>
              <w:rPr>
                <w:rFonts w:hint="eastAsia" w:ascii="宋体" w:hAnsi="宋体"/>
                <w:bCs/>
                <w:color w:val="auto"/>
                <w:szCs w:val="21"/>
                <w:highlight w:val="none"/>
              </w:rPr>
              <w:t>投标有效期</w:t>
            </w:r>
          </w:p>
        </w:tc>
        <w:tc>
          <w:tcPr>
            <w:tcW w:w="4820" w:type="dxa"/>
            <w:vAlign w:val="center"/>
          </w:tcPr>
          <w:p w14:paraId="51E3F163">
            <w:pPr>
              <w:adjustRightInd w:val="0"/>
              <w:snapToGrid w:val="0"/>
              <w:spacing w:line="360" w:lineRule="exact"/>
              <w:rPr>
                <w:rFonts w:ascii="宋体" w:hAnsi="宋体"/>
                <w:bCs/>
                <w:color w:val="auto"/>
                <w:szCs w:val="21"/>
                <w:highlight w:val="none"/>
              </w:rPr>
            </w:pPr>
            <w:r>
              <w:rPr>
                <w:rFonts w:hint="eastAsia" w:ascii="宋体" w:hAnsi="宋体"/>
                <w:bCs/>
                <w:color w:val="auto"/>
                <w:szCs w:val="21"/>
                <w:highlight w:val="none"/>
              </w:rPr>
              <w:t>90天（日历日）</w:t>
            </w:r>
          </w:p>
        </w:tc>
      </w:tr>
      <w:tr w14:paraId="39E383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4CB896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2439" w:type="dxa"/>
            <w:vAlign w:val="center"/>
          </w:tcPr>
          <w:p w14:paraId="5B7F5578">
            <w:pPr>
              <w:adjustRightInd w:val="0"/>
              <w:snapToGrid w:val="0"/>
              <w:spacing w:line="360" w:lineRule="exact"/>
              <w:ind w:firstLine="533" w:firstLineChars="254"/>
              <w:rPr>
                <w:rFonts w:ascii="宋体" w:hAnsi="宋体"/>
                <w:color w:val="auto"/>
                <w:szCs w:val="21"/>
                <w:highlight w:val="none"/>
              </w:rPr>
            </w:pPr>
            <w:r>
              <w:rPr>
                <w:rFonts w:hint="eastAsia" w:ascii="宋体" w:hAnsi="宋体"/>
                <w:color w:val="auto"/>
                <w:szCs w:val="21"/>
                <w:highlight w:val="none"/>
              </w:rPr>
              <w:t>投标保证金</w:t>
            </w:r>
          </w:p>
        </w:tc>
        <w:tc>
          <w:tcPr>
            <w:tcW w:w="4820" w:type="dxa"/>
            <w:vAlign w:val="center"/>
          </w:tcPr>
          <w:p w14:paraId="6D5CFD23">
            <w:pPr>
              <w:adjustRightInd w:val="0"/>
              <w:snapToGrid w:val="0"/>
              <w:spacing w:line="360" w:lineRule="exact"/>
              <w:rPr>
                <w:rFonts w:ascii="宋体" w:hAnsi="宋体"/>
                <w:color w:val="auto"/>
                <w:szCs w:val="21"/>
                <w:highlight w:val="none"/>
              </w:rPr>
            </w:pPr>
            <w:r>
              <w:rPr>
                <w:rFonts w:hint="eastAsia" w:ascii="宋体" w:hAnsi="宋体" w:cs="宋体"/>
                <w:iCs/>
                <w:color w:val="auto"/>
                <w:szCs w:val="21"/>
                <w:highlight w:val="none"/>
              </w:rPr>
              <w:sym w:font="Wingdings" w:char="00FE"/>
            </w:r>
            <w:r>
              <w:rPr>
                <w:rFonts w:hint="eastAsia" w:ascii="宋体" w:hAnsi="宋体"/>
                <w:color w:val="auto"/>
                <w:szCs w:val="21"/>
                <w:highlight w:val="none"/>
              </w:rPr>
              <w:t>不要求提供</w:t>
            </w:r>
          </w:p>
          <w:p w14:paraId="3B1618D7">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□要求提供</w:t>
            </w:r>
          </w:p>
        </w:tc>
      </w:tr>
      <w:tr w14:paraId="13AFB0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418" w:type="dxa"/>
            <w:vAlign w:val="center"/>
          </w:tcPr>
          <w:p w14:paraId="0927818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2439" w:type="dxa"/>
            <w:vAlign w:val="center"/>
          </w:tcPr>
          <w:p w14:paraId="65D440C9">
            <w:pPr>
              <w:adjustRightInd w:val="0"/>
              <w:snapToGrid w:val="0"/>
              <w:spacing w:line="360" w:lineRule="exact"/>
              <w:jc w:val="center"/>
              <w:rPr>
                <w:rFonts w:ascii="宋体" w:hAnsi="宋体"/>
                <w:color w:val="auto"/>
                <w:szCs w:val="21"/>
                <w:highlight w:val="none"/>
              </w:rPr>
            </w:pPr>
            <w:r>
              <w:rPr>
                <w:rFonts w:hint="eastAsia" w:ascii="宋体" w:hAnsi="宋体"/>
                <w:bCs/>
                <w:color w:val="auto"/>
                <w:szCs w:val="21"/>
                <w:highlight w:val="none"/>
              </w:rPr>
              <w:t>分包</w:t>
            </w:r>
          </w:p>
        </w:tc>
        <w:tc>
          <w:tcPr>
            <w:tcW w:w="4820" w:type="dxa"/>
            <w:vAlign w:val="center"/>
          </w:tcPr>
          <w:p w14:paraId="3EDC6F8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不允许</w:t>
            </w:r>
          </w:p>
        </w:tc>
      </w:tr>
      <w:tr w14:paraId="7F68C6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418" w:type="dxa"/>
            <w:vAlign w:val="center"/>
          </w:tcPr>
          <w:p w14:paraId="3204083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第19.1款</w:t>
            </w:r>
          </w:p>
        </w:tc>
        <w:tc>
          <w:tcPr>
            <w:tcW w:w="2439" w:type="dxa"/>
            <w:vAlign w:val="center"/>
          </w:tcPr>
          <w:p w14:paraId="06DB3B85">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投标文件份数</w:t>
            </w:r>
          </w:p>
        </w:tc>
        <w:tc>
          <w:tcPr>
            <w:tcW w:w="4820" w:type="dxa"/>
            <w:vAlign w:val="center"/>
          </w:tcPr>
          <w:p w14:paraId="65FA5470">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投标人应准备所投项目的电子投标文件一份</w:t>
            </w:r>
          </w:p>
        </w:tc>
      </w:tr>
      <w:tr w14:paraId="2316D2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5C6EB844">
            <w:pPr>
              <w:adjustRightInd w:val="0"/>
              <w:snapToGrid w:val="0"/>
              <w:spacing w:line="360" w:lineRule="exact"/>
              <w:rPr>
                <w:rFonts w:ascii="宋体" w:hAnsi="宋体"/>
                <w:b/>
                <w:bCs/>
                <w:color w:val="auto"/>
                <w:szCs w:val="21"/>
                <w:highlight w:val="none"/>
              </w:rPr>
            </w:pPr>
            <w:r>
              <w:rPr>
                <w:rFonts w:hint="eastAsia" w:ascii="宋体" w:hAnsi="宋体"/>
                <w:b/>
                <w:color w:val="auto"/>
                <w:szCs w:val="21"/>
                <w:highlight w:val="none"/>
              </w:rPr>
              <w:t>四、投标</w:t>
            </w:r>
          </w:p>
        </w:tc>
      </w:tr>
      <w:tr w14:paraId="3D7E53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463CF87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第20.1</w:t>
            </w:r>
            <w:r>
              <w:rPr>
                <w:rFonts w:hint="eastAsia" w:ascii="宋体" w:hAnsi="宋体" w:cs="宋体"/>
                <w:color w:val="auto"/>
                <w:kern w:val="0"/>
                <w:szCs w:val="21"/>
                <w:highlight w:val="none"/>
                <w:lang w:val="zh-CN"/>
              </w:rPr>
              <w:t>款</w:t>
            </w:r>
          </w:p>
        </w:tc>
        <w:tc>
          <w:tcPr>
            <w:tcW w:w="2439" w:type="dxa"/>
            <w:vAlign w:val="center"/>
          </w:tcPr>
          <w:p w14:paraId="45BC681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投标文件的加密</w:t>
            </w:r>
          </w:p>
        </w:tc>
        <w:tc>
          <w:tcPr>
            <w:tcW w:w="4820" w:type="dxa"/>
            <w:vAlign w:val="center"/>
          </w:tcPr>
          <w:p w14:paraId="7594B2F5">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按娄底市公共资源交易电子服务平台发布的“电子投标文件制作工具（</w:t>
            </w:r>
            <w:r>
              <w:rPr>
                <w:rStyle w:val="98"/>
                <w:rFonts w:ascii="宋体" w:hAnsi="宋体"/>
                <w:color w:val="auto"/>
                <w:szCs w:val="21"/>
                <w:highlight w:val="none"/>
              </w:rPr>
              <w:t>金润投标人工具箱）</w:t>
            </w:r>
            <w:r>
              <w:rPr>
                <w:rFonts w:hint="eastAsia" w:ascii="宋体" w:hAnsi="宋体"/>
                <w:color w:val="auto"/>
                <w:szCs w:val="21"/>
                <w:highlight w:val="none"/>
              </w:rPr>
              <w:t>”的程序进行固化、加密</w:t>
            </w:r>
          </w:p>
        </w:tc>
      </w:tr>
      <w:tr w14:paraId="6A795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78C4B71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第21.1</w:t>
            </w:r>
            <w:r>
              <w:rPr>
                <w:rFonts w:hint="eastAsia" w:ascii="宋体" w:hAnsi="宋体" w:cs="宋体"/>
                <w:color w:val="auto"/>
                <w:kern w:val="0"/>
                <w:szCs w:val="21"/>
                <w:highlight w:val="none"/>
                <w:lang w:val="zh-CN"/>
              </w:rPr>
              <w:t>款</w:t>
            </w:r>
          </w:p>
        </w:tc>
        <w:tc>
          <w:tcPr>
            <w:tcW w:w="2439" w:type="dxa"/>
            <w:vAlign w:val="center"/>
          </w:tcPr>
          <w:p w14:paraId="66B0D54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投标截止时间及投标地点</w:t>
            </w:r>
          </w:p>
        </w:tc>
        <w:tc>
          <w:tcPr>
            <w:tcW w:w="4820" w:type="dxa"/>
            <w:vAlign w:val="center"/>
          </w:tcPr>
          <w:p w14:paraId="64E22931">
            <w:pPr>
              <w:adjustRightInd w:val="0"/>
              <w:snapToGrid w:val="0"/>
              <w:spacing w:line="360" w:lineRule="exact"/>
              <w:rPr>
                <w:rFonts w:ascii="宋体" w:hAnsi="宋体"/>
                <w:color w:val="auto"/>
                <w:szCs w:val="21"/>
                <w:highlight w:val="none"/>
              </w:rPr>
            </w:pPr>
            <w:r>
              <w:rPr>
                <w:rStyle w:val="98"/>
                <w:rFonts w:ascii="宋体" w:hAnsi="宋体"/>
                <w:color w:val="auto"/>
                <w:szCs w:val="21"/>
                <w:highlight w:val="none"/>
              </w:rPr>
              <w:t>详见</w:t>
            </w:r>
            <w:r>
              <w:rPr>
                <w:rStyle w:val="98"/>
                <w:rFonts w:hint="eastAsia" w:ascii="宋体" w:hAnsi="宋体"/>
                <w:color w:val="auto"/>
                <w:szCs w:val="21"/>
                <w:highlight w:val="none"/>
              </w:rPr>
              <w:t>招标</w:t>
            </w:r>
            <w:r>
              <w:rPr>
                <w:rStyle w:val="98"/>
                <w:rFonts w:ascii="宋体" w:hAnsi="宋体"/>
                <w:color w:val="auto"/>
                <w:szCs w:val="21"/>
                <w:highlight w:val="none"/>
              </w:rPr>
              <w:t>公告</w:t>
            </w:r>
          </w:p>
        </w:tc>
      </w:tr>
      <w:tr w14:paraId="4F53CD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26E8168B">
            <w:pPr>
              <w:adjustRightInd w:val="0"/>
              <w:snapToGrid w:val="0"/>
              <w:spacing w:line="360" w:lineRule="exact"/>
              <w:rPr>
                <w:rFonts w:ascii="宋体" w:hAnsi="宋体"/>
                <w:color w:val="auto"/>
                <w:szCs w:val="21"/>
                <w:highlight w:val="none"/>
              </w:rPr>
            </w:pPr>
            <w:r>
              <w:rPr>
                <w:rFonts w:hint="eastAsia" w:ascii="宋体" w:hAnsi="宋体"/>
                <w:b/>
                <w:bCs/>
                <w:color w:val="auto"/>
                <w:szCs w:val="21"/>
                <w:highlight w:val="none"/>
              </w:rPr>
              <w:t>五、开标、资格审查和评标</w:t>
            </w:r>
          </w:p>
        </w:tc>
      </w:tr>
      <w:tr w14:paraId="26D76D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1418" w:type="dxa"/>
            <w:vAlign w:val="center"/>
          </w:tcPr>
          <w:p w14:paraId="4110CB5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第24.1款</w:t>
            </w:r>
          </w:p>
        </w:tc>
        <w:tc>
          <w:tcPr>
            <w:tcW w:w="2439" w:type="dxa"/>
            <w:vAlign w:val="center"/>
          </w:tcPr>
          <w:p w14:paraId="3B6A5C2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开标地点</w:t>
            </w:r>
          </w:p>
        </w:tc>
        <w:tc>
          <w:tcPr>
            <w:tcW w:w="4820" w:type="dxa"/>
            <w:vAlign w:val="center"/>
          </w:tcPr>
          <w:p w14:paraId="25B2FB43">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详见招标公告</w:t>
            </w:r>
          </w:p>
        </w:tc>
      </w:tr>
      <w:tr w14:paraId="53C3C3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1418" w:type="dxa"/>
            <w:vAlign w:val="center"/>
          </w:tcPr>
          <w:p w14:paraId="35817FF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第24.2</w:t>
            </w:r>
            <w:r>
              <w:rPr>
                <w:rFonts w:hint="eastAsia" w:ascii="宋体" w:hAnsi="宋体" w:cs="宋体"/>
                <w:color w:val="auto"/>
                <w:kern w:val="0"/>
                <w:szCs w:val="21"/>
                <w:highlight w:val="none"/>
                <w:lang w:val="zh-CN"/>
              </w:rPr>
              <w:t>款</w:t>
            </w:r>
          </w:p>
        </w:tc>
        <w:tc>
          <w:tcPr>
            <w:tcW w:w="2439" w:type="dxa"/>
            <w:vAlign w:val="center"/>
          </w:tcPr>
          <w:p w14:paraId="686E36A4">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需要宣布的其他内容</w:t>
            </w:r>
          </w:p>
        </w:tc>
        <w:tc>
          <w:tcPr>
            <w:tcW w:w="4820" w:type="dxa"/>
            <w:vAlign w:val="center"/>
          </w:tcPr>
          <w:p w14:paraId="2D6A70CE">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投标报价、服务期等</w:t>
            </w:r>
          </w:p>
        </w:tc>
      </w:tr>
      <w:tr w14:paraId="39F998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1E7ED6D7">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六、中标信息公布</w:t>
            </w:r>
          </w:p>
        </w:tc>
      </w:tr>
      <w:tr w14:paraId="06B57C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1BAB1619">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第28.2</w:t>
            </w:r>
            <w:r>
              <w:rPr>
                <w:rFonts w:hint="eastAsia" w:ascii="宋体" w:hAnsi="宋体" w:cs="宋体"/>
                <w:color w:val="auto"/>
                <w:kern w:val="0"/>
                <w:szCs w:val="21"/>
                <w:highlight w:val="none"/>
                <w:lang w:val="zh-CN"/>
              </w:rPr>
              <w:t>款</w:t>
            </w:r>
          </w:p>
        </w:tc>
        <w:tc>
          <w:tcPr>
            <w:tcW w:w="2439" w:type="dxa"/>
            <w:vAlign w:val="center"/>
          </w:tcPr>
          <w:p w14:paraId="6FB729B9">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中标候选人并列时确定中标人的方式</w:t>
            </w:r>
          </w:p>
        </w:tc>
        <w:tc>
          <w:tcPr>
            <w:tcW w:w="4820" w:type="dxa"/>
            <w:vAlign w:val="center"/>
          </w:tcPr>
          <w:p w14:paraId="200666B5">
            <w:pPr>
              <w:adjustRightInd w:val="0"/>
              <w:snapToGrid w:val="0"/>
              <w:spacing w:line="360" w:lineRule="exact"/>
              <w:rPr>
                <w:rFonts w:ascii="宋体" w:hAnsi="宋体"/>
                <w:bCs/>
                <w:color w:val="auto"/>
                <w:szCs w:val="21"/>
                <w:highlight w:val="none"/>
              </w:rPr>
            </w:pPr>
            <w:r>
              <w:rPr>
                <w:rFonts w:hint="eastAsia" w:ascii="宋体" w:hAnsi="宋体"/>
                <w:bCs/>
                <w:color w:val="auto"/>
                <w:szCs w:val="21"/>
                <w:highlight w:val="none"/>
              </w:rPr>
              <w:t>完全满足招标文件实质性需求且综合得分最高的单位为中标单位，得分相同的，按投标报价由低到高顺序排列；得分且投标报价相同的并列，按技术指标优劣顺序排列最高的投标人为排名第一的中标候选人。</w:t>
            </w:r>
          </w:p>
        </w:tc>
      </w:tr>
      <w:tr w14:paraId="24327A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8312E7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第29.3</w:t>
            </w:r>
            <w:r>
              <w:rPr>
                <w:rFonts w:hint="eastAsia" w:ascii="宋体" w:hAnsi="宋体" w:cs="宋体"/>
                <w:color w:val="auto"/>
                <w:kern w:val="0"/>
                <w:szCs w:val="21"/>
                <w:highlight w:val="none"/>
                <w:lang w:val="zh-CN"/>
              </w:rPr>
              <w:t>款</w:t>
            </w:r>
          </w:p>
        </w:tc>
        <w:tc>
          <w:tcPr>
            <w:tcW w:w="2439" w:type="dxa"/>
            <w:vAlign w:val="center"/>
          </w:tcPr>
          <w:p w14:paraId="0B259DB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接收质疑函的联系部门、联系电话和通讯地址</w:t>
            </w:r>
          </w:p>
        </w:tc>
        <w:tc>
          <w:tcPr>
            <w:tcW w:w="4820" w:type="dxa"/>
            <w:vAlign w:val="center"/>
          </w:tcPr>
          <w:p w14:paraId="52981856">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湖南天湘项目管理有限公司</w:t>
            </w:r>
          </w:p>
          <w:p w14:paraId="571BB457">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联系人：</w:t>
            </w:r>
            <w:r>
              <w:rPr>
                <w:rStyle w:val="98"/>
                <w:rFonts w:hint="eastAsia" w:ascii="宋体" w:hAnsi="宋体"/>
                <w:color w:val="auto"/>
                <w:szCs w:val="21"/>
                <w:highlight w:val="none"/>
              </w:rPr>
              <w:t>曾先生   吴女士</w:t>
            </w:r>
          </w:p>
          <w:p w14:paraId="5BDAD1E5">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联系电话：</w:t>
            </w:r>
            <w:r>
              <w:rPr>
                <w:rStyle w:val="98"/>
                <w:rFonts w:hint="eastAsia" w:ascii="宋体" w:hAnsi="宋体"/>
                <w:color w:val="auto"/>
                <w:szCs w:val="21"/>
                <w:highlight w:val="none"/>
              </w:rPr>
              <w:t>0738-</w:t>
            </w:r>
            <w:r>
              <w:rPr>
                <w:rStyle w:val="98"/>
                <w:rFonts w:hint="eastAsia" w:ascii="宋体" w:hAnsi="宋体"/>
                <w:color w:val="auto"/>
                <w:szCs w:val="21"/>
                <w:highlight w:val="none"/>
                <w:lang w:val="en-US" w:eastAsia="zh-CN"/>
              </w:rPr>
              <w:t>3393997</w:t>
            </w:r>
          </w:p>
          <w:p w14:paraId="3184C8E8">
            <w:pPr>
              <w:adjustRightInd w:val="0"/>
              <w:snapToGrid w:val="0"/>
              <w:spacing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通讯地址：</w:t>
            </w:r>
            <w:r>
              <w:rPr>
                <w:rStyle w:val="98"/>
                <w:rFonts w:hint="eastAsia" w:ascii="宋体" w:hAnsi="宋体"/>
                <w:color w:val="auto"/>
                <w:szCs w:val="21"/>
                <w:highlight w:val="none"/>
              </w:rPr>
              <w:t>新化县清水塘路（金水园）第一幢</w:t>
            </w:r>
            <w:r>
              <w:rPr>
                <w:rStyle w:val="98"/>
                <w:rFonts w:hint="eastAsia" w:ascii="宋体" w:hAnsi="宋体"/>
                <w:color w:val="auto"/>
                <w:szCs w:val="21"/>
                <w:highlight w:val="none"/>
                <w:lang w:val="en-US" w:eastAsia="zh-CN"/>
              </w:rPr>
              <w:t>3楼</w:t>
            </w:r>
          </w:p>
        </w:tc>
      </w:tr>
      <w:tr w14:paraId="368AA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28ADA983">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七、合同签订</w:t>
            </w:r>
          </w:p>
        </w:tc>
      </w:tr>
      <w:tr w14:paraId="557B6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70D23B0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第31.1</w:t>
            </w:r>
            <w:r>
              <w:rPr>
                <w:rFonts w:hint="eastAsia" w:ascii="宋体" w:hAnsi="宋体" w:cs="宋体"/>
                <w:color w:val="auto"/>
                <w:kern w:val="0"/>
                <w:szCs w:val="21"/>
                <w:highlight w:val="none"/>
                <w:lang w:val="zh-CN"/>
              </w:rPr>
              <w:t>款</w:t>
            </w:r>
          </w:p>
        </w:tc>
        <w:tc>
          <w:tcPr>
            <w:tcW w:w="2439" w:type="dxa"/>
            <w:vAlign w:val="center"/>
          </w:tcPr>
          <w:p w14:paraId="11393FB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履约担保</w:t>
            </w:r>
          </w:p>
        </w:tc>
        <w:tc>
          <w:tcPr>
            <w:tcW w:w="4820" w:type="dxa"/>
            <w:vAlign w:val="center"/>
          </w:tcPr>
          <w:p w14:paraId="6A528E70">
            <w:pPr>
              <w:adjustRightIn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不要求提供</w:t>
            </w:r>
          </w:p>
          <w:p w14:paraId="344A8C96">
            <w:pPr>
              <w:pStyle w:val="102"/>
              <w:spacing w:line="360" w:lineRule="exact"/>
              <w:ind w:firstLine="0" w:firstLineChars="0"/>
              <w:rPr>
                <w:rFonts w:ascii="宋体" w:hAnsi="宋体"/>
                <w:color w:val="auto"/>
                <w:sz w:val="21"/>
                <w:szCs w:val="21"/>
                <w:highlight w:val="none"/>
              </w:rPr>
            </w:pPr>
            <w:r>
              <w:rPr>
                <w:rFonts w:hint="eastAsia" w:ascii="宋体" w:hAnsi="宋体" w:cs="宋体"/>
                <w:iCs/>
                <w:color w:val="auto"/>
                <w:szCs w:val="21"/>
                <w:highlight w:val="none"/>
              </w:rPr>
              <w:sym w:font="Wingdings" w:char="00A8"/>
            </w:r>
            <w:r>
              <w:rPr>
                <w:rFonts w:hint="eastAsia" w:ascii="宋体" w:hAnsi="宋体"/>
                <w:color w:val="auto"/>
                <w:sz w:val="21"/>
                <w:szCs w:val="21"/>
                <w:highlight w:val="none"/>
              </w:rPr>
              <w:t>要求提供，履约担保的金额为：</w:t>
            </w:r>
            <w:r>
              <w:rPr>
                <w:rFonts w:hint="eastAsia" w:ascii="宋体" w:hAnsi="宋体" w:cs="宋体"/>
                <w:iCs/>
                <w:color w:val="auto"/>
                <w:szCs w:val="21"/>
                <w:highlight w:val="none"/>
              </w:rPr>
              <w:t>中标金额的</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w:t>
            </w:r>
          </w:p>
        </w:tc>
      </w:tr>
      <w:tr w14:paraId="1E6FA1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677" w:type="dxa"/>
            <w:gridSpan w:val="3"/>
            <w:vAlign w:val="center"/>
          </w:tcPr>
          <w:p w14:paraId="79965144">
            <w:pPr>
              <w:pStyle w:val="102"/>
              <w:spacing w:line="360" w:lineRule="exact"/>
              <w:ind w:firstLine="0" w:firstLineChars="0"/>
              <w:rPr>
                <w:rFonts w:ascii="宋体" w:hAnsi="宋体"/>
                <w:color w:val="auto"/>
                <w:szCs w:val="21"/>
                <w:highlight w:val="none"/>
              </w:rPr>
            </w:pPr>
            <w:r>
              <w:rPr>
                <w:rFonts w:hint="eastAsia" w:ascii="宋体" w:hAnsi="宋体"/>
                <w:b/>
                <w:color w:val="auto"/>
                <w:kern w:val="2"/>
                <w:sz w:val="21"/>
                <w:szCs w:val="21"/>
                <w:highlight w:val="none"/>
              </w:rPr>
              <w:t>八、政府采购政策</w:t>
            </w:r>
          </w:p>
        </w:tc>
      </w:tr>
      <w:tr w14:paraId="750A7D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418" w:type="dxa"/>
            <w:vAlign w:val="center"/>
          </w:tcPr>
          <w:p w14:paraId="5B9832A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第33.8款</w:t>
            </w:r>
          </w:p>
        </w:tc>
        <w:tc>
          <w:tcPr>
            <w:tcW w:w="2439" w:type="dxa"/>
            <w:vAlign w:val="center"/>
          </w:tcPr>
          <w:p w14:paraId="386E9944">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采购进口产品</w:t>
            </w:r>
          </w:p>
        </w:tc>
        <w:tc>
          <w:tcPr>
            <w:tcW w:w="4820" w:type="dxa"/>
            <w:vAlign w:val="center"/>
          </w:tcPr>
          <w:p w14:paraId="453B9789">
            <w:pPr>
              <w:pStyle w:val="102"/>
              <w:spacing w:line="360" w:lineRule="exact"/>
              <w:ind w:firstLine="0" w:firstLineChars="0"/>
              <w:rPr>
                <w:rFonts w:ascii="宋体" w:hAnsi="宋体"/>
                <w:color w:val="auto"/>
                <w:szCs w:val="21"/>
                <w:highlight w:val="none"/>
              </w:rPr>
            </w:pPr>
            <w:r>
              <w:rPr>
                <w:rFonts w:hint="eastAsia" w:ascii="宋体" w:hAnsi="宋体"/>
                <w:color w:val="auto"/>
                <w:szCs w:val="21"/>
                <w:highlight w:val="none"/>
              </w:rPr>
              <w:t>/</w:t>
            </w:r>
          </w:p>
        </w:tc>
      </w:tr>
      <w:tr w14:paraId="3F250B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0CABEFAF">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九、其他规定</w:t>
            </w:r>
          </w:p>
        </w:tc>
      </w:tr>
      <w:tr w14:paraId="01D6A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650398F">
            <w:pPr>
              <w:adjustRightInd w:val="0"/>
              <w:snapToGrid w:val="0"/>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439" w:type="dxa"/>
            <w:vAlign w:val="center"/>
          </w:tcPr>
          <w:p w14:paraId="2501718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合同预付款的支付比例和支付条件</w:t>
            </w:r>
          </w:p>
        </w:tc>
        <w:tc>
          <w:tcPr>
            <w:tcW w:w="4820" w:type="dxa"/>
            <w:vAlign w:val="center"/>
          </w:tcPr>
          <w:p w14:paraId="045E7575">
            <w:pPr>
              <w:spacing w:line="360" w:lineRule="exact"/>
              <w:rPr>
                <w:rFonts w:ascii="宋体" w:hAnsi="宋体"/>
                <w:color w:val="auto"/>
                <w:szCs w:val="21"/>
                <w:highlight w:val="none"/>
              </w:rPr>
            </w:pPr>
            <w:r>
              <w:rPr>
                <w:rFonts w:hint="eastAsia" w:ascii="宋体" w:hAnsi="宋体"/>
                <w:color w:val="auto"/>
                <w:szCs w:val="21"/>
                <w:highlight w:val="none"/>
              </w:rPr>
              <w:t>/</w:t>
            </w:r>
          </w:p>
        </w:tc>
      </w:tr>
      <w:tr w14:paraId="53B1EA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CA3CE44">
            <w:pPr>
              <w:adjustRightInd w:val="0"/>
              <w:snapToGrid w:val="0"/>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439" w:type="dxa"/>
            <w:vAlign w:val="center"/>
          </w:tcPr>
          <w:p w14:paraId="56714DCD">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质量保证金</w:t>
            </w:r>
          </w:p>
        </w:tc>
        <w:tc>
          <w:tcPr>
            <w:tcW w:w="4820" w:type="dxa"/>
            <w:vAlign w:val="center"/>
          </w:tcPr>
          <w:p w14:paraId="34FA4230">
            <w:pPr>
              <w:spacing w:line="360" w:lineRule="exact"/>
              <w:rPr>
                <w:rFonts w:ascii="宋体" w:hAnsi="宋体"/>
                <w:color w:val="auto"/>
                <w:szCs w:val="21"/>
                <w:highlight w:val="none"/>
              </w:rPr>
            </w:pPr>
            <w:r>
              <w:rPr>
                <w:rFonts w:hint="eastAsia" w:ascii="宋体" w:hAnsi="宋体"/>
                <w:color w:val="auto"/>
                <w:szCs w:val="21"/>
                <w:highlight w:val="none"/>
              </w:rPr>
              <w:t>/</w:t>
            </w:r>
          </w:p>
        </w:tc>
      </w:tr>
      <w:tr w14:paraId="6A5309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18" w:type="dxa"/>
            <w:vMerge w:val="restart"/>
            <w:vAlign w:val="center"/>
          </w:tcPr>
          <w:p w14:paraId="690303B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第35.2</w:t>
            </w:r>
            <w:r>
              <w:rPr>
                <w:rFonts w:hint="eastAsia" w:ascii="宋体" w:hAnsi="宋体" w:cs="宋体"/>
                <w:color w:val="auto"/>
                <w:kern w:val="0"/>
                <w:szCs w:val="21"/>
                <w:highlight w:val="none"/>
                <w:lang w:val="zh-CN"/>
              </w:rPr>
              <w:t>款</w:t>
            </w:r>
          </w:p>
        </w:tc>
        <w:tc>
          <w:tcPr>
            <w:tcW w:w="2439" w:type="dxa"/>
            <w:vMerge w:val="restart"/>
            <w:vAlign w:val="center"/>
          </w:tcPr>
          <w:p w14:paraId="1416C18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其他规定</w:t>
            </w:r>
          </w:p>
        </w:tc>
        <w:tc>
          <w:tcPr>
            <w:tcW w:w="4820" w:type="dxa"/>
            <w:tcBorders>
              <w:bottom w:val="single" w:color="auto" w:sz="4" w:space="0"/>
            </w:tcBorders>
            <w:vAlign w:val="center"/>
          </w:tcPr>
          <w:p w14:paraId="3F43C3AE">
            <w:pPr>
              <w:spacing w:line="360" w:lineRule="exact"/>
              <w:rPr>
                <w:rFonts w:ascii="宋体" w:hAnsi="宋体"/>
                <w:color w:val="auto"/>
                <w:szCs w:val="21"/>
                <w:highlight w:val="none"/>
              </w:rPr>
            </w:pPr>
            <w:r>
              <w:rPr>
                <w:rFonts w:ascii="宋体" w:hAnsi="宋体"/>
                <w:color w:val="auto"/>
                <w:szCs w:val="21"/>
                <w:highlight w:val="none"/>
              </w:rPr>
              <w:t>招标代理服务费由采购人按合同约定支付</w:t>
            </w:r>
          </w:p>
        </w:tc>
      </w:tr>
      <w:tr w14:paraId="61F29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418" w:type="dxa"/>
            <w:vMerge w:val="continue"/>
            <w:vAlign w:val="center"/>
          </w:tcPr>
          <w:p w14:paraId="70ECC87B">
            <w:pPr>
              <w:adjustRightInd w:val="0"/>
              <w:snapToGrid w:val="0"/>
              <w:spacing w:line="360" w:lineRule="exact"/>
              <w:jc w:val="center"/>
              <w:rPr>
                <w:rFonts w:ascii="宋体" w:hAnsi="宋体"/>
                <w:color w:val="auto"/>
                <w:szCs w:val="21"/>
                <w:highlight w:val="none"/>
              </w:rPr>
            </w:pPr>
          </w:p>
        </w:tc>
        <w:tc>
          <w:tcPr>
            <w:tcW w:w="2439" w:type="dxa"/>
            <w:vMerge w:val="continue"/>
            <w:vAlign w:val="center"/>
          </w:tcPr>
          <w:p w14:paraId="20041CA9">
            <w:pPr>
              <w:adjustRightInd w:val="0"/>
              <w:snapToGrid w:val="0"/>
              <w:spacing w:line="360" w:lineRule="exact"/>
              <w:jc w:val="center"/>
              <w:rPr>
                <w:rFonts w:ascii="宋体" w:hAnsi="宋体"/>
                <w:color w:val="auto"/>
                <w:szCs w:val="21"/>
                <w:highlight w:val="none"/>
              </w:rPr>
            </w:pPr>
          </w:p>
        </w:tc>
        <w:tc>
          <w:tcPr>
            <w:tcW w:w="4820" w:type="dxa"/>
            <w:tcBorders>
              <w:top w:val="single" w:color="auto" w:sz="4" w:space="0"/>
            </w:tcBorders>
            <w:vAlign w:val="center"/>
          </w:tcPr>
          <w:p w14:paraId="041BCBAD">
            <w:pPr>
              <w:spacing w:line="360" w:lineRule="exact"/>
              <w:rPr>
                <w:rFonts w:ascii="宋体" w:hAnsi="宋体"/>
                <w:color w:val="auto"/>
                <w:szCs w:val="21"/>
                <w:highlight w:val="none"/>
              </w:rPr>
            </w:pPr>
            <w:r>
              <w:rPr>
                <w:rFonts w:ascii="宋体" w:hAnsi="宋体"/>
                <w:color w:val="auto"/>
                <w:szCs w:val="21"/>
                <w:highlight w:val="none"/>
              </w:rPr>
              <w:t>对列入失信被执行人、重大税收违法案件当事人名单、政府采购严重违法失信行为记录名单及其他不符合《中华人民共和国政府采购法》第二十二条规定条件的</w:t>
            </w:r>
            <w:r>
              <w:rPr>
                <w:rFonts w:hint="eastAsia" w:ascii="宋体" w:hAnsi="宋体"/>
                <w:color w:val="auto"/>
                <w:szCs w:val="21"/>
                <w:highlight w:val="none"/>
              </w:rPr>
              <w:t>投标人</w:t>
            </w:r>
            <w:r>
              <w:rPr>
                <w:rFonts w:ascii="宋体" w:hAnsi="宋体"/>
                <w:color w:val="auto"/>
                <w:szCs w:val="21"/>
                <w:highlight w:val="none"/>
              </w:rPr>
              <w:t>，应当拒绝其参与政府采购活动。</w:t>
            </w:r>
          </w:p>
          <w:p w14:paraId="244F745B">
            <w:pPr>
              <w:spacing w:line="360" w:lineRule="exact"/>
              <w:rPr>
                <w:rFonts w:ascii="宋体" w:hAnsi="宋体"/>
                <w:color w:val="auto"/>
                <w:szCs w:val="21"/>
                <w:highlight w:val="none"/>
              </w:rPr>
            </w:pPr>
            <w:r>
              <w:rPr>
                <w:rFonts w:ascii="宋体" w:hAnsi="宋体"/>
                <w:color w:val="auto"/>
                <w:szCs w:val="21"/>
                <w:highlight w:val="none"/>
              </w:rPr>
              <w:t>两个以上的自然人、法人或者其他组织组成一个联合体，以一个</w:t>
            </w:r>
            <w:r>
              <w:rPr>
                <w:rFonts w:hint="eastAsia" w:ascii="宋体" w:hAnsi="宋体"/>
                <w:color w:val="auto"/>
                <w:szCs w:val="21"/>
                <w:highlight w:val="none"/>
              </w:rPr>
              <w:t>投标人</w:t>
            </w:r>
            <w:r>
              <w:rPr>
                <w:rFonts w:ascii="宋体" w:hAnsi="宋体"/>
                <w:color w:val="auto"/>
                <w:szCs w:val="21"/>
                <w:highlight w:val="none"/>
              </w:rPr>
              <w:t>的身份共同参加政府采购活动的，应当对所有联合体成员进行信用记录查询，联合体成员存在不良信用记录的，视同联合体存在不良信用记录。</w:t>
            </w:r>
          </w:p>
          <w:p w14:paraId="31B5C41F">
            <w:pPr>
              <w:spacing w:line="360" w:lineRule="exact"/>
              <w:rPr>
                <w:rFonts w:ascii="宋体" w:hAnsi="宋体"/>
                <w:color w:val="auto"/>
                <w:szCs w:val="21"/>
                <w:highlight w:val="none"/>
              </w:rPr>
            </w:pPr>
            <w:r>
              <w:rPr>
                <w:rFonts w:ascii="宋体" w:hAnsi="宋体"/>
                <w:color w:val="auto"/>
                <w:szCs w:val="21"/>
                <w:highlight w:val="none"/>
              </w:rPr>
              <w:t>1、信用信息查询的查询渠道：信用中国网站（www.creditchina.gov.cn）、中国政府采购网（www.ccgp.gov.cn）。</w:t>
            </w:r>
          </w:p>
          <w:p w14:paraId="6C1E667B">
            <w:pPr>
              <w:spacing w:line="360" w:lineRule="exact"/>
              <w:rPr>
                <w:rFonts w:ascii="宋体" w:hAnsi="宋体"/>
                <w:color w:val="auto"/>
                <w:szCs w:val="21"/>
                <w:highlight w:val="none"/>
              </w:rPr>
            </w:pPr>
            <w:r>
              <w:rPr>
                <w:rFonts w:ascii="宋体" w:hAnsi="宋体"/>
                <w:color w:val="auto"/>
                <w:szCs w:val="21"/>
                <w:highlight w:val="none"/>
              </w:rPr>
              <w:t>2、信用信息查询的截止时点：至本项目投标截止时间止。</w:t>
            </w:r>
          </w:p>
          <w:p w14:paraId="56CEE180">
            <w:pPr>
              <w:spacing w:line="360" w:lineRule="exact"/>
              <w:rPr>
                <w:rFonts w:ascii="宋体" w:hAnsi="宋体"/>
                <w:color w:val="auto"/>
                <w:szCs w:val="21"/>
                <w:highlight w:val="none"/>
              </w:rPr>
            </w:pPr>
            <w:r>
              <w:rPr>
                <w:rFonts w:ascii="宋体" w:hAnsi="宋体"/>
                <w:color w:val="auto"/>
                <w:szCs w:val="21"/>
                <w:highlight w:val="none"/>
              </w:rPr>
              <w:t>3、信用信息查询记录的具体方式：由采购人或采购代理机构在规定的查询渠道进行查询。</w:t>
            </w:r>
          </w:p>
          <w:p w14:paraId="30CA10AC">
            <w:pPr>
              <w:spacing w:line="360" w:lineRule="exact"/>
              <w:rPr>
                <w:rFonts w:ascii="宋体" w:hAnsi="宋体"/>
                <w:color w:val="auto"/>
                <w:szCs w:val="21"/>
                <w:highlight w:val="none"/>
              </w:rPr>
            </w:pPr>
            <w:r>
              <w:rPr>
                <w:rFonts w:ascii="宋体" w:hAnsi="宋体"/>
                <w:color w:val="auto"/>
                <w:szCs w:val="21"/>
                <w:highlight w:val="none"/>
              </w:rPr>
              <w:t>4、信用信息查询记录证据留存的具体方式：查询记录的网上打印件</w:t>
            </w:r>
            <w:r>
              <w:rPr>
                <w:rFonts w:hint="eastAsia" w:ascii="宋体" w:hAnsi="宋体"/>
                <w:color w:val="auto"/>
                <w:szCs w:val="21"/>
                <w:highlight w:val="none"/>
              </w:rPr>
              <w:t>。</w:t>
            </w:r>
          </w:p>
          <w:p w14:paraId="5AF0D86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5、信用信息的使用规则：留存备查。</w:t>
            </w:r>
          </w:p>
        </w:tc>
      </w:tr>
    </w:tbl>
    <w:p w14:paraId="3D4E9348">
      <w:pPr>
        <w:adjustRightInd w:val="0"/>
        <w:snapToGrid w:val="0"/>
        <w:spacing w:line="360" w:lineRule="auto"/>
        <w:jc w:val="center"/>
        <w:outlineLvl w:val="1"/>
        <w:rPr>
          <w:rFonts w:ascii="宋体" w:hAnsi="宋体"/>
          <w:b/>
          <w:color w:val="auto"/>
          <w:sz w:val="28"/>
          <w:szCs w:val="28"/>
          <w:highlight w:val="none"/>
        </w:rPr>
      </w:pPr>
      <w:r>
        <w:rPr>
          <w:rFonts w:ascii="宋体" w:hAnsi="宋体"/>
          <w:b/>
          <w:color w:val="auto"/>
          <w:szCs w:val="21"/>
          <w:highlight w:val="none"/>
        </w:rPr>
        <w:br w:type="page"/>
      </w:r>
      <w:bookmarkStart w:id="76" w:name="_Toc108483387"/>
      <w:bookmarkStart w:id="77" w:name="_Toc111543549"/>
      <w:bookmarkStart w:id="78" w:name="_Toc17307"/>
      <w:bookmarkStart w:id="79" w:name="_Toc140957862"/>
      <w:bookmarkStart w:id="80" w:name="_Toc32086"/>
      <w:bookmarkStart w:id="81" w:name="_Toc171282396"/>
      <w:bookmarkStart w:id="82" w:name="_Toc4087"/>
      <w:bookmarkStart w:id="83" w:name="_Toc12303"/>
      <w:bookmarkStart w:id="84" w:name="_Toc5750"/>
      <w:bookmarkStart w:id="85" w:name="_Toc3570"/>
      <w:bookmarkStart w:id="86" w:name="_Toc109656569"/>
      <w:bookmarkStart w:id="87" w:name="_Toc8645"/>
      <w:bookmarkStart w:id="88" w:name="_Toc16047"/>
      <w:bookmarkStart w:id="89" w:name="_Toc79093663"/>
      <w:bookmarkStart w:id="90" w:name="_Toc20645"/>
      <w:bookmarkStart w:id="91" w:name="_Toc137408709"/>
      <w:bookmarkStart w:id="92" w:name="_Toc26844"/>
      <w:bookmarkStart w:id="93" w:name="_Toc3177"/>
      <w:bookmarkStart w:id="94" w:name="_Toc118209419"/>
      <w:bookmarkStart w:id="95" w:name="_Toc25043"/>
      <w:bookmarkStart w:id="96" w:name="_Toc15315"/>
      <w:bookmarkStart w:id="97" w:name="_Toc113350928"/>
      <w:bookmarkStart w:id="98" w:name="_Toc99299717"/>
      <w:bookmarkStart w:id="99" w:name="_Toc166778327"/>
      <w:bookmarkStart w:id="100" w:name="_Toc193053697"/>
      <w:bookmarkStart w:id="101" w:name="_Toc17295"/>
      <w:bookmarkStart w:id="102" w:name="_Toc189905353"/>
      <w:bookmarkStart w:id="103" w:name="_Toc16817"/>
      <w:bookmarkStart w:id="104" w:name="_Toc103979570"/>
      <w:r>
        <w:rPr>
          <w:rFonts w:hint="eastAsia" w:ascii="宋体" w:hAnsi="宋体"/>
          <w:b/>
          <w:color w:val="auto"/>
          <w:sz w:val="28"/>
          <w:szCs w:val="28"/>
          <w:highlight w:val="none"/>
        </w:rPr>
        <w:t>第二节</w:t>
      </w:r>
      <w:r>
        <w:rPr>
          <w:rFonts w:hint="eastAsia" w:ascii="宋体" w:hAnsi="宋体"/>
          <w:b/>
          <w:color w:val="auto"/>
          <w:szCs w:val="21"/>
          <w:highlight w:val="none"/>
        </w:rPr>
        <w:t xml:space="preserve">  </w:t>
      </w:r>
      <w:r>
        <w:rPr>
          <w:rFonts w:hint="eastAsia" w:ascii="宋体" w:hAnsi="宋体"/>
          <w:b/>
          <w:color w:val="auto"/>
          <w:sz w:val="28"/>
          <w:szCs w:val="28"/>
          <w:highlight w:val="none"/>
        </w:rPr>
        <w:t>投标须知正文</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16A15646">
      <w:pPr>
        <w:pStyle w:val="4"/>
        <w:adjustRightInd w:val="0"/>
        <w:snapToGrid w:val="0"/>
        <w:spacing w:beforeLines="50" w:after="0" w:line="360" w:lineRule="auto"/>
        <w:jc w:val="center"/>
        <w:rPr>
          <w:rFonts w:ascii="宋体" w:hAnsi="宋体"/>
          <w:b w:val="0"/>
          <w:color w:val="auto"/>
          <w:sz w:val="28"/>
          <w:szCs w:val="28"/>
          <w:highlight w:val="none"/>
        </w:rPr>
      </w:pPr>
      <w:bookmarkStart w:id="105" w:name="_Toc140957863"/>
      <w:bookmarkStart w:id="106" w:name="_Toc99299718"/>
      <w:bookmarkStart w:id="107" w:name="_Toc18147"/>
      <w:bookmarkStart w:id="108" w:name="_Toc111543550"/>
      <w:bookmarkStart w:id="109" w:name="_Toc24581"/>
      <w:bookmarkStart w:id="110" w:name="_Toc118209420"/>
      <w:bookmarkStart w:id="111" w:name="_Toc8971"/>
      <w:bookmarkStart w:id="112" w:name="_Toc12651"/>
      <w:bookmarkStart w:id="113" w:name="_Toc109656570"/>
      <w:bookmarkStart w:id="114" w:name="_Toc27345"/>
      <w:bookmarkStart w:id="115" w:name="_Toc189905354"/>
      <w:bookmarkStart w:id="116" w:name="_Toc15857"/>
      <w:bookmarkStart w:id="117" w:name="_Toc79093664"/>
      <w:bookmarkStart w:id="118" w:name="_Toc17365"/>
      <w:bookmarkStart w:id="119" w:name="_Toc171282397"/>
      <w:bookmarkStart w:id="120" w:name="_Toc21339"/>
      <w:bookmarkStart w:id="121" w:name="_Toc193053698"/>
      <w:bookmarkStart w:id="122" w:name="_Toc18324"/>
      <w:bookmarkStart w:id="123" w:name="_Toc166778328"/>
      <w:bookmarkStart w:id="124" w:name="_Toc29807"/>
      <w:bookmarkStart w:id="125" w:name="_Toc31006"/>
      <w:bookmarkStart w:id="126" w:name="_Toc137408710"/>
      <w:bookmarkStart w:id="127" w:name="_Toc11276"/>
      <w:bookmarkStart w:id="128" w:name="_Toc22387"/>
      <w:bookmarkStart w:id="129" w:name="_Toc23149"/>
      <w:bookmarkStart w:id="130" w:name="_Toc113350929"/>
      <w:bookmarkStart w:id="131" w:name="_Toc108483388"/>
      <w:bookmarkStart w:id="132" w:name="_Toc103979571"/>
      <w:bookmarkStart w:id="133" w:name="_Toc27189"/>
      <w:bookmarkStart w:id="134" w:name="_Toc17859"/>
      <w:r>
        <w:rPr>
          <w:rFonts w:hint="eastAsia" w:ascii="宋体" w:hAnsi="宋体"/>
          <w:color w:val="auto"/>
          <w:sz w:val="28"/>
          <w:szCs w:val="28"/>
          <w:highlight w:val="none"/>
        </w:rPr>
        <w:t>一、总则</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7BCE816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 适用范围</w:t>
      </w:r>
    </w:p>
    <w:p w14:paraId="3AB8AE4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1.1本招标文件仅适用于本章第一节</w:t>
      </w:r>
      <w:r>
        <w:rPr>
          <w:rFonts w:hint="eastAsia" w:ascii="宋体" w:hAnsi="宋体"/>
          <w:b/>
          <w:bCs/>
          <w:color w:val="auto"/>
          <w:szCs w:val="21"/>
          <w:highlight w:val="none"/>
        </w:rPr>
        <w:t>【投标须知前附表】</w:t>
      </w:r>
      <w:r>
        <w:rPr>
          <w:rFonts w:hint="eastAsia" w:ascii="宋体" w:hAnsi="宋体"/>
          <w:color w:val="auto"/>
          <w:szCs w:val="21"/>
          <w:highlight w:val="none"/>
        </w:rPr>
        <w:t>中所叙述的采购项目。</w:t>
      </w:r>
    </w:p>
    <w:p w14:paraId="7C60E338">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规定采购项目或者采购包属于“预留采购份额”的，投标人应当符合本章第33.7款规定，否则，其</w:t>
      </w:r>
      <w:r>
        <w:rPr>
          <w:rFonts w:hint="eastAsia" w:ascii="宋体" w:hAnsi="宋体"/>
          <w:b/>
          <w:color w:val="auto"/>
          <w:szCs w:val="21"/>
          <w:highlight w:val="none"/>
        </w:rPr>
        <w:t>投标无效</w:t>
      </w:r>
      <w:r>
        <w:rPr>
          <w:rFonts w:hint="eastAsia" w:ascii="宋体" w:hAnsi="宋体"/>
          <w:color w:val="auto"/>
          <w:szCs w:val="21"/>
          <w:highlight w:val="none"/>
        </w:rPr>
        <w:t>。</w:t>
      </w:r>
    </w:p>
    <w:p w14:paraId="44408AF8">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 定义</w:t>
      </w:r>
    </w:p>
    <w:p w14:paraId="7E44BB3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2.1采购项目联系人姓名和电话见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1D07041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519DB51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2.3采购代理机构名称、地址、电话、联系人见</w:t>
      </w:r>
      <w:r>
        <w:rPr>
          <w:rFonts w:hint="eastAsia" w:ascii="宋体" w:hAnsi="宋体"/>
          <w:b/>
          <w:color w:val="auto"/>
          <w:szCs w:val="21"/>
          <w:highlight w:val="none"/>
        </w:rPr>
        <w:t>【投标须知前附表】。</w:t>
      </w:r>
    </w:p>
    <w:p w14:paraId="7963E11F">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2.4投标人系指响应招标、参加投标竞争的法人、其他组织或自然人。</w:t>
      </w:r>
    </w:p>
    <w:p w14:paraId="69CCD188">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 投标人的资格要求</w:t>
      </w:r>
    </w:p>
    <w:p w14:paraId="059E03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665594A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规定接受联合体形式投标的，投标人除应符合本章第3.1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 xml:space="preserve">规定外，还应遵守以下规定： </w:t>
      </w:r>
    </w:p>
    <w:p w14:paraId="206C597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（l）联合体中有同类资质的供应商按照联合体分工承担相同工作的，应当按照资质等级较低的供应商确定资质等级。</w:t>
      </w:r>
    </w:p>
    <w:p w14:paraId="34B2313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63B01106">
      <w:pPr>
        <w:adjustRightInd w:val="0"/>
        <w:snapToGrid w:val="0"/>
        <w:spacing w:line="360" w:lineRule="auto"/>
        <w:ind w:firstLine="420" w:firstLineChars="200"/>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不得再单独参加或者与其他投标人组成新的联合体参加</w:t>
      </w:r>
      <w:r>
        <w:rPr>
          <w:rFonts w:hint="eastAsia" w:ascii="宋体" w:hAnsi="宋体" w:cs="宋体"/>
          <w:color w:val="auto"/>
          <w:kern w:val="0"/>
          <w:szCs w:val="21"/>
          <w:highlight w:val="none"/>
        </w:rPr>
        <w:t>本项目</w:t>
      </w:r>
      <w:r>
        <w:rPr>
          <w:rFonts w:hint="eastAsia" w:ascii="宋体" w:hAnsi="宋体" w:cs="宋体"/>
          <w:color w:val="auto"/>
          <w:kern w:val="0"/>
          <w:szCs w:val="21"/>
          <w:highlight w:val="none"/>
          <w:lang w:val="zh-CN"/>
        </w:rPr>
        <w:t>同一合同项下的采购活动。</w:t>
      </w:r>
    </w:p>
    <w:p w14:paraId="5CCCB656">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 xml:space="preserve">4. 投标费用 </w:t>
      </w:r>
    </w:p>
    <w:p w14:paraId="015E394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4.1投标人应自行承担所有参与投标的相关费用，不论投标的结果如何，采购人、采购代理机构均无义务和责任承担这些费用。</w:t>
      </w:r>
    </w:p>
    <w:p w14:paraId="586D23C5">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5．组织现场考察或者召开答疑会</w:t>
      </w:r>
    </w:p>
    <w:p w14:paraId="20B6C43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5.1采购人、采购代理机构可以在</w:t>
      </w:r>
      <w:r>
        <w:rPr>
          <w:rFonts w:hint="eastAsia" w:ascii="宋体" w:hAnsi="宋体"/>
          <w:b/>
          <w:color w:val="auto"/>
          <w:szCs w:val="21"/>
          <w:highlight w:val="none"/>
        </w:rPr>
        <w:t>【投标须知前附表】</w:t>
      </w:r>
      <w:r>
        <w:rPr>
          <w:rFonts w:hint="eastAsia" w:ascii="宋体" w:hAnsi="宋体"/>
          <w:color w:val="auto"/>
          <w:szCs w:val="21"/>
          <w:highlight w:val="none"/>
        </w:rPr>
        <w:t>规定的招标文件提供期限截止后，组织已获取招标文件的潜在投标人现场考察或者召开开标前答疑会。</w:t>
      </w:r>
    </w:p>
    <w:p w14:paraId="520336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规定参加现场考察或者答疑会；如不参加，其风险由其自行承担。</w:t>
      </w:r>
    </w:p>
    <w:p w14:paraId="5AC667F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5.3潜在投标人现场考察或者参加答疑会的费用由自己承担，现场考察期间所发生的人身伤害及财产损失由自己负责。</w:t>
      </w:r>
    </w:p>
    <w:p w14:paraId="22DF2FA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5.4采购人、采购代理机构不对投标人据此而做出的推论、理解和结论负责。投标人一旦中标，不得以任何借口，提出额外补偿，或延长合同期限的要求。</w:t>
      </w:r>
    </w:p>
    <w:p w14:paraId="1A4E3AE5">
      <w:pPr>
        <w:pStyle w:val="4"/>
        <w:adjustRightInd w:val="0"/>
        <w:snapToGrid w:val="0"/>
        <w:spacing w:beforeLines="50" w:after="0" w:line="360" w:lineRule="auto"/>
        <w:jc w:val="center"/>
        <w:rPr>
          <w:rFonts w:ascii="宋体" w:hAnsi="宋体"/>
          <w:color w:val="auto"/>
          <w:sz w:val="28"/>
          <w:szCs w:val="28"/>
          <w:highlight w:val="none"/>
        </w:rPr>
      </w:pPr>
      <w:bookmarkStart w:id="135" w:name="_Toc2311"/>
      <w:bookmarkStart w:id="136" w:name="_Toc166778329"/>
      <w:bookmarkStart w:id="137" w:name="_Toc113350930"/>
      <w:bookmarkStart w:id="138" w:name="_Toc15651"/>
      <w:bookmarkStart w:id="139" w:name="_Toc109656571"/>
      <w:bookmarkStart w:id="140" w:name="_Toc5040"/>
      <w:bookmarkStart w:id="141" w:name="_Toc99299719"/>
      <w:bookmarkStart w:id="142" w:name="_Toc1478"/>
      <w:bookmarkStart w:id="143" w:name="_Toc118209421"/>
      <w:bookmarkStart w:id="144" w:name="_Toc23082"/>
      <w:bookmarkStart w:id="145" w:name="_Toc193053699"/>
      <w:bookmarkStart w:id="146" w:name="_Toc137408711"/>
      <w:bookmarkStart w:id="147" w:name="_Toc108483389"/>
      <w:bookmarkStart w:id="148" w:name="_Toc17036"/>
      <w:bookmarkStart w:id="149" w:name="_Toc18927"/>
      <w:bookmarkStart w:id="150" w:name="_Toc17485"/>
      <w:bookmarkStart w:id="151" w:name="_Toc140957864"/>
      <w:bookmarkStart w:id="152" w:name="_Toc11362"/>
      <w:bookmarkStart w:id="153" w:name="_Toc13544"/>
      <w:bookmarkStart w:id="154" w:name="_Toc79093665"/>
      <w:bookmarkStart w:id="155" w:name="_Toc24830"/>
      <w:bookmarkStart w:id="156" w:name="_Toc30132"/>
      <w:bookmarkStart w:id="157" w:name="_Toc23553"/>
      <w:bookmarkStart w:id="158" w:name="_Toc103979572"/>
      <w:bookmarkStart w:id="159" w:name="_Toc28175"/>
      <w:bookmarkStart w:id="160" w:name="_Toc18334"/>
      <w:bookmarkStart w:id="161" w:name="_Toc189905355"/>
      <w:bookmarkStart w:id="162" w:name="_Toc111543551"/>
      <w:bookmarkStart w:id="163" w:name="_Toc171282398"/>
      <w:bookmarkStart w:id="164" w:name="_Toc19393"/>
      <w:r>
        <w:rPr>
          <w:rFonts w:hint="eastAsia" w:ascii="宋体" w:hAnsi="宋体"/>
          <w:color w:val="auto"/>
          <w:sz w:val="28"/>
          <w:szCs w:val="28"/>
          <w:highlight w:val="none"/>
        </w:rPr>
        <w:t>二、招标文件</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14C93616">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6. 招标文件的构成</w:t>
      </w:r>
    </w:p>
    <w:p w14:paraId="5031E97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 招标文件共七章，各章内容如下：</w:t>
      </w:r>
    </w:p>
    <w:p w14:paraId="27C21E3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第一章 投标邀请</w:t>
      </w:r>
    </w:p>
    <w:p w14:paraId="29FC43E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第二章 投标须知</w:t>
      </w:r>
    </w:p>
    <w:p w14:paraId="40D5466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第三章 资格审查</w:t>
      </w:r>
    </w:p>
    <w:p w14:paraId="7CD459F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第四章 评标方法及标准</w:t>
      </w:r>
    </w:p>
    <w:p w14:paraId="6CB2FC2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第五章 采购需求</w:t>
      </w:r>
    </w:p>
    <w:p w14:paraId="2D28F1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第六章 政府采购合同</w:t>
      </w:r>
    </w:p>
    <w:p w14:paraId="4A09738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第七章 投标文件的组成</w:t>
      </w:r>
    </w:p>
    <w:p w14:paraId="2313C00B">
      <w:pPr>
        <w:adjustRightInd w:val="0"/>
        <w:snapToGrid w:val="0"/>
        <w:spacing w:line="360" w:lineRule="auto"/>
        <w:ind w:firstLine="420" w:firstLineChars="200"/>
        <w:rPr>
          <w:rFonts w:ascii="宋体" w:hAnsi="宋体" w:cs="宋体"/>
          <w:b/>
          <w:color w:val="auto"/>
          <w:szCs w:val="21"/>
          <w:highlight w:val="none"/>
        </w:rPr>
      </w:pPr>
      <w:r>
        <w:rPr>
          <w:rFonts w:hint="eastAsia" w:ascii="宋体" w:hAnsi="宋体"/>
          <w:color w:val="auto"/>
          <w:szCs w:val="21"/>
          <w:highlight w:val="none"/>
        </w:rPr>
        <w:t>6.2采购人、采购代理机构在提交投标文件截止时间前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0147278B">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7．偏离与实质性响应</w:t>
      </w:r>
    </w:p>
    <w:p w14:paraId="472C452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7.1投标人应当按照招标文件的要求编制投标文件。投标文件应当对招标文件提出的要求和条件作出明确响应。</w:t>
      </w:r>
    </w:p>
    <w:p w14:paraId="509C0EB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7.2偏离是指投标文件不响应或者不满足招标文件提出的要求和条件，分为实质性偏离和非实质性偏离。</w:t>
      </w:r>
    </w:p>
    <w:p w14:paraId="0440051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7.3除法律、法规和招标文件规定的其他投标无效情形外，招标文件中用“★”符号标明的条款为实质性要求和条件，对其中任何一条的偏离，为实质性偏离，其</w:t>
      </w:r>
      <w:r>
        <w:rPr>
          <w:rFonts w:hint="eastAsia" w:ascii="宋体" w:hAnsi="宋体"/>
          <w:b/>
          <w:color w:val="auto"/>
          <w:highlight w:val="none"/>
        </w:rPr>
        <w:t>投标无效</w:t>
      </w:r>
      <w:r>
        <w:rPr>
          <w:rFonts w:hint="eastAsia" w:ascii="宋体" w:hAnsi="宋体"/>
          <w:color w:val="auto"/>
          <w:highlight w:val="none"/>
        </w:rPr>
        <w:t>。</w:t>
      </w:r>
    </w:p>
    <w:p w14:paraId="155770E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7.4投标</w:t>
      </w:r>
      <w:r>
        <w:rPr>
          <w:rFonts w:hint="eastAsia" w:ascii="宋体" w:hAnsi="宋体"/>
          <w:color w:val="auto"/>
          <w:szCs w:val="21"/>
          <w:highlight w:val="none"/>
        </w:rPr>
        <w:t>文件偏离招标文件的非实质性要求和条件，为非实质性偏离。非实质性偏离的范围和幅度应当符合</w:t>
      </w:r>
      <w:r>
        <w:rPr>
          <w:rFonts w:hint="eastAsia" w:ascii="宋体" w:hAnsi="宋体"/>
          <w:b/>
          <w:color w:val="auto"/>
          <w:szCs w:val="21"/>
          <w:highlight w:val="none"/>
        </w:rPr>
        <w:t>【投标须知前附表】</w:t>
      </w:r>
      <w:r>
        <w:rPr>
          <w:rFonts w:hint="eastAsia" w:ascii="宋体" w:hAnsi="宋体"/>
          <w:color w:val="auto"/>
          <w:szCs w:val="21"/>
          <w:highlight w:val="none"/>
        </w:rPr>
        <w:t>的规定，</w:t>
      </w:r>
      <w:r>
        <w:rPr>
          <w:rFonts w:hint="eastAsia" w:ascii="宋体" w:hAnsi="宋体"/>
          <w:b/>
          <w:color w:val="auto"/>
          <w:szCs w:val="21"/>
          <w:highlight w:val="none"/>
        </w:rPr>
        <w:t>否则</w:t>
      </w:r>
      <w:r>
        <w:rPr>
          <w:rFonts w:hint="eastAsia" w:ascii="宋体" w:hAnsi="宋体"/>
          <w:b/>
          <w:color w:val="auto"/>
          <w:highlight w:val="none"/>
        </w:rPr>
        <w:t>投标无效</w:t>
      </w:r>
      <w:r>
        <w:rPr>
          <w:rFonts w:hint="eastAsia" w:ascii="宋体" w:hAnsi="宋体"/>
          <w:color w:val="auto"/>
          <w:highlight w:val="none"/>
        </w:rPr>
        <w:t>。</w:t>
      </w:r>
    </w:p>
    <w:p w14:paraId="262B3011">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8. 询问</w:t>
      </w:r>
    </w:p>
    <w:p w14:paraId="145FCBB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8.1潜在投标人应仔细阅读和检查招标文件的全部内容。如有疑问，可以向采购人或者采购代理机构提出询问。</w:t>
      </w:r>
    </w:p>
    <w:p w14:paraId="37960F39">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9. 招标文件的澄清或者修改</w:t>
      </w:r>
    </w:p>
    <w:p w14:paraId="0E3969A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9.1采购人、采购代理机构对已发出的招标文件进行必要澄清或者修改的，将在</w:t>
      </w:r>
      <w:r>
        <w:rPr>
          <w:rFonts w:hint="eastAsia" w:ascii="宋体" w:hAnsi="宋体"/>
          <w:b/>
          <w:color w:val="auto"/>
          <w:szCs w:val="21"/>
          <w:highlight w:val="none"/>
        </w:rPr>
        <w:t>【投标须知前附表】</w:t>
      </w:r>
      <w:r>
        <w:rPr>
          <w:rFonts w:hint="eastAsia" w:ascii="宋体" w:hAnsi="宋体"/>
          <w:color w:val="auto"/>
          <w:szCs w:val="21"/>
          <w:highlight w:val="none"/>
        </w:rPr>
        <w:t>规定的</w:t>
      </w:r>
      <w:r>
        <w:rPr>
          <w:rFonts w:hint="eastAsia" w:ascii="宋体" w:hAnsi="宋体"/>
          <w:color w:val="auto"/>
          <w:highlight w:val="none"/>
        </w:rPr>
        <w:t>招标公告指定媒体上发布澄清或者修改公告。</w:t>
      </w:r>
    </w:p>
    <w:p w14:paraId="3B0BD4D9">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kern w:val="0"/>
          <w:szCs w:val="21"/>
          <w:highlight w:val="none"/>
        </w:rPr>
        <w:t>9.2澄清或者修改</w:t>
      </w:r>
      <w:r>
        <w:rPr>
          <w:rFonts w:hint="eastAsia" w:ascii="宋体" w:hAnsi="宋体"/>
          <w:color w:val="auto"/>
          <w:highlight w:val="none"/>
        </w:rPr>
        <w:t>的</w:t>
      </w:r>
      <w:r>
        <w:rPr>
          <w:rFonts w:hint="eastAsia" w:ascii="宋体" w:hAnsi="宋体" w:cs="宋体"/>
          <w:color w:val="auto"/>
          <w:kern w:val="0"/>
          <w:szCs w:val="21"/>
          <w:highlight w:val="none"/>
        </w:rPr>
        <w:t>内容可能影响投标文件编制的，采购人、采购代理机构</w:t>
      </w:r>
      <w:r>
        <w:rPr>
          <w:rFonts w:hint="eastAsia" w:ascii="宋体" w:hAnsi="宋体"/>
          <w:color w:val="auto"/>
          <w:highlight w:val="none"/>
        </w:rPr>
        <w:t>将</w:t>
      </w:r>
      <w:r>
        <w:rPr>
          <w:rFonts w:hint="eastAsia" w:ascii="宋体" w:hAnsi="宋体" w:cs="宋体"/>
          <w:color w:val="auto"/>
          <w:kern w:val="0"/>
          <w:szCs w:val="21"/>
          <w:highlight w:val="none"/>
        </w:rPr>
        <w:t>在提交投标文件截止时间15日前，</w:t>
      </w:r>
      <w:r>
        <w:rPr>
          <w:rFonts w:hint="eastAsia" w:ascii="宋体" w:hAnsi="宋体"/>
          <w:color w:val="auto"/>
          <w:highlight w:val="none"/>
        </w:rPr>
        <w:t>在指定媒体上发布公告通知潜在投标人；不足15日的，将相应延长提交投标文件的截止时间。</w:t>
      </w:r>
    </w:p>
    <w:p w14:paraId="1E7CEC1F">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t>9.3</w:t>
      </w:r>
      <w:r>
        <w:rPr>
          <w:rFonts w:hint="eastAsia" w:ascii="宋体" w:hAnsi="宋体"/>
          <w:color w:val="auto"/>
          <w:highlight w:val="none"/>
        </w:rPr>
        <w:t>招标文件的提供期限届满后，获取招标文件的潜在投标人不足3家的，可以顺延提供期限，并在</w:t>
      </w:r>
      <w:r>
        <w:rPr>
          <w:rFonts w:hint="eastAsia" w:ascii="宋体" w:hAnsi="宋体"/>
          <w:bCs/>
          <w:color w:val="auto"/>
          <w:szCs w:val="21"/>
          <w:highlight w:val="none"/>
        </w:rPr>
        <w:t>指定</w:t>
      </w:r>
      <w:r>
        <w:rPr>
          <w:rFonts w:hint="eastAsia" w:ascii="宋体" w:hAnsi="宋体"/>
          <w:color w:val="auto"/>
          <w:highlight w:val="none"/>
        </w:rPr>
        <w:t>媒体上发布修改公告。</w:t>
      </w:r>
    </w:p>
    <w:p w14:paraId="1241E9F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9.4 通过电子招标投标交易平台下载招标文件的，请获取招标文件的潜在投标人及时关注</w:t>
      </w:r>
      <w:r>
        <w:rPr>
          <w:rFonts w:hint="eastAsia" w:ascii="宋体" w:hAnsi="宋体"/>
          <w:color w:val="auto"/>
          <w:szCs w:val="21"/>
          <w:highlight w:val="none"/>
        </w:rPr>
        <w:t>招标公告指定媒体</w:t>
      </w:r>
      <w:r>
        <w:rPr>
          <w:rFonts w:hint="eastAsia" w:ascii="宋体" w:hAnsi="宋体"/>
          <w:color w:val="auto"/>
          <w:highlight w:val="none"/>
        </w:rPr>
        <w:t>发布的澄清或者修改公告，采购人、采购代理机构不再书面通知。</w:t>
      </w:r>
    </w:p>
    <w:p w14:paraId="05408DEA">
      <w:pPr>
        <w:pStyle w:val="4"/>
        <w:adjustRightInd w:val="0"/>
        <w:snapToGrid w:val="0"/>
        <w:spacing w:beforeLines="50" w:after="0" w:line="360" w:lineRule="auto"/>
        <w:jc w:val="center"/>
        <w:rPr>
          <w:rFonts w:ascii="宋体" w:hAnsi="宋体"/>
          <w:color w:val="auto"/>
          <w:sz w:val="28"/>
          <w:szCs w:val="28"/>
          <w:highlight w:val="none"/>
        </w:rPr>
      </w:pPr>
      <w:bookmarkStart w:id="165" w:name="_Toc118209422"/>
      <w:bookmarkStart w:id="166" w:name="_Toc20455"/>
      <w:bookmarkStart w:id="167" w:name="_Toc31371"/>
      <w:bookmarkStart w:id="168" w:name="_Toc30967"/>
      <w:bookmarkStart w:id="169" w:name="_Toc16599"/>
      <w:bookmarkStart w:id="170" w:name="_Toc28717"/>
      <w:bookmarkStart w:id="171" w:name="_Toc171282399"/>
      <w:bookmarkStart w:id="172" w:name="_Toc103979573"/>
      <w:bookmarkStart w:id="173" w:name="_Toc166778330"/>
      <w:bookmarkStart w:id="174" w:name="_Toc189905356"/>
      <w:bookmarkStart w:id="175" w:name="_Toc5692"/>
      <w:bookmarkStart w:id="176" w:name="_Toc140957865"/>
      <w:bookmarkStart w:id="177" w:name="_Toc108483390"/>
      <w:bookmarkStart w:id="178" w:name="_Toc1130"/>
      <w:bookmarkStart w:id="179" w:name="_Toc113350931"/>
      <w:bookmarkStart w:id="180" w:name="_Toc99299720"/>
      <w:bookmarkStart w:id="181" w:name="_Toc2102"/>
      <w:bookmarkStart w:id="182" w:name="_Toc193053700"/>
      <w:bookmarkStart w:id="183" w:name="_Toc8227"/>
      <w:bookmarkStart w:id="184" w:name="_Toc5133"/>
      <w:bookmarkStart w:id="185" w:name="_Toc109656572"/>
      <w:bookmarkStart w:id="186" w:name="_Toc5827"/>
      <w:bookmarkStart w:id="187" w:name="_Toc6302"/>
      <w:bookmarkStart w:id="188" w:name="_Toc1049"/>
      <w:bookmarkStart w:id="189" w:name="_Toc1798"/>
      <w:bookmarkStart w:id="190" w:name="_Toc79093666"/>
      <w:bookmarkStart w:id="191" w:name="_Toc7141"/>
      <w:bookmarkStart w:id="192" w:name="_Toc9035"/>
      <w:bookmarkStart w:id="193" w:name="_Toc137408712"/>
      <w:bookmarkStart w:id="194" w:name="_Toc111543552"/>
      <w:r>
        <w:rPr>
          <w:rFonts w:hint="eastAsia" w:ascii="宋体" w:hAnsi="宋体"/>
          <w:color w:val="auto"/>
          <w:sz w:val="28"/>
          <w:szCs w:val="28"/>
          <w:highlight w:val="none"/>
        </w:rPr>
        <w:t>三、投标文件</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27DDDB3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10. 投标语言</w:t>
      </w:r>
    </w:p>
    <w:p w14:paraId="055A2FF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10.1除专用术语外，投标人提交的投标文件及投标人与采购代理机构就有关投标的所有来往函电均使用中文。投标人可以提交其它语言的资料，但应附有中文注释，有差异时以中文为准。</w:t>
      </w:r>
    </w:p>
    <w:p w14:paraId="42A63790">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 xml:space="preserve">11. </w:t>
      </w:r>
      <w:r>
        <w:rPr>
          <w:rFonts w:hint="eastAsia" w:ascii="宋体" w:hAnsi="宋体"/>
          <w:b/>
          <w:color w:val="auto"/>
          <w:sz w:val="24"/>
          <w:highlight w:val="none"/>
        </w:rPr>
        <w:t>计量单位</w:t>
      </w:r>
    </w:p>
    <w:p w14:paraId="5D6238A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11.1所有计量均采用中华人民共和国法定计量单位。</w:t>
      </w:r>
    </w:p>
    <w:p w14:paraId="17109F59">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 xml:space="preserve">12. </w:t>
      </w:r>
      <w:r>
        <w:rPr>
          <w:rFonts w:hint="eastAsia" w:ascii="宋体" w:hAnsi="宋体"/>
          <w:b/>
          <w:bCs/>
          <w:color w:val="auto"/>
          <w:sz w:val="24"/>
          <w:highlight w:val="none"/>
        </w:rPr>
        <w:t>投标文件的组成</w:t>
      </w:r>
    </w:p>
    <w:p w14:paraId="390EAB8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12.1投标文件由如下内容组成：</w:t>
      </w:r>
    </w:p>
    <w:p w14:paraId="76A6886B">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4B3532D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（1）开标一览表</w:t>
      </w:r>
    </w:p>
    <w:p w14:paraId="7CDB04D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（2）投标保证金</w:t>
      </w:r>
    </w:p>
    <w:p w14:paraId="42DDB2F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（3）授权委托书</w:t>
      </w:r>
    </w:p>
    <w:p w14:paraId="39AC3D7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（4）投标人提供的资格证明文件</w:t>
      </w:r>
    </w:p>
    <w:p w14:paraId="7735EAB8">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商务和技术文件</w:t>
      </w:r>
    </w:p>
    <w:p w14:paraId="384E77E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（5）投标函</w:t>
      </w:r>
    </w:p>
    <w:p w14:paraId="64E88A9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（6）分项报价</w:t>
      </w:r>
    </w:p>
    <w:p w14:paraId="17B194A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（7）采购需求响应</w:t>
      </w:r>
    </w:p>
    <w:p w14:paraId="267617B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（8）合同条款偏离表</w:t>
      </w:r>
    </w:p>
    <w:p w14:paraId="2157244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（9）采购需求偏离表</w:t>
      </w:r>
    </w:p>
    <w:p w14:paraId="072AA08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（10）享受政府采购政策优惠的证明资料</w:t>
      </w:r>
    </w:p>
    <w:p w14:paraId="200532D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34658BE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（12）投标人认为需提供的其他资料</w:t>
      </w:r>
    </w:p>
    <w:p w14:paraId="3944E85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12.2投标人可以编制资格审查索引表、符合性审查索引表、评审索引表，以方便采购人、采购代理机构、评标委员会在资格审查及评审时查阅。</w:t>
      </w:r>
    </w:p>
    <w:p w14:paraId="41B6028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12.3根据《政府采购法》第四十二条的规定，投标人无论中标与否，其投标文件不予退还。</w:t>
      </w:r>
    </w:p>
    <w:p w14:paraId="3D49D16A">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13. 投标报价</w:t>
      </w:r>
    </w:p>
    <w:p w14:paraId="59DB86E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78B61AF8">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2投标人的投标报价不得超过采购预算，也不得超过最高限价(如果设定)，否则其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3DAD09AD">
      <w:pPr>
        <w:adjustRightInd w:val="0"/>
        <w:snapToGrid w:val="0"/>
        <w:spacing w:line="360" w:lineRule="auto"/>
        <w:ind w:firstLine="420" w:firstLineChars="200"/>
        <w:rPr>
          <w:rFonts w:ascii="宋体" w:hAnsi="宋体"/>
          <w:color w:val="auto"/>
          <w:highlight w:val="none"/>
        </w:rPr>
      </w:pPr>
      <w:r>
        <w:rPr>
          <w:rFonts w:hint="eastAsia" w:ascii="宋体" w:hAnsi="宋体"/>
          <w:color w:val="auto"/>
          <w:szCs w:val="21"/>
          <w:highlight w:val="none"/>
        </w:rPr>
        <w:t>13.3 投标人应在分项报价明细表中对每项内容给予详细分项</w:t>
      </w:r>
      <w:r>
        <w:rPr>
          <w:rFonts w:hint="eastAsia" w:ascii="宋体" w:hAnsi="宋体"/>
          <w:color w:val="auto"/>
          <w:highlight w:val="none"/>
        </w:rPr>
        <w:t>报价。</w:t>
      </w:r>
    </w:p>
    <w:p w14:paraId="7D5A035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749F9FE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2814A52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13.6采用固定价格定价方式的采购项目，</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2B50F13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744E27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13.8投标报价的其他要求见</w:t>
      </w:r>
      <w:r>
        <w:rPr>
          <w:rFonts w:hint="eastAsia" w:ascii="宋体" w:hAnsi="宋体"/>
          <w:b/>
          <w:color w:val="auto"/>
          <w:szCs w:val="21"/>
          <w:highlight w:val="none"/>
        </w:rPr>
        <w:t>【投标须知前附表】</w:t>
      </w:r>
      <w:r>
        <w:rPr>
          <w:rFonts w:hint="eastAsia" w:ascii="宋体" w:hAnsi="宋体"/>
          <w:color w:val="auto"/>
          <w:highlight w:val="none"/>
        </w:rPr>
        <w:t>。</w:t>
      </w:r>
    </w:p>
    <w:p w14:paraId="67004E6D">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 xml:space="preserve">14. </w:t>
      </w:r>
      <w:r>
        <w:rPr>
          <w:rFonts w:hint="eastAsia" w:ascii="宋体" w:hAnsi="宋体"/>
          <w:b/>
          <w:bCs/>
          <w:color w:val="auto"/>
          <w:sz w:val="24"/>
          <w:highlight w:val="none"/>
        </w:rPr>
        <w:t>投标人的资格证明文件</w:t>
      </w:r>
    </w:p>
    <w:p w14:paraId="739ED16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14.1</w:t>
      </w:r>
      <w:r>
        <w:rPr>
          <w:rFonts w:hint="eastAsia" w:ascii="宋体" w:hAnsi="宋体"/>
          <w:color w:val="auto"/>
          <w:szCs w:val="21"/>
          <w:highlight w:val="none"/>
        </w:rPr>
        <w:t>除</w:t>
      </w:r>
      <w:r>
        <w:rPr>
          <w:rFonts w:hint="eastAsia" w:ascii="宋体" w:hAnsi="宋体"/>
          <w:b/>
          <w:color w:val="auto"/>
          <w:szCs w:val="21"/>
          <w:highlight w:val="none"/>
        </w:rPr>
        <w:t>【投标须知前附表】</w:t>
      </w:r>
      <w:r>
        <w:rPr>
          <w:rFonts w:hint="eastAsia" w:ascii="宋体" w:hAnsi="宋体"/>
          <w:color w:val="auto"/>
          <w:szCs w:val="21"/>
          <w:highlight w:val="none"/>
        </w:rPr>
        <w:t>另有规</w:t>
      </w:r>
      <w:r>
        <w:rPr>
          <w:rFonts w:hint="eastAsia" w:ascii="宋体" w:hAnsi="宋体"/>
          <w:color w:val="auto"/>
          <w:highlight w:val="none"/>
        </w:rPr>
        <w:t>定外，投标人应按下列规定提供资格证明文件。</w:t>
      </w:r>
    </w:p>
    <w:p w14:paraId="4FA78B0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BF2F2C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b/>
          <w:color w:val="auto"/>
          <w:highlight w:val="none"/>
        </w:rPr>
        <w:t>湖南省政府采购供应商资格承诺函(格式)</w:t>
      </w:r>
    </w:p>
    <w:p w14:paraId="27942BF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w:t>
      </w:r>
      <w:r>
        <w:rPr>
          <w:rFonts w:hint="eastAsia" w:ascii="宋体" w:hAnsi="宋体"/>
          <w:b/>
          <w:color w:val="auto"/>
          <w:highlight w:val="none"/>
        </w:rPr>
        <w:t>符合特定资格条件证明材料或者情况说明</w:t>
      </w:r>
      <w:r>
        <w:rPr>
          <w:rFonts w:hint="eastAsia" w:ascii="宋体" w:hAnsi="宋体"/>
          <w:color w:val="auto"/>
          <w:szCs w:val="21"/>
          <w:highlight w:val="none"/>
        </w:rPr>
        <w:t>。</w:t>
      </w:r>
    </w:p>
    <w:p w14:paraId="04CBE55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14.2投标人以联合体形式投标的，除应提交联合协议(格式)外，参加联合体的各方均应提交上款资格证明材料。</w:t>
      </w:r>
    </w:p>
    <w:p w14:paraId="6F66A15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2967E55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15. 投标货物及服务符合招标文件规定的证明文件</w:t>
      </w:r>
    </w:p>
    <w:p w14:paraId="610DDF3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15.1投标人应当提交其拟供的合同项下货物及其服务符合招标文件规定的证明文件,该证明文件作为投标文件的一部分。</w:t>
      </w:r>
    </w:p>
    <w:p w14:paraId="78CCD0E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15.2上述证明文件可以是文字资料、图表、数据、证书等资料，包括但不限于：</w:t>
      </w:r>
    </w:p>
    <w:p w14:paraId="1FC672C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（1）货物主要技术指标和性能的详细说明。对有具体参数要求的指标，投标人应提供具体参数值；</w:t>
      </w:r>
    </w:p>
    <w:p w14:paraId="4432213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（2）货物的品牌型号、制造商及原产地等说明；</w:t>
      </w:r>
    </w:p>
    <w:p w14:paraId="09D10A1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（3）招标文件第五章“采购需求”要求的其它文件。</w:t>
      </w:r>
    </w:p>
    <w:p w14:paraId="67ABE777">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16. 投标有效期</w:t>
      </w:r>
    </w:p>
    <w:p w14:paraId="063D6DC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16.1投标有效期从提交投标文件的截止之日起计算。投标文件中承诺的投标有效期应当不少于</w:t>
      </w:r>
      <w:r>
        <w:rPr>
          <w:rFonts w:hint="eastAsia" w:ascii="宋体" w:hAnsi="宋体"/>
          <w:b/>
          <w:color w:val="auto"/>
          <w:szCs w:val="21"/>
          <w:highlight w:val="none"/>
        </w:rPr>
        <w:t>【投标须知前附表】</w:t>
      </w:r>
      <w:r>
        <w:rPr>
          <w:rFonts w:hint="eastAsia" w:ascii="宋体" w:hAnsi="宋体"/>
          <w:color w:val="auto"/>
          <w:szCs w:val="21"/>
          <w:highlight w:val="none"/>
        </w:rPr>
        <w:t>中载明的投标有效期。投标有效期不满足要求的，其</w:t>
      </w:r>
      <w:r>
        <w:rPr>
          <w:rFonts w:hint="eastAsia" w:ascii="宋体" w:hAnsi="宋体"/>
          <w:b/>
          <w:color w:val="auto"/>
          <w:szCs w:val="21"/>
          <w:highlight w:val="none"/>
        </w:rPr>
        <w:t>投标无效</w:t>
      </w:r>
      <w:r>
        <w:rPr>
          <w:rFonts w:hint="eastAsia" w:ascii="宋体" w:hAnsi="宋体"/>
          <w:color w:val="auto"/>
          <w:szCs w:val="21"/>
          <w:highlight w:val="none"/>
        </w:rPr>
        <w:t>。</w:t>
      </w:r>
    </w:p>
    <w:p w14:paraId="63B83A9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16.2投标有效期内投标人撤销投标文件的，投标人应承担招标文件和法律规定的责任。</w:t>
      </w:r>
    </w:p>
    <w:p w14:paraId="1F474E5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17. 投标保证金（不要求提供）</w:t>
      </w:r>
    </w:p>
    <w:p w14:paraId="4665E779">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18.分包</w:t>
      </w:r>
    </w:p>
    <w:p w14:paraId="2B7ABC6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18.1</w:t>
      </w:r>
      <w:r>
        <w:rPr>
          <w:rFonts w:hint="eastAsia" w:hAnsi="宋体"/>
          <w:b/>
          <w:bCs/>
          <w:color w:val="auto"/>
          <w:highlight w:val="none"/>
        </w:rPr>
        <w:t>【投标须知前附表】</w:t>
      </w:r>
      <w:r>
        <w:rPr>
          <w:rFonts w:hint="eastAsia" w:ascii="宋体" w:hAnsi="宋体"/>
          <w:color w:val="auto"/>
          <w:highlight w:val="none"/>
        </w:rPr>
        <w:t>规定投标人分包的，投标人分包承诺不符合招标文件中有关分包规定的，其</w:t>
      </w:r>
      <w:r>
        <w:rPr>
          <w:rFonts w:hint="eastAsia" w:ascii="宋体" w:hAnsi="宋体"/>
          <w:b/>
          <w:bCs/>
          <w:color w:val="auto"/>
          <w:highlight w:val="none"/>
        </w:rPr>
        <w:t>投标无效</w:t>
      </w:r>
      <w:r>
        <w:rPr>
          <w:rFonts w:hint="eastAsia" w:ascii="宋体" w:hAnsi="宋体"/>
          <w:color w:val="auto"/>
          <w:highlight w:val="none"/>
        </w:rPr>
        <w:t>。</w:t>
      </w:r>
    </w:p>
    <w:p w14:paraId="4C89BCB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18.2投标人应在签订政府采购合同前向采购人提供分包合同，否则，采购人有权拒绝签订采购合同。</w:t>
      </w:r>
    </w:p>
    <w:p w14:paraId="1DEDFCC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18.3享受中小企业扶持政策获得政府采购合同的，小微企业不得将合同分包给大中型企业，中型企业不得将合同分包给大型企业。</w:t>
      </w:r>
    </w:p>
    <w:p w14:paraId="7A4B75F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18.4分包供应商不得再次分包。</w:t>
      </w:r>
    </w:p>
    <w:p w14:paraId="069D9F9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19. 投标文件的签署</w:t>
      </w:r>
    </w:p>
    <w:p w14:paraId="2142203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19.1投标文件份数，投标人应准备所投项目的电子投标文件一份。</w:t>
      </w:r>
    </w:p>
    <w:p w14:paraId="2D2031D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19.2电子投标文件：投标人应按照电子招标文件要求制作投标文件，并在</w:t>
      </w:r>
      <w:r>
        <w:rPr>
          <w:rFonts w:hint="eastAsia" w:ascii="宋体" w:hAnsi="宋体"/>
          <w:color w:val="auto"/>
          <w:highlight w:val="none"/>
        </w:rPr>
        <w:t>指定处采用电子平台认可的CA数字证书</w:t>
      </w:r>
      <w:r>
        <w:rPr>
          <w:rFonts w:hint="eastAsia" w:ascii="宋体" w:hAnsi="宋体"/>
          <w:color w:val="auto"/>
          <w:szCs w:val="21"/>
          <w:highlight w:val="none"/>
        </w:rPr>
        <w:t>进行电子签名和盖章。</w:t>
      </w:r>
    </w:p>
    <w:p w14:paraId="47EA9F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19.3投标人确认投标后，应从交易平台上下载“电子招标文件制作工具（</w:t>
      </w:r>
      <w:r>
        <w:rPr>
          <w:rStyle w:val="98"/>
          <w:rFonts w:ascii="宋体" w:hAnsi="宋体"/>
          <w:color w:val="auto"/>
          <w:szCs w:val="21"/>
          <w:highlight w:val="none"/>
        </w:rPr>
        <w:t>金润投标人工具箱）</w:t>
      </w:r>
      <w:r>
        <w:rPr>
          <w:rFonts w:hint="eastAsia" w:ascii="宋体" w:hAnsi="宋体"/>
          <w:color w:val="auto"/>
          <w:szCs w:val="21"/>
          <w:highlight w:val="none"/>
        </w:rPr>
        <w:t>”，并使用此工具编制电子投标文件，否则将可能影响电子投标文件的上传而导致投标无效。</w:t>
      </w:r>
    </w:p>
    <w:p w14:paraId="5C6B9BC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19.4投标人因自身原因导致电子投标文件无法导入电子评标系统的，该投标文件视为无效投标文件。</w:t>
      </w:r>
    </w:p>
    <w:p w14:paraId="202888A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19.5电子招投标文件具有法律效力，若投标文件与招标文件要求不一致，其内容影响中标结果时，责任由投标人自行承担。</w:t>
      </w:r>
    </w:p>
    <w:p w14:paraId="1FF42089">
      <w:pPr>
        <w:pStyle w:val="4"/>
        <w:adjustRightInd w:val="0"/>
        <w:snapToGrid w:val="0"/>
        <w:spacing w:beforeLines="50" w:after="0" w:line="360" w:lineRule="auto"/>
        <w:jc w:val="center"/>
        <w:rPr>
          <w:rFonts w:ascii="宋体" w:hAnsi="宋体"/>
          <w:color w:val="auto"/>
          <w:sz w:val="28"/>
          <w:szCs w:val="28"/>
          <w:highlight w:val="none"/>
        </w:rPr>
      </w:pPr>
      <w:bookmarkStart w:id="195" w:name="_Toc3646"/>
      <w:bookmarkStart w:id="196" w:name="_Toc10541"/>
      <w:bookmarkStart w:id="197" w:name="_Toc166778331"/>
      <w:bookmarkStart w:id="198" w:name="_Toc21750"/>
      <w:bookmarkStart w:id="199" w:name="_Toc108483391"/>
      <w:bookmarkStart w:id="200" w:name="_Toc113350932"/>
      <w:bookmarkStart w:id="201" w:name="_Toc189905357"/>
      <w:bookmarkStart w:id="202" w:name="_Toc1499"/>
      <w:bookmarkStart w:id="203" w:name="_Toc24561"/>
      <w:bookmarkStart w:id="204" w:name="_Toc137408713"/>
      <w:bookmarkStart w:id="205" w:name="_Toc79093667"/>
      <w:bookmarkStart w:id="206" w:name="_Toc193053701"/>
      <w:bookmarkStart w:id="207" w:name="_Toc26905"/>
      <w:bookmarkStart w:id="208" w:name="_Toc19687"/>
      <w:bookmarkStart w:id="209" w:name="_Toc99299721"/>
      <w:bookmarkStart w:id="210" w:name="_Toc23884"/>
      <w:bookmarkStart w:id="211" w:name="_Toc140957866"/>
      <w:bookmarkStart w:id="212" w:name="_Toc3913"/>
      <w:bookmarkStart w:id="213" w:name="_Toc171282400"/>
      <w:bookmarkStart w:id="214" w:name="_Toc103979574"/>
      <w:bookmarkStart w:id="215" w:name="_Toc26359"/>
      <w:bookmarkStart w:id="216" w:name="_Toc31183"/>
      <w:bookmarkStart w:id="217" w:name="_Toc111543553"/>
      <w:bookmarkStart w:id="218" w:name="_Toc29542"/>
      <w:bookmarkStart w:id="219" w:name="_Toc32090"/>
      <w:bookmarkStart w:id="220" w:name="_Toc118209423"/>
      <w:bookmarkStart w:id="221" w:name="_Toc13121"/>
      <w:bookmarkStart w:id="222" w:name="_Toc25705"/>
      <w:bookmarkStart w:id="223" w:name="_Toc17167"/>
      <w:bookmarkStart w:id="224" w:name="_Toc109656573"/>
      <w:r>
        <w:rPr>
          <w:rFonts w:hint="eastAsia" w:ascii="宋体" w:hAnsi="宋体"/>
          <w:color w:val="auto"/>
          <w:sz w:val="28"/>
          <w:szCs w:val="28"/>
          <w:highlight w:val="none"/>
        </w:rPr>
        <w:t>四、投标</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20D25925">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20.</w:t>
      </w:r>
      <w:r>
        <w:rPr>
          <w:rFonts w:hint="eastAsia" w:ascii="宋体" w:hAnsi="宋体"/>
          <w:b/>
          <w:bCs/>
          <w:color w:val="auto"/>
          <w:sz w:val="24"/>
          <w:highlight w:val="none"/>
        </w:rPr>
        <w:t xml:space="preserve"> 投标文件的加密</w:t>
      </w:r>
    </w:p>
    <w:p w14:paraId="1AFB8DE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20.1娄底市公共资源交易电子服务平台发布的“电子投标文件制作工具（</w:t>
      </w:r>
      <w:r>
        <w:rPr>
          <w:rStyle w:val="98"/>
          <w:rFonts w:ascii="宋体" w:hAnsi="宋体"/>
          <w:color w:val="auto"/>
          <w:szCs w:val="21"/>
          <w:highlight w:val="none"/>
        </w:rPr>
        <w:t>金润投标人工具箱）</w:t>
      </w:r>
      <w:r>
        <w:rPr>
          <w:rFonts w:hint="eastAsia" w:ascii="宋体" w:hAnsi="宋体"/>
          <w:color w:val="auto"/>
          <w:szCs w:val="21"/>
          <w:highlight w:val="none"/>
        </w:rPr>
        <w:t>”的程序进行固化、加密。</w:t>
      </w:r>
    </w:p>
    <w:p w14:paraId="2FD5ED0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highlight w:val="none"/>
        </w:rPr>
        <w:t>“电子标书软件加密锁” 具有唯一性，仅限于本单位在电子化招标投标活动中使用，不得转让和出借；</w:t>
      </w:r>
    </w:p>
    <w:p w14:paraId="026B416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w:t>
      </w:r>
      <w:r>
        <w:rPr>
          <w:rFonts w:hint="eastAsia" w:ascii="宋体" w:hAnsi="宋体"/>
          <w:color w:val="auto"/>
          <w:szCs w:val="21"/>
          <w:highlight w:val="none"/>
        </w:rPr>
        <w:t>3</w:t>
      </w:r>
      <w:r>
        <w:rPr>
          <w:rFonts w:hint="eastAsia" w:ascii="宋体" w:hAnsi="宋体"/>
          <w:color w:val="auto"/>
          <w:highlight w:val="none"/>
        </w:rPr>
        <w:t>投标人在编辑投标文件时，在投标文件目录中属于本节点内容的必须上传或填写在本节点的对应位置，未按要求填写或上传的，相应责任由投标人自行承担</w:t>
      </w:r>
      <w:r>
        <w:rPr>
          <w:rFonts w:hint="eastAsia" w:ascii="宋体" w:hAnsi="宋体"/>
          <w:color w:val="auto"/>
          <w:szCs w:val="21"/>
          <w:highlight w:val="none"/>
        </w:rPr>
        <w:t>。</w:t>
      </w:r>
    </w:p>
    <w:p w14:paraId="5659107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20.4投标书编写完成后，必须用本系统自带的电子密钥进行加密，如果误选了非本项目的规则文件导致不能在开标时解密投标文件，该投标文件将被电子开标系统拒绝，将导致投标文件无效。</w:t>
      </w:r>
    </w:p>
    <w:p w14:paraId="62ED3F4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20.5如果开标时出现网络故障、技术故障，影响了招投标活动，采购人可采取措施如延期、延长上传的投标书和解密时间等，以保障招投标活动的公开、公平和公正，投标人不得对此持有异议</w:t>
      </w:r>
      <w:r>
        <w:rPr>
          <w:rFonts w:ascii="宋体" w:hAnsi="宋体"/>
          <w:color w:val="auto"/>
          <w:highlight w:val="none"/>
        </w:rPr>
        <w:t>。</w:t>
      </w:r>
    </w:p>
    <w:p w14:paraId="14111C15">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21. 投标文件的递交</w:t>
      </w:r>
    </w:p>
    <w:p w14:paraId="18B9172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21.1</w:t>
      </w:r>
      <w:r>
        <w:rPr>
          <w:rStyle w:val="98"/>
          <w:rFonts w:ascii="宋体" w:hAnsi="宋体"/>
          <w:color w:val="auto"/>
          <w:szCs w:val="21"/>
          <w:highlight w:val="none"/>
        </w:rPr>
        <w:t>实行网上投标，</w:t>
      </w:r>
      <w:r>
        <w:rPr>
          <w:rFonts w:ascii="宋体" w:hAnsi="宋体"/>
          <w:color w:val="auto"/>
          <w:highlight w:val="none"/>
        </w:rPr>
        <w:t>投标人必须</w:t>
      </w:r>
      <w:r>
        <w:rPr>
          <w:rFonts w:hint="eastAsia" w:ascii="宋体" w:hAnsi="宋体"/>
          <w:color w:val="auto"/>
          <w:highlight w:val="none"/>
        </w:rPr>
        <w:t>在</w:t>
      </w:r>
      <w:r>
        <w:rPr>
          <w:rFonts w:ascii="宋体" w:hAnsi="宋体"/>
          <w:color w:val="auto"/>
          <w:highlight w:val="none"/>
        </w:rPr>
        <w:t>采购文件规定的投标截止时间前完成</w:t>
      </w:r>
      <w:r>
        <w:rPr>
          <w:rFonts w:hint="eastAsia" w:ascii="宋体" w:hAnsi="宋体"/>
          <w:color w:val="auto"/>
          <w:szCs w:val="21"/>
          <w:highlight w:val="none"/>
        </w:rPr>
        <w:t>。</w:t>
      </w:r>
    </w:p>
    <w:p w14:paraId="044421A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21.2</w:t>
      </w:r>
      <w:r>
        <w:rPr>
          <w:rFonts w:ascii="宋体" w:hAnsi="宋体"/>
          <w:color w:val="auto"/>
          <w:highlight w:val="none"/>
        </w:rPr>
        <w:t>按本</w:t>
      </w:r>
      <w:r>
        <w:rPr>
          <w:rFonts w:hint="eastAsia" w:ascii="宋体" w:hAnsi="宋体"/>
          <w:color w:val="auto"/>
          <w:highlight w:val="none"/>
        </w:rPr>
        <w:t>章</w:t>
      </w:r>
      <w:r>
        <w:rPr>
          <w:rFonts w:ascii="宋体" w:hAnsi="宋体"/>
          <w:color w:val="auto"/>
          <w:highlight w:val="none"/>
        </w:rPr>
        <w:t>第</w:t>
      </w:r>
      <w:r>
        <w:rPr>
          <w:rFonts w:hint="eastAsia" w:ascii="宋体" w:hAnsi="宋体"/>
          <w:color w:val="auto"/>
          <w:highlight w:val="none"/>
        </w:rPr>
        <w:t>9</w:t>
      </w:r>
      <w:r>
        <w:rPr>
          <w:rFonts w:ascii="宋体" w:hAnsi="宋体"/>
          <w:color w:val="auto"/>
          <w:highlight w:val="none"/>
        </w:rPr>
        <w:t>条规定，招标文件发生实质性修改后，投标人须撤回原电子投标文件，根据最新招标文件重新制作投标文件并再次上传。</w:t>
      </w:r>
    </w:p>
    <w:p w14:paraId="55804979">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21.3</w:t>
      </w:r>
      <w:r>
        <w:rPr>
          <w:rFonts w:ascii="宋体" w:hAnsi="宋体"/>
          <w:color w:val="auto"/>
          <w:highlight w:val="none"/>
        </w:rPr>
        <w:t>投标截止时间</w:t>
      </w:r>
      <w:r>
        <w:rPr>
          <w:rFonts w:hint="eastAsia" w:ascii="宋体" w:hAnsi="宋体"/>
          <w:color w:val="auto"/>
          <w:highlight w:val="none"/>
        </w:rPr>
        <w:t>到达以后不再接收</w:t>
      </w:r>
      <w:r>
        <w:rPr>
          <w:rFonts w:ascii="宋体" w:hAnsi="宋体"/>
          <w:color w:val="auto"/>
          <w:highlight w:val="none"/>
        </w:rPr>
        <w:t>投标文件。</w:t>
      </w:r>
    </w:p>
    <w:p w14:paraId="13F2BBA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22. 投标文件的修改和撤回</w:t>
      </w:r>
    </w:p>
    <w:p w14:paraId="1AB888B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22.1投标人</w:t>
      </w:r>
      <w:r>
        <w:rPr>
          <w:rFonts w:hint="eastAsia" w:ascii="宋体" w:hAnsi="宋体"/>
          <w:color w:val="auto"/>
          <w:highlight w:val="none"/>
        </w:rPr>
        <w:t>在提交电子投标文件后可对其投标文件进行修改并重新上传投标文件或在网上进行撤销投标的操作。</w:t>
      </w:r>
    </w:p>
    <w:p w14:paraId="178E972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w:t>
      </w:r>
      <w:r>
        <w:rPr>
          <w:rFonts w:hint="eastAsia" w:ascii="宋体" w:hAnsi="宋体"/>
          <w:color w:val="auto"/>
          <w:highlight w:val="none"/>
        </w:rPr>
        <w:t>投标截止时间以后不得修改投标文件。</w:t>
      </w:r>
    </w:p>
    <w:p w14:paraId="78A8BED2">
      <w:pPr>
        <w:adjustRightInd w:val="0"/>
        <w:snapToGrid w:val="0"/>
        <w:spacing w:line="360" w:lineRule="auto"/>
        <w:rPr>
          <w:rFonts w:ascii="宋体" w:hAnsi="宋体" w:cs="Arial"/>
          <w:b/>
          <w:color w:val="auto"/>
          <w:sz w:val="24"/>
          <w:highlight w:val="none"/>
        </w:rPr>
      </w:pPr>
      <w:r>
        <w:rPr>
          <w:rFonts w:hint="eastAsia" w:ascii="宋体" w:hAnsi="宋体"/>
          <w:b/>
          <w:bCs/>
          <w:color w:val="auto"/>
          <w:sz w:val="24"/>
          <w:highlight w:val="none"/>
        </w:rPr>
        <w:t>23.</w:t>
      </w:r>
      <w:r>
        <w:rPr>
          <w:rFonts w:hint="eastAsia" w:ascii="宋体" w:hAnsi="宋体" w:cs="Arial"/>
          <w:b/>
          <w:color w:val="auto"/>
          <w:sz w:val="24"/>
          <w:highlight w:val="none"/>
        </w:rPr>
        <w:t xml:space="preserve"> 串通</w:t>
      </w:r>
      <w:r>
        <w:rPr>
          <w:rFonts w:hint="eastAsia" w:ascii="宋体" w:hAnsi="宋体"/>
          <w:b/>
          <w:color w:val="auto"/>
          <w:sz w:val="24"/>
          <w:highlight w:val="none"/>
        </w:rPr>
        <w:t>投标行为</w:t>
      </w:r>
    </w:p>
    <w:p w14:paraId="5F8A36C0">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23.1有下列情形之一的，属于恶意串通，对投标人依照政府采购法第七十七条第一款的规定追究法律责任：</w:t>
      </w:r>
    </w:p>
    <w:p w14:paraId="202013A3">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5D091DA2">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6268C9D2">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51151268">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3C37A7D3">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1013360D">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01E07DE6">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4813C07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23.2有下列情形之一的，视为投标人串通投标，其</w:t>
      </w:r>
      <w:r>
        <w:rPr>
          <w:rFonts w:hint="eastAsia" w:ascii="宋体" w:hAnsi="宋体"/>
          <w:b/>
          <w:color w:val="auto"/>
          <w:szCs w:val="21"/>
          <w:highlight w:val="none"/>
        </w:rPr>
        <w:t>投标无效</w:t>
      </w:r>
      <w:r>
        <w:rPr>
          <w:rFonts w:hint="eastAsia" w:ascii="宋体" w:hAnsi="宋体"/>
          <w:color w:val="auto"/>
          <w:szCs w:val="21"/>
          <w:highlight w:val="none"/>
        </w:rPr>
        <w:t>：</w:t>
      </w:r>
    </w:p>
    <w:p w14:paraId="74EC205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53D1DB4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3F60656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08C70C1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50367F7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（5）不同投标人的投标文件相互混装；</w:t>
      </w:r>
    </w:p>
    <w:p w14:paraId="56C2A043">
      <w:pPr>
        <w:pStyle w:val="4"/>
        <w:adjustRightInd w:val="0"/>
        <w:snapToGrid w:val="0"/>
        <w:spacing w:beforeLines="50" w:after="0" w:line="360" w:lineRule="auto"/>
        <w:jc w:val="center"/>
        <w:rPr>
          <w:rFonts w:ascii="宋体" w:hAnsi="宋体"/>
          <w:color w:val="auto"/>
          <w:sz w:val="28"/>
          <w:szCs w:val="28"/>
          <w:highlight w:val="none"/>
        </w:rPr>
      </w:pPr>
      <w:bookmarkStart w:id="225" w:name="_Toc189905358"/>
      <w:bookmarkStart w:id="226" w:name="_Toc24952"/>
      <w:bookmarkStart w:id="227" w:name="_Toc109656574"/>
      <w:bookmarkStart w:id="228" w:name="_Toc15974"/>
      <w:bookmarkStart w:id="229" w:name="_Toc10327"/>
      <w:bookmarkStart w:id="230" w:name="_Toc14305"/>
      <w:bookmarkStart w:id="231" w:name="_Toc103979575"/>
      <w:bookmarkStart w:id="232" w:name="_Toc99299722"/>
      <w:bookmarkStart w:id="233" w:name="_Toc140957867"/>
      <w:bookmarkStart w:id="234" w:name="_Toc113350933"/>
      <w:bookmarkStart w:id="235" w:name="_Toc28340"/>
      <w:bookmarkStart w:id="236" w:name="_Toc137408714"/>
      <w:bookmarkStart w:id="237" w:name="_Toc21465"/>
      <w:bookmarkStart w:id="238" w:name="_Toc166778332"/>
      <w:bookmarkStart w:id="239" w:name="_Toc22022"/>
      <w:bookmarkStart w:id="240" w:name="_Toc171282401"/>
      <w:bookmarkStart w:id="241" w:name="_Toc7281"/>
      <w:bookmarkStart w:id="242" w:name="_Toc223"/>
      <w:bookmarkStart w:id="243" w:name="_Toc3323"/>
      <w:bookmarkStart w:id="244" w:name="_Toc470"/>
      <w:bookmarkStart w:id="245" w:name="_Toc780"/>
      <w:bookmarkStart w:id="246" w:name="_Toc79093668"/>
      <w:bookmarkStart w:id="247" w:name="_Toc5760"/>
      <w:bookmarkStart w:id="248" w:name="_Toc108483392"/>
      <w:bookmarkStart w:id="249" w:name="_Toc118209424"/>
      <w:bookmarkStart w:id="250" w:name="_Toc12640"/>
      <w:bookmarkStart w:id="251" w:name="_Toc30149"/>
      <w:bookmarkStart w:id="252" w:name="_Toc193053702"/>
      <w:bookmarkStart w:id="253" w:name="_Toc111543554"/>
      <w:bookmarkStart w:id="254" w:name="_Toc30693"/>
      <w:r>
        <w:rPr>
          <w:rFonts w:hint="eastAsia" w:ascii="宋体" w:hAnsi="宋体"/>
          <w:color w:val="auto"/>
          <w:sz w:val="28"/>
          <w:szCs w:val="28"/>
          <w:highlight w:val="none"/>
        </w:rPr>
        <w:t>五、开标，资格审查和评标</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5B70B18B">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24. 开标</w:t>
      </w:r>
    </w:p>
    <w:p w14:paraId="61629A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24.1采购人、采购代理机构按</w:t>
      </w:r>
      <w:r>
        <w:rPr>
          <w:rFonts w:hint="eastAsia" w:ascii="宋体" w:hAnsi="宋体"/>
          <w:b/>
          <w:color w:val="auto"/>
          <w:szCs w:val="21"/>
          <w:highlight w:val="none"/>
        </w:rPr>
        <w:t>【投标须知前附表】</w:t>
      </w:r>
      <w:r>
        <w:rPr>
          <w:rFonts w:hint="eastAsia" w:ascii="宋体" w:hAnsi="宋体"/>
          <w:color w:val="auto"/>
          <w:szCs w:val="21"/>
          <w:highlight w:val="none"/>
        </w:rPr>
        <w:t>的规定组织网上开标，并邀请投标人参加。</w:t>
      </w:r>
    </w:p>
    <w:p w14:paraId="00DF204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24.2投标截止时间到达以后，投标人在规定时限内对电子投标文件进行解密。采购人、采购代理机构在网上进行开标、唱标，同步在网上公布开标结果。</w:t>
      </w:r>
    </w:p>
    <w:p w14:paraId="7225E2F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24.3开标注意事项：因投标人原因未按时限解密或无法解密的投标文件视为无效投标文件，相应责任由投标人自行承担。</w:t>
      </w:r>
    </w:p>
    <w:p w14:paraId="7C37CF6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24.4投标人代表对开标过程和开标记录有疑义，以及认为采购人、采购代理机构相关工作人员有《政府采购法实施条例》第九条第一款需要回避的情形的，可以提出询问或者回避申请。</w:t>
      </w:r>
    </w:p>
    <w:p w14:paraId="7E17DE2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24.5采购人、采购代理机构对投标人提出的询问或者回避申请，按《政府采购法实施条例》有关规定及时处理。</w:t>
      </w:r>
    </w:p>
    <w:p w14:paraId="0E951805">
      <w:pPr>
        <w:adjustRightInd w:val="0"/>
        <w:snapToGrid w:val="0"/>
        <w:spacing w:line="360" w:lineRule="auto"/>
        <w:rPr>
          <w:rFonts w:ascii="宋体" w:hAnsi="宋体"/>
          <w:b/>
          <w:color w:val="auto"/>
          <w:sz w:val="24"/>
          <w:highlight w:val="none"/>
        </w:rPr>
      </w:pPr>
      <w:r>
        <w:rPr>
          <w:rStyle w:val="49"/>
          <w:rFonts w:hint="eastAsia" w:ascii="宋体" w:hAnsi="宋体" w:cs="Arial"/>
          <w:color w:val="auto"/>
          <w:sz w:val="24"/>
          <w:highlight w:val="none"/>
        </w:rPr>
        <w:t>25.</w:t>
      </w:r>
      <w:r>
        <w:rPr>
          <w:rFonts w:hint="eastAsia" w:ascii="宋体" w:hAnsi="宋体"/>
          <w:b/>
          <w:color w:val="auto"/>
          <w:sz w:val="24"/>
          <w:highlight w:val="none"/>
        </w:rPr>
        <w:t xml:space="preserve"> 资格审查</w:t>
      </w:r>
    </w:p>
    <w:p w14:paraId="5F50F3F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25.1开标结束后，采购人、采购代理机构依法按照第三章“资格审查”规定组织资格审查。</w:t>
      </w:r>
    </w:p>
    <w:p w14:paraId="4DEE82D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25.2资格审查结束后，采购人、采购代理机构应将资格审查结果告知评标委员会。资格审查不合格投标人不进入评标；资格审查合格投标人少于3家的，不得评标。</w:t>
      </w:r>
    </w:p>
    <w:p w14:paraId="61413ED5">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26.</w:t>
      </w:r>
      <w:r>
        <w:rPr>
          <w:rFonts w:hint="eastAsia" w:ascii="宋体" w:hAnsi="宋体"/>
          <w:b/>
          <w:color w:val="auto"/>
          <w:sz w:val="24"/>
          <w:highlight w:val="none"/>
        </w:rPr>
        <w:t xml:space="preserve"> 评标委员会</w:t>
      </w:r>
    </w:p>
    <w:p w14:paraId="021DC0F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26.1评标由依法组建的评标委员会负责，评标委员会由采购人代表和评审专家组成。</w:t>
      </w:r>
    </w:p>
    <w:p w14:paraId="086F320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26.2评标委员会成员有下列情形之一的，应当回避：</w:t>
      </w:r>
    </w:p>
    <w:p w14:paraId="4575B1B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（1）参加采购活动前三年内,与投标人存在劳动关系,或者担任过投标人的董事、监事,或者是投标人的控股股东或实际控制人；</w:t>
      </w:r>
    </w:p>
    <w:p w14:paraId="2E97365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（2）与投标人的法定代表人或者负责人有夫妻、直系血亲、三代以内旁系血亲或者近姻亲关系；</w:t>
      </w:r>
    </w:p>
    <w:p w14:paraId="505E0CC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（3）与投标人有其他可能影响政府采购活动公平、公正进行的关系。</w:t>
      </w:r>
    </w:p>
    <w:p w14:paraId="2C13ACE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26.3评标委员会负责具体评标事务，并独立履行下列职责：</w:t>
      </w:r>
    </w:p>
    <w:p w14:paraId="5E7E2A7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2CAC39B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7A99DA1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（3）对投标文件进行比较和评价；</w:t>
      </w:r>
    </w:p>
    <w:p w14:paraId="7AE22DB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777C8124">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27.</w:t>
      </w:r>
      <w:r>
        <w:rPr>
          <w:rFonts w:hint="eastAsia" w:ascii="宋体" w:hAnsi="宋体"/>
          <w:b/>
          <w:bCs/>
          <w:color w:val="auto"/>
          <w:sz w:val="24"/>
          <w:highlight w:val="none"/>
        </w:rPr>
        <w:t xml:space="preserve"> 评标</w:t>
      </w:r>
    </w:p>
    <w:p w14:paraId="01623839">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27.1评标委员会按照</w:t>
      </w:r>
      <w:r>
        <w:rPr>
          <w:rFonts w:hint="eastAsia" w:ascii="宋体" w:hAnsi="宋体"/>
          <w:bCs/>
          <w:color w:val="auto"/>
          <w:highlight w:val="none"/>
        </w:rPr>
        <w:t>第四章“评标方法及标准”</w:t>
      </w:r>
      <w:r>
        <w:rPr>
          <w:rFonts w:hint="eastAsia" w:ascii="宋体" w:hAnsi="宋体"/>
          <w:color w:val="auto"/>
          <w:highlight w:val="none"/>
        </w:rPr>
        <w:t>规定的评标方法、评审因素、标准和程序以及有关法律、法规及规章对投标文件进行评审。</w:t>
      </w:r>
    </w:p>
    <w:p w14:paraId="149B18C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27.2在电子化政府采购交易过程中，如遇不可抗力及停电、系统故障等情况短时内无法恢复正常的，采购人应暂停开、评标等交易活动，并如实记录相关情况。待故障和问题解除后，恢复交易活动。</w:t>
      </w:r>
    </w:p>
    <w:p w14:paraId="4124C890">
      <w:pPr>
        <w:pStyle w:val="4"/>
        <w:adjustRightInd w:val="0"/>
        <w:snapToGrid w:val="0"/>
        <w:spacing w:beforeLines="50" w:after="0" w:line="360" w:lineRule="auto"/>
        <w:jc w:val="center"/>
        <w:rPr>
          <w:rFonts w:ascii="宋体" w:hAnsi="宋体"/>
          <w:color w:val="auto"/>
          <w:sz w:val="28"/>
          <w:szCs w:val="28"/>
          <w:highlight w:val="none"/>
        </w:rPr>
      </w:pPr>
      <w:bookmarkStart w:id="255" w:name="_Toc137408715"/>
      <w:bookmarkStart w:id="256" w:name="_Toc15303"/>
      <w:bookmarkStart w:id="257" w:name="_Toc189905359"/>
      <w:bookmarkStart w:id="258" w:name="_Toc103979576"/>
      <w:bookmarkStart w:id="259" w:name="_Toc118209425"/>
      <w:bookmarkStart w:id="260" w:name="_Toc193053703"/>
      <w:bookmarkStart w:id="261" w:name="_Toc140957868"/>
      <w:bookmarkStart w:id="262" w:name="_Toc26802"/>
      <w:bookmarkStart w:id="263" w:name="_Toc14835"/>
      <w:bookmarkStart w:id="264" w:name="_Toc166778333"/>
      <w:bookmarkStart w:id="265" w:name="_Toc99299723"/>
      <w:bookmarkStart w:id="266" w:name="_Toc18282"/>
      <w:bookmarkStart w:id="267" w:name="_Toc111543555"/>
      <w:bookmarkStart w:id="268" w:name="_Toc11031"/>
      <w:bookmarkStart w:id="269" w:name="_Toc79093669"/>
      <w:bookmarkStart w:id="270" w:name="_Toc17922"/>
      <w:bookmarkStart w:id="271" w:name="_Toc7197"/>
      <w:bookmarkStart w:id="272" w:name="_Toc171282402"/>
      <w:bookmarkStart w:id="273" w:name="_Toc1860"/>
      <w:bookmarkStart w:id="274" w:name="_Toc12066"/>
      <w:bookmarkStart w:id="275" w:name="_Toc91"/>
      <w:bookmarkStart w:id="276" w:name="_Toc113350934"/>
      <w:bookmarkStart w:id="277" w:name="_Toc9583"/>
      <w:bookmarkStart w:id="278" w:name="_Toc24913"/>
      <w:bookmarkStart w:id="279" w:name="_Toc26181"/>
      <w:bookmarkStart w:id="280" w:name="_Toc20717"/>
      <w:bookmarkStart w:id="281" w:name="_Toc5228"/>
      <w:bookmarkStart w:id="282" w:name="_Toc109656575"/>
      <w:bookmarkStart w:id="283" w:name="_Toc108483393"/>
      <w:bookmarkStart w:id="284" w:name="_Toc6624"/>
      <w:r>
        <w:rPr>
          <w:rFonts w:hint="eastAsia" w:ascii="宋体" w:hAnsi="宋体"/>
          <w:color w:val="auto"/>
          <w:sz w:val="28"/>
          <w:szCs w:val="28"/>
          <w:highlight w:val="none"/>
        </w:rPr>
        <w:t>六、中标信息公布</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363856D">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28.</w:t>
      </w:r>
      <w:r>
        <w:rPr>
          <w:rFonts w:hint="eastAsia" w:ascii="宋体" w:hAnsi="宋体"/>
          <w:b/>
          <w:bCs/>
          <w:color w:val="auto"/>
          <w:sz w:val="24"/>
          <w:highlight w:val="none"/>
        </w:rPr>
        <w:t>中标通知书与中标信息公布</w:t>
      </w:r>
    </w:p>
    <w:p w14:paraId="49D269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28.1采购代理机构应当在评标结束后2个工作日内将评标报告送采购人。</w:t>
      </w:r>
    </w:p>
    <w:p w14:paraId="4838F45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b/>
          <w:color w:val="auto"/>
          <w:szCs w:val="21"/>
          <w:highlight w:val="none"/>
        </w:rPr>
        <w:t>【投标须知前附表】</w:t>
      </w:r>
      <w:r>
        <w:rPr>
          <w:rFonts w:hint="eastAsia" w:ascii="宋体" w:hAnsi="宋体"/>
          <w:color w:val="auto"/>
          <w:szCs w:val="21"/>
          <w:highlight w:val="none"/>
        </w:rPr>
        <w:t>规定的方式确定中标人；招标文件未规定的，采取随机抽取的方式确定。</w:t>
      </w:r>
    </w:p>
    <w:p w14:paraId="3BB99DE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66F23823">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29.</w:t>
      </w:r>
      <w:r>
        <w:rPr>
          <w:rFonts w:hint="eastAsia" w:ascii="宋体" w:hAnsi="宋体"/>
          <w:b/>
          <w:color w:val="auto"/>
          <w:sz w:val="24"/>
          <w:highlight w:val="none"/>
        </w:rPr>
        <w:t xml:space="preserve"> 投标人询问及</w:t>
      </w:r>
      <w:r>
        <w:rPr>
          <w:rFonts w:hint="eastAsia" w:ascii="宋体" w:hAnsi="宋体"/>
          <w:b/>
          <w:bCs/>
          <w:color w:val="auto"/>
          <w:sz w:val="24"/>
          <w:highlight w:val="none"/>
        </w:rPr>
        <w:t>质疑</w:t>
      </w:r>
    </w:p>
    <w:p w14:paraId="78408E4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29.1投标人对政府采购活动事项有疑问的，可以向采购人、采购代理机构提出询问。采购人或者采购代理机构将在3个工作日内作出答复。</w:t>
      </w:r>
    </w:p>
    <w:p w14:paraId="6446FA7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w:t>
      </w:r>
      <w:r>
        <w:rPr>
          <w:rFonts w:hint="eastAsia" w:ascii="宋体" w:hAnsi="宋体"/>
          <w:color w:val="auto"/>
          <w:szCs w:val="21"/>
          <w:highlight w:val="none"/>
          <w:lang w:eastAsia="zh-CN"/>
        </w:rPr>
        <w:t>〔2024〕67</w:t>
      </w:r>
      <w:r>
        <w:rPr>
          <w:rFonts w:hint="eastAsia" w:ascii="宋体" w:hAnsi="宋体"/>
          <w:color w:val="auto"/>
          <w:szCs w:val="21"/>
          <w:highlight w:val="none"/>
        </w:rPr>
        <w:t>号)规定，以纸质书面形式向采购人、采购代理机构提出质疑。投标人应当在法定质疑期内一次性提出针对同一采购程序环节的质疑。</w:t>
      </w:r>
    </w:p>
    <w:p w14:paraId="48A9AFD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color w:val="auto"/>
          <w:szCs w:val="21"/>
          <w:highlight w:val="none"/>
        </w:rPr>
        <w:t>【申请人须知前附表】</w:t>
      </w:r>
      <w:r>
        <w:rPr>
          <w:rFonts w:hint="eastAsia" w:ascii="宋体" w:hAnsi="宋体"/>
          <w:color w:val="auto"/>
          <w:szCs w:val="21"/>
          <w:highlight w:val="none"/>
        </w:rPr>
        <w:t xml:space="preserve">。  </w:t>
      </w:r>
    </w:p>
    <w:p w14:paraId="1003CEE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29.4采购人、采购代理机构按照《湖南省财政厅关于印发＜政府采购质疑答复和投诉处理操作规程＞的通知》规定进行质疑答复。</w:t>
      </w:r>
    </w:p>
    <w:p w14:paraId="67C30F11">
      <w:pPr>
        <w:adjustRightInd w:val="0"/>
        <w:snapToGrid w:val="0"/>
        <w:spacing w:line="360" w:lineRule="auto"/>
        <w:ind w:firstLine="420" w:firstLineChars="200"/>
        <w:rPr>
          <w:rFonts w:ascii="宋体" w:hAnsi="宋体"/>
          <w:b/>
          <w:bCs/>
          <w:color w:val="auto"/>
          <w:highlight w:val="none"/>
        </w:rPr>
      </w:pPr>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38A91987">
      <w:pPr>
        <w:pStyle w:val="4"/>
        <w:adjustRightInd w:val="0"/>
        <w:snapToGrid w:val="0"/>
        <w:spacing w:beforeLines="50" w:after="0" w:line="360" w:lineRule="auto"/>
        <w:jc w:val="center"/>
        <w:rPr>
          <w:rFonts w:ascii="宋体" w:hAnsi="宋体"/>
          <w:color w:val="auto"/>
          <w:sz w:val="28"/>
          <w:szCs w:val="28"/>
          <w:highlight w:val="none"/>
        </w:rPr>
      </w:pPr>
      <w:bookmarkStart w:id="285" w:name="_Toc4403"/>
      <w:bookmarkStart w:id="286" w:name="_Toc137408716"/>
      <w:bookmarkStart w:id="287" w:name="_Toc28540"/>
      <w:bookmarkStart w:id="288" w:name="_Toc99299724"/>
      <w:bookmarkStart w:id="289" w:name="_Toc32360"/>
      <w:bookmarkStart w:id="290" w:name="_Toc189905360"/>
      <w:bookmarkStart w:id="291" w:name="_Toc140957869"/>
      <w:bookmarkStart w:id="292" w:name="_Toc10671"/>
      <w:bookmarkStart w:id="293" w:name="_Toc113350935"/>
      <w:bookmarkStart w:id="294" w:name="_Toc171282403"/>
      <w:bookmarkStart w:id="295" w:name="_Toc2292"/>
      <w:bookmarkStart w:id="296" w:name="_Toc109656576"/>
      <w:bookmarkStart w:id="297" w:name="_Toc118209426"/>
      <w:bookmarkStart w:id="298" w:name="_Toc17268"/>
      <w:bookmarkStart w:id="299" w:name="_Toc193053704"/>
      <w:bookmarkStart w:id="300" w:name="_Toc7010"/>
      <w:bookmarkStart w:id="301" w:name="_Toc13118"/>
      <w:bookmarkStart w:id="302" w:name="_Toc3749"/>
      <w:bookmarkStart w:id="303" w:name="_Toc111543556"/>
      <w:bookmarkStart w:id="304" w:name="_Toc8430"/>
      <w:bookmarkStart w:id="305" w:name="_Toc103979577"/>
      <w:bookmarkStart w:id="306" w:name="_Toc13681"/>
      <w:bookmarkStart w:id="307" w:name="_Toc13438"/>
      <w:bookmarkStart w:id="308" w:name="_Toc108483394"/>
      <w:bookmarkStart w:id="309" w:name="_Toc79093670"/>
      <w:bookmarkStart w:id="310" w:name="_Toc8920"/>
      <w:bookmarkStart w:id="311" w:name="_Toc166778334"/>
      <w:bookmarkStart w:id="312" w:name="_Toc14894"/>
      <w:bookmarkStart w:id="313" w:name="_Toc31254"/>
      <w:bookmarkStart w:id="314" w:name="_Toc328"/>
      <w:r>
        <w:rPr>
          <w:rFonts w:hint="eastAsia" w:ascii="宋体" w:hAnsi="宋体"/>
          <w:color w:val="auto"/>
          <w:sz w:val="28"/>
          <w:szCs w:val="28"/>
          <w:highlight w:val="none"/>
        </w:rPr>
        <w:t>七、合同签订</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046AA656">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30. 签订合同</w:t>
      </w:r>
    </w:p>
    <w:p w14:paraId="1C644B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15C470A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30.2招标文件、中标人的投标文件均为签订合同的依据。</w:t>
      </w:r>
    </w:p>
    <w:p w14:paraId="58B0E8E2">
      <w:pPr>
        <w:adjustRightInd w:val="0"/>
        <w:snapToGrid w:val="0"/>
        <w:spacing w:line="360" w:lineRule="auto"/>
        <w:ind w:firstLine="420" w:firstLineChars="200"/>
        <w:rPr>
          <w:rFonts w:ascii="宋体" w:hAnsi="宋体" w:cs="微软雅黑"/>
          <w:color w:val="auto"/>
          <w:kern w:val="0"/>
          <w:szCs w:val="21"/>
          <w:highlight w:val="none"/>
        </w:rPr>
      </w:pPr>
      <w:r>
        <w:rPr>
          <w:rFonts w:hint="eastAsia" w:ascii="宋体" w:hAnsi="宋体" w:cs="微软雅黑"/>
          <w:color w:val="auto"/>
          <w:kern w:val="0"/>
          <w:szCs w:val="21"/>
          <w:highlight w:val="none"/>
        </w:rPr>
        <w:t>30.3联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标的</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体各</w:t>
      </w:r>
      <w:r>
        <w:rPr>
          <w:rFonts w:hint="eastAsia" w:ascii="宋体" w:hAnsi="宋体" w:cs="微软雅黑"/>
          <w:color w:val="auto"/>
          <w:spacing w:val="-2"/>
          <w:kern w:val="0"/>
          <w:szCs w:val="21"/>
          <w:highlight w:val="none"/>
        </w:rPr>
        <w:t>方</w:t>
      </w:r>
      <w:r>
        <w:rPr>
          <w:rFonts w:hint="eastAsia" w:ascii="宋体" w:hAnsi="宋体" w:cs="微软雅黑"/>
          <w:color w:val="auto"/>
          <w:kern w:val="0"/>
          <w:szCs w:val="21"/>
          <w:highlight w:val="none"/>
        </w:rPr>
        <w:t>应</w:t>
      </w:r>
      <w:r>
        <w:rPr>
          <w:rFonts w:hint="eastAsia" w:ascii="宋体" w:hAnsi="宋体" w:cs="微软雅黑"/>
          <w:color w:val="auto"/>
          <w:spacing w:val="-2"/>
          <w:kern w:val="0"/>
          <w:szCs w:val="21"/>
          <w:highlight w:val="none"/>
        </w:rPr>
        <w:t>当</w:t>
      </w:r>
      <w:r>
        <w:rPr>
          <w:rFonts w:hint="eastAsia" w:ascii="宋体" w:hAnsi="宋体" w:cs="微软雅黑"/>
          <w:color w:val="auto"/>
          <w:kern w:val="0"/>
          <w:szCs w:val="21"/>
          <w:highlight w:val="none"/>
        </w:rPr>
        <w:t>共</w:t>
      </w:r>
      <w:r>
        <w:rPr>
          <w:rFonts w:hint="eastAsia" w:ascii="宋体" w:hAnsi="宋体" w:cs="微软雅黑"/>
          <w:color w:val="auto"/>
          <w:spacing w:val="-2"/>
          <w:kern w:val="0"/>
          <w:szCs w:val="21"/>
          <w:highlight w:val="none"/>
        </w:rPr>
        <w:t>同</w:t>
      </w:r>
      <w:r>
        <w:rPr>
          <w:rFonts w:hint="eastAsia" w:ascii="宋体" w:hAnsi="宋体" w:cs="微软雅黑"/>
          <w:color w:val="auto"/>
          <w:kern w:val="0"/>
          <w:szCs w:val="21"/>
          <w:highlight w:val="none"/>
        </w:rPr>
        <w:t>与</w:t>
      </w:r>
      <w:r>
        <w:rPr>
          <w:rFonts w:hint="eastAsia" w:ascii="宋体" w:hAnsi="宋体" w:cs="微软雅黑"/>
          <w:color w:val="auto"/>
          <w:spacing w:val="-2"/>
          <w:kern w:val="0"/>
          <w:szCs w:val="21"/>
          <w:highlight w:val="none"/>
        </w:rPr>
        <w:t>采购人</w:t>
      </w:r>
      <w:r>
        <w:rPr>
          <w:rFonts w:hint="eastAsia" w:ascii="宋体" w:hAnsi="宋体" w:cs="微软雅黑"/>
          <w:color w:val="auto"/>
          <w:kern w:val="0"/>
          <w:szCs w:val="21"/>
          <w:highlight w:val="none"/>
        </w:rPr>
        <w:t>签订</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同</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就</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w:t>
      </w:r>
      <w:r>
        <w:rPr>
          <w:rFonts w:hint="eastAsia" w:ascii="宋体" w:hAnsi="宋体" w:cs="微软雅黑"/>
          <w:color w:val="auto"/>
          <w:spacing w:val="-2"/>
          <w:kern w:val="0"/>
          <w:szCs w:val="21"/>
          <w:highlight w:val="none"/>
        </w:rPr>
        <w:t>项</w:t>
      </w:r>
      <w:r>
        <w:rPr>
          <w:rFonts w:hint="eastAsia" w:ascii="宋体" w:hAnsi="宋体" w:cs="微软雅黑"/>
          <w:color w:val="auto"/>
          <w:kern w:val="0"/>
          <w:szCs w:val="21"/>
          <w:highlight w:val="none"/>
        </w:rPr>
        <w:t>目</w:t>
      </w:r>
      <w:r>
        <w:rPr>
          <w:rFonts w:hint="eastAsia" w:ascii="宋体" w:hAnsi="宋体" w:cs="微软雅黑"/>
          <w:color w:val="auto"/>
          <w:spacing w:val="-2"/>
          <w:kern w:val="0"/>
          <w:szCs w:val="21"/>
          <w:highlight w:val="none"/>
        </w:rPr>
        <w:t>向</w:t>
      </w:r>
      <w:r>
        <w:rPr>
          <w:rFonts w:hint="eastAsia" w:ascii="宋体" w:hAnsi="宋体" w:cs="微软雅黑"/>
          <w:color w:val="auto"/>
          <w:kern w:val="0"/>
          <w:szCs w:val="21"/>
          <w:highlight w:val="none"/>
        </w:rPr>
        <w:t>采购人承</w:t>
      </w:r>
      <w:r>
        <w:rPr>
          <w:rFonts w:hint="eastAsia" w:ascii="宋体" w:hAnsi="宋体" w:cs="微软雅黑"/>
          <w:color w:val="auto"/>
          <w:spacing w:val="-2"/>
          <w:kern w:val="0"/>
          <w:szCs w:val="21"/>
          <w:highlight w:val="none"/>
        </w:rPr>
        <w:t>担</w:t>
      </w:r>
      <w:r>
        <w:rPr>
          <w:rFonts w:hint="eastAsia" w:ascii="宋体" w:hAnsi="宋体" w:cs="微软雅黑"/>
          <w:color w:val="auto"/>
          <w:kern w:val="0"/>
          <w:szCs w:val="21"/>
          <w:highlight w:val="none"/>
        </w:rPr>
        <w:t>连带责</w:t>
      </w:r>
      <w:r>
        <w:rPr>
          <w:rFonts w:hint="eastAsia" w:ascii="宋体" w:hAnsi="宋体" w:cs="微软雅黑"/>
          <w:color w:val="auto"/>
          <w:spacing w:val="-2"/>
          <w:kern w:val="0"/>
          <w:szCs w:val="21"/>
          <w:highlight w:val="none"/>
        </w:rPr>
        <w:t>任</w:t>
      </w:r>
      <w:r>
        <w:rPr>
          <w:rFonts w:hint="eastAsia" w:ascii="宋体" w:hAnsi="宋体" w:cs="微软雅黑"/>
          <w:color w:val="auto"/>
          <w:kern w:val="0"/>
          <w:szCs w:val="21"/>
          <w:highlight w:val="none"/>
        </w:rPr>
        <w:t>。</w:t>
      </w:r>
    </w:p>
    <w:p w14:paraId="2778ACA5">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30.4</w:t>
      </w:r>
      <w:r>
        <w:rPr>
          <w:rFonts w:hint="eastAsia" w:ascii="宋体" w:hAnsi="宋体"/>
          <w:color w:val="auto"/>
          <w:szCs w:val="21"/>
          <w:highlight w:val="none"/>
        </w:rPr>
        <w:t>中标合同将在招标公告指定媒体上公告，但合同中涉及国家秘密、商业秘密的内容除外。</w:t>
      </w:r>
    </w:p>
    <w:p w14:paraId="743DA122">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30.5中标人</w:t>
      </w:r>
      <w:r>
        <w:rPr>
          <w:rFonts w:hint="eastAsia" w:ascii="宋体" w:hAnsi="宋体"/>
          <w:bCs/>
          <w:color w:val="auto"/>
          <w:szCs w:val="21"/>
          <w:highlight w:val="none"/>
        </w:rPr>
        <w:t>应当按照合同约定依法履行合同义务。政府采购合同的履行、违约责任和解决争议的方法等适用《中华人民共和国民法典》。</w:t>
      </w:r>
    </w:p>
    <w:p w14:paraId="053E80DF">
      <w:pPr>
        <w:adjustRightInd w:val="0"/>
        <w:snapToGrid w:val="0"/>
        <w:spacing w:line="360" w:lineRule="auto"/>
        <w:rPr>
          <w:rFonts w:ascii="宋体" w:hAnsi="宋体" w:cs="宋体"/>
          <w:b/>
          <w:color w:val="auto"/>
          <w:kern w:val="0"/>
          <w:sz w:val="24"/>
          <w:highlight w:val="none"/>
        </w:rPr>
      </w:pPr>
      <w:r>
        <w:rPr>
          <w:rFonts w:hint="eastAsia" w:ascii="宋体" w:hAnsi="宋体"/>
          <w:b/>
          <w:bCs/>
          <w:color w:val="auto"/>
          <w:sz w:val="24"/>
          <w:highlight w:val="none"/>
        </w:rPr>
        <w:t>31.</w:t>
      </w:r>
      <w:r>
        <w:rPr>
          <w:rFonts w:hint="eastAsia" w:ascii="宋体" w:hAnsi="宋体" w:cs="宋体"/>
          <w:b/>
          <w:color w:val="auto"/>
          <w:kern w:val="0"/>
          <w:sz w:val="24"/>
          <w:highlight w:val="none"/>
        </w:rPr>
        <w:t xml:space="preserve"> 履约担保</w:t>
      </w:r>
    </w:p>
    <w:p w14:paraId="2EF73A2A">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31.1</w:t>
      </w:r>
      <w:r>
        <w:rPr>
          <w:rFonts w:hint="eastAsia" w:ascii="宋体" w:hAnsi="宋体"/>
          <w:color w:val="auto"/>
          <w:szCs w:val="21"/>
          <w:highlight w:val="none"/>
        </w:rPr>
        <w:t>招标文件要求中标人向采购人提交履约担保的，中标人应按照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w:t>
      </w:r>
      <w:r>
        <w:rPr>
          <w:rFonts w:hint="eastAsia" w:ascii="宋体" w:hAnsi="宋体"/>
          <w:bCs/>
          <w:color w:val="auto"/>
          <w:szCs w:val="21"/>
          <w:highlight w:val="none"/>
        </w:rPr>
        <w:t>投标人可以保函、电子增信替代履约担保</w:t>
      </w:r>
      <w:r>
        <w:rPr>
          <w:rFonts w:hint="eastAsia" w:ascii="宋体" w:hAnsi="宋体"/>
          <w:color w:val="auto"/>
          <w:szCs w:val="21"/>
          <w:highlight w:val="none"/>
        </w:rPr>
        <w:t>。</w:t>
      </w:r>
    </w:p>
    <w:p w14:paraId="68B4AA23">
      <w:pPr>
        <w:adjustRightInd w:val="0"/>
        <w:snapToGrid w:val="0"/>
        <w:spacing w:line="360" w:lineRule="auto"/>
        <w:ind w:firstLine="420" w:firstLineChars="200"/>
        <w:rPr>
          <w:rFonts w:ascii="宋体" w:hAnsi="宋体"/>
          <w:color w:val="auto"/>
          <w:szCs w:val="21"/>
          <w:highlight w:val="none"/>
        </w:rPr>
      </w:pPr>
    </w:p>
    <w:p w14:paraId="6C1D962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32.</w:t>
      </w:r>
      <w:r>
        <w:rPr>
          <w:rFonts w:hint="eastAsia" w:ascii="宋体" w:hAnsi="宋体"/>
          <w:b/>
          <w:color w:val="auto"/>
          <w:sz w:val="24"/>
          <w:highlight w:val="none"/>
        </w:rPr>
        <w:t xml:space="preserve"> 政府采购合同履行中</w:t>
      </w:r>
      <w:r>
        <w:rPr>
          <w:rFonts w:hint="eastAsia" w:ascii="宋体" w:hAnsi="宋体"/>
          <w:b/>
          <w:bCs/>
          <w:color w:val="auto"/>
          <w:sz w:val="24"/>
          <w:highlight w:val="none"/>
        </w:rPr>
        <w:t>数量的变更</w:t>
      </w:r>
    </w:p>
    <w:p w14:paraId="722D8316">
      <w:pPr>
        <w:adjustRightInd w:val="0"/>
        <w:snapToGrid w:val="0"/>
        <w:spacing w:line="360" w:lineRule="auto"/>
        <w:ind w:firstLine="420" w:firstLineChars="200"/>
        <w:rPr>
          <w:rFonts w:ascii="宋体" w:hAnsi="宋体"/>
          <w:color w:val="auto"/>
          <w:sz w:val="28"/>
          <w:szCs w:val="28"/>
          <w:highlight w:val="none"/>
        </w:rPr>
      </w:pPr>
      <w:r>
        <w:rPr>
          <w:rFonts w:hint="eastAsia" w:ascii="宋体" w:hAnsi="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45300FF6">
      <w:pPr>
        <w:pStyle w:val="4"/>
        <w:adjustRightInd w:val="0"/>
        <w:snapToGrid w:val="0"/>
        <w:spacing w:beforeLines="50" w:after="0" w:line="360" w:lineRule="auto"/>
        <w:jc w:val="center"/>
        <w:rPr>
          <w:rFonts w:ascii="宋体" w:hAnsi="宋体"/>
          <w:color w:val="auto"/>
          <w:sz w:val="28"/>
          <w:szCs w:val="28"/>
          <w:highlight w:val="none"/>
        </w:rPr>
      </w:pPr>
      <w:bookmarkStart w:id="315" w:name="_Toc30695"/>
      <w:bookmarkStart w:id="316" w:name="_Toc6602"/>
      <w:bookmarkStart w:id="317" w:name="_Toc31336"/>
      <w:bookmarkStart w:id="318" w:name="_Toc12398"/>
      <w:bookmarkStart w:id="319" w:name="_Toc9738"/>
      <w:bookmarkStart w:id="320" w:name="_Toc109656577"/>
      <w:bookmarkStart w:id="321" w:name="_Toc79093671"/>
      <w:bookmarkStart w:id="322" w:name="_Toc15284"/>
      <w:bookmarkStart w:id="323" w:name="_Toc13595"/>
      <w:bookmarkStart w:id="324" w:name="_Toc111543557"/>
      <w:bookmarkStart w:id="325" w:name="_Toc10555"/>
      <w:bookmarkStart w:id="326" w:name="_Toc140957870"/>
      <w:bookmarkStart w:id="327" w:name="_Toc28028"/>
      <w:bookmarkStart w:id="328" w:name="_Toc18118"/>
      <w:bookmarkStart w:id="329" w:name="_Toc171282404"/>
      <w:bookmarkStart w:id="330" w:name="_Toc3277"/>
      <w:bookmarkStart w:id="331" w:name="_Toc113350936"/>
      <w:bookmarkStart w:id="332" w:name="_Toc166778335"/>
      <w:bookmarkStart w:id="333" w:name="_Toc24745"/>
      <w:bookmarkStart w:id="334" w:name="_Toc118209427"/>
      <w:bookmarkStart w:id="335" w:name="_Toc108483395"/>
      <w:bookmarkStart w:id="336" w:name="_Toc137408717"/>
      <w:bookmarkStart w:id="337" w:name="_Toc103979578"/>
      <w:bookmarkStart w:id="338" w:name="_Toc15142"/>
      <w:bookmarkStart w:id="339" w:name="_Toc189905361"/>
      <w:bookmarkStart w:id="340" w:name="_Toc193053705"/>
      <w:bookmarkStart w:id="341" w:name="_Toc16186"/>
      <w:bookmarkStart w:id="342" w:name="_Toc24582"/>
      <w:bookmarkStart w:id="343" w:name="_Toc3474"/>
      <w:bookmarkStart w:id="344" w:name="_Toc99299725"/>
      <w:r>
        <w:rPr>
          <w:rFonts w:hint="eastAsia" w:ascii="宋体" w:hAnsi="宋体"/>
          <w:color w:val="auto"/>
          <w:sz w:val="28"/>
          <w:szCs w:val="28"/>
          <w:highlight w:val="none"/>
        </w:rPr>
        <w:t>八、</w:t>
      </w:r>
      <w:bookmarkEnd w:id="315"/>
      <w:bookmarkEnd w:id="316"/>
      <w:bookmarkEnd w:id="317"/>
      <w:bookmarkEnd w:id="318"/>
      <w:r>
        <w:rPr>
          <w:rFonts w:hint="eastAsia" w:ascii="宋体" w:hAnsi="宋体"/>
          <w:color w:val="auto"/>
          <w:sz w:val="28"/>
          <w:szCs w:val="28"/>
          <w:highlight w:val="none"/>
        </w:rPr>
        <w:t>政府采购政策</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3E60D0A5">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33.</w:t>
      </w:r>
      <w:r>
        <w:rPr>
          <w:rFonts w:hint="eastAsia" w:ascii="宋体" w:hAnsi="宋体"/>
          <w:b/>
          <w:color w:val="auto"/>
          <w:sz w:val="24"/>
          <w:highlight w:val="none"/>
        </w:rPr>
        <w:t>政府采购政策</w:t>
      </w:r>
    </w:p>
    <w:p w14:paraId="4E40B9A2">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33.1优先采购：</w:t>
      </w:r>
    </w:p>
    <w:p w14:paraId="5EDAB74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p>
    <w:p w14:paraId="79FB090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（2）纳入湖南省财政厅等有关部门发布的湖南省两型产品政府采购目录的，实施政府优先采购，评审时按</w:t>
      </w:r>
      <w:r>
        <w:rPr>
          <w:rFonts w:hint="eastAsia" w:ascii="宋体" w:hAnsi="宋体"/>
          <w:color w:val="auto"/>
          <w:szCs w:val="21"/>
          <w:highlight w:val="none"/>
        </w:rPr>
        <w:t>招标文件第四章第一节有关规定对该部分产品</w:t>
      </w:r>
      <w:r>
        <w:rPr>
          <w:rFonts w:hint="eastAsia" w:ascii="宋体" w:hAnsi="宋体"/>
          <w:color w:val="auto"/>
          <w:highlight w:val="none"/>
        </w:rPr>
        <w:t>给予一定比例的价格折扣或者加分。</w:t>
      </w:r>
    </w:p>
    <w:p w14:paraId="41F210D5">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33.2强制采购：</w:t>
      </w:r>
    </w:p>
    <w:p w14:paraId="503AC60C">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37BBBB6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33.3价格评审优惠：</w:t>
      </w:r>
    </w:p>
    <w:p w14:paraId="04B5CD4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0CC9420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4F93723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接受大中型企业与小微企业组成联合体或者允许大中型企业向一家或者多家小微企业分包的采购项目，对于联合协议或者分包意向协议约定小微企业的合同份额占到合同总金额40%以上的，给予一定比例的价格折扣，用扣除后的价格参与评审。以联合体形式参加政府采购活动，联合体各方均为中小企业的，联合体视同中小企业。其中，联合体各方均为小微企业的，联合体视同小微企业；</w:t>
      </w:r>
    </w:p>
    <w:p w14:paraId="4B04483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（3）符合中小企业划分标准的个体工商户视同中小企业，享受评审中价格扣除等促进中小企业发展的政府采购政策</w:t>
      </w:r>
      <w:r>
        <w:rPr>
          <w:rFonts w:hint="eastAsia" w:ascii="宋体" w:hAnsi="宋体"/>
          <w:color w:val="auto"/>
          <w:szCs w:val="21"/>
          <w:highlight w:val="none"/>
        </w:rPr>
        <w:t>。</w:t>
      </w:r>
    </w:p>
    <w:p w14:paraId="79DFF52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（4）监狱企业、残疾人福利性单位视同小型、微型企业，享受评审中价格扣除等促进中小企业发展的政府采购政策。</w:t>
      </w:r>
    </w:p>
    <w:p w14:paraId="4671AA6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（5）与大企业的负责人为同一人，或者与大企业存在直接控股、管理关系的中小企业，不享受评审中价格扣除等促进中小企业发展的政府采购政策。</w:t>
      </w:r>
    </w:p>
    <w:p w14:paraId="0488619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（6）本章第1.2款规定采购项目或者采购包属于“预留采购份额”的，预留部分不再享受本款“价格评审优惠”的小微企业扶持政策。</w:t>
      </w:r>
    </w:p>
    <w:p w14:paraId="4D04A11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33.4政府采购政策交叉与叠加</w:t>
      </w:r>
    </w:p>
    <w:p w14:paraId="625EDFD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460435E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01B122A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（3）小型和微型企业的价格评审优惠可以与同时属于“节能产品”、“环境标志产品”及“两型产品”中的一项优先采购优惠累加计算。</w:t>
      </w:r>
    </w:p>
    <w:p w14:paraId="592D3EE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33.5在货物采购项目中，供应商提供的货物既有中小企业制造货物，也有大型企业制造货物的，不享受政府采购中小企业扶持政策。</w:t>
      </w:r>
    </w:p>
    <w:p w14:paraId="7F451D9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03FCFDE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w:t>
      </w:r>
    </w:p>
    <w:p w14:paraId="177A244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（2）两型产品：提供《湖南省两型产品政府采购目录》（最新一期）文件首页和投标产品所在页（截图）。</w:t>
      </w:r>
    </w:p>
    <w:p w14:paraId="0C296DC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p>
    <w:p w14:paraId="70930FE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（4）监狱企业：按《关于政府采购支持监狱企业发展有关问题的通知》(财库〔2014〕68号)文件规定提供证明文件。</w:t>
      </w:r>
    </w:p>
    <w:p w14:paraId="7C411CE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（5）残疾人福利性单位：按《关于促进残疾人就业政府采购政策的通知》(财库〔2017〕141号)文件规定提供《残疾人福利性单位声明函》（格式）。</w:t>
      </w:r>
    </w:p>
    <w:p w14:paraId="37824D3D">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33.7执行中小企业预留采购份额政策的规定：</w:t>
      </w:r>
    </w:p>
    <w:p w14:paraId="2B3ADBF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（1）预留份额的采购项目或者采购包，应明确该项目或相关采购包专门面向中小企业采购，并作为供应商资格条件。</w:t>
      </w:r>
    </w:p>
    <w:p w14:paraId="2D3DFEA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（2）要求以联合体形式参加或者合同分包的，应明确联合协议或者分包意向协议中中小企业合同金额应当达到的比例，并作为供应商资格条件。</w:t>
      </w:r>
    </w:p>
    <w:p w14:paraId="1ABFE6B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（3）组成联合体或者接受分包合同的中小企业与联合体内其他企业(成员)、分包企业(投标人)之间不得存在直接控股、管理关系。</w:t>
      </w:r>
    </w:p>
    <w:p w14:paraId="7EA71EDE">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33.8采购进口产品</w:t>
      </w:r>
    </w:p>
    <w:p w14:paraId="72931850">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w:t>
      </w:r>
      <w:r>
        <w:rPr>
          <w:rFonts w:hint="eastAsia" w:ascii="宋体" w:hAnsi="宋体" w:cs="宋体"/>
          <w:b/>
          <w:color w:val="auto"/>
          <w:kern w:val="0"/>
          <w:szCs w:val="21"/>
          <w:highlight w:val="none"/>
        </w:rPr>
        <w:t>拒绝进口产品参加投标</w:t>
      </w:r>
      <w:r>
        <w:rPr>
          <w:rFonts w:hint="eastAsia" w:ascii="宋体" w:hAnsi="宋体" w:cs="宋体"/>
          <w:color w:val="auto"/>
          <w:kern w:val="0"/>
          <w:szCs w:val="21"/>
          <w:highlight w:val="none"/>
        </w:rPr>
        <w:t>。本款规定同意购买进口产品的，不限制满足招标文件要求的国内产品参与投标竞争。</w:t>
      </w:r>
    </w:p>
    <w:p w14:paraId="5738916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33.9投标人有融资、担保需求的，可登陆中国湖南政府采购网查询相关银行、担保机构业务。</w:t>
      </w:r>
    </w:p>
    <w:p w14:paraId="198FE196">
      <w:pPr>
        <w:pStyle w:val="4"/>
        <w:adjustRightInd w:val="0"/>
        <w:snapToGrid w:val="0"/>
        <w:spacing w:beforeLines="50" w:after="0" w:line="360" w:lineRule="auto"/>
        <w:jc w:val="center"/>
        <w:rPr>
          <w:rFonts w:ascii="宋体" w:hAnsi="宋体"/>
          <w:color w:val="auto"/>
          <w:sz w:val="28"/>
          <w:szCs w:val="28"/>
          <w:highlight w:val="none"/>
        </w:rPr>
      </w:pPr>
      <w:bookmarkStart w:id="345" w:name="_Toc26502"/>
      <w:bookmarkStart w:id="346" w:name="_Toc8411"/>
      <w:bookmarkStart w:id="347" w:name="_Toc137408718"/>
      <w:bookmarkStart w:id="348" w:name="_Toc25968"/>
      <w:bookmarkStart w:id="349" w:name="_Toc140957871"/>
      <w:bookmarkStart w:id="350" w:name="_Toc189905362"/>
      <w:bookmarkStart w:id="351" w:name="_Toc113350937"/>
      <w:bookmarkStart w:id="352" w:name="_Toc6819"/>
      <w:bookmarkStart w:id="353" w:name="_Toc31643"/>
      <w:bookmarkStart w:id="354" w:name="_Toc733"/>
      <w:bookmarkStart w:id="355" w:name="_Toc103979579"/>
      <w:bookmarkStart w:id="356" w:name="_Toc12927"/>
      <w:bookmarkStart w:id="357" w:name="_Toc5102"/>
      <w:bookmarkStart w:id="358" w:name="_Toc193053706"/>
      <w:bookmarkStart w:id="359" w:name="_Toc27182"/>
      <w:bookmarkStart w:id="360" w:name="_Toc24320"/>
      <w:bookmarkStart w:id="361" w:name="_Toc166778336"/>
      <w:bookmarkStart w:id="362" w:name="_Toc1219"/>
      <w:bookmarkStart w:id="363" w:name="_Toc29193"/>
      <w:bookmarkStart w:id="364" w:name="_Toc31956"/>
      <w:bookmarkStart w:id="365" w:name="_Toc13142"/>
      <w:bookmarkStart w:id="366" w:name="_Toc26341"/>
      <w:bookmarkStart w:id="367" w:name="_Toc13771"/>
      <w:bookmarkStart w:id="368" w:name="_Toc108483396"/>
      <w:bookmarkStart w:id="369" w:name="_Toc118209428"/>
      <w:bookmarkStart w:id="370" w:name="_Toc109656578"/>
      <w:bookmarkStart w:id="371" w:name="_Toc99299726"/>
      <w:bookmarkStart w:id="372" w:name="_Toc79093672"/>
      <w:bookmarkStart w:id="373" w:name="_Toc171282405"/>
      <w:bookmarkStart w:id="374" w:name="_Toc111543558"/>
      <w:r>
        <w:rPr>
          <w:rFonts w:hint="eastAsia" w:ascii="宋体" w:hAnsi="宋体"/>
          <w:color w:val="auto"/>
          <w:sz w:val="28"/>
          <w:szCs w:val="28"/>
          <w:highlight w:val="none"/>
        </w:rPr>
        <w:t>九、其他规定</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74C892F1">
      <w:pPr>
        <w:adjustRightInd w:val="0"/>
        <w:snapToGrid w:val="0"/>
        <w:spacing w:beforeLines="50" w:line="360" w:lineRule="auto"/>
        <w:rPr>
          <w:rFonts w:ascii="宋体" w:hAnsi="宋体"/>
          <w:b/>
          <w:color w:val="auto"/>
          <w:sz w:val="24"/>
          <w:highlight w:val="none"/>
        </w:rPr>
      </w:pPr>
      <w:r>
        <w:rPr>
          <w:rFonts w:hint="eastAsia" w:ascii="宋体" w:hAnsi="宋体"/>
          <w:b/>
          <w:bCs/>
          <w:color w:val="auto"/>
          <w:sz w:val="24"/>
          <w:highlight w:val="none"/>
        </w:rPr>
        <w:t>34.</w:t>
      </w:r>
      <w:r>
        <w:rPr>
          <w:rFonts w:hint="eastAsia" w:ascii="宋体" w:hAnsi="宋体"/>
          <w:b/>
          <w:color w:val="auto"/>
          <w:sz w:val="24"/>
          <w:highlight w:val="none"/>
        </w:rPr>
        <w:t>招标不足三家处理</w:t>
      </w:r>
    </w:p>
    <w:p w14:paraId="2C6E339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2744767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412A017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5688C2C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34.2属上款第（2）项情形的，评标委员会应出具招标文件没有不合理条款的论证意见。</w:t>
      </w:r>
    </w:p>
    <w:p w14:paraId="66CB5A9A">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35.</w:t>
      </w:r>
      <w:r>
        <w:rPr>
          <w:rFonts w:hint="eastAsia" w:ascii="宋体" w:hAnsi="宋体"/>
          <w:b/>
          <w:color w:val="auto"/>
          <w:sz w:val="24"/>
          <w:highlight w:val="none"/>
        </w:rPr>
        <w:t xml:space="preserve"> 需要补充的其他内容</w:t>
      </w:r>
    </w:p>
    <w:p w14:paraId="352D5D6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35.1合同价款支付</w:t>
      </w:r>
    </w:p>
    <w:p w14:paraId="186829B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（1）招标文件</w:t>
      </w:r>
      <w:r>
        <w:rPr>
          <w:rFonts w:hint="eastAsia" w:ascii="宋体" w:hAnsi="宋体"/>
          <w:bCs/>
          <w:color w:val="auto"/>
          <w:szCs w:val="21"/>
          <w:highlight w:val="none"/>
        </w:rPr>
        <w:t>规定支付合同预付款的，采购人应按</w:t>
      </w:r>
      <w:r>
        <w:rPr>
          <w:rFonts w:hint="eastAsia" w:ascii="宋体" w:hAnsi="宋体"/>
          <w:b/>
          <w:color w:val="auto"/>
          <w:szCs w:val="21"/>
          <w:highlight w:val="none"/>
        </w:rPr>
        <w:t>【投标须知前附表】</w:t>
      </w:r>
      <w:r>
        <w:rPr>
          <w:rFonts w:hint="eastAsia" w:ascii="宋体" w:hAnsi="宋体"/>
          <w:bCs/>
          <w:color w:val="auto"/>
          <w:szCs w:val="21"/>
          <w:highlight w:val="none"/>
        </w:rPr>
        <w:t>规定的支付比例和支付条件向符合要求的中标供应商及时支付相应款项，并在政府采购合同中进行明确。</w:t>
      </w:r>
    </w:p>
    <w:p w14:paraId="13C6B95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（2）招标文件</w:t>
      </w:r>
      <w:r>
        <w:rPr>
          <w:rFonts w:hint="eastAsia" w:ascii="宋体" w:hAnsi="宋体"/>
          <w:bCs/>
          <w:color w:val="auto"/>
          <w:highlight w:val="none"/>
        </w:rPr>
        <w:t>规定需提交质量保证金的，采购人可以按</w:t>
      </w:r>
      <w:r>
        <w:rPr>
          <w:rFonts w:hint="eastAsia" w:ascii="宋体" w:hAnsi="宋体"/>
          <w:b/>
          <w:color w:val="auto"/>
          <w:highlight w:val="none"/>
        </w:rPr>
        <w:t>【投标须知前附表】</w:t>
      </w:r>
      <w:r>
        <w:rPr>
          <w:rFonts w:hint="eastAsia" w:ascii="宋体" w:hAnsi="宋体"/>
          <w:bCs/>
          <w:color w:val="auto"/>
          <w:highlight w:val="none"/>
        </w:rPr>
        <w:t>规定要求中标供应商提交质量保证金，并在政府采购合同中进行明确。</w:t>
      </w:r>
    </w:p>
    <w:p w14:paraId="170E7E25">
      <w:pPr>
        <w:adjustRightInd w:val="0"/>
        <w:snapToGrid w:val="0"/>
        <w:spacing w:line="360" w:lineRule="auto"/>
        <w:ind w:firstLine="420" w:firstLineChars="200"/>
        <w:rPr>
          <w:rFonts w:ascii="宋体" w:hAnsi="宋体"/>
          <w:color w:val="auto"/>
          <w:highlight w:val="none"/>
        </w:rPr>
      </w:pPr>
      <w:r>
        <w:rPr>
          <w:rFonts w:hint="eastAsia" w:ascii="宋体" w:hAnsi="宋体"/>
          <w:bCs/>
          <w:color w:val="auto"/>
          <w:highlight w:val="none"/>
        </w:rPr>
        <w:t>（3）投标人可以保函、电子增信替代预付款担保、质量保证金。</w:t>
      </w:r>
    </w:p>
    <w:p w14:paraId="0CB7C88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35.2招标文件需要补充的其</w:t>
      </w:r>
      <w:r>
        <w:rPr>
          <w:rFonts w:hint="eastAsia" w:ascii="宋体" w:hAnsi="宋体"/>
          <w:color w:val="auto"/>
          <w:szCs w:val="21"/>
          <w:highlight w:val="none"/>
        </w:rPr>
        <w:t>他内容见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7DA283EF">
      <w:pPr>
        <w:pStyle w:val="25"/>
        <w:adjustRightInd w:val="0"/>
        <w:snapToGrid w:val="0"/>
        <w:spacing w:beforeLines="50" w:line="360" w:lineRule="auto"/>
        <w:jc w:val="center"/>
        <w:outlineLvl w:val="0"/>
        <w:rPr>
          <w:rFonts w:hAnsi="宋体"/>
          <w:b/>
          <w:color w:val="auto"/>
          <w:sz w:val="32"/>
          <w:szCs w:val="32"/>
          <w:highlight w:val="none"/>
        </w:rPr>
      </w:pPr>
      <w:r>
        <w:rPr>
          <w:rFonts w:hAnsi="宋体"/>
          <w:color w:val="auto"/>
          <w:highlight w:val="none"/>
        </w:rPr>
        <w:br w:type="page"/>
      </w:r>
      <w:bookmarkStart w:id="375" w:name="_Toc14070"/>
      <w:bookmarkStart w:id="376" w:name="_Toc108483397"/>
      <w:bookmarkStart w:id="377" w:name="_Toc109656579"/>
      <w:bookmarkStart w:id="378" w:name="_Toc99299727"/>
      <w:bookmarkStart w:id="379" w:name="_Toc9881"/>
      <w:bookmarkStart w:id="380" w:name="_Toc26266"/>
      <w:bookmarkStart w:id="381" w:name="_Toc23612"/>
      <w:bookmarkStart w:id="382" w:name="_Toc26507"/>
      <w:bookmarkStart w:id="383" w:name="_Toc10925"/>
      <w:bookmarkStart w:id="384" w:name="_Toc31093"/>
      <w:bookmarkStart w:id="385" w:name="_Toc171282406"/>
      <w:bookmarkStart w:id="386" w:name="_Toc111543559"/>
      <w:bookmarkStart w:id="387" w:name="_Toc189905363"/>
      <w:bookmarkStart w:id="388" w:name="_Toc103979580"/>
      <w:bookmarkStart w:id="389" w:name="_Toc140957872"/>
      <w:bookmarkStart w:id="390" w:name="_Toc13528"/>
      <w:bookmarkStart w:id="391" w:name="_Toc118209429"/>
      <w:bookmarkStart w:id="392" w:name="_Toc1675"/>
      <w:bookmarkStart w:id="393" w:name="_Toc15608"/>
      <w:bookmarkStart w:id="394" w:name="_Toc25969"/>
      <w:bookmarkStart w:id="395" w:name="_Toc79093673"/>
      <w:bookmarkStart w:id="396" w:name="_Toc1524"/>
      <w:bookmarkStart w:id="397" w:name="_Toc113350938"/>
      <w:bookmarkStart w:id="398" w:name="_Toc166778337"/>
      <w:bookmarkStart w:id="399" w:name="_Toc137408719"/>
      <w:bookmarkStart w:id="400" w:name="_Toc193053707"/>
      <w:bookmarkStart w:id="401" w:name="_Toc28526"/>
      <w:bookmarkStart w:id="402" w:name="_Toc14248"/>
      <w:bookmarkStart w:id="403" w:name="_Toc15320"/>
      <w:bookmarkStart w:id="404" w:name="_Toc12958"/>
      <w:r>
        <w:rPr>
          <w:rFonts w:hint="eastAsia" w:hAnsi="宋体"/>
          <w:b/>
          <w:color w:val="auto"/>
          <w:sz w:val="32"/>
          <w:szCs w:val="32"/>
          <w:highlight w:val="none"/>
        </w:rPr>
        <w:t>第三章 资格审查</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4784C8A2">
      <w:pPr>
        <w:pStyle w:val="4"/>
        <w:adjustRightInd w:val="0"/>
        <w:snapToGrid w:val="0"/>
        <w:spacing w:before="0" w:after="0" w:line="360" w:lineRule="auto"/>
        <w:rPr>
          <w:rFonts w:ascii="宋体" w:hAnsi="宋体"/>
          <w:color w:val="auto"/>
          <w:sz w:val="24"/>
          <w:szCs w:val="24"/>
          <w:highlight w:val="none"/>
        </w:rPr>
      </w:pPr>
      <w:bookmarkStart w:id="405" w:name="_Toc193053708"/>
      <w:bookmarkStart w:id="406" w:name="_Toc118209430"/>
      <w:bookmarkStart w:id="407" w:name="_Toc15956"/>
      <w:bookmarkStart w:id="408" w:name="_Toc9255"/>
      <w:bookmarkStart w:id="409" w:name="_Toc9579"/>
      <w:bookmarkStart w:id="410" w:name="_Toc79093674"/>
      <w:bookmarkStart w:id="411" w:name="_Toc5519"/>
      <w:bookmarkStart w:id="412" w:name="_Toc12005"/>
      <w:bookmarkStart w:id="413" w:name="_Toc109656580"/>
      <w:bookmarkStart w:id="414" w:name="_Toc103979581"/>
      <w:bookmarkStart w:id="415" w:name="_Toc18845"/>
      <w:bookmarkStart w:id="416" w:name="_Toc171282407"/>
      <w:bookmarkStart w:id="417" w:name="_Toc30020"/>
      <w:bookmarkStart w:id="418" w:name="_Toc11712"/>
      <w:bookmarkStart w:id="419" w:name="_Toc166778338"/>
      <w:bookmarkStart w:id="420" w:name="_Toc113350939"/>
      <w:bookmarkStart w:id="421" w:name="_Toc189905364"/>
      <w:bookmarkStart w:id="422" w:name="_Toc24113"/>
      <w:bookmarkStart w:id="423" w:name="_Toc24501"/>
      <w:bookmarkStart w:id="424" w:name="_Toc111543560"/>
      <w:bookmarkStart w:id="425" w:name="_Toc1265"/>
      <w:bookmarkStart w:id="426" w:name="_Toc108483398"/>
      <w:bookmarkStart w:id="427" w:name="_Toc26121"/>
      <w:bookmarkStart w:id="428" w:name="_Toc137408720"/>
      <w:bookmarkStart w:id="429" w:name="_Toc140957873"/>
      <w:bookmarkStart w:id="430" w:name="_Toc30047"/>
      <w:bookmarkStart w:id="431" w:name="_Toc24163"/>
      <w:bookmarkStart w:id="432" w:name="_Toc99299728"/>
      <w:bookmarkStart w:id="433" w:name="_Toc19553"/>
      <w:bookmarkStart w:id="434" w:name="_Toc9734"/>
      <w:r>
        <w:rPr>
          <w:rFonts w:hint="eastAsia" w:ascii="宋体" w:hAnsi="宋体"/>
          <w:color w:val="auto"/>
          <w:sz w:val="24"/>
          <w:szCs w:val="24"/>
          <w:highlight w:val="none"/>
        </w:rPr>
        <w:t>1．资格审查主体</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50A8F28A">
      <w:pPr>
        <w:adjustRightInd w:val="0"/>
        <w:snapToGrid w:val="0"/>
        <w:spacing w:line="360" w:lineRule="auto"/>
        <w:ind w:firstLine="417" w:firstLineChars="199"/>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772EFFDD">
      <w:pPr>
        <w:pStyle w:val="4"/>
        <w:adjustRightInd w:val="0"/>
        <w:snapToGrid w:val="0"/>
        <w:spacing w:before="0" w:after="0" w:line="360" w:lineRule="auto"/>
        <w:rPr>
          <w:rFonts w:ascii="宋体" w:hAnsi="宋体"/>
          <w:color w:val="auto"/>
          <w:sz w:val="24"/>
          <w:szCs w:val="24"/>
          <w:highlight w:val="none"/>
        </w:rPr>
      </w:pPr>
      <w:bookmarkStart w:id="435" w:name="_Toc171282408"/>
      <w:bookmarkStart w:id="436" w:name="_Toc109656581"/>
      <w:bookmarkStart w:id="437" w:name="_Toc137408721"/>
      <w:bookmarkStart w:id="438" w:name="_Toc18866"/>
      <w:bookmarkStart w:id="439" w:name="_Toc28000"/>
      <w:bookmarkStart w:id="440" w:name="_Toc108483399"/>
      <w:bookmarkStart w:id="441" w:name="_Toc12061"/>
      <w:bookmarkStart w:id="442" w:name="_Toc166778339"/>
      <w:bookmarkStart w:id="443" w:name="_Toc99299729"/>
      <w:bookmarkStart w:id="444" w:name="_Toc79093675"/>
      <w:bookmarkStart w:id="445" w:name="_Toc23466"/>
      <w:bookmarkStart w:id="446" w:name="_Toc118209431"/>
      <w:bookmarkStart w:id="447" w:name="_Toc21869"/>
      <w:bookmarkStart w:id="448" w:name="_Toc12401"/>
      <w:bookmarkStart w:id="449" w:name="_Toc26314"/>
      <w:bookmarkStart w:id="450" w:name="_Toc140957874"/>
      <w:bookmarkStart w:id="451" w:name="_Toc189905365"/>
      <w:bookmarkStart w:id="452" w:name="_Toc19993"/>
      <w:bookmarkStart w:id="453" w:name="_Toc2433"/>
      <w:bookmarkStart w:id="454" w:name="_Toc6379"/>
      <w:bookmarkStart w:id="455" w:name="_Toc24465"/>
      <w:bookmarkStart w:id="456" w:name="_Toc2499"/>
      <w:bookmarkStart w:id="457" w:name="_Toc113350940"/>
      <w:bookmarkStart w:id="458" w:name="_Toc23131"/>
      <w:bookmarkStart w:id="459" w:name="_Toc193053709"/>
      <w:bookmarkStart w:id="460" w:name="_Toc103979582"/>
      <w:bookmarkStart w:id="461" w:name="_Toc111543561"/>
      <w:bookmarkStart w:id="462" w:name="_Toc7744"/>
      <w:bookmarkStart w:id="463" w:name="_Toc14163"/>
      <w:bookmarkStart w:id="464" w:name="_Toc27240"/>
      <w:r>
        <w:rPr>
          <w:rFonts w:hint="eastAsia" w:ascii="宋体" w:hAnsi="宋体"/>
          <w:color w:val="auto"/>
          <w:sz w:val="24"/>
          <w:szCs w:val="24"/>
          <w:highlight w:val="none"/>
        </w:rPr>
        <w:t>2．资格审查</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557D409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2.1资格审查依据法律法规和招标文件的规定，对投标文件中的资格证明文件、投标报价等进行审查，以确定投标供应商是否具备投标资格。</w:t>
      </w:r>
    </w:p>
    <w:p w14:paraId="269CA59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78D07C6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5FF459E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4169359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26CFAAA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（3）投标文件的资格证明文件未按照招标文件要求编制、签署、盖章的；</w:t>
      </w:r>
    </w:p>
    <w:p w14:paraId="326B068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（4）投标报价超过招标文件中规定的预算金额或者最高限价的；</w:t>
      </w:r>
    </w:p>
    <w:p w14:paraId="0B22807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（5）法律、法规和招标文件规定的其他投标无效情形的。</w:t>
      </w:r>
    </w:p>
    <w:p w14:paraId="05462CFA">
      <w:pPr>
        <w:adjustRightInd w:val="0"/>
        <w:snapToGrid w:val="0"/>
        <w:spacing w:line="360" w:lineRule="auto"/>
        <w:ind w:firstLine="420" w:firstLineChars="200"/>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4459B35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（1）信用信息查询的查询渠道：信用中国网（www.creditchina.gov.cn）、中国政府采购网（www.ccgp.gov.cn）；</w:t>
      </w:r>
    </w:p>
    <w:p w14:paraId="4C5BE57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5B687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388853F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（4）信用信息查询记录和证据留存具体方式：</w:t>
      </w:r>
      <w:r>
        <w:rPr>
          <w:rFonts w:hint="eastAsia" w:ascii="宋体" w:hAnsi="宋体"/>
          <w:color w:val="auto"/>
          <w:sz w:val="22"/>
          <w:szCs w:val="22"/>
          <w:highlight w:val="none"/>
        </w:rPr>
        <w:t>采购人、采购代理机构</w:t>
      </w:r>
      <w:r>
        <w:rPr>
          <w:rFonts w:ascii="宋体" w:hAnsi="宋体"/>
          <w:color w:val="auto"/>
          <w:sz w:val="22"/>
          <w:szCs w:val="22"/>
          <w:highlight w:val="none"/>
        </w:rPr>
        <w:t>经办人将查询网页</w:t>
      </w:r>
      <w:r>
        <w:rPr>
          <w:rFonts w:hint="eastAsia" w:ascii="宋体" w:hAnsi="宋体"/>
          <w:color w:val="auto"/>
          <w:sz w:val="22"/>
          <w:szCs w:val="22"/>
          <w:highlight w:val="none"/>
        </w:rPr>
        <w:t>截图、</w:t>
      </w:r>
      <w:r>
        <w:rPr>
          <w:rFonts w:ascii="宋体" w:hAnsi="宋体"/>
          <w:color w:val="auto"/>
          <w:sz w:val="22"/>
          <w:szCs w:val="22"/>
          <w:highlight w:val="none"/>
        </w:rPr>
        <w:t>打印、签字</w:t>
      </w:r>
      <w:r>
        <w:rPr>
          <w:rFonts w:hint="eastAsia" w:ascii="宋体" w:hAnsi="宋体"/>
          <w:color w:val="auto"/>
          <w:sz w:val="22"/>
          <w:szCs w:val="22"/>
          <w:highlight w:val="none"/>
        </w:rPr>
        <w:t>，作为查询记录和证据，与其他采购文件一并保存。</w:t>
      </w:r>
      <w:r>
        <w:rPr>
          <w:rFonts w:ascii="宋体" w:hAnsi="宋体"/>
          <w:color w:val="auto"/>
          <w:sz w:val="22"/>
          <w:szCs w:val="22"/>
          <w:highlight w:val="none"/>
        </w:rPr>
        <w:t>投标人不良信用记录以</w:t>
      </w:r>
      <w:r>
        <w:rPr>
          <w:rFonts w:hint="eastAsia" w:ascii="宋体" w:hAnsi="宋体"/>
          <w:color w:val="auto"/>
          <w:sz w:val="22"/>
          <w:szCs w:val="22"/>
          <w:highlight w:val="none"/>
        </w:rPr>
        <w:t>采购人、采购代理机构</w:t>
      </w:r>
      <w:r>
        <w:rPr>
          <w:rFonts w:ascii="宋体" w:hAnsi="宋体"/>
          <w:color w:val="auto"/>
          <w:sz w:val="22"/>
          <w:szCs w:val="22"/>
          <w:highlight w:val="none"/>
        </w:rPr>
        <w:t>查询结果为准</w:t>
      </w:r>
      <w:r>
        <w:rPr>
          <w:rFonts w:hint="eastAsia" w:ascii="宋体" w:hAnsi="宋体"/>
          <w:color w:val="auto"/>
          <w:sz w:val="22"/>
          <w:szCs w:val="22"/>
          <w:highlight w:val="none"/>
        </w:rPr>
        <w:t>。</w:t>
      </w:r>
    </w:p>
    <w:p w14:paraId="3BECE956">
      <w:pPr>
        <w:pStyle w:val="4"/>
        <w:adjustRightInd w:val="0"/>
        <w:snapToGrid w:val="0"/>
        <w:spacing w:before="0" w:after="0" w:line="360" w:lineRule="auto"/>
        <w:rPr>
          <w:rFonts w:ascii="宋体" w:hAnsi="宋体"/>
          <w:color w:val="auto"/>
          <w:sz w:val="24"/>
          <w:szCs w:val="24"/>
          <w:highlight w:val="none"/>
        </w:rPr>
      </w:pPr>
      <w:bookmarkStart w:id="465" w:name="_Toc103979583"/>
      <w:bookmarkStart w:id="466" w:name="_Toc21201"/>
      <w:bookmarkStart w:id="467" w:name="_Toc189905366"/>
      <w:bookmarkStart w:id="468" w:name="_Toc26805"/>
      <w:bookmarkStart w:id="469" w:name="_Toc8094"/>
      <w:bookmarkStart w:id="470" w:name="_Toc4011"/>
      <w:bookmarkStart w:id="471" w:name="_Toc193053710"/>
      <w:bookmarkStart w:id="472" w:name="_Toc3424"/>
      <w:bookmarkStart w:id="473" w:name="_Toc28741"/>
      <w:bookmarkStart w:id="474" w:name="_Toc12441"/>
      <w:bookmarkStart w:id="475" w:name="_Toc140957875"/>
      <w:bookmarkStart w:id="476" w:name="_Toc25689"/>
      <w:bookmarkStart w:id="477" w:name="_Toc28324"/>
      <w:bookmarkStart w:id="478" w:name="_Toc109656582"/>
      <w:bookmarkStart w:id="479" w:name="_Toc79093676"/>
      <w:bookmarkStart w:id="480" w:name="_Toc171282409"/>
      <w:bookmarkStart w:id="481" w:name="_Toc3885"/>
      <w:bookmarkStart w:id="482" w:name="_Toc118209432"/>
      <w:bookmarkStart w:id="483" w:name="_Toc18034"/>
      <w:bookmarkStart w:id="484" w:name="_Toc111543562"/>
      <w:bookmarkStart w:id="485" w:name="_Toc99299730"/>
      <w:bookmarkStart w:id="486" w:name="_Toc23919"/>
      <w:bookmarkStart w:id="487" w:name="_Toc6730"/>
      <w:bookmarkStart w:id="488" w:name="_Toc108483400"/>
      <w:bookmarkStart w:id="489" w:name="_Toc11040"/>
      <w:bookmarkStart w:id="490" w:name="_Toc113350941"/>
      <w:bookmarkStart w:id="491" w:name="_Toc25110"/>
      <w:bookmarkStart w:id="492" w:name="_Toc137408722"/>
      <w:bookmarkStart w:id="493" w:name="_Toc23806"/>
      <w:bookmarkStart w:id="494" w:name="_Toc166778340"/>
      <w:r>
        <w:rPr>
          <w:rFonts w:hint="eastAsia" w:ascii="宋体" w:hAnsi="宋体"/>
          <w:color w:val="auto"/>
          <w:sz w:val="24"/>
          <w:szCs w:val="24"/>
          <w:highlight w:val="none"/>
        </w:rPr>
        <w:t>3．资格审查结果</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530BC8B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4EA4611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709D2E1E">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br w:type="page"/>
      </w:r>
    </w:p>
    <w:p w14:paraId="5B7871AB">
      <w:pPr>
        <w:adjustRightInd w:val="0"/>
        <w:snapToGrid w:val="0"/>
        <w:rPr>
          <w:rFonts w:ascii="宋体" w:hAnsi="宋体"/>
          <w:b/>
          <w:color w:val="auto"/>
          <w:szCs w:val="21"/>
          <w:highlight w:val="none"/>
        </w:rPr>
      </w:pPr>
      <w:r>
        <w:rPr>
          <w:rFonts w:hint="eastAsia" w:ascii="宋体" w:hAnsi="宋体"/>
          <w:b/>
          <w:color w:val="auto"/>
          <w:szCs w:val="21"/>
          <w:highlight w:val="none"/>
        </w:rPr>
        <w:t>附表1</w:t>
      </w:r>
      <w:r>
        <w:rPr>
          <w:rFonts w:ascii="宋体" w:hAnsi="宋体"/>
          <w:b/>
          <w:color w:val="auto"/>
          <w:szCs w:val="21"/>
          <w:highlight w:val="none"/>
        </w:rPr>
        <w:t>资格审查表</w:t>
      </w:r>
    </w:p>
    <w:p w14:paraId="60F6E784">
      <w:pPr>
        <w:adjustRightInd w:val="0"/>
        <w:snapToGrid w:val="0"/>
        <w:spacing w:beforeLines="50" w:line="360" w:lineRule="auto"/>
        <w:jc w:val="center"/>
        <w:outlineLvl w:val="1"/>
        <w:rPr>
          <w:rFonts w:ascii="宋体" w:hAnsi="宋体"/>
          <w:b/>
          <w:color w:val="auto"/>
          <w:sz w:val="28"/>
          <w:szCs w:val="28"/>
          <w:highlight w:val="none"/>
        </w:rPr>
      </w:pPr>
      <w:bookmarkStart w:id="495" w:name="_Toc166778341"/>
      <w:bookmarkStart w:id="496" w:name="_Toc111543563"/>
      <w:bookmarkStart w:id="497" w:name="_Toc103979585"/>
      <w:bookmarkStart w:id="498" w:name="_Toc21342"/>
      <w:bookmarkStart w:id="499" w:name="_Toc18063"/>
      <w:bookmarkStart w:id="500" w:name="_Toc99299732"/>
      <w:bookmarkStart w:id="501" w:name="_Toc113350942"/>
      <w:bookmarkStart w:id="502" w:name="_Toc25398"/>
      <w:bookmarkStart w:id="503" w:name="_Toc32320"/>
      <w:bookmarkStart w:id="504" w:name="_Toc17434"/>
      <w:bookmarkStart w:id="505" w:name="_Toc140957876"/>
      <w:bookmarkStart w:id="506" w:name="_Toc23125"/>
      <w:bookmarkStart w:id="507" w:name="_Toc109656584"/>
      <w:bookmarkStart w:id="508" w:name="_Toc189905367"/>
      <w:bookmarkStart w:id="509" w:name="_Toc79093678"/>
      <w:bookmarkStart w:id="510" w:name="_Toc30133"/>
      <w:bookmarkStart w:id="511" w:name="_Toc171282410"/>
      <w:bookmarkStart w:id="512" w:name="_Toc14237"/>
      <w:bookmarkStart w:id="513" w:name="_Toc14872"/>
      <w:bookmarkStart w:id="514" w:name="_Toc7502"/>
      <w:bookmarkStart w:id="515" w:name="_Toc27887"/>
      <w:bookmarkStart w:id="516" w:name="_Toc18022"/>
      <w:bookmarkStart w:id="517" w:name="_Toc193053711"/>
      <w:bookmarkStart w:id="518" w:name="_Toc118209433"/>
      <w:bookmarkStart w:id="519" w:name="_Toc6142"/>
      <w:bookmarkStart w:id="520" w:name="_Toc32562"/>
      <w:bookmarkStart w:id="521" w:name="_Toc137408723"/>
      <w:bookmarkStart w:id="522" w:name="_Toc108483402"/>
      <w:bookmarkStart w:id="523" w:name="_Toc28109"/>
      <w:r>
        <w:rPr>
          <w:rFonts w:ascii="宋体" w:hAnsi="宋体"/>
          <w:b/>
          <w:color w:val="auto"/>
          <w:sz w:val="28"/>
          <w:szCs w:val="28"/>
          <w:highlight w:val="none"/>
        </w:rPr>
        <w:t>资格审查表</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493"/>
        <w:gridCol w:w="5520"/>
        <w:gridCol w:w="1281"/>
      </w:tblGrid>
      <w:tr w14:paraId="0DC09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644" w:type="dxa"/>
            <w:tcBorders>
              <w:right w:val="single" w:color="auto" w:sz="4" w:space="0"/>
            </w:tcBorders>
            <w:vAlign w:val="center"/>
          </w:tcPr>
          <w:p w14:paraId="5B93B6DF">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1493" w:type="dxa"/>
            <w:tcBorders>
              <w:left w:val="single" w:color="auto" w:sz="4" w:space="0"/>
            </w:tcBorders>
            <w:vAlign w:val="center"/>
          </w:tcPr>
          <w:p w14:paraId="1FB9BD4A">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评审项目名称</w:t>
            </w:r>
          </w:p>
        </w:tc>
        <w:tc>
          <w:tcPr>
            <w:tcW w:w="5520" w:type="dxa"/>
            <w:vAlign w:val="center"/>
          </w:tcPr>
          <w:p w14:paraId="49FEF4DD">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评审标准</w:t>
            </w:r>
          </w:p>
        </w:tc>
        <w:tc>
          <w:tcPr>
            <w:tcW w:w="1281" w:type="dxa"/>
            <w:vAlign w:val="center"/>
          </w:tcPr>
          <w:p w14:paraId="6CB297FA">
            <w:pPr>
              <w:adjustRightInd w:val="0"/>
              <w:snapToGrid w:val="0"/>
              <w:spacing w:line="360" w:lineRule="exact"/>
              <w:jc w:val="center"/>
              <w:rPr>
                <w:rFonts w:ascii="宋体" w:hAnsi="宋体"/>
                <w:b/>
                <w:color w:val="auto"/>
                <w:kern w:val="0"/>
                <w:szCs w:val="21"/>
                <w:highlight w:val="none"/>
              </w:rPr>
            </w:pPr>
            <w:r>
              <w:rPr>
                <w:rFonts w:ascii="宋体" w:hAnsi="宋体"/>
                <w:b/>
                <w:color w:val="auto"/>
                <w:kern w:val="0"/>
                <w:szCs w:val="21"/>
                <w:highlight w:val="none"/>
              </w:rPr>
              <w:t>备注</w:t>
            </w:r>
          </w:p>
        </w:tc>
      </w:tr>
      <w:tr w14:paraId="177598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1" w:hRule="atLeast"/>
          <w:jc w:val="center"/>
        </w:trPr>
        <w:tc>
          <w:tcPr>
            <w:tcW w:w="644" w:type="dxa"/>
            <w:tcBorders>
              <w:right w:val="single" w:color="auto" w:sz="4" w:space="0"/>
            </w:tcBorders>
            <w:vAlign w:val="center"/>
          </w:tcPr>
          <w:p w14:paraId="47BFFB04">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493" w:type="dxa"/>
            <w:tcBorders>
              <w:left w:val="single" w:color="auto" w:sz="4" w:space="0"/>
            </w:tcBorders>
            <w:vAlign w:val="center"/>
          </w:tcPr>
          <w:p w14:paraId="4BB28512">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营业执照</w:t>
            </w:r>
          </w:p>
        </w:tc>
        <w:tc>
          <w:tcPr>
            <w:tcW w:w="5520" w:type="dxa"/>
            <w:vAlign w:val="center"/>
          </w:tcPr>
          <w:p w14:paraId="31A909F2">
            <w:pPr>
              <w:adjustRightInd w:val="0"/>
              <w:snapToGrid w:val="0"/>
              <w:rPr>
                <w:rFonts w:ascii="宋体" w:hAnsi="宋体"/>
                <w:color w:val="auto"/>
                <w:kern w:val="0"/>
                <w:szCs w:val="21"/>
                <w:highlight w:val="none"/>
              </w:rPr>
            </w:pPr>
            <w:r>
              <w:rPr>
                <w:rFonts w:hint="eastAsia" w:ascii="宋体" w:hAnsi="宋体"/>
                <w:color w:val="auto"/>
                <w:szCs w:val="21"/>
                <w:highlight w:val="none"/>
              </w:rPr>
              <w:t>法人提交企业法人营业执照副本(或者法人登记证书)扫描件</w:t>
            </w:r>
          </w:p>
        </w:tc>
        <w:tc>
          <w:tcPr>
            <w:tcW w:w="1281" w:type="dxa"/>
            <w:vAlign w:val="center"/>
          </w:tcPr>
          <w:p w14:paraId="2A7CE1EE">
            <w:pPr>
              <w:adjustRightInd w:val="0"/>
              <w:snapToGrid w:val="0"/>
              <w:jc w:val="center"/>
              <w:rPr>
                <w:rFonts w:ascii="宋体" w:hAnsi="宋体"/>
                <w:color w:val="auto"/>
                <w:kern w:val="0"/>
                <w:szCs w:val="21"/>
                <w:highlight w:val="none"/>
              </w:rPr>
            </w:pPr>
          </w:p>
        </w:tc>
      </w:tr>
      <w:tr w14:paraId="5704B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644" w:type="dxa"/>
            <w:tcBorders>
              <w:right w:val="single" w:color="auto" w:sz="4" w:space="0"/>
            </w:tcBorders>
            <w:vAlign w:val="center"/>
          </w:tcPr>
          <w:p w14:paraId="4227DBD3">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493" w:type="dxa"/>
            <w:tcBorders>
              <w:left w:val="single" w:color="auto" w:sz="4" w:space="0"/>
            </w:tcBorders>
            <w:vAlign w:val="center"/>
          </w:tcPr>
          <w:p w14:paraId="274E0D65">
            <w:pPr>
              <w:adjustRightInd w:val="0"/>
              <w:snapToGrid w:val="0"/>
              <w:jc w:val="center"/>
              <w:rPr>
                <w:rFonts w:ascii="宋体" w:hAnsi="宋体"/>
                <w:color w:val="auto"/>
                <w:kern w:val="0"/>
                <w:szCs w:val="21"/>
                <w:highlight w:val="none"/>
              </w:rPr>
            </w:pPr>
            <w:r>
              <w:rPr>
                <w:rFonts w:hint="eastAsia" w:ascii="宋体" w:hAnsi="宋体" w:cs="宋体"/>
                <w:color w:val="auto"/>
                <w:highlight w:val="none"/>
              </w:rPr>
              <w:t>基本资格条件</w:t>
            </w:r>
          </w:p>
        </w:tc>
        <w:tc>
          <w:tcPr>
            <w:tcW w:w="5520" w:type="dxa"/>
            <w:vAlign w:val="center"/>
          </w:tcPr>
          <w:p w14:paraId="3C6B201B">
            <w:pPr>
              <w:adjustRightInd w:val="0"/>
              <w:snapToGrid w:val="0"/>
              <w:rPr>
                <w:rFonts w:ascii="宋体" w:hAnsi="宋体"/>
                <w:color w:val="auto"/>
                <w:kern w:val="0"/>
                <w:szCs w:val="21"/>
                <w:highlight w:val="none"/>
              </w:rPr>
            </w:pPr>
            <w:r>
              <w:rPr>
                <w:rFonts w:hint="eastAsia" w:ascii="宋体" w:hAnsi="宋体"/>
                <w:color w:val="auto"/>
                <w:szCs w:val="21"/>
                <w:highlight w:val="none"/>
              </w:rPr>
              <w:t>是否提供湖南省政府采购供应商资格承诺函；</w:t>
            </w:r>
          </w:p>
        </w:tc>
        <w:tc>
          <w:tcPr>
            <w:tcW w:w="1281" w:type="dxa"/>
            <w:vAlign w:val="center"/>
          </w:tcPr>
          <w:p w14:paraId="40CCB34C">
            <w:pPr>
              <w:jc w:val="center"/>
              <w:rPr>
                <w:rFonts w:ascii="宋体" w:hAnsi="宋体"/>
                <w:color w:val="auto"/>
                <w:highlight w:val="none"/>
              </w:rPr>
            </w:pPr>
          </w:p>
        </w:tc>
      </w:tr>
      <w:tr w14:paraId="3ED6AF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64CD9C13">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493" w:type="dxa"/>
            <w:tcBorders>
              <w:left w:val="single" w:color="auto" w:sz="4" w:space="0"/>
            </w:tcBorders>
            <w:vAlign w:val="center"/>
          </w:tcPr>
          <w:p w14:paraId="6306D871">
            <w:pPr>
              <w:adjustRightInd w:val="0"/>
              <w:snapToGrid w:val="0"/>
              <w:jc w:val="center"/>
              <w:rPr>
                <w:rFonts w:ascii="宋体" w:hAnsi="宋体"/>
                <w:color w:val="auto"/>
                <w:kern w:val="0"/>
                <w:szCs w:val="21"/>
                <w:highlight w:val="none"/>
              </w:rPr>
            </w:pPr>
            <w:r>
              <w:rPr>
                <w:rFonts w:hint="eastAsia" w:ascii="宋体" w:hAnsi="宋体"/>
                <w:color w:val="auto"/>
                <w:kern w:val="1"/>
                <w:szCs w:val="21"/>
                <w:highlight w:val="none"/>
              </w:rPr>
              <w:t>特定资格</w:t>
            </w:r>
          </w:p>
        </w:tc>
        <w:tc>
          <w:tcPr>
            <w:tcW w:w="5520" w:type="dxa"/>
            <w:vAlign w:val="center"/>
          </w:tcPr>
          <w:p w14:paraId="5918B3AF">
            <w:pPr>
              <w:adjustRightInd w:val="0"/>
              <w:snapToGrid w:val="0"/>
              <w:spacing w:line="360" w:lineRule="exact"/>
              <w:rPr>
                <w:rFonts w:ascii="宋体" w:hAnsi="宋体"/>
                <w:color w:val="auto"/>
                <w:kern w:val="1"/>
                <w:szCs w:val="21"/>
                <w:highlight w:val="none"/>
              </w:rPr>
            </w:pPr>
            <w:r>
              <w:rPr>
                <w:rFonts w:hint="eastAsia" w:ascii="宋体" w:hAnsi="宋体"/>
                <w:color w:val="auto"/>
                <w:kern w:val="1"/>
                <w:szCs w:val="21"/>
                <w:highlight w:val="none"/>
              </w:rPr>
              <w:t>是否满足招标文件的要求</w:t>
            </w:r>
          </w:p>
        </w:tc>
        <w:tc>
          <w:tcPr>
            <w:tcW w:w="1281" w:type="dxa"/>
            <w:vAlign w:val="center"/>
          </w:tcPr>
          <w:p w14:paraId="4ED4AD51">
            <w:pPr>
              <w:jc w:val="center"/>
              <w:rPr>
                <w:rFonts w:ascii="宋体" w:hAnsi="宋体"/>
                <w:color w:val="auto"/>
                <w:kern w:val="0"/>
                <w:szCs w:val="21"/>
                <w:highlight w:val="none"/>
              </w:rPr>
            </w:pPr>
          </w:p>
        </w:tc>
      </w:tr>
      <w:tr w14:paraId="0D67E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4C2FFBA5">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493" w:type="dxa"/>
            <w:tcBorders>
              <w:left w:val="single" w:color="auto" w:sz="4" w:space="0"/>
            </w:tcBorders>
            <w:vAlign w:val="center"/>
          </w:tcPr>
          <w:p w14:paraId="1C59A0BF">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联合体</w:t>
            </w:r>
          </w:p>
        </w:tc>
        <w:tc>
          <w:tcPr>
            <w:tcW w:w="5520" w:type="dxa"/>
            <w:vAlign w:val="center"/>
          </w:tcPr>
          <w:p w14:paraId="1356232F">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是否联合体投标</w:t>
            </w:r>
          </w:p>
        </w:tc>
        <w:tc>
          <w:tcPr>
            <w:tcW w:w="1281" w:type="dxa"/>
            <w:vAlign w:val="center"/>
          </w:tcPr>
          <w:p w14:paraId="252E54A3">
            <w:pPr>
              <w:jc w:val="center"/>
              <w:rPr>
                <w:rFonts w:ascii="宋体" w:hAnsi="宋体"/>
                <w:color w:val="auto"/>
                <w:highlight w:val="none"/>
              </w:rPr>
            </w:pPr>
          </w:p>
        </w:tc>
      </w:tr>
      <w:tr w14:paraId="62F7C4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413BE3B1">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493" w:type="dxa"/>
            <w:tcBorders>
              <w:left w:val="single" w:color="auto" w:sz="4" w:space="0"/>
            </w:tcBorders>
            <w:vAlign w:val="center"/>
          </w:tcPr>
          <w:p w14:paraId="31E85A95">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文件的编制、签署、盖章</w:t>
            </w:r>
          </w:p>
        </w:tc>
        <w:tc>
          <w:tcPr>
            <w:tcW w:w="5520" w:type="dxa"/>
            <w:vAlign w:val="center"/>
          </w:tcPr>
          <w:p w14:paraId="5FD9428B">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资格证明文件的编制、签署、盖章</w:t>
            </w:r>
            <w:r>
              <w:rPr>
                <w:rFonts w:hint="eastAsia" w:ascii="宋体" w:hAnsi="宋体"/>
                <w:color w:val="auto"/>
                <w:kern w:val="1"/>
                <w:szCs w:val="21"/>
                <w:highlight w:val="none"/>
              </w:rPr>
              <w:t>是否满足招标文件的要求</w:t>
            </w:r>
          </w:p>
        </w:tc>
        <w:tc>
          <w:tcPr>
            <w:tcW w:w="1281" w:type="dxa"/>
            <w:vAlign w:val="center"/>
          </w:tcPr>
          <w:p w14:paraId="68767B0C">
            <w:pPr>
              <w:adjustRightInd w:val="0"/>
              <w:snapToGrid w:val="0"/>
              <w:jc w:val="center"/>
              <w:rPr>
                <w:rFonts w:ascii="宋体" w:hAnsi="宋体"/>
                <w:color w:val="auto"/>
                <w:kern w:val="0"/>
                <w:sz w:val="20"/>
                <w:szCs w:val="21"/>
                <w:highlight w:val="none"/>
              </w:rPr>
            </w:pPr>
          </w:p>
        </w:tc>
      </w:tr>
      <w:tr w14:paraId="1B7451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6EFE7006">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493" w:type="dxa"/>
            <w:tcBorders>
              <w:left w:val="single" w:color="auto" w:sz="4" w:space="0"/>
            </w:tcBorders>
            <w:vAlign w:val="center"/>
          </w:tcPr>
          <w:p w14:paraId="43023AF4">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投标报价</w:t>
            </w:r>
          </w:p>
        </w:tc>
        <w:tc>
          <w:tcPr>
            <w:tcW w:w="5520" w:type="dxa"/>
            <w:vAlign w:val="center"/>
          </w:tcPr>
          <w:p w14:paraId="056FD46D">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投标报价</w:t>
            </w:r>
            <w:r>
              <w:rPr>
                <w:rFonts w:hint="eastAsia" w:ascii="宋体" w:hAnsi="宋体"/>
                <w:color w:val="auto"/>
                <w:kern w:val="1"/>
                <w:szCs w:val="21"/>
                <w:highlight w:val="none"/>
              </w:rPr>
              <w:t>是否满足招标文件的要求</w:t>
            </w:r>
          </w:p>
        </w:tc>
        <w:tc>
          <w:tcPr>
            <w:tcW w:w="1281" w:type="dxa"/>
            <w:vAlign w:val="center"/>
          </w:tcPr>
          <w:p w14:paraId="664A2ED5">
            <w:pPr>
              <w:adjustRightInd w:val="0"/>
              <w:snapToGrid w:val="0"/>
              <w:jc w:val="center"/>
              <w:rPr>
                <w:rFonts w:ascii="宋体" w:hAnsi="宋体"/>
                <w:color w:val="auto"/>
                <w:kern w:val="0"/>
                <w:sz w:val="20"/>
                <w:szCs w:val="21"/>
                <w:highlight w:val="none"/>
              </w:rPr>
            </w:pPr>
          </w:p>
        </w:tc>
      </w:tr>
      <w:tr w14:paraId="0288E2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4B595940">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1493" w:type="dxa"/>
            <w:tcBorders>
              <w:left w:val="single" w:color="auto" w:sz="4" w:space="0"/>
            </w:tcBorders>
            <w:vAlign w:val="center"/>
          </w:tcPr>
          <w:p w14:paraId="5A8B321E">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信用记录</w:t>
            </w:r>
          </w:p>
        </w:tc>
        <w:tc>
          <w:tcPr>
            <w:tcW w:w="5520" w:type="dxa"/>
            <w:vAlign w:val="center"/>
          </w:tcPr>
          <w:p w14:paraId="3238B81D">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是否存在不良信用记录</w:t>
            </w:r>
          </w:p>
        </w:tc>
        <w:tc>
          <w:tcPr>
            <w:tcW w:w="1281" w:type="dxa"/>
            <w:vAlign w:val="center"/>
          </w:tcPr>
          <w:p w14:paraId="4F692E6E">
            <w:pPr>
              <w:adjustRightInd w:val="0"/>
              <w:snapToGrid w:val="0"/>
              <w:jc w:val="center"/>
              <w:rPr>
                <w:rFonts w:ascii="宋体" w:hAnsi="宋体"/>
                <w:color w:val="auto"/>
                <w:kern w:val="0"/>
                <w:szCs w:val="21"/>
                <w:highlight w:val="none"/>
              </w:rPr>
            </w:pPr>
          </w:p>
        </w:tc>
      </w:tr>
      <w:tr w14:paraId="27CA65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7C3033C7">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8</w:t>
            </w:r>
          </w:p>
        </w:tc>
        <w:tc>
          <w:tcPr>
            <w:tcW w:w="1493" w:type="dxa"/>
            <w:tcBorders>
              <w:left w:val="single" w:color="auto" w:sz="4" w:space="0"/>
            </w:tcBorders>
            <w:vAlign w:val="center"/>
          </w:tcPr>
          <w:p w14:paraId="48F42155">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其他</w:t>
            </w:r>
          </w:p>
        </w:tc>
        <w:tc>
          <w:tcPr>
            <w:tcW w:w="5520" w:type="dxa"/>
            <w:vAlign w:val="center"/>
          </w:tcPr>
          <w:p w14:paraId="5ED1673B">
            <w:pPr>
              <w:adjustRightInd w:val="0"/>
              <w:snapToGrid w:val="0"/>
              <w:spacing w:beforeLines="50" w:line="360" w:lineRule="auto"/>
              <w:rPr>
                <w:rFonts w:ascii="宋体" w:hAnsi="宋体"/>
                <w:color w:val="auto"/>
                <w:kern w:val="0"/>
                <w:szCs w:val="21"/>
                <w:highlight w:val="none"/>
              </w:rPr>
            </w:pPr>
            <w:r>
              <w:rPr>
                <w:rFonts w:hint="eastAsia" w:ascii="宋体" w:hAnsi="宋体"/>
                <w:color w:val="auto"/>
                <w:szCs w:val="21"/>
                <w:highlight w:val="none"/>
              </w:rPr>
              <w:t>法律、法规和招标文件规定的其他投标无效情形的。</w:t>
            </w:r>
          </w:p>
        </w:tc>
        <w:tc>
          <w:tcPr>
            <w:tcW w:w="1281" w:type="dxa"/>
            <w:vAlign w:val="center"/>
          </w:tcPr>
          <w:p w14:paraId="4A24A773">
            <w:pPr>
              <w:adjustRightInd w:val="0"/>
              <w:snapToGrid w:val="0"/>
              <w:jc w:val="center"/>
              <w:rPr>
                <w:rFonts w:ascii="宋体" w:hAnsi="宋体"/>
                <w:color w:val="auto"/>
                <w:kern w:val="0"/>
                <w:szCs w:val="21"/>
                <w:highlight w:val="none"/>
              </w:rPr>
            </w:pPr>
          </w:p>
        </w:tc>
      </w:tr>
    </w:tbl>
    <w:p w14:paraId="79C8B285">
      <w:pPr>
        <w:widowControl/>
        <w:jc w:val="left"/>
        <w:rPr>
          <w:rFonts w:ascii="宋体" w:hAnsi="宋体"/>
          <w:bCs/>
          <w:color w:val="auto"/>
          <w:szCs w:val="21"/>
          <w:highlight w:val="none"/>
        </w:rPr>
      </w:pPr>
      <w:r>
        <w:rPr>
          <w:rFonts w:ascii="宋体" w:hAnsi="宋体"/>
          <w:b/>
          <w:color w:val="auto"/>
          <w:szCs w:val="21"/>
          <w:highlight w:val="none"/>
        </w:rPr>
        <w:br w:type="page"/>
      </w:r>
    </w:p>
    <w:p w14:paraId="7ADFB32B">
      <w:pPr>
        <w:pStyle w:val="5"/>
        <w:adjustRightInd w:val="0"/>
        <w:snapToGrid w:val="0"/>
        <w:spacing w:before="0" w:after="0" w:line="360" w:lineRule="auto"/>
        <w:rPr>
          <w:rFonts w:ascii="宋体" w:hAnsi="宋体" w:eastAsia="宋体"/>
          <w:b w:val="0"/>
          <w:color w:val="auto"/>
          <w:sz w:val="21"/>
          <w:szCs w:val="21"/>
          <w:highlight w:val="none"/>
        </w:rPr>
      </w:pPr>
      <w:bookmarkStart w:id="524" w:name="_Toc6640"/>
      <w:r>
        <w:rPr>
          <w:rFonts w:hint="eastAsia" w:ascii="宋体" w:hAnsi="宋体" w:eastAsia="宋体"/>
          <w:b w:val="0"/>
          <w:color w:val="auto"/>
          <w:sz w:val="21"/>
          <w:szCs w:val="21"/>
          <w:highlight w:val="none"/>
        </w:rPr>
        <w:t>附表2 资格审查结果一览表</w:t>
      </w:r>
      <w:bookmarkEnd w:id="524"/>
    </w:p>
    <w:p w14:paraId="05CB5EAC">
      <w:pPr>
        <w:adjustRightInd w:val="0"/>
        <w:snapToGrid w:val="0"/>
        <w:spacing w:line="360" w:lineRule="auto"/>
        <w:jc w:val="center"/>
        <w:outlineLvl w:val="1"/>
        <w:rPr>
          <w:rFonts w:ascii="宋体" w:hAnsi="宋体"/>
          <w:b/>
          <w:color w:val="auto"/>
          <w:sz w:val="28"/>
          <w:szCs w:val="28"/>
          <w:highlight w:val="none"/>
        </w:rPr>
      </w:pPr>
      <w:bookmarkStart w:id="525" w:name="_Toc19284"/>
      <w:bookmarkStart w:id="526" w:name="_Toc137408724"/>
      <w:bookmarkStart w:id="527" w:name="_Toc26769"/>
      <w:bookmarkStart w:id="528" w:name="_Toc32394"/>
      <w:bookmarkStart w:id="529" w:name="_Toc2877"/>
      <w:bookmarkStart w:id="530" w:name="_Toc166778342"/>
      <w:bookmarkStart w:id="531" w:name="_Toc189905368"/>
      <w:bookmarkStart w:id="532" w:name="_Toc193053712"/>
      <w:bookmarkStart w:id="533" w:name="_Toc32203"/>
      <w:bookmarkStart w:id="534" w:name="_Toc109656585"/>
      <w:bookmarkStart w:id="535" w:name="_Toc10339"/>
      <w:bookmarkStart w:id="536" w:name="_Toc836"/>
      <w:bookmarkStart w:id="537" w:name="_Toc99299733"/>
      <w:bookmarkStart w:id="538" w:name="_Toc16640"/>
      <w:bookmarkStart w:id="539" w:name="_Toc103979586"/>
      <w:bookmarkStart w:id="540" w:name="_Toc108483403"/>
      <w:bookmarkStart w:id="541" w:name="_Toc140957877"/>
      <w:bookmarkStart w:id="542" w:name="_Toc113350943"/>
      <w:bookmarkStart w:id="543" w:name="_Toc31900"/>
      <w:bookmarkStart w:id="544" w:name="_Toc7530"/>
      <w:bookmarkStart w:id="545" w:name="_Toc79093679"/>
      <w:bookmarkStart w:id="546" w:name="_Toc15453"/>
      <w:bookmarkStart w:id="547" w:name="_Toc171282411"/>
      <w:bookmarkStart w:id="548" w:name="_Toc111543564"/>
      <w:bookmarkStart w:id="549" w:name="_Toc32215"/>
      <w:bookmarkStart w:id="550" w:name="_Toc4336"/>
      <w:bookmarkStart w:id="551" w:name="_Toc118209434"/>
      <w:bookmarkStart w:id="552" w:name="_Toc20338"/>
      <w:bookmarkStart w:id="553" w:name="_Toc8747"/>
      <w:r>
        <w:rPr>
          <w:rFonts w:hint="eastAsia" w:ascii="宋体" w:hAnsi="宋体"/>
          <w:b/>
          <w:color w:val="auto"/>
          <w:sz w:val="28"/>
          <w:szCs w:val="28"/>
          <w:highlight w:val="none"/>
        </w:rPr>
        <w:t>资格审查结果一览表</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01E588B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642"/>
      </w:tblGrid>
      <w:tr w14:paraId="6B2576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vAlign w:val="center"/>
          </w:tcPr>
          <w:p w14:paraId="06493059">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vAlign w:val="center"/>
          </w:tcPr>
          <w:p w14:paraId="35F4ED57">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vAlign w:val="center"/>
          </w:tcPr>
          <w:p w14:paraId="2B3FA15A">
            <w:pPr>
              <w:jc w:val="center"/>
              <w:rPr>
                <w:rFonts w:ascii="宋体" w:hAnsi="宋体"/>
                <w:b/>
                <w:color w:val="auto"/>
                <w:kern w:val="0"/>
                <w:szCs w:val="21"/>
                <w:highlight w:val="none"/>
              </w:rPr>
            </w:pPr>
            <w:r>
              <w:rPr>
                <w:rFonts w:hint="eastAsia" w:ascii="宋体" w:hAnsi="宋体"/>
                <w:b/>
                <w:color w:val="auto"/>
                <w:kern w:val="0"/>
                <w:szCs w:val="21"/>
                <w:highlight w:val="none"/>
              </w:rPr>
              <w:t>资格审查结果</w:t>
            </w:r>
          </w:p>
          <w:p w14:paraId="423A54FA">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642" w:type="dxa"/>
            <w:vAlign w:val="center"/>
          </w:tcPr>
          <w:p w14:paraId="4E7ACA43">
            <w:pPr>
              <w:jc w:val="center"/>
              <w:rPr>
                <w:rFonts w:ascii="宋体" w:hAnsi="宋体"/>
                <w:b/>
                <w:color w:val="auto"/>
                <w:kern w:val="0"/>
                <w:szCs w:val="21"/>
                <w:highlight w:val="none"/>
              </w:rPr>
            </w:pPr>
            <w:r>
              <w:rPr>
                <w:rFonts w:hint="eastAsia" w:ascii="宋体" w:hAnsi="宋体"/>
                <w:b/>
                <w:color w:val="auto"/>
                <w:kern w:val="0"/>
                <w:szCs w:val="21"/>
                <w:highlight w:val="none"/>
              </w:rPr>
              <w:t>资格审查不合格原因</w:t>
            </w:r>
          </w:p>
        </w:tc>
      </w:tr>
      <w:tr w14:paraId="56865B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3F43022E">
            <w:pPr>
              <w:adjustRightInd w:val="0"/>
              <w:snapToGrid w:val="0"/>
              <w:spacing w:line="360" w:lineRule="auto"/>
              <w:rPr>
                <w:rFonts w:ascii="宋体" w:hAnsi="宋体"/>
                <w:color w:val="auto"/>
                <w:kern w:val="0"/>
                <w:sz w:val="24"/>
                <w:highlight w:val="none"/>
              </w:rPr>
            </w:pPr>
          </w:p>
        </w:tc>
        <w:tc>
          <w:tcPr>
            <w:tcW w:w="2963" w:type="dxa"/>
          </w:tcPr>
          <w:p w14:paraId="4069263F">
            <w:pPr>
              <w:adjustRightInd w:val="0"/>
              <w:snapToGrid w:val="0"/>
              <w:spacing w:line="360" w:lineRule="auto"/>
              <w:rPr>
                <w:rFonts w:ascii="宋体" w:hAnsi="宋体"/>
                <w:color w:val="auto"/>
                <w:kern w:val="0"/>
                <w:sz w:val="24"/>
                <w:highlight w:val="none"/>
              </w:rPr>
            </w:pPr>
          </w:p>
        </w:tc>
        <w:tc>
          <w:tcPr>
            <w:tcW w:w="2439" w:type="dxa"/>
          </w:tcPr>
          <w:p w14:paraId="06B6DEF7">
            <w:pPr>
              <w:adjustRightInd w:val="0"/>
              <w:snapToGrid w:val="0"/>
              <w:spacing w:line="360" w:lineRule="auto"/>
              <w:rPr>
                <w:rFonts w:ascii="宋体" w:hAnsi="宋体"/>
                <w:color w:val="auto"/>
                <w:kern w:val="0"/>
                <w:sz w:val="24"/>
                <w:highlight w:val="none"/>
              </w:rPr>
            </w:pPr>
          </w:p>
        </w:tc>
        <w:tc>
          <w:tcPr>
            <w:tcW w:w="2642" w:type="dxa"/>
          </w:tcPr>
          <w:p w14:paraId="24B40011">
            <w:pPr>
              <w:adjustRightInd w:val="0"/>
              <w:snapToGrid w:val="0"/>
              <w:spacing w:line="360" w:lineRule="auto"/>
              <w:rPr>
                <w:rFonts w:ascii="宋体" w:hAnsi="宋体"/>
                <w:color w:val="auto"/>
                <w:kern w:val="0"/>
                <w:sz w:val="24"/>
                <w:highlight w:val="none"/>
              </w:rPr>
            </w:pPr>
          </w:p>
        </w:tc>
      </w:tr>
      <w:tr w14:paraId="3413CA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4C597CC5">
            <w:pPr>
              <w:adjustRightInd w:val="0"/>
              <w:snapToGrid w:val="0"/>
              <w:spacing w:line="360" w:lineRule="auto"/>
              <w:rPr>
                <w:rFonts w:ascii="宋体" w:hAnsi="宋体"/>
                <w:color w:val="auto"/>
                <w:kern w:val="0"/>
                <w:sz w:val="24"/>
                <w:highlight w:val="none"/>
              </w:rPr>
            </w:pPr>
          </w:p>
        </w:tc>
        <w:tc>
          <w:tcPr>
            <w:tcW w:w="2963" w:type="dxa"/>
          </w:tcPr>
          <w:p w14:paraId="63FF8676">
            <w:pPr>
              <w:adjustRightInd w:val="0"/>
              <w:snapToGrid w:val="0"/>
              <w:spacing w:line="360" w:lineRule="auto"/>
              <w:rPr>
                <w:rFonts w:ascii="宋体" w:hAnsi="宋体"/>
                <w:color w:val="auto"/>
                <w:kern w:val="0"/>
                <w:sz w:val="24"/>
                <w:highlight w:val="none"/>
              </w:rPr>
            </w:pPr>
          </w:p>
        </w:tc>
        <w:tc>
          <w:tcPr>
            <w:tcW w:w="2439" w:type="dxa"/>
          </w:tcPr>
          <w:p w14:paraId="73BA88C6">
            <w:pPr>
              <w:adjustRightInd w:val="0"/>
              <w:snapToGrid w:val="0"/>
              <w:spacing w:line="360" w:lineRule="auto"/>
              <w:rPr>
                <w:rFonts w:ascii="宋体" w:hAnsi="宋体"/>
                <w:color w:val="auto"/>
                <w:kern w:val="0"/>
                <w:sz w:val="24"/>
                <w:highlight w:val="none"/>
              </w:rPr>
            </w:pPr>
          </w:p>
        </w:tc>
        <w:tc>
          <w:tcPr>
            <w:tcW w:w="2642" w:type="dxa"/>
          </w:tcPr>
          <w:p w14:paraId="0919FE17">
            <w:pPr>
              <w:adjustRightInd w:val="0"/>
              <w:snapToGrid w:val="0"/>
              <w:spacing w:line="360" w:lineRule="auto"/>
              <w:rPr>
                <w:rFonts w:ascii="宋体" w:hAnsi="宋体"/>
                <w:color w:val="auto"/>
                <w:kern w:val="0"/>
                <w:sz w:val="24"/>
                <w:highlight w:val="none"/>
              </w:rPr>
            </w:pPr>
          </w:p>
        </w:tc>
      </w:tr>
      <w:tr w14:paraId="49669D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4BBF44C">
            <w:pPr>
              <w:adjustRightInd w:val="0"/>
              <w:snapToGrid w:val="0"/>
              <w:spacing w:line="360" w:lineRule="auto"/>
              <w:rPr>
                <w:rFonts w:ascii="宋体" w:hAnsi="宋体"/>
                <w:color w:val="auto"/>
                <w:kern w:val="0"/>
                <w:sz w:val="24"/>
                <w:highlight w:val="none"/>
              </w:rPr>
            </w:pPr>
          </w:p>
        </w:tc>
        <w:tc>
          <w:tcPr>
            <w:tcW w:w="2963" w:type="dxa"/>
          </w:tcPr>
          <w:p w14:paraId="6DCAECB0">
            <w:pPr>
              <w:adjustRightInd w:val="0"/>
              <w:snapToGrid w:val="0"/>
              <w:spacing w:line="360" w:lineRule="auto"/>
              <w:rPr>
                <w:rFonts w:ascii="宋体" w:hAnsi="宋体"/>
                <w:color w:val="auto"/>
                <w:kern w:val="0"/>
                <w:sz w:val="24"/>
                <w:highlight w:val="none"/>
              </w:rPr>
            </w:pPr>
          </w:p>
        </w:tc>
        <w:tc>
          <w:tcPr>
            <w:tcW w:w="2439" w:type="dxa"/>
          </w:tcPr>
          <w:p w14:paraId="2FCD8C9F">
            <w:pPr>
              <w:adjustRightInd w:val="0"/>
              <w:snapToGrid w:val="0"/>
              <w:spacing w:line="360" w:lineRule="auto"/>
              <w:rPr>
                <w:rFonts w:ascii="宋体" w:hAnsi="宋体"/>
                <w:color w:val="auto"/>
                <w:kern w:val="0"/>
                <w:sz w:val="24"/>
                <w:highlight w:val="none"/>
              </w:rPr>
            </w:pPr>
          </w:p>
        </w:tc>
        <w:tc>
          <w:tcPr>
            <w:tcW w:w="2642" w:type="dxa"/>
          </w:tcPr>
          <w:p w14:paraId="46F7E51F">
            <w:pPr>
              <w:adjustRightInd w:val="0"/>
              <w:snapToGrid w:val="0"/>
              <w:spacing w:line="360" w:lineRule="auto"/>
              <w:rPr>
                <w:rFonts w:ascii="宋体" w:hAnsi="宋体"/>
                <w:color w:val="auto"/>
                <w:kern w:val="0"/>
                <w:sz w:val="24"/>
                <w:highlight w:val="none"/>
              </w:rPr>
            </w:pPr>
          </w:p>
        </w:tc>
      </w:tr>
      <w:tr w14:paraId="2BBB8F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6EB7EF3C">
            <w:pPr>
              <w:adjustRightInd w:val="0"/>
              <w:snapToGrid w:val="0"/>
              <w:spacing w:line="360" w:lineRule="auto"/>
              <w:rPr>
                <w:rFonts w:ascii="宋体" w:hAnsi="宋体"/>
                <w:color w:val="auto"/>
                <w:kern w:val="0"/>
                <w:sz w:val="24"/>
                <w:highlight w:val="none"/>
              </w:rPr>
            </w:pPr>
          </w:p>
        </w:tc>
        <w:tc>
          <w:tcPr>
            <w:tcW w:w="2963" w:type="dxa"/>
          </w:tcPr>
          <w:p w14:paraId="0E73091D">
            <w:pPr>
              <w:adjustRightInd w:val="0"/>
              <w:snapToGrid w:val="0"/>
              <w:spacing w:line="360" w:lineRule="auto"/>
              <w:rPr>
                <w:rFonts w:ascii="宋体" w:hAnsi="宋体"/>
                <w:color w:val="auto"/>
                <w:kern w:val="0"/>
                <w:sz w:val="24"/>
                <w:highlight w:val="none"/>
              </w:rPr>
            </w:pPr>
          </w:p>
        </w:tc>
        <w:tc>
          <w:tcPr>
            <w:tcW w:w="2439" w:type="dxa"/>
          </w:tcPr>
          <w:p w14:paraId="6F0D2CF8">
            <w:pPr>
              <w:adjustRightInd w:val="0"/>
              <w:snapToGrid w:val="0"/>
              <w:spacing w:line="360" w:lineRule="auto"/>
              <w:rPr>
                <w:rFonts w:ascii="宋体" w:hAnsi="宋体"/>
                <w:color w:val="auto"/>
                <w:kern w:val="0"/>
                <w:sz w:val="24"/>
                <w:highlight w:val="none"/>
              </w:rPr>
            </w:pPr>
          </w:p>
        </w:tc>
        <w:tc>
          <w:tcPr>
            <w:tcW w:w="2642" w:type="dxa"/>
          </w:tcPr>
          <w:p w14:paraId="25A0517B">
            <w:pPr>
              <w:adjustRightInd w:val="0"/>
              <w:snapToGrid w:val="0"/>
              <w:spacing w:line="360" w:lineRule="auto"/>
              <w:rPr>
                <w:rFonts w:ascii="宋体" w:hAnsi="宋体"/>
                <w:color w:val="auto"/>
                <w:kern w:val="0"/>
                <w:sz w:val="24"/>
                <w:highlight w:val="none"/>
              </w:rPr>
            </w:pPr>
          </w:p>
        </w:tc>
      </w:tr>
      <w:tr w14:paraId="523679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51E25EC">
            <w:pPr>
              <w:adjustRightInd w:val="0"/>
              <w:snapToGrid w:val="0"/>
              <w:spacing w:line="360" w:lineRule="auto"/>
              <w:rPr>
                <w:rFonts w:ascii="宋体" w:hAnsi="宋体"/>
                <w:color w:val="auto"/>
                <w:kern w:val="0"/>
                <w:sz w:val="24"/>
                <w:highlight w:val="none"/>
              </w:rPr>
            </w:pPr>
          </w:p>
        </w:tc>
        <w:tc>
          <w:tcPr>
            <w:tcW w:w="2963" w:type="dxa"/>
          </w:tcPr>
          <w:p w14:paraId="0C74E699">
            <w:pPr>
              <w:adjustRightInd w:val="0"/>
              <w:snapToGrid w:val="0"/>
              <w:spacing w:line="360" w:lineRule="auto"/>
              <w:rPr>
                <w:rFonts w:ascii="宋体" w:hAnsi="宋体"/>
                <w:color w:val="auto"/>
                <w:kern w:val="0"/>
                <w:sz w:val="24"/>
                <w:highlight w:val="none"/>
              </w:rPr>
            </w:pPr>
          </w:p>
        </w:tc>
        <w:tc>
          <w:tcPr>
            <w:tcW w:w="2439" w:type="dxa"/>
          </w:tcPr>
          <w:p w14:paraId="0C5905A9">
            <w:pPr>
              <w:adjustRightInd w:val="0"/>
              <w:snapToGrid w:val="0"/>
              <w:spacing w:line="360" w:lineRule="auto"/>
              <w:rPr>
                <w:rFonts w:ascii="宋体" w:hAnsi="宋体"/>
                <w:color w:val="auto"/>
                <w:kern w:val="0"/>
                <w:sz w:val="24"/>
                <w:highlight w:val="none"/>
              </w:rPr>
            </w:pPr>
          </w:p>
        </w:tc>
        <w:tc>
          <w:tcPr>
            <w:tcW w:w="2642" w:type="dxa"/>
          </w:tcPr>
          <w:p w14:paraId="215F0B0B">
            <w:pPr>
              <w:adjustRightInd w:val="0"/>
              <w:snapToGrid w:val="0"/>
              <w:spacing w:line="360" w:lineRule="auto"/>
              <w:rPr>
                <w:rFonts w:ascii="宋体" w:hAnsi="宋体"/>
                <w:color w:val="auto"/>
                <w:kern w:val="0"/>
                <w:sz w:val="24"/>
                <w:highlight w:val="none"/>
              </w:rPr>
            </w:pPr>
          </w:p>
        </w:tc>
      </w:tr>
      <w:tr w14:paraId="406ACE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E8445B2">
            <w:pPr>
              <w:adjustRightInd w:val="0"/>
              <w:snapToGrid w:val="0"/>
              <w:spacing w:line="360" w:lineRule="auto"/>
              <w:rPr>
                <w:rFonts w:ascii="宋体" w:hAnsi="宋体"/>
                <w:color w:val="auto"/>
                <w:kern w:val="0"/>
                <w:sz w:val="24"/>
                <w:highlight w:val="none"/>
              </w:rPr>
            </w:pPr>
          </w:p>
        </w:tc>
        <w:tc>
          <w:tcPr>
            <w:tcW w:w="2963" w:type="dxa"/>
          </w:tcPr>
          <w:p w14:paraId="7E6B4379">
            <w:pPr>
              <w:adjustRightInd w:val="0"/>
              <w:snapToGrid w:val="0"/>
              <w:spacing w:line="360" w:lineRule="auto"/>
              <w:rPr>
                <w:rFonts w:ascii="宋体" w:hAnsi="宋体"/>
                <w:color w:val="auto"/>
                <w:kern w:val="0"/>
                <w:sz w:val="24"/>
                <w:highlight w:val="none"/>
              </w:rPr>
            </w:pPr>
          </w:p>
        </w:tc>
        <w:tc>
          <w:tcPr>
            <w:tcW w:w="2439" w:type="dxa"/>
          </w:tcPr>
          <w:p w14:paraId="024CC697">
            <w:pPr>
              <w:adjustRightInd w:val="0"/>
              <w:snapToGrid w:val="0"/>
              <w:spacing w:line="360" w:lineRule="auto"/>
              <w:rPr>
                <w:rFonts w:ascii="宋体" w:hAnsi="宋体"/>
                <w:color w:val="auto"/>
                <w:kern w:val="0"/>
                <w:sz w:val="24"/>
                <w:highlight w:val="none"/>
              </w:rPr>
            </w:pPr>
          </w:p>
        </w:tc>
        <w:tc>
          <w:tcPr>
            <w:tcW w:w="2642" w:type="dxa"/>
          </w:tcPr>
          <w:p w14:paraId="5EDF0603">
            <w:pPr>
              <w:adjustRightInd w:val="0"/>
              <w:snapToGrid w:val="0"/>
              <w:spacing w:line="360" w:lineRule="auto"/>
              <w:rPr>
                <w:rFonts w:ascii="宋体" w:hAnsi="宋体"/>
                <w:color w:val="auto"/>
                <w:kern w:val="0"/>
                <w:sz w:val="24"/>
                <w:highlight w:val="none"/>
              </w:rPr>
            </w:pPr>
          </w:p>
        </w:tc>
      </w:tr>
      <w:tr w14:paraId="5B9AA8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30993596">
            <w:pPr>
              <w:adjustRightInd w:val="0"/>
              <w:snapToGrid w:val="0"/>
              <w:spacing w:line="360" w:lineRule="auto"/>
              <w:rPr>
                <w:rFonts w:ascii="宋体" w:hAnsi="宋体"/>
                <w:color w:val="auto"/>
                <w:kern w:val="0"/>
                <w:sz w:val="24"/>
                <w:highlight w:val="none"/>
              </w:rPr>
            </w:pPr>
          </w:p>
        </w:tc>
        <w:tc>
          <w:tcPr>
            <w:tcW w:w="2963" w:type="dxa"/>
          </w:tcPr>
          <w:p w14:paraId="19A1222F">
            <w:pPr>
              <w:adjustRightInd w:val="0"/>
              <w:snapToGrid w:val="0"/>
              <w:spacing w:line="360" w:lineRule="auto"/>
              <w:rPr>
                <w:rFonts w:ascii="宋体" w:hAnsi="宋体"/>
                <w:color w:val="auto"/>
                <w:kern w:val="0"/>
                <w:sz w:val="24"/>
                <w:highlight w:val="none"/>
              </w:rPr>
            </w:pPr>
          </w:p>
        </w:tc>
        <w:tc>
          <w:tcPr>
            <w:tcW w:w="2439" w:type="dxa"/>
          </w:tcPr>
          <w:p w14:paraId="6B47AF6D">
            <w:pPr>
              <w:adjustRightInd w:val="0"/>
              <w:snapToGrid w:val="0"/>
              <w:spacing w:line="360" w:lineRule="auto"/>
              <w:rPr>
                <w:rFonts w:ascii="宋体" w:hAnsi="宋体"/>
                <w:color w:val="auto"/>
                <w:kern w:val="0"/>
                <w:sz w:val="24"/>
                <w:highlight w:val="none"/>
              </w:rPr>
            </w:pPr>
          </w:p>
        </w:tc>
        <w:tc>
          <w:tcPr>
            <w:tcW w:w="2642" w:type="dxa"/>
          </w:tcPr>
          <w:p w14:paraId="71B00B5E">
            <w:pPr>
              <w:adjustRightInd w:val="0"/>
              <w:snapToGrid w:val="0"/>
              <w:spacing w:line="360" w:lineRule="auto"/>
              <w:rPr>
                <w:rFonts w:ascii="宋体" w:hAnsi="宋体"/>
                <w:color w:val="auto"/>
                <w:kern w:val="0"/>
                <w:sz w:val="24"/>
                <w:highlight w:val="none"/>
              </w:rPr>
            </w:pPr>
          </w:p>
        </w:tc>
      </w:tr>
      <w:tr w14:paraId="02EAD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9BC11E9">
            <w:pPr>
              <w:adjustRightInd w:val="0"/>
              <w:snapToGrid w:val="0"/>
              <w:spacing w:line="360" w:lineRule="auto"/>
              <w:rPr>
                <w:rFonts w:ascii="宋体" w:hAnsi="宋体"/>
                <w:color w:val="auto"/>
                <w:kern w:val="0"/>
                <w:sz w:val="24"/>
                <w:highlight w:val="none"/>
              </w:rPr>
            </w:pPr>
          </w:p>
        </w:tc>
        <w:tc>
          <w:tcPr>
            <w:tcW w:w="2963" w:type="dxa"/>
          </w:tcPr>
          <w:p w14:paraId="0321FAB4">
            <w:pPr>
              <w:adjustRightInd w:val="0"/>
              <w:snapToGrid w:val="0"/>
              <w:spacing w:line="360" w:lineRule="auto"/>
              <w:rPr>
                <w:rFonts w:ascii="宋体" w:hAnsi="宋体"/>
                <w:color w:val="auto"/>
                <w:kern w:val="0"/>
                <w:sz w:val="24"/>
                <w:highlight w:val="none"/>
              </w:rPr>
            </w:pPr>
          </w:p>
        </w:tc>
        <w:tc>
          <w:tcPr>
            <w:tcW w:w="2439" w:type="dxa"/>
          </w:tcPr>
          <w:p w14:paraId="0C0C1AF2">
            <w:pPr>
              <w:adjustRightInd w:val="0"/>
              <w:snapToGrid w:val="0"/>
              <w:spacing w:line="360" w:lineRule="auto"/>
              <w:rPr>
                <w:rFonts w:ascii="宋体" w:hAnsi="宋体"/>
                <w:color w:val="auto"/>
                <w:kern w:val="0"/>
                <w:sz w:val="24"/>
                <w:highlight w:val="none"/>
              </w:rPr>
            </w:pPr>
          </w:p>
        </w:tc>
        <w:tc>
          <w:tcPr>
            <w:tcW w:w="2642" w:type="dxa"/>
          </w:tcPr>
          <w:p w14:paraId="3213C221">
            <w:pPr>
              <w:adjustRightInd w:val="0"/>
              <w:snapToGrid w:val="0"/>
              <w:spacing w:line="360" w:lineRule="auto"/>
              <w:rPr>
                <w:rFonts w:ascii="宋体" w:hAnsi="宋体"/>
                <w:color w:val="auto"/>
                <w:kern w:val="0"/>
                <w:sz w:val="24"/>
                <w:highlight w:val="none"/>
              </w:rPr>
            </w:pPr>
          </w:p>
        </w:tc>
      </w:tr>
      <w:tr w14:paraId="7E69E1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24F29C1E">
            <w:pPr>
              <w:adjustRightInd w:val="0"/>
              <w:snapToGrid w:val="0"/>
              <w:spacing w:line="360" w:lineRule="auto"/>
              <w:rPr>
                <w:rFonts w:ascii="宋体" w:hAnsi="宋体"/>
                <w:color w:val="auto"/>
                <w:kern w:val="0"/>
                <w:sz w:val="24"/>
                <w:highlight w:val="none"/>
              </w:rPr>
            </w:pPr>
          </w:p>
        </w:tc>
        <w:tc>
          <w:tcPr>
            <w:tcW w:w="2963" w:type="dxa"/>
          </w:tcPr>
          <w:p w14:paraId="58B96BC2">
            <w:pPr>
              <w:adjustRightInd w:val="0"/>
              <w:snapToGrid w:val="0"/>
              <w:spacing w:line="360" w:lineRule="auto"/>
              <w:rPr>
                <w:rFonts w:ascii="宋体" w:hAnsi="宋体"/>
                <w:color w:val="auto"/>
                <w:kern w:val="0"/>
                <w:sz w:val="24"/>
                <w:highlight w:val="none"/>
              </w:rPr>
            </w:pPr>
          </w:p>
        </w:tc>
        <w:tc>
          <w:tcPr>
            <w:tcW w:w="2439" w:type="dxa"/>
          </w:tcPr>
          <w:p w14:paraId="2ACDDCBF">
            <w:pPr>
              <w:adjustRightInd w:val="0"/>
              <w:snapToGrid w:val="0"/>
              <w:spacing w:line="360" w:lineRule="auto"/>
              <w:rPr>
                <w:rFonts w:ascii="宋体" w:hAnsi="宋体"/>
                <w:color w:val="auto"/>
                <w:kern w:val="0"/>
                <w:sz w:val="24"/>
                <w:highlight w:val="none"/>
              </w:rPr>
            </w:pPr>
          </w:p>
        </w:tc>
        <w:tc>
          <w:tcPr>
            <w:tcW w:w="2642" w:type="dxa"/>
          </w:tcPr>
          <w:p w14:paraId="5EEF917C">
            <w:pPr>
              <w:adjustRightInd w:val="0"/>
              <w:snapToGrid w:val="0"/>
              <w:spacing w:line="360" w:lineRule="auto"/>
              <w:rPr>
                <w:rFonts w:ascii="宋体" w:hAnsi="宋体"/>
                <w:color w:val="auto"/>
                <w:kern w:val="0"/>
                <w:sz w:val="24"/>
                <w:highlight w:val="none"/>
              </w:rPr>
            </w:pPr>
          </w:p>
        </w:tc>
      </w:tr>
    </w:tbl>
    <w:p w14:paraId="7D08593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p>
    <w:p w14:paraId="62602A9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p>
    <w:p w14:paraId="707F15B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10C08CB9">
      <w:pPr>
        <w:widowControl/>
        <w:jc w:val="left"/>
        <w:rPr>
          <w:rFonts w:ascii="宋体" w:hAnsi="宋体"/>
          <w:color w:val="auto"/>
          <w:sz w:val="24"/>
          <w:highlight w:val="none"/>
        </w:rPr>
      </w:pPr>
      <w:r>
        <w:rPr>
          <w:rFonts w:ascii="宋体" w:hAnsi="宋体"/>
          <w:color w:val="auto"/>
          <w:sz w:val="24"/>
          <w:highlight w:val="none"/>
        </w:rPr>
        <w:br w:type="page"/>
      </w:r>
    </w:p>
    <w:p w14:paraId="3E9F739F">
      <w:pPr>
        <w:pStyle w:val="5"/>
        <w:adjustRightInd w:val="0"/>
        <w:snapToGrid w:val="0"/>
        <w:spacing w:before="0" w:after="0" w:line="360" w:lineRule="auto"/>
        <w:rPr>
          <w:rFonts w:ascii="宋体" w:hAnsi="宋体" w:eastAsia="宋体"/>
          <w:b w:val="0"/>
          <w:color w:val="auto"/>
          <w:sz w:val="21"/>
          <w:szCs w:val="21"/>
          <w:highlight w:val="none"/>
        </w:rPr>
      </w:pPr>
      <w:bookmarkStart w:id="554" w:name="_Toc7789"/>
      <w:r>
        <w:rPr>
          <w:rFonts w:hint="eastAsia" w:ascii="宋体" w:hAnsi="宋体" w:eastAsia="宋体"/>
          <w:b w:val="0"/>
          <w:color w:val="auto"/>
          <w:sz w:val="21"/>
          <w:szCs w:val="21"/>
          <w:highlight w:val="none"/>
        </w:rPr>
        <w:t>附表3 资格审查合格投标人名单</w:t>
      </w:r>
      <w:bookmarkEnd w:id="554"/>
    </w:p>
    <w:p w14:paraId="7CCDEE97">
      <w:pPr>
        <w:adjustRightInd w:val="0"/>
        <w:snapToGrid w:val="0"/>
        <w:spacing w:line="360" w:lineRule="auto"/>
        <w:jc w:val="center"/>
        <w:outlineLvl w:val="1"/>
        <w:rPr>
          <w:rFonts w:ascii="宋体" w:hAnsi="宋体"/>
          <w:b/>
          <w:color w:val="auto"/>
          <w:sz w:val="28"/>
          <w:szCs w:val="28"/>
          <w:highlight w:val="none"/>
        </w:rPr>
      </w:pPr>
      <w:bookmarkStart w:id="555" w:name="_Toc113350944"/>
      <w:bookmarkStart w:id="556" w:name="_Toc28258"/>
      <w:bookmarkStart w:id="557" w:name="_Toc31997"/>
      <w:bookmarkStart w:id="558" w:name="_Toc79093680"/>
      <w:bookmarkStart w:id="559" w:name="_Toc30398"/>
      <w:bookmarkStart w:id="560" w:name="_Toc99299734"/>
      <w:bookmarkStart w:id="561" w:name="_Toc140957878"/>
      <w:bookmarkStart w:id="562" w:name="_Toc13041"/>
      <w:bookmarkStart w:id="563" w:name="_Toc118209435"/>
      <w:bookmarkStart w:id="564" w:name="_Toc108483404"/>
      <w:bookmarkStart w:id="565" w:name="_Toc171282412"/>
      <w:bookmarkStart w:id="566" w:name="_Toc189905369"/>
      <w:bookmarkStart w:id="567" w:name="_Toc3637"/>
      <w:bookmarkStart w:id="568" w:name="_Toc19720"/>
      <w:bookmarkStart w:id="569" w:name="_Toc111543565"/>
      <w:bookmarkStart w:id="570" w:name="_Toc25353"/>
      <w:bookmarkStart w:id="571" w:name="_Toc193053713"/>
      <w:bookmarkStart w:id="572" w:name="_Toc9701"/>
      <w:bookmarkStart w:id="573" w:name="_Toc18123"/>
      <w:bookmarkStart w:id="574" w:name="_Toc137408725"/>
      <w:bookmarkStart w:id="575" w:name="_Toc19303"/>
      <w:bookmarkStart w:id="576" w:name="_Toc103979587"/>
      <w:bookmarkStart w:id="577" w:name="_Toc13189"/>
      <w:bookmarkStart w:id="578" w:name="_Toc166778343"/>
      <w:bookmarkStart w:id="579" w:name="_Toc109656586"/>
      <w:bookmarkStart w:id="580" w:name="_Toc13610"/>
      <w:bookmarkStart w:id="581" w:name="_Toc17369"/>
      <w:bookmarkStart w:id="582" w:name="_Toc8097"/>
      <w:bookmarkStart w:id="583" w:name="_Toc16389"/>
      <w:r>
        <w:rPr>
          <w:rFonts w:hint="eastAsia" w:ascii="宋体" w:hAnsi="宋体"/>
          <w:b/>
          <w:color w:val="auto"/>
          <w:sz w:val="28"/>
          <w:szCs w:val="28"/>
          <w:highlight w:val="none"/>
        </w:rPr>
        <w:t>资格审查合格投标人名单</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26ED8D98">
      <w:pPr>
        <w:adjustRightInd w:val="0"/>
        <w:snapToGrid w:val="0"/>
        <w:spacing w:line="360" w:lineRule="auto"/>
        <w:ind w:firstLine="210" w:firstLineChars="100"/>
        <w:rPr>
          <w:rFonts w:ascii="宋体" w:hAnsi="宋体"/>
          <w:color w:val="auto"/>
          <w:sz w:val="32"/>
          <w:szCs w:val="32"/>
          <w:highlight w:val="none"/>
        </w:rPr>
      </w:pPr>
      <w:r>
        <w:rPr>
          <w:rFonts w:hint="eastAsia" w:ascii="宋体" w:hAnsi="宋体"/>
          <w:color w:val="auto"/>
          <w:szCs w:val="21"/>
          <w:highlight w:val="none"/>
        </w:rPr>
        <w:t>项目名称：                                        政府采购计划编号：</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70"/>
        <w:gridCol w:w="7613"/>
      </w:tblGrid>
      <w:tr w14:paraId="6430C9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vAlign w:val="center"/>
          </w:tcPr>
          <w:p w14:paraId="1D73C2DE">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7613" w:type="dxa"/>
            <w:vAlign w:val="center"/>
          </w:tcPr>
          <w:p w14:paraId="77D1F644">
            <w:pPr>
              <w:jc w:val="center"/>
              <w:rPr>
                <w:rFonts w:ascii="宋体" w:hAnsi="宋体"/>
                <w:b/>
                <w:color w:val="auto"/>
                <w:kern w:val="0"/>
                <w:szCs w:val="21"/>
                <w:highlight w:val="none"/>
              </w:rPr>
            </w:pPr>
            <w:r>
              <w:rPr>
                <w:rFonts w:hint="eastAsia" w:ascii="宋体" w:hAnsi="宋体"/>
                <w:b/>
                <w:color w:val="auto"/>
                <w:kern w:val="0"/>
                <w:szCs w:val="21"/>
                <w:highlight w:val="none"/>
              </w:rPr>
              <w:t>合格投标人名称</w:t>
            </w:r>
          </w:p>
        </w:tc>
      </w:tr>
      <w:tr w14:paraId="55494F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31A87485">
            <w:pPr>
              <w:adjustRightInd w:val="0"/>
              <w:snapToGrid w:val="0"/>
              <w:spacing w:line="360" w:lineRule="auto"/>
              <w:rPr>
                <w:rFonts w:ascii="宋体" w:hAnsi="宋体"/>
                <w:color w:val="auto"/>
                <w:kern w:val="0"/>
                <w:szCs w:val="21"/>
                <w:highlight w:val="none"/>
              </w:rPr>
            </w:pPr>
          </w:p>
        </w:tc>
        <w:tc>
          <w:tcPr>
            <w:tcW w:w="7613" w:type="dxa"/>
          </w:tcPr>
          <w:p w14:paraId="7D35781D">
            <w:pPr>
              <w:adjustRightInd w:val="0"/>
              <w:snapToGrid w:val="0"/>
              <w:spacing w:line="360" w:lineRule="auto"/>
              <w:rPr>
                <w:rFonts w:ascii="宋体" w:hAnsi="宋体"/>
                <w:color w:val="auto"/>
                <w:kern w:val="0"/>
                <w:szCs w:val="21"/>
                <w:highlight w:val="none"/>
              </w:rPr>
            </w:pPr>
          </w:p>
        </w:tc>
      </w:tr>
      <w:tr w14:paraId="30CBDB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767C0F69">
            <w:pPr>
              <w:adjustRightInd w:val="0"/>
              <w:snapToGrid w:val="0"/>
              <w:spacing w:line="360" w:lineRule="auto"/>
              <w:rPr>
                <w:rFonts w:ascii="宋体" w:hAnsi="宋体"/>
                <w:color w:val="auto"/>
                <w:kern w:val="0"/>
                <w:sz w:val="24"/>
                <w:highlight w:val="none"/>
              </w:rPr>
            </w:pPr>
          </w:p>
        </w:tc>
        <w:tc>
          <w:tcPr>
            <w:tcW w:w="7613" w:type="dxa"/>
          </w:tcPr>
          <w:p w14:paraId="63091245">
            <w:pPr>
              <w:adjustRightInd w:val="0"/>
              <w:snapToGrid w:val="0"/>
              <w:spacing w:line="360" w:lineRule="auto"/>
              <w:rPr>
                <w:rFonts w:ascii="宋体" w:hAnsi="宋体"/>
                <w:color w:val="auto"/>
                <w:kern w:val="0"/>
                <w:sz w:val="24"/>
                <w:highlight w:val="none"/>
              </w:rPr>
            </w:pPr>
          </w:p>
        </w:tc>
      </w:tr>
      <w:tr w14:paraId="3052DE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574CB69D">
            <w:pPr>
              <w:adjustRightInd w:val="0"/>
              <w:snapToGrid w:val="0"/>
              <w:spacing w:line="360" w:lineRule="auto"/>
              <w:rPr>
                <w:rFonts w:ascii="宋体" w:hAnsi="宋体"/>
                <w:color w:val="auto"/>
                <w:kern w:val="0"/>
                <w:sz w:val="24"/>
                <w:highlight w:val="none"/>
              </w:rPr>
            </w:pPr>
          </w:p>
        </w:tc>
        <w:tc>
          <w:tcPr>
            <w:tcW w:w="7613" w:type="dxa"/>
          </w:tcPr>
          <w:p w14:paraId="2E8ACE3F">
            <w:pPr>
              <w:adjustRightInd w:val="0"/>
              <w:snapToGrid w:val="0"/>
              <w:spacing w:line="360" w:lineRule="auto"/>
              <w:rPr>
                <w:rFonts w:ascii="宋体" w:hAnsi="宋体"/>
                <w:color w:val="auto"/>
                <w:kern w:val="0"/>
                <w:sz w:val="24"/>
                <w:highlight w:val="none"/>
              </w:rPr>
            </w:pPr>
          </w:p>
        </w:tc>
      </w:tr>
      <w:tr w14:paraId="56EDD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5CCE427F">
            <w:pPr>
              <w:adjustRightInd w:val="0"/>
              <w:snapToGrid w:val="0"/>
              <w:spacing w:line="360" w:lineRule="auto"/>
              <w:rPr>
                <w:rFonts w:ascii="宋体" w:hAnsi="宋体"/>
                <w:color w:val="auto"/>
                <w:kern w:val="0"/>
                <w:sz w:val="24"/>
                <w:highlight w:val="none"/>
              </w:rPr>
            </w:pPr>
          </w:p>
        </w:tc>
        <w:tc>
          <w:tcPr>
            <w:tcW w:w="7613" w:type="dxa"/>
          </w:tcPr>
          <w:p w14:paraId="4F7EE0F3">
            <w:pPr>
              <w:adjustRightInd w:val="0"/>
              <w:snapToGrid w:val="0"/>
              <w:spacing w:line="360" w:lineRule="auto"/>
              <w:rPr>
                <w:rFonts w:ascii="宋体" w:hAnsi="宋体"/>
                <w:color w:val="auto"/>
                <w:kern w:val="0"/>
                <w:sz w:val="24"/>
                <w:highlight w:val="none"/>
              </w:rPr>
            </w:pPr>
          </w:p>
        </w:tc>
      </w:tr>
      <w:tr w14:paraId="4E874C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7138AC59">
            <w:pPr>
              <w:adjustRightInd w:val="0"/>
              <w:snapToGrid w:val="0"/>
              <w:spacing w:line="360" w:lineRule="auto"/>
              <w:rPr>
                <w:rFonts w:ascii="宋体" w:hAnsi="宋体"/>
                <w:color w:val="auto"/>
                <w:kern w:val="0"/>
                <w:sz w:val="24"/>
                <w:highlight w:val="none"/>
              </w:rPr>
            </w:pPr>
          </w:p>
        </w:tc>
        <w:tc>
          <w:tcPr>
            <w:tcW w:w="7613" w:type="dxa"/>
          </w:tcPr>
          <w:p w14:paraId="39EF829D">
            <w:pPr>
              <w:adjustRightInd w:val="0"/>
              <w:snapToGrid w:val="0"/>
              <w:spacing w:line="360" w:lineRule="auto"/>
              <w:rPr>
                <w:rFonts w:ascii="宋体" w:hAnsi="宋体"/>
                <w:color w:val="auto"/>
                <w:kern w:val="0"/>
                <w:sz w:val="24"/>
                <w:highlight w:val="none"/>
              </w:rPr>
            </w:pPr>
          </w:p>
        </w:tc>
      </w:tr>
      <w:tr w14:paraId="77E4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41970C52">
            <w:pPr>
              <w:adjustRightInd w:val="0"/>
              <w:snapToGrid w:val="0"/>
              <w:spacing w:line="360" w:lineRule="auto"/>
              <w:rPr>
                <w:rFonts w:ascii="宋体" w:hAnsi="宋体"/>
                <w:color w:val="auto"/>
                <w:kern w:val="0"/>
                <w:sz w:val="24"/>
                <w:highlight w:val="none"/>
              </w:rPr>
            </w:pPr>
          </w:p>
        </w:tc>
        <w:tc>
          <w:tcPr>
            <w:tcW w:w="7613" w:type="dxa"/>
          </w:tcPr>
          <w:p w14:paraId="68CFB66C">
            <w:pPr>
              <w:adjustRightInd w:val="0"/>
              <w:snapToGrid w:val="0"/>
              <w:spacing w:line="360" w:lineRule="auto"/>
              <w:rPr>
                <w:rFonts w:ascii="宋体" w:hAnsi="宋体"/>
                <w:color w:val="auto"/>
                <w:kern w:val="0"/>
                <w:sz w:val="24"/>
                <w:highlight w:val="none"/>
              </w:rPr>
            </w:pPr>
          </w:p>
        </w:tc>
      </w:tr>
    </w:tbl>
    <w:p w14:paraId="7987B6CF">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p>
    <w:p w14:paraId="17A1FC3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p>
    <w:p w14:paraId="49037CA2">
      <w:pPr>
        <w:jc w:val="left"/>
        <w:rPr>
          <w:rFonts w:ascii="宋体" w:hAnsi="宋体"/>
          <w:color w:val="auto"/>
          <w:szCs w:val="21"/>
          <w:highlight w:val="none"/>
        </w:rPr>
      </w:pPr>
      <w:r>
        <w:rPr>
          <w:rFonts w:hint="eastAsia" w:ascii="宋体" w:hAnsi="宋体"/>
          <w:color w:val="auto"/>
          <w:szCs w:val="21"/>
          <w:highlight w:val="none"/>
        </w:rPr>
        <w:t>日期：年月日</w:t>
      </w:r>
    </w:p>
    <w:p w14:paraId="7375B5B9">
      <w:pPr>
        <w:jc w:val="center"/>
        <w:outlineLvl w:val="0"/>
        <w:rPr>
          <w:rFonts w:ascii="宋体" w:hAnsi="宋体"/>
          <w:b/>
          <w:color w:val="auto"/>
          <w:sz w:val="28"/>
          <w:szCs w:val="28"/>
          <w:highlight w:val="none"/>
        </w:rPr>
      </w:pPr>
      <w:r>
        <w:rPr>
          <w:rFonts w:ascii="宋体" w:hAnsi="宋体"/>
          <w:color w:val="auto"/>
          <w:highlight w:val="none"/>
        </w:rPr>
        <w:br w:type="page"/>
      </w:r>
      <w:bookmarkStart w:id="584" w:name="_Toc113350945"/>
      <w:bookmarkStart w:id="585" w:name="_Toc137408726"/>
      <w:bookmarkStart w:id="586" w:name="_Toc19966"/>
      <w:bookmarkStart w:id="587" w:name="_Toc103979588"/>
      <w:bookmarkStart w:id="588" w:name="_Toc27760"/>
      <w:bookmarkStart w:id="589" w:name="_Toc193053714"/>
      <w:bookmarkStart w:id="590" w:name="_Toc111543566"/>
      <w:bookmarkStart w:id="591" w:name="_Toc8149"/>
      <w:bookmarkStart w:id="592" w:name="_Toc27820"/>
      <w:bookmarkStart w:id="593" w:name="_Toc99299735"/>
      <w:bookmarkStart w:id="594" w:name="_Toc166778344"/>
      <w:bookmarkStart w:id="595" w:name="_Toc26777"/>
      <w:bookmarkStart w:id="596" w:name="_Toc4305"/>
      <w:bookmarkStart w:id="597" w:name="_Toc17421"/>
      <w:bookmarkStart w:id="598" w:name="_Toc79093681"/>
      <w:bookmarkStart w:id="599" w:name="_Toc8131"/>
      <w:bookmarkStart w:id="600" w:name="_Toc4223"/>
      <w:bookmarkStart w:id="601" w:name="_Toc171282413"/>
      <w:bookmarkStart w:id="602" w:name="_Toc737"/>
      <w:bookmarkStart w:id="603" w:name="_Toc109656587"/>
      <w:bookmarkStart w:id="604" w:name="_Toc140957879"/>
      <w:bookmarkStart w:id="605" w:name="_Toc118209436"/>
      <w:bookmarkStart w:id="606" w:name="_Toc189905370"/>
      <w:bookmarkStart w:id="607" w:name="_Toc32448"/>
      <w:bookmarkStart w:id="608" w:name="_Toc27660"/>
      <w:bookmarkStart w:id="609" w:name="_Toc108483405"/>
      <w:bookmarkStart w:id="610" w:name="_Toc28760"/>
      <w:bookmarkStart w:id="611" w:name="_Toc32630"/>
      <w:bookmarkStart w:id="612" w:name="_Toc3264"/>
      <w:r>
        <w:rPr>
          <w:rFonts w:hint="eastAsia" w:ascii="宋体" w:hAnsi="宋体"/>
          <w:b/>
          <w:color w:val="auto"/>
          <w:sz w:val="32"/>
          <w:szCs w:val="32"/>
          <w:highlight w:val="none"/>
        </w:rPr>
        <w:t>第四章  评标方法及标准</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65FB185E">
      <w:pPr>
        <w:pStyle w:val="3"/>
        <w:adjustRightInd w:val="0"/>
        <w:snapToGrid w:val="0"/>
        <w:jc w:val="center"/>
        <w:rPr>
          <w:rFonts w:ascii="宋体" w:hAnsi="宋体"/>
          <w:color w:val="auto"/>
          <w:sz w:val="28"/>
          <w:szCs w:val="28"/>
          <w:highlight w:val="none"/>
        </w:rPr>
      </w:pPr>
      <w:bookmarkStart w:id="613" w:name="_Toc189905371"/>
      <w:bookmarkStart w:id="614" w:name="_Toc20315"/>
      <w:bookmarkStart w:id="615" w:name="_Toc103979589"/>
      <w:bookmarkStart w:id="616" w:name="_Toc19684"/>
      <w:bookmarkStart w:id="617" w:name="_Toc111543567"/>
      <w:bookmarkStart w:id="618" w:name="_Toc137408727"/>
      <w:bookmarkStart w:id="619" w:name="_Toc140957880"/>
      <w:bookmarkStart w:id="620" w:name="_Toc27218"/>
      <w:bookmarkStart w:id="621" w:name="_Toc118209437"/>
      <w:bookmarkStart w:id="622" w:name="_Toc17253"/>
      <w:bookmarkStart w:id="623" w:name="_Toc99299736"/>
      <w:bookmarkStart w:id="624" w:name="_Toc23113"/>
      <w:bookmarkStart w:id="625" w:name="_Toc109656588"/>
      <w:bookmarkStart w:id="626" w:name="_Toc29066"/>
      <w:bookmarkStart w:id="627" w:name="_Toc4871"/>
      <w:bookmarkStart w:id="628" w:name="_Toc28742"/>
      <w:bookmarkStart w:id="629" w:name="_Toc10663"/>
      <w:bookmarkStart w:id="630" w:name="_Toc18392"/>
      <w:bookmarkStart w:id="631" w:name="_Toc79093682"/>
      <w:bookmarkStart w:id="632" w:name="_Toc9616"/>
      <w:bookmarkStart w:id="633" w:name="_Toc22706"/>
      <w:bookmarkStart w:id="634" w:name="_Toc166778345"/>
      <w:bookmarkStart w:id="635" w:name="_Toc113350946"/>
      <w:bookmarkStart w:id="636" w:name="_Toc171282414"/>
      <w:bookmarkStart w:id="637" w:name="_Toc108483406"/>
      <w:bookmarkStart w:id="638" w:name="_Toc193053715"/>
      <w:bookmarkStart w:id="639" w:name="_Toc1835"/>
      <w:bookmarkStart w:id="640" w:name="_Toc521"/>
      <w:bookmarkStart w:id="641" w:name="_Toc28953"/>
      <w:bookmarkStart w:id="642" w:name="_Toc5531"/>
      <w:r>
        <w:rPr>
          <w:rFonts w:hint="eastAsia" w:ascii="宋体" w:hAnsi="宋体"/>
          <w:b w:val="0"/>
          <w:bCs w:val="0"/>
          <w:color w:val="auto"/>
          <w:sz w:val="28"/>
          <w:szCs w:val="28"/>
          <w:highlight w:val="none"/>
        </w:rPr>
        <w:t>第一</w:t>
      </w:r>
      <w:r>
        <w:rPr>
          <w:rFonts w:hint="eastAsia" w:ascii="宋体" w:hAnsi="宋体"/>
          <w:color w:val="auto"/>
          <w:sz w:val="28"/>
          <w:szCs w:val="28"/>
          <w:highlight w:val="none"/>
        </w:rPr>
        <w:t>节  评标方法及标准前附表</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5BD68700">
      <w:pPr>
        <w:adjustRightInd w:val="0"/>
        <w:snapToGrid w:val="0"/>
        <w:jc w:val="right"/>
        <w:rPr>
          <w:rFonts w:ascii="宋体" w:hAnsi="宋体"/>
          <w:bCs/>
          <w:i/>
          <w:color w:val="auto"/>
          <w:szCs w:val="21"/>
          <w:highlight w:val="none"/>
        </w:rPr>
      </w:pPr>
      <w:r>
        <w:rPr>
          <w:rFonts w:hint="eastAsia" w:ascii="宋体" w:hAnsi="宋体"/>
          <w:bCs/>
          <w:i/>
          <w:color w:val="auto"/>
          <w:szCs w:val="21"/>
          <w:highlight w:val="none"/>
        </w:rPr>
        <w:t>本项目启用的条款在“编列内容规定”栏内以“■”标注。</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127"/>
        <w:gridCol w:w="4778"/>
      </w:tblGrid>
      <w:tr w14:paraId="41599F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tcPr>
          <w:p w14:paraId="614CB443">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条款号</w:t>
            </w:r>
          </w:p>
        </w:tc>
        <w:tc>
          <w:tcPr>
            <w:tcW w:w="2127" w:type="dxa"/>
          </w:tcPr>
          <w:p w14:paraId="1601739E">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条款名称</w:t>
            </w:r>
          </w:p>
        </w:tc>
        <w:tc>
          <w:tcPr>
            <w:tcW w:w="4778" w:type="dxa"/>
          </w:tcPr>
          <w:p w14:paraId="1A4CBE13">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编列内容规定</w:t>
            </w:r>
          </w:p>
        </w:tc>
      </w:tr>
      <w:tr w14:paraId="4AAD5E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1701" w:type="dxa"/>
            <w:vAlign w:val="center"/>
          </w:tcPr>
          <w:p w14:paraId="3C9B97F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w:t>
            </w:r>
            <w:r>
              <w:rPr>
                <w:rFonts w:hint="eastAsia" w:ascii="宋体" w:hAnsi="宋体" w:cs="宋体"/>
                <w:color w:val="auto"/>
                <w:kern w:val="0"/>
                <w:szCs w:val="21"/>
                <w:highlight w:val="none"/>
                <w:lang w:val="zh-CN"/>
              </w:rPr>
              <w:t>款</w:t>
            </w:r>
          </w:p>
        </w:tc>
        <w:tc>
          <w:tcPr>
            <w:tcW w:w="2127" w:type="dxa"/>
            <w:vAlign w:val="center"/>
          </w:tcPr>
          <w:p w14:paraId="23F1616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评标方法</w:t>
            </w:r>
          </w:p>
        </w:tc>
        <w:tc>
          <w:tcPr>
            <w:tcW w:w="4778" w:type="dxa"/>
            <w:vAlign w:val="center"/>
          </w:tcPr>
          <w:p w14:paraId="50F12408">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综合评分法</w:t>
            </w:r>
          </w:p>
        </w:tc>
      </w:tr>
      <w:tr w14:paraId="7766A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1701" w:type="dxa"/>
            <w:vAlign w:val="center"/>
          </w:tcPr>
          <w:p w14:paraId="70B19E1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127" w:type="dxa"/>
            <w:vAlign w:val="center"/>
          </w:tcPr>
          <w:p w14:paraId="5BE3303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4778" w:type="dxa"/>
            <w:vAlign w:val="center"/>
          </w:tcPr>
          <w:p w14:paraId="3CFB9997">
            <w:pPr>
              <w:pStyle w:val="25"/>
              <w:adjustRightInd w:val="0"/>
              <w:snapToGrid w:val="0"/>
              <w:spacing w:line="360" w:lineRule="exact"/>
              <w:rPr>
                <w:rFonts w:hAnsi="宋体"/>
                <w:color w:val="auto"/>
                <w:kern w:val="2"/>
                <w:sz w:val="21"/>
                <w:highlight w:val="none"/>
              </w:rPr>
            </w:pPr>
            <w:r>
              <w:rPr>
                <w:rFonts w:hint="eastAsia" w:hAnsi="宋体"/>
                <w:color w:val="auto"/>
                <w:sz w:val="21"/>
                <w:highlight w:val="none"/>
              </w:rPr>
              <w:t>按第二节“评标方法及标准”第4.2条规定修正</w:t>
            </w:r>
          </w:p>
        </w:tc>
      </w:tr>
      <w:tr w14:paraId="4887B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59" w:hRule="atLeast"/>
          <w:jc w:val="center"/>
        </w:trPr>
        <w:tc>
          <w:tcPr>
            <w:tcW w:w="1701" w:type="dxa"/>
            <w:vAlign w:val="center"/>
          </w:tcPr>
          <w:p w14:paraId="640845F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第5.2（1）</w:t>
            </w:r>
            <w:r>
              <w:rPr>
                <w:rFonts w:hint="eastAsia" w:ascii="宋体" w:hAnsi="宋体" w:cs="宋体"/>
                <w:color w:val="auto"/>
                <w:kern w:val="0"/>
                <w:szCs w:val="21"/>
                <w:highlight w:val="none"/>
                <w:lang w:val="zh-CN"/>
              </w:rPr>
              <w:t>项</w:t>
            </w:r>
          </w:p>
        </w:tc>
        <w:tc>
          <w:tcPr>
            <w:tcW w:w="2127" w:type="dxa"/>
            <w:vAlign w:val="center"/>
          </w:tcPr>
          <w:p w14:paraId="4FB12D39">
            <w:pPr>
              <w:adjustRightInd w:val="0"/>
              <w:snapToGrid w:val="0"/>
              <w:spacing w:line="360" w:lineRule="exact"/>
              <w:jc w:val="center"/>
              <w:rPr>
                <w:rFonts w:ascii="宋体" w:hAnsi="宋体"/>
                <w:bCs/>
                <w:color w:val="auto"/>
                <w:szCs w:val="21"/>
                <w:highlight w:val="none"/>
              </w:rPr>
            </w:pPr>
            <w:r>
              <w:rPr>
                <w:rFonts w:hint="eastAsia" w:ascii="宋体" w:hAnsi="宋体"/>
                <w:color w:val="auto"/>
                <w:szCs w:val="21"/>
                <w:highlight w:val="none"/>
              </w:rPr>
              <w:t>价格评审优惠</w:t>
            </w:r>
          </w:p>
        </w:tc>
        <w:tc>
          <w:tcPr>
            <w:tcW w:w="4778" w:type="dxa"/>
            <w:vAlign w:val="center"/>
          </w:tcPr>
          <w:p w14:paraId="402ABD0C">
            <w:pPr>
              <w:adjustRightInd w:val="0"/>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highlight w:val="none"/>
              </w:rPr>
              <w:t>在</w:t>
            </w:r>
            <w:r>
              <w:rPr>
                <w:rFonts w:hint="eastAsia" w:ascii="宋体" w:hAnsi="宋体"/>
                <w:color w:val="auto"/>
                <w:highlight w:val="none"/>
                <w:lang w:val="en-US" w:eastAsia="zh-CN"/>
              </w:rPr>
              <w:t>本</w:t>
            </w:r>
            <w:r>
              <w:rPr>
                <w:rFonts w:hint="eastAsia" w:ascii="宋体" w:hAnsi="宋体"/>
                <w:color w:val="auto"/>
                <w:highlight w:val="none"/>
              </w:rPr>
              <w:t>服务采购项目中，服务由中小企业承接</w:t>
            </w:r>
            <w:r>
              <w:rPr>
                <w:rFonts w:hint="eastAsia" w:ascii="宋体" w:hAnsi="宋体"/>
                <w:color w:val="auto"/>
                <w:highlight w:val="none"/>
                <w:lang w:val="en-US" w:eastAsia="zh-CN"/>
              </w:rPr>
              <w:t>的</w:t>
            </w:r>
            <w:r>
              <w:rPr>
                <w:rFonts w:hint="eastAsia" w:ascii="宋体" w:hAnsi="宋体"/>
                <w:color w:val="auto"/>
                <w:highlight w:val="none"/>
              </w:rPr>
              <w:t>，给予一定比例的价格折扣</w:t>
            </w:r>
            <w:r>
              <w:rPr>
                <w:rFonts w:hint="eastAsia" w:ascii="宋体" w:hAnsi="宋体"/>
                <w:color w:val="auto"/>
                <w:highlight w:val="none"/>
                <w:lang w:eastAsia="zh-CN"/>
              </w:rPr>
              <w:t>（</w:t>
            </w:r>
            <w:r>
              <w:rPr>
                <w:rFonts w:hint="eastAsia" w:ascii="宋体" w:hAnsi="宋体"/>
                <w:color w:val="auto"/>
                <w:szCs w:val="21"/>
                <w:highlight w:val="none"/>
              </w:rPr>
              <w:t>10%-20%</w:t>
            </w:r>
            <w:r>
              <w:rPr>
                <w:rFonts w:hint="eastAsia" w:ascii="宋体" w:hAnsi="宋体"/>
                <w:color w:val="auto"/>
                <w:highlight w:val="none"/>
                <w:lang w:eastAsia="zh-CN"/>
              </w:rPr>
              <w:t>）</w:t>
            </w:r>
            <w:r>
              <w:rPr>
                <w:rFonts w:hint="eastAsia" w:ascii="宋体" w:hAnsi="宋体"/>
                <w:color w:val="auto"/>
                <w:highlight w:val="none"/>
              </w:rPr>
              <w:t>，用扣除后的价格参与评审</w:t>
            </w:r>
            <w:r>
              <w:rPr>
                <w:rFonts w:hint="eastAsia" w:ascii="宋体" w:hAnsi="宋体"/>
                <w:color w:val="auto"/>
                <w:szCs w:val="21"/>
                <w:highlight w:val="none"/>
              </w:rPr>
              <w:t>，本项目具体扣除比例为</w:t>
            </w:r>
            <w:r>
              <w:rPr>
                <w:rFonts w:hint="eastAsia" w:ascii="宋体" w:hAnsi="宋体"/>
                <w:b/>
                <w:bCs/>
                <w:color w:val="auto"/>
                <w:szCs w:val="21"/>
                <w:highlight w:val="none"/>
                <w:u w:val="single"/>
              </w:rPr>
              <w:t xml:space="preserve"> </w:t>
            </w:r>
            <w:r>
              <w:rPr>
                <w:rFonts w:hint="eastAsia" w:ascii="宋体" w:hAnsi="宋体"/>
                <w:b/>
                <w:bCs/>
                <w:color w:val="auto"/>
                <w:szCs w:val="21"/>
                <w:highlight w:val="none"/>
                <w:u w:val="single"/>
                <w:lang w:val="en-US" w:eastAsia="zh-CN"/>
              </w:rPr>
              <w:t>/</w:t>
            </w:r>
            <w:r>
              <w:rPr>
                <w:rFonts w:hint="eastAsia" w:ascii="宋体" w:hAnsi="宋体"/>
                <w:b/>
                <w:bCs/>
                <w:color w:val="auto"/>
                <w:szCs w:val="21"/>
                <w:highlight w:val="none"/>
                <w:u w:val="single"/>
              </w:rPr>
              <w:t xml:space="preserve"> </w:t>
            </w:r>
            <w:r>
              <w:rPr>
                <w:rFonts w:hint="eastAsia" w:ascii="宋体" w:hAnsi="宋体"/>
                <w:color w:val="auto"/>
                <w:szCs w:val="21"/>
                <w:highlight w:val="none"/>
              </w:rPr>
              <w:t>％；</w:t>
            </w:r>
          </w:p>
          <w:p w14:paraId="08404863">
            <w:pPr>
              <w:spacing w:line="360" w:lineRule="exact"/>
              <w:rPr>
                <w:color w:val="auto"/>
                <w:szCs w:val="21"/>
                <w:highlight w:val="none"/>
              </w:rPr>
            </w:pPr>
            <w:r>
              <w:rPr>
                <w:rFonts w:hint="eastAsia" w:ascii="宋体" w:hAnsi="宋体"/>
                <w:color w:val="auto"/>
                <w:szCs w:val="21"/>
                <w:highlight w:val="none"/>
              </w:rPr>
              <w:sym w:font="Wingdings" w:char="00A8"/>
            </w:r>
            <w:r>
              <w:rPr>
                <w:rFonts w:hint="eastAsia" w:ascii="宋体" w:hAnsi="宋体" w:eastAsia="宋体" w:cs="Times New Roman"/>
                <w:color w:val="auto"/>
                <w:kern w:val="2"/>
                <w:sz w:val="21"/>
                <w:szCs w:val="21"/>
                <w:highlight w:val="none"/>
                <w:lang w:val="en-US" w:eastAsia="zh-CN" w:bidi="ar-SA"/>
              </w:rPr>
              <w:t>接受大中型企业与小微企业组成联合体或者允许大中型企业向一家或者多家小微企业分包的采购项目，对于联合协议或者分包意向协议约定小微企业的合同份额占到合同总金额40%以上的，给予</w:t>
            </w:r>
            <w:r>
              <w:rPr>
                <w:rFonts w:hint="eastAsia" w:ascii="宋体" w:hAnsi="宋体"/>
                <w:color w:val="auto"/>
                <w:szCs w:val="21"/>
                <w:highlight w:val="none"/>
              </w:rPr>
              <w:t>联合体或者大中型企业</w:t>
            </w:r>
            <w:r>
              <w:rPr>
                <w:rFonts w:hint="eastAsia" w:ascii="宋体" w:hAnsi="宋体"/>
                <w:color w:val="auto"/>
                <w:szCs w:val="21"/>
                <w:highlight w:val="none"/>
                <w:lang w:val="en-US" w:eastAsia="zh-CN"/>
              </w:rPr>
              <w:t>的报价</w:t>
            </w:r>
            <w:r>
              <w:rPr>
                <w:rFonts w:hint="eastAsia" w:ascii="宋体" w:hAnsi="宋体" w:eastAsia="宋体" w:cs="Times New Roman"/>
                <w:color w:val="auto"/>
                <w:kern w:val="2"/>
                <w:sz w:val="21"/>
                <w:szCs w:val="21"/>
                <w:highlight w:val="none"/>
                <w:lang w:val="en-US" w:eastAsia="zh-CN" w:bidi="ar-SA"/>
              </w:rPr>
              <w:t>一定比例（4%-6%）的价格折扣，用扣除后的价格参与评审，本项目具体扣除比例为</w:t>
            </w:r>
            <w:r>
              <w:rPr>
                <w:rFonts w:hint="eastAsia" w:ascii="宋体" w:hAnsi="宋体" w:eastAsia="宋体" w:cs="Times New Roman"/>
                <w:color w:val="auto"/>
                <w:kern w:val="2"/>
                <w:sz w:val="21"/>
                <w:szCs w:val="21"/>
                <w:highlight w:val="none"/>
                <w:u w:val="single"/>
                <w:lang w:val="en-US" w:eastAsia="zh-CN" w:bidi="ar-SA"/>
              </w:rPr>
              <w:t xml:space="preserve"> / </w:t>
            </w:r>
            <w:r>
              <w:rPr>
                <w:rFonts w:hint="eastAsia" w:ascii="宋体" w:hAnsi="宋体" w:eastAsia="宋体" w:cs="Times New Roman"/>
                <w:color w:val="auto"/>
                <w:kern w:val="2"/>
                <w:sz w:val="21"/>
                <w:szCs w:val="21"/>
                <w:highlight w:val="none"/>
                <w:lang w:val="en-US" w:eastAsia="zh-CN" w:bidi="ar-SA"/>
              </w:rPr>
              <w:t>％</w:t>
            </w:r>
            <w:r>
              <w:rPr>
                <w:rFonts w:hint="eastAsia" w:ascii="宋体" w:hAnsi="宋体"/>
                <w:color w:val="auto"/>
                <w:szCs w:val="21"/>
                <w:highlight w:val="none"/>
              </w:rPr>
              <w:t>；</w:t>
            </w:r>
          </w:p>
          <w:p w14:paraId="6727A7A3">
            <w:pPr>
              <w:pStyle w:val="102"/>
              <w:spacing w:line="360" w:lineRule="exact"/>
              <w:ind w:firstLine="0" w:firstLineChars="0"/>
              <w:rPr>
                <w:rFonts w:ascii="宋体" w:hAnsi="宋体"/>
                <w:color w:val="auto"/>
                <w:sz w:val="21"/>
                <w:szCs w:val="21"/>
                <w:highlight w:val="none"/>
              </w:rPr>
            </w:pPr>
            <w:r>
              <w:rPr>
                <w:rFonts w:hint="eastAsia" w:ascii="宋体" w:hAnsi="宋体"/>
                <w:color w:val="auto"/>
                <w:szCs w:val="21"/>
                <w:highlight w:val="none"/>
              </w:rPr>
              <w:t>（注：监狱企业、残疾人福利性单位视同小型、微型企业，享受评审中价格扣除等促进中小企业发展的政府采购政策）</w:t>
            </w:r>
          </w:p>
        </w:tc>
      </w:tr>
      <w:tr w14:paraId="1D0C21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0" w:hRule="atLeast"/>
          <w:jc w:val="center"/>
        </w:trPr>
        <w:tc>
          <w:tcPr>
            <w:tcW w:w="1701" w:type="dxa"/>
            <w:vAlign w:val="center"/>
          </w:tcPr>
          <w:p w14:paraId="70A9244F">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2127" w:type="dxa"/>
            <w:vAlign w:val="center"/>
          </w:tcPr>
          <w:p w14:paraId="215AEF0A">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中标候选人并列的确定中标人的方式</w:t>
            </w:r>
          </w:p>
        </w:tc>
        <w:tc>
          <w:tcPr>
            <w:tcW w:w="4778" w:type="dxa"/>
            <w:vAlign w:val="center"/>
          </w:tcPr>
          <w:p w14:paraId="427F2C12">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完全满足采购文件实质性需求且综合得分最高的单位为中标单位，得分相同的，按投标报价由低到高顺序排列；得分且投标报价相同的，按技术指标优劣顺序排列。</w:t>
            </w:r>
          </w:p>
        </w:tc>
      </w:tr>
    </w:tbl>
    <w:p w14:paraId="3D8FA5F0">
      <w:pPr>
        <w:adjustRightInd w:val="0"/>
        <w:snapToGrid w:val="0"/>
        <w:spacing w:beforeLines="50" w:line="360" w:lineRule="auto"/>
        <w:ind w:firstLine="420" w:firstLineChars="200"/>
        <w:jc w:val="center"/>
        <w:outlineLvl w:val="1"/>
        <w:rPr>
          <w:rFonts w:ascii="宋体" w:hAnsi="宋体"/>
          <w:b/>
          <w:color w:val="auto"/>
          <w:sz w:val="28"/>
          <w:szCs w:val="28"/>
          <w:highlight w:val="none"/>
        </w:rPr>
      </w:pPr>
      <w:r>
        <w:rPr>
          <w:rFonts w:ascii="宋体" w:hAnsi="宋体"/>
          <w:color w:val="auto"/>
          <w:highlight w:val="none"/>
        </w:rPr>
        <w:br w:type="page"/>
      </w:r>
      <w:bookmarkStart w:id="643" w:name="_Toc31560"/>
      <w:bookmarkStart w:id="644" w:name="_Toc99299737"/>
      <w:bookmarkStart w:id="645" w:name="_Toc171282415"/>
      <w:bookmarkStart w:id="646" w:name="_Toc14314"/>
      <w:bookmarkStart w:id="647" w:name="_Toc111543568"/>
      <w:bookmarkStart w:id="648" w:name="_Toc3859"/>
      <w:bookmarkStart w:id="649" w:name="_Toc7885"/>
      <w:bookmarkStart w:id="650" w:name="_Toc18893"/>
      <w:bookmarkStart w:id="651" w:name="_Toc12416"/>
      <w:bookmarkStart w:id="652" w:name="_Toc14964"/>
      <w:bookmarkStart w:id="653" w:name="_Toc103979590"/>
      <w:bookmarkStart w:id="654" w:name="_Toc113350947"/>
      <w:bookmarkStart w:id="655" w:name="_Toc166778346"/>
      <w:bookmarkStart w:id="656" w:name="_Toc4249"/>
      <w:bookmarkStart w:id="657" w:name="_Toc23674"/>
      <w:bookmarkStart w:id="658" w:name="_Toc118209438"/>
      <w:bookmarkStart w:id="659" w:name="_Toc24910"/>
      <w:bookmarkStart w:id="660" w:name="_Toc108483407"/>
      <w:bookmarkStart w:id="661" w:name="_Toc11994"/>
      <w:bookmarkStart w:id="662" w:name="_Toc137408728"/>
      <w:bookmarkStart w:id="663" w:name="_Toc12035"/>
      <w:bookmarkStart w:id="664" w:name="_Toc79093683"/>
      <w:bookmarkStart w:id="665" w:name="_Toc193053716"/>
      <w:bookmarkStart w:id="666" w:name="_Toc26100"/>
      <w:bookmarkStart w:id="667" w:name="_Toc109656589"/>
      <w:bookmarkStart w:id="668" w:name="_Toc140957881"/>
      <w:bookmarkStart w:id="669" w:name="_Toc25653"/>
      <w:bookmarkStart w:id="670" w:name="_Toc189905372"/>
      <w:bookmarkStart w:id="671" w:name="_Toc7884"/>
      <w:r>
        <w:rPr>
          <w:rFonts w:hint="eastAsia" w:ascii="宋体" w:hAnsi="宋体"/>
          <w:b/>
          <w:color w:val="auto"/>
          <w:sz w:val="28"/>
          <w:szCs w:val="28"/>
          <w:highlight w:val="none"/>
        </w:rPr>
        <w:t>第二节  评标方法及标准</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5617B76B">
      <w:pPr>
        <w:pStyle w:val="4"/>
        <w:adjustRightInd w:val="0"/>
        <w:snapToGrid w:val="0"/>
        <w:spacing w:before="0" w:after="0" w:line="360" w:lineRule="auto"/>
        <w:rPr>
          <w:rFonts w:ascii="宋体" w:hAnsi="宋体"/>
          <w:color w:val="auto"/>
          <w:sz w:val="24"/>
          <w:szCs w:val="24"/>
          <w:highlight w:val="none"/>
        </w:rPr>
      </w:pPr>
      <w:bookmarkStart w:id="672" w:name="_Toc10374"/>
      <w:bookmarkStart w:id="673" w:name="_Toc31164"/>
      <w:bookmarkStart w:id="674" w:name="_Toc4376"/>
      <w:bookmarkStart w:id="675" w:name="_Toc193053717"/>
      <w:bookmarkStart w:id="676" w:name="_Toc109656590"/>
      <w:bookmarkStart w:id="677" w:name="_Toc171282416"/>
      <w:bookmarkStart w:id="678" w:name="_Toc21662"/>
      <w:bookmarkStart w:id="679" w:name="_Toc17712"/>
      <w:bookmarkStart w:id="680" w:name="_Toc18050"/>
      <w:bookmarkStart w:id="681" w:name="_Toc166778347"/>
      <w:bookmarkStart w:id="682" w:name="_Toc113350948"/>
      <w:bookmarkStart w:id="683" w:name="_Toc25737"/>
      <w:bookmarkStart w:id="684" w:name="_Toc16459"/>
      <w:bookmarkStart w:id="685" w:name="_Toc19927"/>
      <w:bookmarkStart w:id="686" w:name="_Toc111543569"/>
      <w:bookmarkStart w:id="687" w:name="_Toc103979591"/>
      <w:bookmarkStart w:id="688" w:name="_Toc99299738"/>
      <w:bookmarkStart w:id="689" w:name="_Toc27216"/>
      <w:bookmarkStart w:id="690" w:name="_Toc19362"/>
      <w:bookmarkStart w:id="691" w:name="_Toc21261"/>
      <w:bookmarkStart w:id="692" w:name="_Toc140957882"/>
      <w:bookmarkStart w:id="693" w:name="_Toc137408729"/>
      <w:bookmarkStart w:id="694" w:name="_Toc16150"/>
      <w:bookmarkStart w:id="695" w:name="_Toc79093684"/>
      <w:bookmarkStart w:id="696" w:name="_Toc22818"/>
      <w:bookmarkStart w:id="697" w:name="_Toc9367"/>
      <w:bookmarkStart w:id="698" w:name="_Toc118209439"/>
      <w:bookmarkStart w:id="699" w:name="_Toc108483408"/>
      <w:bookmarkStart w:id="700" w:name="_Toc189905373"/>
      <w:bookmarkStart w:id="701" w:name="_Toc23026"/>
      <w:r>
        <w:rPr>
          <w:rFonts w:hint="eastAsia" w:ascii="宋体" w:hAnsi="宋体"/>
          <w:color w:val="auto"/>
          <w:sz w:val="24"/>
          <w:szCs w:val="24"/>
          <w:highlight w:val="none"/>
        </w:rPr>
        <w:t>1．评标方法</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04B919F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1.1综合评分法，指投标文件满足招标文件全部实质性要求，且按照评审因素的量化指标评审得分最高的投标人为中标候选人的评标方法。</w:t>
      </w:r>
    </w:p>
    <w:p w14:paraId="7A38F932">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1.2最低评标价，是指投标文件满足招标文件全部实质性要求，且投标报价最低的投标人为中标候选人的评标方法。</w:t>
      </w:r>
    </w:p>
    <w:p w14:paraId="694A54E1">
      <w:pPr>
        <w:adjustRightInd w:val="0"/>
        <w:snapToGrid w:val="0"/>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1.3本采购项目评标方法见本章第一节</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1C3311F7">
      <w:pPr>
        <w:pStyle w:val="4"/>
        <w:adjustRightInd w:val="0"/>
        <w:snapToGrid w:val="0"/>
        <w:spacing w:before="0" w:after="0" w:line="360" w:lineRule="auto"/>
        <w:rPr>
          <w:rFonts w:ascii="宋体" w:hAnsi="宋体"/>
          <w:bCs w:val="0"/>
          <w:color w:val="auto"/>
          <w:sz w:val="24"/>
          <w:szCs w:val="24"/>
          <w:highlight w:val="none"/>
        </w:rPr>
      </w:pPr>
      <w:bookmarkStart w:id="702" w:name="_Toc21004"/>
      <w:bookmarkStart w:id="703" w:name="_Toc118209440"/>
      <w:bookmarkStart w:id="704" w:name="_Toc29902"/>
      <w:bookmarkStart w:id="705" w:name="_Toc103979592"/>
      <w:bookmarkStart w:id="706" w:name="_Toc193053718"/>
      <w:bookmarkStart w:id="707" w:name="_Toc79093685"/>
      <w:bookmarkStart w:id="708" w:name="_Toc1452"/>
      <w:bookmarkStart w:id="709" w:name="_Toc109656591"/>
      <w:bookmarkStart w:id="710" w:name="_Toc27692"/>
      <w:bookmarkStart w:id="711" w:name="_Toc140957883"/>
      <w:bookmarkStart w:id="712" w:name="_Toc5362"/>
      <w:bookmarkStart w:id="713" w:name="_Toc8579"/>
      <w:bookmarkStart w:id="714" w:name="_Toc113350949"/>
      <w:bookmarkStart w:id="715" w:name="_Toc494"/>
      <w:bookmarkStart w:id="716" w:name="_Toc137408730"/>
      <w:bookmarkStart w:id="717" w:name="_Toc7982"/>
      <w:bookmarkStart w:id="718" w:name="_Toc31980"/>
      <w:bookmarkStart w:id="719" w:name="_Toc108483409"/>
      <w:bookmarkStart w:id="720" w:name="_Toc5476"/>
      <w:bookmarkStart w:id="721" w:name="_Toc171282417"/>
      <w:bookmarkStart w:id="722" w:name="_Toc3477"/>
      <w:bookmarkStart w:id="723" w:name="_Toc111543570"/>
      <w:bookmarkStart w:id="724" w:name="_Toc19"/>
      <w:bookmarkStart w:id="725" w:name="_Toc3697"/>
      <w:bookmarkStart w:id="726" w:name="_Toc166778348"/>
      <w:bookmarkStart w:id="727" w:name="_Toc22163"/>
      <w:bookmarkStart w:id="728" w:name="_Toc99299739"/>
      <w:bookmarkStart w:id="729" w:name="_Toc23350"/>
      <w:bookmarkStart w:id="730" w:name="_Toc189905374"/>
      <w:bookmarkStart w:id="731" w:name="_Toc16975"/>
      <w:r>
        <w:rPr>
          <w:rFonts w:hint="eastAsia" w:ascii="宋体" w:hAnsi="宋体"/>
          <w:bCs w:val="0"/>
          <w:color w:val="auto"/>
          <w:sz w:val="24"/>
          <w:szCs w:val="24"/>
          <w:highlight w:val="none"/>
        </w:rPr>
        <w:t>2．评标程序</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14:paraId="08C6959F">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2.1评标程序分为投标文件符合性审查、澄清有关问题、比较和评价、推荐中标候选人。</w:t>
      </w:r>
    </w:p>
    <w:p w14:paraId="4B9DCB6D">
      <w:pPr>
        <w:pStyle w:val="4"/>
        <w:adjustRightInd w:val="0"/>
        <w:snapToGrid w:val="0"/>
        <w:spacing w:before="0" w:after="0" w:line="360" w:lineRule="auto"/>
        <w:rPr>
          <w:rFonts w:ascii="宋体" w:hAnsi="宋体"/>
          <w:bCs w:val="0"/>
          <w:color w:val="auto"/>
          <w:sz w:val="24"/>
          <w:szCs w:val="24"/>
          <w:highlight w:val="none"/>
        </w:rPr>
      </w:pPr>
      <w:bookmarkStart w:id="732" w:name="_Toc5501"/>
      <w:bookmarkStart w:id="733" w:name="_Toc7172"/>
      <w:bookmarkStart w:id="734" w:name="_Toc193053719"/>
      <w:bookmarkStart w:id="735" w:name="_Toc113350950"/>
      <w:bookmarkStart w:id="736" w:name="_Toc99299740"/>
      <w:bookmarkStart w:id="737" w:name="_Toc79093686"/>
      <w:bookmarkStart w:id="738" w:name="_Toc171282418"/>
      <w:bookmarkStart w:id="739" w:name="_Toc118209441"/>
      <w:bookmarkStart w:id="740" w:name="_Toc137408731"/>
      <w:bookmarkStart w:id="741" w:name="_Toc20682"/>
      <w:bookmarkStart w:id="742" w:name="_Toc1339"/>
      <w:bookmarkStart w:id="743" w:name="_Toc20674"/>
      <w:bookmarkStart w:id="744" w:name="_Toc7031"/>
      <w:bookmarkStart w:id="745" w:name="_Toc166778349"/>
      <w:bookmarkStart w:id="746" w:name="_Toc16678"/>
      <w:bookmarkStart w:id="747" w:name="_Toc9101"/>
      <w:bookmarkStart w:id="748" w:name="_Toc111543571"/>
      <w:bookmarkStart w:id="749" w:name="_Toc21607"/>
      <w:bookmarkStart w:id="750" w:name="_Toc140957884"/>
      <w:bookmarkStart w:id="751" w:name="_Toc4153"/>
      <w:bookmarkStart w:id="752" w:name="_Toc1455"/>
      <w:bookmarkStart w:id="753" w:name="_Toc108483410"/>
      <w:bookmarkStart w:id="754" w:name="_Toc9382"/>
      <w:bookmarkStart w:id="755" w:name="_Toc189905375"/>
      <w:bookmarkStart w:id="756" w:name="_Toc83"/>
      <w:bookmarkStart w:id="757" w:name="_Toc109656592"/>
      <w:bookmarkStart w:id="758" w:name="_Toc103979593"/>
      <w:bookmarkStart w:id="759" w:name="_Toc7623"/>
      <w:bookmarkStart w:id="760" w:name="_Toc18409"/>
      <w:bookmarkStart w:id="761" w:name="_Toc25065"/>
      <w:r>
        <w:rPr>
          <w:rFonts w:hint="eastAsia" w:ascii="宋体" w:hAnsi="宋体"/>
          <w:bCs w:val="0"/>
          <w:color w:val="auto"/>
          <w:sz w:val="24"/>
          <w:szCs w:val="24"/>
          <w:highlight w:val="none"/>
        </w:rPr>
        <w:t>3．投标文件符合性审查</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7377A10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3.1资格审查结束后，评标委员会依法按照本章第三节“投标文件的符合性审查”规定进行投标文件符合性。</w:t>
      </w:r>
    </w:p>
    <w:p w14:paraId="30A1A77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3.2符合性审查合格投标人少于3家的，应予废标。</w:t>
      </w:r>
    </w:p>
    <w:p w14:paraId="2E9A2145">
      <w:pPr>
        <w:pStyle w:val="4"/>
        <w:adjustRightInd w:val="0"/>
        <w:snapToGrid w:val="0"/>
        <w:spacing w:before="0" w:after="0" w:line="360" w:lineRule="auto"/>
        <w:rPr>
          <w:rFonts w:ascii="宋体" w:hAnsi="宋体"/>
          <w:bCs w:val="0"/>
          <w:color w:val="auto"/>
          <w:sz w:val="24"/>
          <w:szCs w:val="24"/>
          <w:highlight w:val="none"/>
        </w:rPr>
      </w:pPr>
      <w:bookmarkStart w:id="762" w:name="_Toc9144"/>
      <w:bookmarkStart w:id="763" w:name="_Toc19629"/>
      <w:bookmarkStart w:id="764" w:name="_Toc15887"/>
      <w:bookmarkStart w:id="765" w:name="_Toc11599"/>
      <w:bookmarkStart w:id="766" w:name="_Toc113350951"/>
      <w:bookmarkStart w:id="767" w:name="_Toc6021"/>
      <w:bookmarkStart w:id="768" w:name="_Toc99299741"/>
      <w:bookmarkStart w:id="769" w:name="_Toc111543572"/>
      <w:bookmarkStart w:id="770" w:name="_Toc30121"/>
      <w:bookmarkStart w:id="771" w:name="_Toc103979594"/>
      <w:bookmarkStart w:id="772" w:name="_Toc118209442"/>
      <w:bookmarkStart w:id="773" w:name="_Toc79093687"/>
      <w:bookmarkStart w:id="774" w:name="_Toc137408732"/>
      <w:bookmarkStart w:id="775" w:name="_Toc101"/>
      <w:bookmarkStart w:id="776" w:name="_Toc171282419"/>
      <w:bookmarkStart w:id="777" w:name="_Toc16758"/>
      <w:bookmarkStart w:id="778" w:name="_Toc166778350"/>
      <w:bookmarkStart w:id="779" w:name="_Toc22961"/>
      <w:bookmarkStart w:id="780" w:name="_Toc21072"/>
      <w:bookmarkStart w:id="781" w:name="_Toc108483411"/>
      <w:bookmarkStart w:id="782" w:name="_Toc3855"/>
      <w:bookmarkStart w:id="783" w:name="_Toc19773"/>
      <w:bookmarkStart w:id="784" w:name="_Toc109656593"/>
      <w:bookmarkStart w:id="785" w:name="_Toc193053720"/>
      <w:bookmarkStart w:id="786" w:name="_Toc140957885"/>
      <w:bookmarkStart w:id="787" w:name="_Toc29120"/>
      <w:bookmarkStart w:id="788" w:name="_Toc11293"/>
      <w:bookmarkStart w:id="789" w:name="_Toc24587"/>
      <w:bookmarkStart w:id="790" w:name="_Toc189905376"/>
      <w:bookmarkStart w:id="791" w:name="_Toc10969"/>
      <w:r>
        <w:rPr>
          <w:rFonts w:hint="eastAsia" w:ascii="宋体" w:hAnsi="宋体"/>
          <w:bCs w:val="0"/>
          <w:color w:val="auto"/>
          <w:sz w:val="24"/>
          <w:szCs w:val="24"/>
          <w:highlight w:val="none"/>
        </w:rPr>
        <w:t>4．投标文件的澄清</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5FD5CC0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70CF1EC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465F343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4F91D55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5352D5D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2A1D71B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3D91090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0987192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5EA866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685AFDEF">
      <w:pPr>
        <w:adjustRightInd w:val="0"/>
        <w:snapToGrid w:val="0"/>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4.6异常报价</w:t>
      </w:r>
      <w:bookmarkStart w:id="792" w:name="_Toc10473"/>
      <w:bookmarkStart w:id="793" w:name="_Toc109656594"/>
      <w:bookmarkStart w:id="794" w:name="_Toc193053721"/>
      <w:bookmarkStart w:id="795" w:name="_Toc79093688"/>
      <w:bookmarkStart w:id="796" w:name="_Toc166778351"/>
      <w:bookmarkStart w:id="797" w:name="_Toc171282420"/>
      <w:bookmarkStart w:id="798" w:name="_Toc24823"/>
      <w:bookmarkStart w:id="799" w:name="_Toc17703"/>
      <w:bookmarkStart w:id="800" w:name="_Toc118209443"/>
      <w:bookmarkStart w:id="801" w:name="_Toc29494"/>
      <w:bookmarkStart w:id="802" w:name="_Toc113350952"/>
      <w:bookmarkStart w:id="803" w:name="_Toc137408733"/>
      <w:bookmarkStart w:id="804" w:name="_Toc108483412"/>
      <w:bookmarkStart w:id="805" w:name="_Toc189905377"/>
      <w:bookmarkStart w:id="806" w:name="_Toc21266"/>
      <w:bookmarkStart w:id="807" w:name="_Toc21050"/>
      <w:bookmarkStart w:id="808" w:name="_Toc27238"/>
      <w:bookmarkStart w:id="809" w:name="_Toc15933"/>
      <w:bookmarkStart w:id="810" w:name="_Toc25551"/>
      <w:bookmarkStart w:id="811" w:name="_Toc31938"/>
      <w:bookmarkStart w:id="812" w:name="_Toc103979595"/>
      <w:bookmarkStart w:id="813" w:name="_Toc31305"/>
      <w:bookmarkStart w:id="814" w:name="_Toc17975"/>
      <w:bookmarkStart w:id="815" w:name="_Toc17776"/>
      <w:bookmarkStart w:id="816" w:name="_Toc3223"/>
      <w:bookmarkStart w:id="817" w:name="_Toc99299742"/>
      <w:bookmarkStart w:id="818" w:name="_Toc111543573"/>
      <w:bookmarkStart w:id="819" w:name="_Toc13814"/>
      <w:bookmarkStart w:id="820" w:name="_Toc32587"/>
      <w:bookmarkStart w:id="821" w:name="_Toc140957886"/>
    </w:p>
    <w:p w14:paraId="2D44F0F8">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4.6．1投标报价中出现下列情形之一的，评审委员会应当启动异常低价投标（响应）审查程序：　　</w:t>
      </w:r>
    </w:p>
    <w:p w14:paraId="3BE474C4">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（1）投标（响应）报价低于全部通过符合性审查供应商投标（响应）报价平均值</w:t>
      </w:r>
      <w:r>
        <w:rPr>
          <w:rFonts w:hint="eastAsia" w:ascii="宋体" w:hAnsi="宋体"/>
          <w:color w:val="auto"/>
          <w:szCs w:val="21"/>
          <w:highlight w:val="none"/>
          <w:lang w:val="en-US" w:eastAsia="zh-CN"/>
        </w:rPr>
        <w:t>65</w:t>
      </w:r>
      <w:r>
        <w:rPr>
          <w:rFonts w:hint="eastAsia" w:ascii="宋体" w:hAnsi="宋体"/>
          <w:color w:val="auto"/>
          <w:szCs w:val="21"/>
          <w:highlight w:val="none"/>
        </w:rPr>
        <w:t>%的，即投标（响应）报价&lt;全部通过符合性审查供应商投标（响应）报价平均值×</w:t>
      </w:r>
      <w:r>
        <w:rPr>
          <w:rFonts w:hint="eastAsia" w:ascii="宋体" w:hAnsi="宋体"/>
          <w:color w:val="auto"/>
          <w:szCs w:val="21"/>
          <w:highlight w:val="none"/>
          <w:lang w:val="en-US" w:eastAsia="zh-CN"/>
        </w:rPr>
        <w:t>65</w:t>
      </w:r>
      <w:r>
        <w:rPr>
          <w:rFonts w:hint="eastAsia" w:ascii="宋体" w:hAnsi="宋体"/>
          <w:color w:val="auto"/>
          <w:szCs w:val="21"/>
          <w:highlight w:val="none"/>
        </w:rPr>
        <w:t>%； </w:t>
      </w:r>
    </w:p>
    <w:p w14:paraId="3A9B1AC3">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（2）投标（响应）报价低于通过符合性审查的次低报价供应商投标（响应）报价</w:t>
      </w:r>
      <w:r>
        <w:rPr>
          <w:rFonts w:hint="eastAsia" w:ascii="宋体" w:hAnsi="宋体"/>
          <w:color w:val="auto"/>
          <w:szCs w:val="21"/>
          <w:highlight w:val="none"/>
          <w:lang w:val="en-US" w:eastAsia="zh-CN"/>
        </w:rPr>
        <w:t>65</w:t>
      </w:r>
      <w:r>
        <w:rPr>
          <w:rFonts w:hint="eastAsia" w:ascii="宋体" w:hAnsi="宋体"/>
          <w:color w:val="auto"/>
          <w:szCs w:val="21"/>
          <w:highlight w:val="none"/>
        </w:rPr>
        <w:t>%的，即投标（响应）报价&lt;通过符合性审查的次低报价供应商投标（响应）报价×</w:t>
      </w:r>
      <w:r>
        <w:rPr>
          <w:rFonts w:hint="eastAsia" w:ascii="宋体" w:hAnsi="宋体"/>
          <w:color w:val="auto"/>
          <w:szCs w:val="21"/>
          <w:highlight w:val="none"/>
          <w:lang w:val="en-US" w:eastAsia="zh-CN"/>
        </w:rPr>
        <w:t>65</w:t>
      </w:r>
      <w:r>
        <w:rPr>
          <w:rFonts w:hint="eastAsia" w:ascii="宋体" w:hAnsi="宋体"/>
          <w:color w:val="auto"/>
          <w:szCs w:val="21"/>
          <w:highlight w:val="none"/>
        </w:rPr>
        <w:t>%； </w:t>
      </w:r>
    </w:p>
    <w:p w14:paraId="2B454D74">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（3）投标（响应）报价低于采购项目最高限价</w:t>
      </w:r>
      <w:r>
        <w:rPr>
          <w:rFonts w:hint="eastAsia" w:ascii="宋体" w:hAnsi="宋体"/>
          <w:color w:val="auto"/>
          <w:szCs w:val="21"/>
          <w:highlight w:val="none"/>
          <w:lang w:val="en-US" w:eastAsia="zh-CN"/>
        </w:rPr>
        <w:t>6</w:t>
      </w:r>
      <w:r>
        <w:rPr>
          <w:rFonts w:hint="eastAsia" w:ascii="宋体" w:hAnsi="宋体"/>
          <w:color w:val="auto"/>
          <w:szCs w:val="21"/>
          <w:highlight w:val="none"/>
        </w:rPr>
        <w:t>5%的，即投标（响应）报价&lt;采购项目最高限价×</w:t>
      </w:r>
      <w:r>
        <w:rPr>
          <w:rFonts w:hint="eastAsia" w:ascii="宋体" w:hAnsi="宋体"/>
          <w:color w:val="auto"/>
          <w:szCs w:val="21"/>
          <w:highlight w:val="none"/>
          <w:lang w:val="en-US" w:eastAsia="zh-CN"/>
        </w:rPr>
        <w:t>6</w:t>
      </w:r>
      <w:r>
        <w:rPr>
          <w:rFonts w:hint="eastAsia" w:ascii="宋体" w:hAnsi="宋体"/>
          <w:color w:val="auto"/>
          <w:szCs w:val="21"/>
          <w:highlight w:val="none"/>
        </w:rPr>
        <w:t>5%； </w:t>
      </w:r>
    </w:p>
    <w:p w14:paraId="21B462A6">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（4）评审委员会基于专业判断，认为供应商报价过低，有可能影响产品质量或者不能诚信履约的其他情形。</w:t>
      </w:r>
    </w:p>
    <w:p w14:paraId="1206A7D4">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采购人可以结合具体项目实际情况，提高上述第1项至第3项中启动异常低价投标（响应）审查的数值标准，但是最高不得超过65%。 </w:t>
      </w:r>
    </w:p>
    <w:p w14:paraId="1CCE17F7">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相关法律法规对供应商报价有规定的，从其规定。 </w:t>
      </w:r>
    </w:p>
    <w:p w14:paraId="2336480B">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4.6.2评审委员会启动异常低价投标（响应）审查后，属于4.6.1款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531BD85C">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4.6</w:t>
      </w:r>
      <w:r>
        <w:rPr>
          <w:rFonts w:hint="eastAsia" w:ascii="宋体" w:hAnsi="宋体"/>
          <w:color w:val="auto"/>
          <w:szCs w:val="21"/>
          <w:highlight w:val="none"/>
          <w:lang w:val="en-US" w:eastAsia="zh-CN"/>
        </w:rPr>
        <w:t>.</w:t>
      </w:r>
      <w:r>
        <w:rPr>
          <w:rFonts w:hint="eastAsia" w:ascii="宋体" w:hAnsi="宋体"/>
          <w:color w:val="auto"/>
          <w:szCs w:val="21"/>
          <w:highlight w:val="none"/>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18D0E72F">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4.6.4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7DAE100B">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4.6.5异常低价投标（响应）审查的启动原因、审查意见和审查结果应当在评审报告中记录，并随供应商提供的相关书面说明及证明材料。</w:t>
      </w:r>
    </w:p>
    <w:p w14:paraId="626B6E25">
      <w:pPr>
        <w:pStyle w:val="4"/>
        <w:adjustRightInd w:val="0"/>
        <w:snapToGrid w:val="0"/>
        <w:spacing w:before="0" w:after="0" w:line="360" w:lineRule="auto"/>
        <w:rPr>
          <w:rFonts w:ascii="宋体" w:hAnsi="宋体"/>
          <w:bCs w:val="0"/>
          <w:color w:val="auto"/>
          <w:sz w:val="24"/>
          <w:szCs w:val="24"/>
          <w:highlight w:val="none"/>
        </w:rPr>
      </w:pPr>
      <w:r>
        <w:rPr>
          <w:rFonts w:hint="eastAsia" w:ascii="宋体" w:hAnsi="宋体"/>
          <w:bCs w:val="0"/>
          <w:color w:val="auto"/>
          <w:sz w:val="24"/>
          <w:szCs w:val="24"/>
          <w:highlight w:val="none"/>
        </w:rPr>
        <w:t>5．投标文件的比较与评价</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253CA319">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5.1评标委员会依法按照本章第四节“投标文件的比较与评价”规定，对资格性检查和符合性检查合格的投标文件进行比较和评价。</w:t>
      </w:r>
    </w:p>
    <w:p w14:paraId="48D91942">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5.2政府采购政策：</w:t>
      </w:r>
    </w:p>
    <w:p w14:paraId="7BA6C045">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价格评审优惠：</w:t>
      </w:r>
      <w:r>
        <w:rPr>
          <w:rFonts w:hint="eastAsia" w:ascii="宋体" w:hAnsi="宋体"/>
          <w:color w:val="auto"/>
          <w:szCs w:val="21"/>
          <w:highlight w:val="none"/>
        </w:rPr>
        <w:t>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及第二章“投标须知”的相关规定给予相应比例的价格折扣。</w:t>
      </w:r>
    </w:p>
    <w:p w14:paraId="28544ED2">
      <w:pPr>
        <w:pStyle w:val="4"/>
        <w:adjustRightInd w:val="0"/>
        <w:snapToGrid w:val="0"/>
        <w:spacing w:before="0" w:after="0" w:line="360" w:lineRule="auto"/>
        <w:rPr>
          <w:rFonts w:ascii="宋体" w:hAnsi="宋体"/>
          <w:color w:val="auto"/>
          <w:sz w:val="24"/>
          <w:szCs w:val="24"/>
          <w:highlight w:val="none"/>
        </w:rPr>
      </w:pPr>
      <w:bookmarkStart w:id="822" w:name="_Toc27027"/>
      <w:bookmarkStart w:id="823" w:name="_Toc108483413"/>
      <w:bookmarkStart w:id="824" w:name="_Toc189905378"/>
      <w:bookmarkStart w:id="825" w:name="_Toc20396"/>
      <w:bookmarkStart w:id="826" w:name="_Toc21221"/>
      <w:bookmarkStart w:id="827" w:name="_Toc79093689"/>
      <w:bookmarkStart w:id="828" w:name="_Toc3078"/>
      <w:bookmarkStart w:id="829" w:name="_Toc193053722"/>
      <w:bookmarkStart w:id="830" w:name="_Toc103979596"/>
      <w:bookmarkStart w:id="831" w:name="_Toc6775"/>
      <w:bookmarkStart w:id="832" w:name="_Toc5437"/>
      <w:bookmarkStart w:id="833" w:name="_Toc3579"/>
      <w:bookmarkStart w:id="834" w:name="_Toc6840"/>
      <w:bookmarkStart w:id="835" w:name="_Toc17665"/>
      <w:bookmarkStart w:id="836" w:name="_Toc113350953"/>
      <w:bookmarkStart w:id="837" w:name="_Toc118209444"/>
      <w:bookmarkStart w:id="838" w:name="_Toc99299743"/>
      <w:bookmarkStart w:id="839" w:name="_Toc30080"/>
      <w:bookmarkStart w:id="840" w:name="_Toc109656595"/>
      <w:bookmarkStart w:id="841" w:name="_Toc171282421"/>
      <w:bookmarkStart w:id="842" w:name="_Toc137408734"/>
      <w:bookmarkStart w:id="843" w:name="_Toc28998"/>
      <w:bookmarkStart w:id="844" w:name="_Toc111543574"/>
      <w:bookmarkStart w:id="845" w:name="_Toc30006"/>
      <w:bookmarkStart w:id="846" w:name="_Toc29684"/>
      <w:bookmarkStart w:id="847" w:name="_Toc11514"/>
      <w:bookmarkStart w:id="848" w:name="_Toc166778352"/>
      <w:bookmarkStart w:id="849" w:name="_Toc140957887"/>
      <w:bookmarkStart w:id="850" w:name="_Toc129"/>
      <w:bookmarkStart w:id="851" w:name="_Toc31299"/>
      <w:r>
        <w:rPr>
          <w:rFonts w:hint="eastAsia" w:ascii="宋体" w:hAnsi="宋体"/>
          <w:bCs w:val="0"/>
          <w:color w:val="auto"/>
          <w:sz w:val="24"/>
          <w:szCs w:val="24"/>
          <w:highlight w:val="none"/>
        </w:rPr>
        <w:t>6．</w:t>
      </w:r>
      <w:r>
        <w:rPr>
          <w:rFonts w:hint="eastAsia" w:ascii="宋体" w:hAnsi="宋体"/>
          <w:color w:val="auto"/>
          <w:sz w:val="24"/>
          <w:szCs w:val="24"/>
          <w:highlight w:val="none"/>
        </w:rPr>
        <w:t>推荐中标候选人</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14:paraId="33B84E8F">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6.1</w:t>
      </w:r>
      <w:r>
        <w:rPr>
          <w:rFonts w:hint="eastAsia" w:ascii="宋体" w:hAnsi="宋体"/>
          <w:bCs/>
          <w:color w:val="auto"/>
          <w:szCs w:val="21"/>
          <w:highlight w:val="none"/>
        </w:rPr>
        <w:t>评标结果按评审后得分由高到低顺序排列。得分相同的，按投标报价由低到高顺序排列。得分且投标报价相同的并列，按</w:t>
      </w:r>
      <w:r>
        <w:rPr>
          <w:rFonts w:hint="eastAsia" w:ascii="宋体" w:hAnsi="宋体"/>
          <w:b/>
          <w:bCs/>
          <w:color w:val="auto"/>
          <w:szCs w:val="21"/>
          <w:highlight w:val="none"/>
        </w:rPr>
        <w:t>【评标方法及标准前附表】</w:t>
      </w:r>
      <w:r>
        <w:rPr>
          <w:rFonts w:hint="eastAsia" w:ascii="宋体" w:hAnsi="宋体"/>
          <w:bCs/>
          <w:color w:val="auto"/>
          <w:szCs w:val="21"/>
          <w:highlight w:val="none"/>
        </w:rPr>
        <w:t>规定的方式确定中标人；招标文件未规定的，采取随机抽取的方式确定。</w:t>
      </w:r>
    </w:p>
    <w:p w14:paraId="689D586B">
      <w:pPr>
        <w:pStyle w:val="4"/>
        <w:adjustRightInd w:val="0"/>
        <w:snapToGrid w:val="0"/>
        <w:spacing w:before="0" w:after="0" w:line="360" w:lineRule="auto"/>
        <w:rPr>
          <w:rFonts w:ascii="宋体" w:hAnsi="宋体"/>
          <w:color w:val="auto"/>
          <w:sz w:val="24"/>
          <w:szCs w:val="24"/>
          <w:highlight w:val="none"/>
        </w:rPr>
      </w:pPr>
      <w:bookmarkStart w:id="852" w:name="_Toc109656596"/>
      <w:bookmarkStart w:id="853" w:name="_Toc99299744"/>
      <w:bookmarkStart w:id="854" w:name="_Toc4982"/>
      <w:bookmarkStart w:id="855" w:name="_Toc23121"/>
      <w:bookmarkStart w:id="856" w:name="_Toc171282422"/>
      <w:bookmarkStart w:id="857" w:name="_Toc137408735"/>
      <w:bookmarkStart w:id="858" w:name="_Toc30874"/>
      <w:bookmarkStart w:id="859" w:name="_Toc23006"/>
      <w:bookmarkStart w:id="860" w:name="_Toc26244"/>
      <w:bookmarkStart w:id="861" w:name="_Toc13787"/>
      <w:bookmarkStart w:id="862" w:name="_Toc16923"/>
      <w:bookmarkStart w:id="863" w:name="_Toc4674"/>
      <w:bookmarkStart w:id="864" w:name="_Toc17800"/>
      <w:bookmarkStart w:id="865" w:name="_Toc25998"/>
      <w:bookmarkStart w:id="866" w:name="_Toc19285"/>
      <w:bookmarkStart w:id="867" w:name="_Toc140957888"/>
      <w:bookmarkStart w:id="868" w:name="_Toc2490"/>
      <w:bookmarkStart w:id="869" w:name="_Toc111543575"/>
      <w:bookmarkStart w:id="870" w:name="_Toc166778353"/>
      <w:bookmarkStart w:id="871" w:name="_Toc4410"/>
      <w:bookmarkStart w:id="872" w:name="_Toc27834"/>
      <w:bookmarkStart w:id="873" w:name="_Toc118209445"/>
      <w:bookmarkStart w:id="874" w:name="_Toc113350954"/>
      <w:bookmarkStart w:id="875" w:name="_Toc24138"/>
      <w:bookmarkStart w:id="876" w:name="_Toc108483414"/>
      <w:bookmarkStart w:id="877" w:name="_Toc79093690"/>
      <w:bookmarkStart w:id="878" w:name="_Toc31696"/>
      <w:bookmarkStart w:id="879" w:name="_Toc103979597"/>
      <w:bookmarkStart w:id="880" w:name="_Toc189905379"/>
      <w:bookmarkStart w:id="881" w:name="_Toc193053723"/>
      <w:r>
        <w:rPr>
          <w:rFonts w:hint="eastAsia" w:ascii="宋体" w:hAnsi="宋体"/>
          <w:bCs w:val="0"/>
          <w:color w:val="auto"/>
          <w:sz w:val="24"/>
          <w:szCs w:val="24"/>
          <w:highlight w:val="none"/>
        </w:rPr>
        <w:t>7．</w:t>
      </w:r>
      <w:r>
        <w:rPr>
          <w:rFonts w:hint="eastAsia" w:ascii="宋体" w:hAnsi="宋体"/>
          <w:color w:val="auto"/>
          <w:sz w:val="24"/>
          <w:szCs w:val="24"/>
          <w:highlight w:val="none"/>
        </w:rPr>
        <w:t>编写评标报告</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14:paraId="034419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7.1评标</w:t>
      </w:r>
      <w:r>
        <w:rPr>
          <w:rFonts w:hint="eastAsia" w:ascii="宋体" w:hAnsi="宋体"/>
          <w:bCs/>
          <w:color w:val="auto"/>
          <w:szCs w:val="21"/>
          <w:highlight w:val="none"/>
        </w:rPr>
        <w:t>委员会</w:t>
      </w:r>
      <w:r>
        <w:rPr>
          <w:rFonts w:hint="eastAsia" w:ascii="宋体" w:hAnsi="宋体"/>
          <w:color w:val="auto"/>
          <w:szCs w:val="21"/>
          <w:highlight w:val="none"/>
        </w:rPr>
        <w:t>根据全体评标成员签字的原始评标记录和评标结果编写评标报告。</w:t>
      </w:r>
    </w:p>
    <w:p w14:paraId="1AAB4EDC">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7.2</w:t>
      </w:r>
      <w:r>
        <w:rPr>
          <w:rFonts w:hint="eastAsia" w:ascii="宋体" w:hAnsi="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468F754">
      <w:pPr>
        <w:pStyle w:val="4"/>
        <w:adjustRightInd w:val="0"/>
        <w:snapToGrid w:val="0"/>
        <w:spacing w:before="0" w:after="0" w:line="360" w:lineRule="auto"/>
        <w:rPr>
          <w:rFonts w:ascii="宋体" w:hAnsi="宋体"/>
          <w:bCs w:val="0"/>
          <w:color w:val="auto"/>
          <w:sz w:val="24"/>
          <w:szCs w:val="24"/>
          <w:highlight w:val="none"/>
        </w:rPr>
      </w:pPr>
      <w:bookmarkStart w:id="882" w:name="_Toc22861"/>
      <w:bookmarkStart w:id="883" w:name="_Toc109656597"/>
      <w:bookmarkStart w:id="884" w:name="_Toc15722"/>
      <w:bookmarkStart w:id="885" w:name="_Toc19841"/>
      <w:bookmarkStart w:id="886" w:name="_Toc140957889"/>
      <w:bookmarkStart w:id="887" w:name="_Toc137408736"/>
      <w:bookmarkStart w:id="888" w:name="_Toc13789"/>
      <w:bookmarkStart w:id="889" w:name="_Toc111543576"/>
      <w:bookmarkStart w:id="890" w:name="_Toc18743"/>
      <w:bookmarkStart w:id="891" w:name="_Toc23324"/>
      <w:bookmarkStart w:id="892" w:name="_Toc171282423"/>
      <w:bookmarkStart w:id="893" w:name="_Toc193053724"/>
      <w:bookmarkStart w:id="894" w:name="_Toc21996"/>
      <w:bookmarkStart w:id="895" w:name="_Toc6266"/>
      <w:bookmarkStart w:id="896" w:name="_Toc19226"/>
      <w:bookmarkStart w:id="897" w:name="_Toc9675"/>
      <w:bookmarkStart w:id="898" w:name="_Toc1967"/>
      <w:bookmarkStart w:id="899" w:name="_Toc118209446"/>
      <w:bookmarkStart w:id="900" w:name="_Toc189905380"/>
      <w:bookmarkStart w:id="901" w:name="_Toc10540"/>
      <w:bookmarkStart w:id="902" w:name="_Toc99299745"/>
      <w:bookmarkStart w:id="903" w:name="_Toc113350955"/>
      <w:bookmarkStart w:id="904" w:name="_Toc17787"/>
      <w:bookmarkStart w:id="905" w:name="_Toc103979598"/>
      <w:bookmarkStart w:id="906" w:name="_Toc166778354"/>
      <w:bookmarkStart w:id="907" w:name="_Toc28705"/>
      <w:bookmarkStart w:id="908" w:name="_Toc108483415"/>
      <w:bookmarkStart w:id="909" w:name="_Toc79093691"/>
      <w:bookmarkStart w:id="910" w:name="_Toc15982"/>
      <w:bookmarkStart w:id="911" w:name="_Toc5096"/>
      <w:r>
        <w:rPr>
          <w:rFonts w:hint="eastAsia" w:ascii="宋体" w:hAnsi="宋体"/>
          <w:bCs w:val="0"/>
          <w:color w:val="auto"/>
          <w:sz w:val="24"/>
          <w:szCs w:val="24"/>
          <w:highlight w:val="none"/>
        </w:rPr>
        <w:t>8．</w:t>
      </w:r>
      <w:r>
        <w:rPr>
          <w:rFonts w:hint="eastAsia" w:ascii="宋体" w:hAnsi="宋体"/>
          <w:color w:val="auto"/>
          <w:sz w:val="24"/>
          <w:szCs w:val="24"/>
          <w:highlight w:val="none"/>
        </w:rPr>
        <w:t>评标报告</w:t>
      </w:r>
      <w:r>
        <w:rPr>
          <w:rFonts w:hint="eastAsia" w:ascii="宋体" w:hAnsi="宋体"/>
          <w:bCs w:val="0"/>
          <w:color w:val="auto"/>
          <w:sz w:val="24"/>
          <w:szCs w:val="24"/>
          <w:highlight w:val="none"/>
        </w:rPr>
        <w:t>复核</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6CB8C072">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8.1汇总结束后，评标委员会应当进行复核，特别要对拟推荐为中标候选供应商的、报价最低的、投标文件被认定为无效的进行重点复核。</w:t>
      </w:r>
    </w:p>
    <w:p w14:paraId="2B9F7DC3">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8.2汇总完成后，除下列情形外，任何人不得修改评标结果：</w:t>
      </w:r>
    </w:p>
    <w:p w14:paraId="194F2974">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（1）分值汇总计算错误的；</w:t>
      </w:r>
    </w:p>
    <w:p w14:paraId="7F1633F8">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（2）分项评分超出评分标准范围的；</w:t>
      </w:r>
    </w:p>
    <w:p w14:paraId="35047BC9">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（3）评标委员会成员对客观评审因素评分不一致的；</w:t>
      </w:r>
    </w:p>
    <w:p w14:paraId="4C37D37B">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（4）经评标委员会认定评分畸高、畸低的。</w:t>
      </w:r>
    </w:p>
    <w:p w14:paraId="5B9B1178">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23D5280">
      <w:pPr>
        <w:pStyle w:val="4"/>
        <w:adjustRightInd w:val="0"/>
        <w:snapToGrid w:val="0"/>
        <w:spacing w:before="0" w:after="0" w:line="360" w:lineRule="auto"/>
        <w:rPr>
          <w:rFonts w:ascii="宋体" w:hAnsi="宋体"/>
          <w:bCs w:val="0"/>
          <w:color w:val="auto"/>
          <w:sz w:val="24"/>
          <w:szCs w:val="24"/>
          <w:highlight w:val="none"/>
        </w:rPr>
      </w:pPr>
      <w:bookmarkStart w:id="912" w:name="_Toc9078"/>
      <w:bookmarkStart w:id="913" w:name="_Toc109656598"/>
      <w:bookmarkStart w:id="914" w:name="_Toc30471"/>
      <w:bookmarkStart w:id="915" w:name="_Toc200"/>
      <w:bookmarkStart w:id="916" w:name="_Toc193053725"/>
      <w:bookmarkStart w:id="917" w:name="_Toc3802"/>
      <w:bookmarkStart w:id="918" w:name="_Toc24488"/>
      <w:bookmarkStart w:id="919" w:name="_Toc137408737"/>
      <w:bookmarkStart w:id="920" w:name="_Toc79093692"/>
      <w:bookmarkStart w:id="921" w:name="_Toc108483416"/>
      <w:bookmarkStart w:id="922" w:name="_Toc140957890"/>
      <w:bookmarkStart w:id="923" w:name="_Toc16504"/>
      <w:bookmarkStart w:id="924" w:name="_Toc99299746"/>
      <w:bookmarkStart w:id="925" w:name="_Toc118209447"/>
      <w:bookmarkStart w:id="926" w:name="_Toc29526"/>
      <w:bookmarkStart w:id="927" w:name="_Toc3662"/>
      <w:bookmarkStart w:id="928" w:name="_Toc13010"/>
      <w:bookmarkStart w:id="929" w:name="_Toc26561"/>
      <w:bookmarkStart w:id="930" w:name="_Toc22208"/>
      <w:bookmarkStart w:id="931" w:name="_Toc10522"/>
      <w:bookmarkStart w:id="932" w:name="_Toc103979599"/>
      <w:bookmarkStart w:id="933" w:name="_Toc166778355"/>
      <w:bookmarkStart w:id="934" w:name="_Toc111543577"/>
      <w:bookmarkStart w:id="935" w:name="_Toc113350956"/>
      <w:bookmarkStart w:id="936" w:name="_Toc22922"/>
      <w:bookmarkStart w:id="937" w:name="_Toc9921"/>
      <w:bookmarkStart w:id="938" w:name="_Toc29557"/>
      <w:bookmarkStart w:id="939" w:name="_Toc171282424"/>
      <w:bookmarkStart w:id="940" w:name="_Toc17038"/>
      <w:bookmarkStart w:id="941" w:name="_Toc189905381"/>
      <w:r>
        <w:rPr>
          <w:rFonts w:hint="eastAsia" w:ascii="宋体" w:hAnsi="宋体"/>
          <w:color w:val="auto"/>
          <w:sz w:val="24"/>
          <w:szCs w:val="24"/>
          <w:highlight w:val="none"/>
        </w:rPr>
        <w:t>9．</w:t>
      </w:r>
      <w:r>
        <w:rPr>
          <w:rFonts w:hint="eastAsia" w:ascii="宋体" w:hAnsi="宋体"/>
          <w:bCs w:val="0"/>
          <w:color w:val="auto"/>
          <w:sz w:val="24"/>
          <w:szCs w:val="24"/>
          <w:highlight w:val="none"/>
        </w:rPr>
        <w:t>停止评标</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794BB782">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bCs/>
          <w:color w:val="auto"/>
          <w:szCs w:val="21"/>
          <w:highlight w:val="none"/>
        </w:rPr>
        <w:t>9.1</w:t>
      </w:r>
      <w:r>
        <w:rPr>
          <w:rFonts w:hint="eastAsia" w:ascii="宋体" w:hAnsi="宋体" w:cs="宋体"/>
          <w:color w:val="auto"/>
          <w:kern w:val="0"/>
          <w:szCs w:val="21"/>
          <w:highlight w:val="none"/>
        </w:rPr>
        <w:t>评标委员会发现招标文件存在歧义、重大缺陷导致评标工作无法进行，或者招标文件内容违反国家有关强制性规定的，应当停止评标工作，与采购人、者采购代理机构沟通并作书面记录。采购人、采购代理机构确认后，应当修改招标文件，重新组织采购活动。</w:t>
      </w:r>
    </w:p>
    <w:p w14:paraId="4A9F69A2">
      <w:pPr>
        <w:pStyle w:val="4"/>
        <w:spacing w:before="0" w:after="0" w:line="360" w:lineRule="auto"/>
        <w:rPr>
          <w:rFonts w:ascii="宋体" w:hAnsi="宋体"/>
          <w:bCs w:val="0"/>
          <w:color w:val="auto"/>
          <w:sz w:val="24"/>
          <w:szCs w:val="24"/>
          <w:highlight w:val="none"/>
        </w:rPr>
      </w:pPr>
      <w:bookmarkStart w:id="942" w:name="_Toc113350957"/>
      <w:bookmarkStart w:id="943" w:name="_Toc20257"/>
      <w:bookmarkStart w:id="944" w:name="_Toc19665"/>
      <w:bookmarkStart w:id="945" w:name="_Toc171282425"/>
      <w:bookmarkStart w:id="946" w:name="_Toc118209448"/>
      <w:bookmarkStart w:id="947" w:name="_Toc108483417"/>
      <w:bookmarkStart w:id="948" w:name="_Toc137408738"/>
      <w:bookmarkStart w:id="949" w:name="_Toc25339"/>
      <w:bookmarkStart w:id="950" w:name="_Toc15775"/>
      <w:bookmarkStart w:id="951" w:name="_Toc25646"/>
      <w:bookmarkStart w:id="952" w:name="_Toc166778356"/>
      <w:bookmarkStart w:id="953" w:name="_Toc23522"/>
      <w:bookmarkStart w:id="954" w:name="_Toc103979600"/>
      <w:bookmarkStart w:id="955" w:name="_Toc189905382"/>
      <w:bookmarkStart w:id="956" w:name="_Toc79093693"/>
      <w:bookmarkStart w:id="957" w:name="_Toc193053726"/>
      <w:bookmarkStart w:id="958" w:name="_Toc109656599"/>
      <w:bookmarkStart w:id="959" w:name="_Toc19765"/>
      <w:bookmarkStart w:id="960" w:name="_Toc17371"/>
      <w:bookmarkStart w:id="961" w:name="_Toc21810"/>
      <w:bookmarkStart w:id="962" w:name="_Toc111543578"/>
      <w:bookmarkStart w:id="963" w:name="_Toc23077"/>
      <w:bookmarkStart w:id="964" w:name="_Toc24146"/>
      <w:bookmarkStart w:id="965" w:name="_Toc2244"/>
      <w:bookmarkStart w:id="966" w:name="_Toc99299747"/>
      <w:bookmarkStart w:id="967" w:name="_Toc140957891"/>
      <w:r>
        <w:rPr>
          <w:rFonts w:hint="eastAsia" w:ascii="宋体" w:hAnsi="宋体"/>
          <w:bCs w:val="0"/>
          <w:color w:val="auto"/>
          <w:sz w:val="24"/>
          <w:szCs w:val="24"/>
          <w:highlight w:val="none"/>
        </w:rPr>
        <w:t>10.废标</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14:paraId="41FB7EC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 根据有关法律法规和招标文件的有关规定，如出现下列情况之一的，应予以废标：</w:t>
      </w:r>
    </w:p>
    <w:p w14:paraId="4E30AF9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76D8E3A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5F1757F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（3）投标人的报价均超过招标人项目采购预算，采购人不能支付的；</w:t>
      </w:r>
    </w:p>
    <w:p w14:paraId="2DAA118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（4）因重大变故，采购任务取消的。</w:t>
      </w:r>
    </w:p>
    <w:p w14:paraId="4DE07663">
      <w:pPr>
        <w:pStyle w:val="4"/>
        <w:keepNext w:val="0"/>
        <w:keepLines w:val="0"/>
        <w:adjustRightInd w:val="0"/>
        <w:snapToGrid w:val="0"/>
        <w:spacing w:before="0" w:after="0" w:line="360" w:lineRule="auto"/>
        <w:rPr>
          <w:rFonts w:ascii="宋体" w:hAnsi="宋体"/>
          <w:bCs w:val="0"/>
          <w:color w:val="auto"/>
          <w:sz w:val="24"/>
          <w:szCs w:val="24"/>
          <w:highlight w:val="none"/>
        </w:rPr>
      </w:pPr>
      <w:bookmarkStart w:id="968" w:name="_Toc21924"/>
      <w:bookmarkStart w:id="969" w:name="_Toc9927"/>
      <w:bookmarkStart w:id="970" w:name="_Toc23967"/>
      <w:bookmarkStart w:id="971" w:name="_Toc111543579"/>
      <w:bookmarkStart w:id="972" w:name="_Toc30810"/>
      <w:bookmarkStart w:id="973" w:name="_Toc193053727"/>
      <w:bookmarkStart w:id="974" w:name="_Toc113350958"/>
      <w:bookmarkStart w:id="975" w:name="_Toc118209449"/>
      <w:bookmarkStart w:id="976" w:name="_Toc20651225"/>
      <w:bookmarkStart w:id="977" w:name="_Toc2557"/>
      <w:bookmarkStart w:id="978" w:name="_Toc32018"/>
      <w:bookmarkStart w:id="979" w:name="_Toc137408739"/>
      <w:bookmarkStart w:id="980" w:name="_Toc22030"/>
      <w:bookmarkStart w:id="981" w:name="_Toc17816"/>
      <w:bookmarkStart w:id="982" w:name="_Toc18317"/>
      <w:bookmarkStart w:id="983" w:name="_Toc31276"/>
      <w:bookmarkStart w:id="984" w:name="_Toc99299748"/>
      <w:bookmarkStart w:id="985" w:name="_Toc4465"/>
      <w:bookmarkStart w:id="986" w:name="_Toc166778357"/>
      <w:bookmarkStart w:id="987" w:name="_Toc109656600"/>
      <w:bookmarkStart w:id="988" w:name="_Toc171282426"/>
      <w:bookmarkStart w:id="989" w:name="_Toc9748"/>
      <w:bookmarkStart w:id="990" w:name="_Toc18434"/>
      <w:bookmarkStart w:id="991" w:name="_Toc79093694"/>
      <w:bookmarkStart w:id="992" w:name="_Toc22921"/>
      <w:bookmarkStart w:id="993" w:name="_Toc140957892"/>
      <w:bookmarkStart w:id="994" w:name="_Toc189905383"/>
      <w:bookmarkStart w:id="995" w:name="_Toc7628"/>
      <w:bookmarkStart w:id="996" w:name="_Toc103979601"/>
      <w:bookmarkStart w:id="997" w:name="_Toc26197"/>
      <w:bookmarkStart w:id="998" w:name="_Toc108483418"/>
      <w:r>
        <w:rPr>
          <w:rFonts w:hint="eastAsia" w:ascii="宋体" w:hAnsi="宋体" w:cs="宋体"/>
          <w:color w:val="auto"/>
          <w:sz w:val="24"/>
          <w:szCs w:val="24"/>
          <w:highlight w:val="none"/>
        </w:rPr>
        <w:t>11．重新组建评标委员会进行评标</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26BFEF0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6BAF521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5A85ECB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4A6F4A2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3663394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0A90ED9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11.2有违法违规行为的原评标委员会成员不得参加重新组建的评标委员会。</w:t>
      </w:r>
    </w:p>
    <w:p w14:paraId="4CD50206">
      <w:pPr>
        <w:pStyle w:val="3"/>
        <w:adjustRightInd w:val="0"/>
        <w:snapToGrid w:val="0"/>
        <w:spacing w:beforeLines="50"/>
        <w:jc w:val="center"/>
        <w:rPr>
          <w:rFonts w:ascii="宋体" w:hAnsi="宋体"/>
          <w:color w:val="auto"/>
          <w:sz w:val="28"/>
          <w:szCs w:val="28"/>
          <w:highlight w:val="none"/>
        </w:rPr>
      </w:pPr>
      <w:r>
        <w:rPr>
          <w:rFonts w:ascii="宋体" w:hAnsi="宋体"/>
          <w:b w:val="0"/>
          <w:color w:val="auto"/>
          <w:sz w:val="32"/>
          <w:highlight w:val="none"/>
        </w:rPr>
        <w:br w:type="page"/>
      </w:r>
      <w:bookmarkStart w:id="999" w:name="_Toc14019"/>
      <w:bookmarkStart w:id="1000" w:name="_Toc108483419"/>
      <w:bookmarkStart w:id="1001" w:name="_Toc19078"/>
      <w:bookmarkStart w:id="1002" w:name="_Toc29546"/>
      <w:bookmarkStart w:id="1003" w:name="_Toc79093695"/>
      <w:bookmarkStart w:id="1004" w:name="_Toc137408740"/>
      <w:bookmarkStart w:id="1005" w:name="_Toc27385"/>
      <w:bookmarkStart w:id="1006" w:name="_Toc11165"/>
      <w:bookmarkStart w:id="1007" w:name="_Toc17855"/>
      <w:bookmarkStart w:id="1008" w:name="_Toc13341"/>
      <w:bookmarkStart w:id="1009" w:name="_Toc109656601"/>
      <w:bookmarkStart w:id="1010" w:name="_Toc29540"/>
      <w:bookmarkStart w:id="1011" w:name="_Toc16999"/>
      <w:bookmarkStart w:id="1012" w:name="_Toc103979602"/>
      <w:bookmarkStart w:id="1013" w:name="_Toc14637"/>
      <w:bookmarkStart w:id="1014" w:name="_Toc11255"/>
      <w:bookmarkStart w:id="1015" w:name="_Toc118209450"/>
      <w:bookmarkStart w:id="1016" w:name="_Toc6919"/>
      <w:bookmarkStart w:id="1017" w:name="_Toc140957893"/>
      <w:bookmarkStart w:id="1018" w:name="_Toc99299749"/>
      <w:bookmarkStart w:id="1019" w:name="_Toc28183"/>
      <w:bookmarkStart w:id="1020" w:name="_Toc113350959"/>
      <w:bookmarkStart w:id="1021" w:name="_Toc171282427"/>
      <w:bookmarkStart w:id="1022" w:name="_Toc166778358"/>
      <w:bookmarkStart w:id="1023" w:name="_Toc1066"/>
      <w:bookmarkStart w:id="1024" w:name="_Toc111543580"/>
      <w:bookmarkStart w:id="1025" w:name="_Toc7489"/>
      <w:bookmarkStart w:id="1026" w:name="_Toc24528"/>
      <w:bookmarkStart w:id="1027" w:name="_Toc189905384"/>
      <w:bookmarkStart w:id="1028" w:name="_Toc193053728"/>
      <w:r>
        <w:rPr>
          <w:rFonts w:hint="eastAsia" w:ascii="宋体" w:hAnsi="宋体"/>
          <w:color w:val="auto"/>
          <w:sz w:val="28"/>
          <w:szCs w:val="28"/>
          <w:highlight w:val="none"/>
        </w:rPr>
        <w:t>第三节 投标文件的符合性审查</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61D6D628">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1.符合性审查</w:t>
      </w:r>
    </w:p>
    <w:p w14:paraId="44A53F1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1.1</w:t>
      </w:r>
      <w:r>
        <w:rPr>
          <w:rFonts w:hint="eastAsia" w:ascii="宋体" w:hAnsi="宋体"/>
          <w:color w:val="auto"/>
          <w:szCs w:val="21"/>
          <w:highlight w:val="none"/>
        </w:rPr>
        <w:t>评标委员会应按本章本节附表1“符合性审查表”所列审查项目及审查标准，</w:t>
      </w:r>
      <w:r>
        <w:rPr>
          <w:rFonts w:hint="eastAsia" w:ascii="宋体" w:hAnsi="宋体"/>
          <w:color w:val="auto"/>
          <w:highlight w:val="none"/>
        </w:rPr>
        <w:t>对符合资格条件的投标人的投标文件进行符合性审查，以确定其是否满足招标文件的实质性要求。</w:t>
      </w:r>
    </w:p>
    <w:p w14:paraId="73318F2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2358FB7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26E515D6">
      <w:pPr>
        <w:adjustRightInd w:val="0"/>
        <w:snapToGrid w:val="0"/>
        <w:spacing w:line="360" w:lineRule="auto"/>
        <w:ind w:firstLine="420" w:firstLineChars="200"/>
        <w:rPr>
          <w:rFonts w:ascii="宋体" w:hAnsi="宋体"/>
          <w:color w:val="auto"/>
          <w:highlight w:val="none"/>
        </w:rPr>
      </w:pPr>
      <w:r>
        <w:rPr>
          <w:rFonts w:hint="eastAsia" w:ascii="宋体" w:hAnsi="宋体"/>
          <w:color w:val="auto"/>
          <w:kern w:val="0"/>
          <w:szCs w:val="21"/>
          <w:highlight w:val="none"/>
        </w:rPr>
        <w:t>1.2</w:t>
      </w:r>
      <w:r>
        <w:rPr>
          <w:rFonts w:hint="eastAsia" w:ascii="宋体" w:hAnsi="宋体"/>
          <w:color w:val="auto"/>
          <w:highlight w:val="none"/>
        </w:rPr>
        <w:t>未通过符合性审查的投标人，其投标将被认定为投标无效，不能进入下一阶段评审。通过符合性审查的投标人数量不足 3 家的，不得作进一步的比较和评价。</w:t>
      </w:r>
    </w:p>
    <w:p w14:paraId="6C83141D">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2.投标无效</w:t>
      </w:r>
    </w:p>
    <w:p w14:paraId="644A637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2.1投标人存在下列情况之一的，符合性审查不合格，投标无效：</w:t>
      </w:r>
    </w:p>
    <w:p w14:paraId="573CCC9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29D5344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（2）投标文件没有对招标文件的实质性要求和条件作出响应，或者对招标文件的偏离超出招标文件规定的偏离范围和幅度；</w:t>
      </w:r>
    </w:p>
    <w:p w14:paraId="7031B18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（3）投标有效期不足的；</w:t>
      </w:r>
    </w:p>
    <w:p w14:paraId="4608C51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45EEB37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（5）不符合本节第1.1款规定符合性审查标准的；</w:t>
      </w:r>
    </w:p>
    <w:p w14:paraId="4B42485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5B64762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2.2在评标过程中发现投标人有不遵循公平竞争的原则，恶意串通，妨碍其他投标人的竞争行为，损害采购人或者其他投标人的合法权益的，评标委员会应当认定其投标无效，并书面报告本级财政部门。</w:t>
      </w:r>
    </w:p>
    <w:p w14:paraId="74D7DF7B">
      <w:pPr>
        <w:pStyle w:val="4"/>
        <w:adjustRightInd w:val="0"/>
        <w:snapToGrid w:val="0"/>
        <w:spacing w:beforeLines="50" w:after="0" w:line="360" w:lineRule="auto"/>
        <w:rPr>
          <w:rFonts w:ascii="宋体" w:hAnsi="宋体"/>
          <w:color w:val="auto"/>
          <w:sz w:val="21"/>
          <w:szCs w:val="21"/>
          <w:highlight w:val="none"/>
        </w:rPr>
      </w:pPr>
      <w:r>
        <w:rPr>
          <w:rFonts w:ascii="宋体" w:hAnsi="宋体"/>
          <w:color w:val="auto"/>
          <w:highlight w:val="none"/>
        </w:rPr>
        <w:br w:type="page"/>
      </w:r>
      <w:bookmarkStart w:id="1029" w:name="_Toc31898"/>
      <w:bookmarkStart w:id="1030" w:name="_Toc113350960"/>
      <w:bookmarkStart w:id="1031" w:name="_Toc193053729"/>
      <w:bookmarkStart w:id="1032" w:name="_Toc12913"/>
      <w:bookmarkStart w:id="1033" w:name="_Toc137408741"/>
      <w:bookmarkStart w:id="1034" w:name="_Toc27243"/>
      <w:bookmarkStart w:id="1035" w:name="_Toc24887"/>
      <w:bookmarkStart w:id="1036" w:name="_Toc109656602"/>
      <w:bookmarkStart w:id="1037" w:name="_Toc29523"/>
      <w:bookmarkStart w:id="1038" w:name="_Toc5856"/>
      <w:bookmarkStart w:id="1039" w:name="_Toc79093696"/>
      <w:bookmarkStart w:id="1040" w:name="_Toc140957894"/>
      <w:bookmarkStart w:id="1041" w:name="_Toc8217"/>
      <w:bookmarkStart w:id="1042" w:name="_Toc5749"/>
      <w:bookmarkStart w:id="1043" w:name="_Toc171282428"/>
      <w:bookmarkStart w:id="1044" w:name="_Toc14593"/>
      <w:bookmarkStart w:id="1045" w:name="_Toc189905385"/>
      <w:bookmarkStart w:id="1046" w:name="_Toc166778359"/>
      <w:bookmarkStart w:id="1047" w:name="_Toc118209451"/>
      <w:bookmarkStart w:id="1048" w:name="_Toc21629"/>
      <w:bookmarkStart w:id="1049" w:name="_Toc103979603"/>
      <w:bookmarkStart w:id="1050" w:name="_Toc4013"/>
      <w:bookmarkStart w:id="1051" w:name="_Toc108483420"/>
      <w:bookmarkStart w:id="1052" w:name="_Toc2349"/>
      <w:bookmarkStart w:id="1053" w:name="_Toc6250"/>
      <w:bookmarkStart w:id="1054" w:name="_Toc99299750"/>
      <w:bookmarkStart w:id="1055" w:name="_Toc23621"/>
      <w:bookmarkStart w:id="1056" w:name="_Toc9893"/>
      <w:bookmarkStart w:id="1057" w:name="_Toc10178"/>
      <w:bookmarkStart w:id="1058" w:name="_Toc111543581"/>
      <w:r>
        <w:rPr>
          <w:rFonts w:hint="eastAsia" w:ascii="宋体" w:hAnsi="宋体"/>
          <w:color w:val="auto"/>
          <w:sz w:val="21"/>
          <w:szCs w:val="21"/>
          <w:highlight w:val="none"/>
        </w:rPr>
        <w:t>附表1 符合性审查表</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14:paraId="18FFF396">
      <w:pPr>
        <w:adjustRightInd w:val="0"/>
        <w:snapToGrid w:val="0"/>
        <w:spacing w:beforeLines="50" w:line="360" w:lineRule="auto"/>
        <w:jc w:val="center"/>
        <w:outlineLvl w:val="2"/>
        <w:rPr>
          <w:rFonts w:ascii="宋体" w:hAnsi="宋体"/>
          <w:b/>
          <w:color w:val="auto"/>
          <w:sz w:val="28"/>
          <w:szCs w:val="28"/>
          <w:highlight w:val="none"/>
        </w:rPr>
      </w:pPr>
      <w:bookmarkStart w:id="1059" w:name="_Toc27626"/>
      <w:bookmarkStart w:id="1060" w:name="_Toc11572"/>
      <w:bookmarkStart w:id="1061" w:name="_Toc15325"/>
      <w:bookmarkStart w:id="1062" w:name="_Toc108483421"/>
      <w:bookmarkStart w:id="1063" w:name="_Toc6582"/>
      <w:bookmarkStart w:id="1064" w:name="_Toc189905386"/>
      <w:bookmarkStart w:id="1065" w:name="_Toc171282429"/>
      <w:bookmarkStart w:id="1066" w:name="_Toc25954"/>
      <w:bookmarkStart w:id="1067" w:name="_Toc12057"/>
      <w:bookmarkStart w:id="1068" w:name="_Toc113350961"/>
      <w:bookmarkStart w:id="1069" w:name="_Toc79093697"/>
      <w:bookmarkStart w:id="1070" w:name="_Toc4155"/>
      <w:bookmarkStart w:id="1071" w:name="_Toc17917"/>
      <w:bookmarkStart w:id="1072" w:name="_Toc5351"/>
      <w:bookmarkStart w:id="1073" w:name="_Toc18512"/>
      <w:bookmarkStart w:id="1074" w:name="_Toc31415"/>
      <w:bookmarkStart w:id="1075" w:name="_Toc99299751"/>
      <w:bookmarkStart w:id="1076" w:name="_Toc109656603"/>
      <w:bookmarkStart w:id="1077" w:name="_Toc4522"/>
      <w:bookmarkStart w:id="1078" w:name="_Toc32330"/>
      <w:bookmarkStart w:id="1079" w:name="_Toc103979604"/>
      <w:bookmarkStart w:id="1080" w:name="_Toc166778360"/>
      <w:bookmarkStart w:id="1081" w:name="_Toc137408742"/>
      <w:bookmarkStart w:id="1082" w:name="_Toc140957895"/>
      <w:bookmarkStart w:id="1083" w:name="_Toc193053730"/>
      <w:bookmarkStart w:id="1084" w:name="_Toc118209452"/>
      <w:bookmarkStart w:id="1085" w:name="_Toc12728"/>
      <w:bookmarkStart w:id="1086" w:name="_Toc19329"/>
      <w:bookmarkStart w:id="1087" w:name="_Toc111543582"/>
      <w:r>
        <w:rPr>
          <w:rFonts w:hint="eastAsia" w:ascii="宋体" w:hAnsi="宋体"/>
          <w:b/>
          <w:color w:val="auto"/>
          <w:sz w:val="28"/>
          <w:szCs w:val="28"/>
          <w:highlight w:val="none"/>
        </w:rPr>
        <w:t>符合性审查表</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8"/>
        <w:gridCol w:w="3056"/>
        <w:gridCol w:w="4578"/>
      </w:tblGrid>
      <w:tr w14:paraId="241B0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8" w:type="dxa"/>
            <w:vAlign w:val="center"/>
          </w:tcPr>
          <w:p w14:paraId="188F9ACE">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3056" w:type="dxa"/>
            <w:vAlign w:val="center"/>
          </w:tcPr>
          <w:p w14:paraId="279F8C82">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审查项目</w:t>
            </w:r>
          </w:p>
        </w:tc>
        <w:tc>
          <w:tcPr>
            <w:tcW w:w="4578" w:type="dxa"/>
            <w:vAlign w:val="center"/>
          </w:tcPr>
          <w:p w14:paraId="4CEDBB75">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审查标准</w:t>
            </w:r>
          </w:p>
        </w:tc>
      </w:tr>
      <w:tr w14:paraId="40A00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688" w:type="dxa"/>
            <w:vAlign w:val="center"/>
          </w:tcPr>
          <w:p w14:paraId="75F0EF4E">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3056" w:type="dxa"/>
            <w:vAlign w:val="center"/>
          </w:tcPr>
          <w:p w14:paraId="78276CAA">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投标文件的有效性、完整性</w:t>
            </w:r>
          </w:p>
        </w:tc>
        <w:tc>
          <w:tcPr>
            <w:tcW w:w="4578" w:type="dxa"/>
            <w:vAlign w:val="center"/>
          </w:tcPr>
          <w:p w14:paraId="444E881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投标人是否按照招标文件的要求编制投标文件。投标文件是否对招标文件提出的要求和条件作出明确响应。</w:t>
            </w:r>
          </w:p>
        </w:tc>
      </w:tr>
      <w:tr w14:paraId="0E65F3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688" w:type="dxa"/>
            <w:vAlign w:val="center"/>
          </w:tcPr>
          <w:p w14:paraId="70CE0156">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3056" w:type="dxa"/>
            <w:vAlign w:val="center"/>
          </w:tcPr>
          <w:p w14:paraId="3A803DC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投标文件的响应程度</w:t>
            </w:r>
          </w:p>
        </w:tc>
        <w:tc>
          <w:tcPr>
            <w:tcW w:w="4578" w:type="dxa"/>
            <w:vAlign w:val="center"/>
          </w:tcPr>
          <w:p w14:paraId="4A91CE9E">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投标文件对招标文件的实质性要求和条件作出响应，或者对招标文件的偏离超出招标文件规定的偏离范围和幅度</w:t>
            </w:r>
          </w:p>
        </w:tc>
      </w:tr>
      <w:tr w14:paraId="2C5752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32A62046">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3056" w:type="dxa"/>
            <w:vAlign w:val="center"/>
          </w:tcPr>
          <w:p w14:paraId="627EE530">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投标有效期</w:t>
            </w:r>
          </w:p>
        </w:tc>
        <w:tc>
          <w:tcPr>
            <w:tcW w:w="4578" w:type="dxa"/>
            <w:vAlign w:val="center"/>
          </w:tcPr>
          <w:p w14:paraId="24E572E8">
            <w:pPr>
              <w:adjustRightInd w:val="0"/>
              <w:snapToGrid w:val="0"/>
              <w:spacing w:line="360" w:lineRule="exact"/>
              <w:jc w:val="center"/>
              <w:rPr>
                <w:rFonts w:ascii="宋体" w:hAnsi="宋体"/>
                <w:color w:val="auto"/>
                <w:szCs w:val="21"/>
                <w:highlight w:val="none"/>
              </w:rPr>
            </w:pPr>
            <w:r>
              <w:rPr>
                <w:rFonts w:hint="eastAsia" w:ascii="宋体" w:hAnsi="宋体"/>
                <w:color w:val="auto"/>
                <w:highlight w:val="none"/>
              </w:rPr>
              <w:t>90日（日历日）</w:t>
            </w:r>
          </w:p>
        </w:tc>
      </w:tr>
      <w:tr w14:paraId="48179F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16F83035">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3056" w:type="dxa"/>
            <w:vAlign w:val="center"/>
          </w:tcPr>
          <w:p w14:paraId="5B54F59C">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商务技术文件签署、盖章</w:t>
            </w:r>
          </w:p>
        </w:tc>
        <w:tc>
          <w:tcPr>
            <w:tcW w:w="4578" w:type="dxa"/>
            <w:vAlign w:val="center"/>
          </w:tcPr>
          <w:p w14:paraId="0B00523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投标文件中商务技术文件未按照招标文件规定要求签署、盖章的</w:t>
            </w:r>
          </w:p>
        </w:tc>
      </w:tr>
      <w:tr w14:paraId="25856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5C709024">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3056" w:type="dxa"/>
            <w:vAlign w:val="center"/>
          </w:tcPr>
          <w:p w14:paraId="2D6FDC2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附加条件</w:t>
            </w:r>
          </w:p>
        </w:tc>
        <w:tc>
          <w:tcPr>
            <w:tcW w:w="4578" w:type="dxa"/>
            <w:vAlign w:val="center"/>
          </w:tcPr>
          <w:p w14:paraId="5E7A6474">
            <w:pPr>
              <w:adjustRightInd w:val="0"/>
              <w:snapToGrid w:val="0"/>
              <w:spacing w:line="360" w:lineRule="exact"/>
              <w:jc w:val="center"/>
              <w:rPr>
                <w:rFonts w:ascii="宋体" w:hAnsi="宋体"/>
                <w:color w:val="auto"/>
                <w:szCs w:val="21"/>
                <w:highlight w:val="none"/>
              </w:rPr>
            </w:pPr>
            <w:r>
              <w:rPr>
                <w:rFonts w:ascii="宋体" w:hAnsi="宋体"/>
                <w:color w:val="auto"/>
                <w:highlight w:val="none"/>
              </w:rPr>
              <w:t>投标文件</w:t>
            </w:r>
            <w:r>
              <w:rPr>
                <w:rFonts w:hint="eastAsia" w:ascii="宋体" w:hAnsi="宋体"/>
                <w:color w:val="auto"/>
                <w:highlight w:val="none"/>
              </w:rPr>
              <w:t>是否</w:t>
            </w:r>
            <w:r>
              <w:rPr>
                <w:rFonts w:ascii="宋体" w:hAnsi="宋体"/>
                <w:color w:val="auto"/>
                <w:highlight w:val="none"/>
              </w:rPr>
              <w:t>含有采购人不能接受的附加条件的</w:t>
            </w:r>
          </w:p>
        </w:tc>
      </w:tr>
      <w:tr w14:paraId="27BE64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jc w:val="center"/>
        </w:trPr>
        <w:tc>
          <w:tcPr>
            <w:tcW w:w="688" w:type="dxa"/>
            <w:vAlign w:val="center"/>
          </w:tcPr>
          <w:p w14:paraId="0E07F5CE">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3056" w:type="dxa"/>
            <w:vAlign w:val="center"/>
          </w:tcPr>
          <w:p w14:paraId="68977D7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标的范围</w:t>
            </w:r>
          </w:p>
        </w:tc>
        <w:tc>
          <w:tcPr>
            <w:tcW w:w="4578" w:type="dxa"/>
            <w:vAlign w:val="center"/>
          </w:tcPr>
          <w:p w14:paraId="75526295">
            <w:pPr>
              <w:adjustRightInd w:val="0"/>
              <w:snapToGrid w:val="0"/>
              <w:spacing w:line="360" w:lineRule="exact"/>
              <w:jc w:val="center"/>
              <w:rPr>
                <w:rFonts w:ascii="宋体" w:hAnsi="宋体"/>
                <w:color w:val="auto"/>
                <w:highlight w:val="none"/>
              </w:rPr>
            </w:pPr>
            <w:r>
              <w:rPr>
                <w:rFonts w:hint="eastAsia" w:ascii="宋体" w:hAnsi="宋体"/>
                <w:color w:val="auto"/>
                <w:highlight w:val="none"/>
              </w:rPr>
              <w:t>投标标的是否满足采购标的范围</w:t>
            </w:r>
          </w:p>
        </w:tc>
      </w:tr>
      <w:tr w14:paraId="19A754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437DD710">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3056" w:type="dxa"/>
            <w:vAlign w:val="center"/>
          </w:tcPr>
          <w:p w14:paraId="09977B3D">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法律、法规和招标文件规定的其他投标无效情形</w:t>
            </w:r>
          </w:p>
        </w:tc>
        <w:tc>
          <w:tcPr>
            <w:tcW w:w="4578" w:type="dxa"/>
            <w:vAlign w:val="center"/>
          </w:tcPr>
          <w:p w14:paraId="187F653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是否存在有招标文件规定的其他投标无效情形</w:t>
            </w:r>
          </w:p>
        </w:tc>
      </w:tr>
      <w:tr w14:paraId="77FF2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22AF8A19">
            <w:pPr>
              <w:adjustRightInd w:val="0"/>
              <w:snapToGrid w:val="0"/>
              <w:spacing w:beforeLines="50" w:line="360" w:lineRule="auto"/>
              <w:jc w:val="center"/>
              <w:rPr>
                <w:rFonts w:ascii="宋体" w:hAnsi="宋体"/>
                <w:color w:val="auto"/>
                <w:kern w:val="0"/>
                <w:sz w:val="20"/>
                <w:szCs w:val="21"/>
                <w:highlight w:val="none"/>
              </w:rPr>
            </w:pPr>
            <w:r>
              <w:rPr>
                <w:rFonts w:hint="eastAsia" w:ascii="宋体" w:hAnsi="宋体"/>
                <w:color w:val="auto"/>
                <w:kern w:val="0"/>
                <w:sz w:val="20"/>
                <w:szCs w:val="21"/>
                <w:highlight w:val="none"/>
              </w:rPr>
              <w:t>结论</w:t>
            </w:r>
          </w:p>
        </w:tc>
        <w:tc>
          <w:tcPr>
            <w:tcW w:w="7634" w:type="dxa"/>
            <w:gridSpan w:val="2"/>
            <w:vAlign w:val="center"/>
          </w:tcPr>
          <w:p w14:paraId="2D8A6C9C">
            <w:pPr>
              <w:adjustRightInd w:val="0"/>
              <w:snapToGrid w:val="0"/>
              <w:spacing w:beforeLines="50" w:line="360" w:lineRule="auto"/>
              <w:jc w:val="center"/>
              <w:rPr>
                <w:rFonts w:ascii="宋体" w:hAnsi="宋体"/>
                <w:color w:val="auto"/>
                <w:kern w:val="0"/>
                <w:sz w:val="20"/>
                <w:szCs w:val="21"/>
                <w:highlight w:val="none"/>
              </w:rPr>
            </w:pPr>
          </w:p>
        </w:tc>
      </w:tr>
    </w:tbl>
    <w:p w14:paraId="39DA0C6E">
      <w:pPr>
        <w:pStyle w:val="25"/>
        <w:adjustRightInd w:val="0"/>
        <w:snapToGrid w:val="0"/>
        <w:ind w:firstLine="422" w:firstLineChars="200"/>
        <w:rPr>
          <w:rFonts w:hAnsi="宋体"/>
          <w:b/>
          <w:color w:val="auto"/>
          <w:sz w:val="21"/>
          <w:highlight w:val="none"/>
        </w:rPr>
      </w:pPr>
    </w:p>
    <w:p w14:paraId="70A3C0AF">
      <w:pPr>
        <w:pStyle w:val="25"/>
        <w:adjustRightInd w:val="0"/>
        <w:snapToGrid w:val="0"/>
        <w:ind w:firstLine="422" w:firstLineChars="200"/>
        <w:rPr>
          <w:rFonts w:hAnsi="宋体"/>
          <w:b/>
          <w:color w:val="auto"/>
          <w:sz w:val="21"/>
          <w:highlight w:val="none"/>
        </w:rPr>
      </w:pPr>
      <w:r>
        <w:rPr>
          <w:rFonts w:hAnsi="宋体"/>
          <w:b/>
          <w:color w:val="auto"/>
          <w:sz w:val="21"/>
          <w:highlight w:val="none"/>
        </w:rPr>
        <w:br w:type="page"/>
      </w:r>
    </w:p>
    <w:p w14:paraId="75E6B49E">
      <w:pPr>
        <w:pStyle w:val="5"/>
        <w:adjustRightInd w:val="0"/>
        <w:snapToGrid w:val="0"/>
        <w:spacing w:before="0" w:after="0" w:line="360" w:lineRule="auto"/>
        <w:rPr>
          <w:rFonts w:ascii="宋体" w:hAnsi="宋体" w:eastAsia="宋体"/>
          <w:b w:val="0"/>
          <w:color w:val="auto"/>
          <w:sz w:val="21"/>
          <w:szCs w:val="21"/>
          <w:highlight w:val="none"/>
        </w:rPr>
      </w:pPr>
      <w:bookmarkStart w:id="1088" w:name="_Toc838"/>
      <w:bookmarkStart w:id="1089" w:name="_Toc15888518"/>
      <w:r>
        <w:rPr>
          <w:rFonts w:hint="eastAsia" w:ascii="宋体" w:hAnsi="宋体" w:eastAsia="宋体"/>
          <w:b w:val="0"/>
          <w:color w:val="auto"/>
          <w:sz w:val="21"/>
          <w:szCs w:val="21"/>
          <w:highlight w:val="none"/>
        </w:rPr>
        <w:t>附表2 符合性审查结果一览表</w:t>
      </w:r>
      <w:bookmarkEnd w:id="1088"/>
      <w:bookmarkEnd w:id="1089"/>
    </w:p>
    <w:p w14:paraId="40BAEB13">
      <w:pPr>
        <w:adjustRightInd w:val="0"/>
        <w:snapToGrid w:val="0"/>
        <w:spacing w:beforeLines="50" w:line="360" w:lineRule="auto"/>
        <w:jc w:val="center"/>
        <w:outlineLvl w:val="2"/>
        <w:rPr>
          <w:rFonts w:ascii="宋体" w:hAnsi="宋体"/>
          <w:b/>
          <w:color w:val="auto"/>
          <w:sz w:val="28"/>
          <w:szCs w:val="28"/>
          <w:highlight w:val="none"/>
        </w:rPr>
      </w:pPr>
      <w:bookmarkStart w:id="1090" w:name="_Toc118209453"/>
      <w:bookmarkStart w:id="1091" w:name="_Toc15969"/>
      <w:bookmarkStart w:id="1092" w:name="_Toc14780"/>
      <w:bookmarkStart w:id="1093" w:name="_Toc21235"/>
      <w:bookmarkStart w:id="1094" w:name="_Toc189905387"/>
      <w:bookmarkStart w:id="1095" w:name="_Toc137408743"/>
      <w:bookmarkStart w:id="1096" w:name="_Toc15772"/>
      <w:bookmarkStart w:id="1097" w:name="_Toc31758"/>
      <w:bookmarkStart w:id="1098" w:name="_Toc14576"/>
      <w:bookmarkStart w:id="1099" w:name="_Toc193053731"/>
      <w:bookmarkStart w:id="1100" w:name="_Toc113350962"/>
      <w:bookmarkStart w:id="1101" w:name="_Toc109656604"/>
      <w:bookmarkStart w:id="1102" w:name="_Toc58"/>
      <w:bookmarkStart w:id="1103" w:name="_Toc27135"/>
      <w:bookmarkStart w:id="1104" w:name="_Toc103979605"/>
      <w:bookmarkStart w:id="1105" w:name="_Toc21927"/>
      <w:bookmarkStart w:id="1106" w:name="_Toc18537"/>
      <w:bookmarkStart w:id="1107" w:name="_Toc6495"/>
      <w:bookmarkStart w:id="1108" w:name="_Toc166778361"/>
      <w:bookmarkStart w:id="1109" w:name="_Toc28416"/>
      <w:bookmarkStart w:id="1110" w:name="_Toc18533"/>
      <w:bookmarkStart w:id="1111" w:name="_Toc111543583"/>
      <w:bookmarkStart w:id="1112" w:name="_Toc79093698"/>
      <w:bookmarkStart w:id="1113" w:name="_Toc28562"/>
      <w:bookmarkStart w:id="1114" w:name="_Toc108483422"/>
      <w:bookmarkStart w:id="1115" w:name="_Toc171282430"/>
      <w:bookmarkStart w:id="1116" w:name="_Toc5000"/>
      <w:bookmarkStart w:id="1117" w:name="_Toc140957896"/>
      <w:bookmarkStart w:id="1118" w:name="_Toc99299752"/>
      <w:r>
        <w:rPr>
          <w:rFonts w:hint="eastAsia" w:ascii="宋体" w:hAnsi="宋体"/>
          <w:b/>
          <w:color w:val="auto"/>
          <w:sz w:val="28"/>
          <w:szCs w:val="28"/>
          <w:highlight w:val="none"/>
        </w:rPr>
        <w:t>符合性审查结果一览表</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01A1121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6"/>
        <w:gridCol w:w="2963"/>
        <w:gridCol w:w="2439"/>
        <w:gridCol w:w="2483"/>
      </w:tblGrid>
      <w:tr w14:paraId="4A6646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vAlign w:val="center"/>
          </w:tcPr>
          <w:p w14:paraId="6A62A561">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vAlign w:val="center"/>
          </w:tcPr>
          <w:p w14:paraId="0FD43DCE">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vAlign w:val="center"/>
          </w:tcPr>
          <w:p w14:paraId="0B82089C">
            <w:pPr>
              <w:jc w:val="center"/>
              <w:rPr>
                <w:rFonts w:ascii="宋体" w:hAnsi="宋体"/>
                <w:b/>
                <w:color w:val="auto"/>
                <w:kern w:val="0"/>
                <w:szCs w:val="21"/>
                <w:highlight w:val="none"/>
              </w:rPr>
            </w:pPr>
            <w:r>
              <w:rPr>
                <w:rFonts w:hint="eastAsia" w:ascii="宋体" w:hAnsi="宋体"/>
                <w:b/>
                <w:color w:val="auto"/>
                <w:kern w:val="0"/>
                <w:szCs w:val="21"/>
                <w:highlight w:val="none"/>
              </w:rPr>
              <w:t>符合性审查结果</w:t>
            </w:r>
          </w:p>
          <w:p w14:paraId="20B79E70">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483" w:type="dxa"/>
            <w:vAlign w:val="center"/>
          </w:tcPr>
          <w:p w14:paraId="7C2243EC">
            <w:pPr>
              <w:jc w:val="center"/>
              <w:rPr>
                <w:rFonts w:ascii="宋体" w:hAnsi="宋体"/>
                <w:b/>
                <w:color w:val="auto"/>
                <w:kern w:val="0"/>
                <w:szCs w:val="21"/>
                <w:highlight w:val="none"/>
              </w:rPr>
            </w:pPr>
            <w:r>
              <w:rPr>
                <w:rFonts w:hint="eastAsia" w:ascii="宋体" w:hAnsi="宋体"/>
                <w:b/>
                <w:color w:val="auto"/>
                <w:kern w:val="0"/>
                <w:szCs w:val="21"/>
                <w:highlight w:val="none"/>
              </w:rPr>
              <w:t>符合性审查不合格原因</w:t>
            </w:r>
          </w:p>
        </w:tc>
      </w:tr>
      <w:tr w14:paraId="55AC42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200DCF4F">
            <w:pPr>
              <w:adjustRightInd w:val="0"/>
              <w:snapToGrid w:val="0"/>
              <w:spacing w:line="360" w:lineRule="auto"/>
              <w:rPr>
                <w:rFonts w:ascii="宋体" w:hAnsi="宋体"/>
                <w:color w:val="auto"/>
                <w:kern w:val="0"/>
                <w:sz w:val="24"/>
                <w:highlight w:val="none"/>
              </w:rPr>
            </w:pPr>
          </w:p>
        </w:tc>
        <w:tc>
          <w:tcPr>
            <w:tcW w:w="2963" w:type="dxa"/>
          </w:tcPr>
          <w:p w14:paraId="39CA9D12">
            <w:pPr>
              <w:adjustRightInd w:val="0"/>
              <w:snapToGrid w:val="0"/>
              <w:spacing w:line="360" w:lineRule="auto"/>
              <w:rPr>
                <w:rFonts w:ascii="宋体" w:hAnsi="宋体"/>
                <w:color w:val="auto"/>
                <w:kern w:val="0"/>
                <w:sz w:val="24"/>
                <w:highlight w:val="none"/>
              </w:rPr>
            </w:pPr>
          </w:p>
        </w:tc>
        <w:tc>
          <w:tcPr>
            <w:tcW w:w="2439" w:type="dxa"/>
          </w:tcPr>
          <w:p w14:paraId="530BDCD2">
            <w:pPr>
              <w:adjustRightInd w:val="0"/>
              <w:snapToGrid w:val="0"/>
              <w:spacing w:line="360" w:lineRule="auto"/>
              <w:rPr>
                <w:rFonts w:ascii="宋体" w:hAnsi="宋体"/>
                <w:color w:val="auto"/>
                <w:kern w:val="0"/>
                <w:sz w:val="24"/>
                <w:highlight w:val="none"/>
              </w:rPr>
            </w:pPr>
          </w:p>
        </w:tc>
        <w:tc>
          <w:tcPr>
            <w:tcW w:w="2483" w:type="dxa"/>
          </w:tcPr>
          <w:p w14:paraId="214CC76E">
            <w:pPr>
              <w:adjustRightInd w:val="0"/>
              <w:snapToGrid w:val="0"/>
              <w:spacing w:line="360" w:lineRule="auto"/>
              <w:rPr>
                <w:rFonts w:ascii="宋体" w:hAnsi="宋体"/>
                <w:color w:val="auto"/>
                <w:kern w:val="0"/>
                <w:sz w:val="24"/>
                <w:highlight w:val="none"/>
              </w:rPr>
            </w:pPr>
          </w:p>
        </w:tc>
      </w:tr>
      <w:tr w14:paraId="04A316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39A70A8D">
            <w:pPr>
              <w:adjustRightInd w:val="0"/>
              <w:snapToGrid w:val="0"/>
              <w:spacing w:line="360" w:lineRule="auto"/>
              <w:rPr>
                <w:rFonts w:ascii="宋体" w:hAnsi="宋体"/>
                <w:color w:val="auto"/>
                <w:kern w:val="0"/>
                <w:sz w:val="24"/>
                <w:highlight w:val="none"/>
              </w:rPr>
            </w:pPr>
          </w:p>
        </w:tc>
        <w:tc>
          <w:tcPr>
            <w:tcW w:w="2963" w:type="dxa"/>
          </w:tcPr>
          <w:p w14:paraId="2B175544">
            <w:pPr>
              <w:adjustRightInd w:val="0"/>
              <w:snapToGrid w:val="0"/>
              <w:spacing w:line="360" w:lineRule="auto"/>
              <w:rPr>
                <w:rFonts w:ascii="宋体" w:hAnsi="宋体"/>
                <w:color w:val="auto"/>
                <w:kern w:val="0"/>
                <w:sz w:val="24"/>
                <w:highlight w:val="none"/>
              </w:rPr>
            </w:pPr>
          </w:p>
        </w:tc>
        <w:tc>
          <w:tcPr>
            <w:tcW w:w="2439" w:type="dxa"/>
          </w:tcPr>
          <w:p w14:paraId="1EC386E1">
            <w:pPr>
              <w:adjustRightInd w:val="0"/>
              <w:snapToGrid w:val="0"/>
              <w:spacing w:line="360" w:lineRule="auto"/>
              <w:rPr>
                <w:rFonts w:ascii="宋体" w:hAnsi="宋体"/>
                <w:color w:val="auto"/>
                <w:kern w:val="0"/>
                <w:sz w:val="24"/>
                <w:highlight w:val="none"/>
              </w:rPr>
            </w:pPr>
          </w:p>
        </w:tc>
        <w:tc>
          <w:tcPr>
            <w:tcW w:w="2483" w:type="dxa"/>
          </w:tcPr>
          <w:p w14:paraId="57583683">
            <w:pPr>
              <w:adjustRightInd w:val="0"/>
              <w:snapToGrid w:val="0"/>
              <w:spacing w:line="360" w:lineRule="auto"/>
              <w:rPr>
                <w:rFonts w:ascii="宋体" w:hAnsi="宋体"/>
                <w:color w:val="auto"/>
                <w:kern w:val="0"/>
                <w:sz w:val="24"/>
                <w:highlight w:val="none"/>
              </w:rPr>
            </w:pPr>
          </w:p>
        </w:tc>
      </w:tr>
      <w:tr w14:paraId="1B119F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29E855F0">
            <w:pPr>
              <w:adjustRightInd w:val="0"/>
              <w:snapToGrid w:val="0"/>
              <w:spacing w:line="360" w:lineRule="auto"/>
              <w:rPr>
                <w:rFonts w:ascii="宋体" w:hAnsi="宋体"/>
                <w:color w:val="auto"/>
                <w:kern w:val="0"/>
                <w:sz w:val="24"/>
                <w:highlight w:val="none"/>
              </w:rPr>
            </w:pPr>
          </w:p>
        </w:tc>
        <w:tc>
          <w:tcPr>
            <w:tcW w:w="2963" w:type="dxa"/>
          </w:tcPr>
          <w:p w14:paraId="68C8FCE6">
            <w:pPr>
              <w:adjustRightInd w:val="0"/>
              <w:snapToGrid w:val="0"/>
              <w:spacing w:line="360" w:lineRule="auto"/>
              <w:rPr>
                <w:rFonts w:ascii="宋体" w:hAnsi="宋体"/>
                <w:color w:val="auto"/>
                <w:kern w:val="0"/>
                <w:sz w:val="24"/>
                <w:highlight w:val="none"/>
              </w:rPr>
            </w:pPr>
          </w:p>
        </w:tc>
        <w:tc>
          <w:tcPr>
            <w:tcW w:w="2439" w:type="dxa"/>
          </w:tcPr>
          <w:p w14:paraId="01875581">
            <w:pPr>
              <w:adjustRightInd w:val="0"/>
              <w:snapToGrid w:val="0"/>
              <w:spacing w:line="360" w:lineRule="auto"/>
              <w:rPr>
                <w:rFonts w:ascii="宋体" w:hAnsi="宋体"/>
                <w:color w:val="auto"/>
                <w:kern w:val="0"/>
                <w:sz w:val="24"/>
                <w:highlight w:val="none"/>
              </w:rPr>
            </w:pPr>
          </w:p>
        </w:tc>
        <w:tc>
          <w:tcPr>
            <w:tcW w:w="2483" w:type="dxa"/>
          </w:tcPr>
          <w:p w14:paraId="0FADDF34">
            <w:pPr>
              <w:adjustRightInd w:val="0"/>
              <w:snapToGrid w:val="0"/>
              <w:spacing w:line="360" w:lineRule="auto"/>
              <w:rPr>
                <w:rFonts w:ascii="宋体" w:hAnsi="宋体"/>
                <w:color w:val="auto"/>
                <w:kern w:val="0"/>
                <w:sz w:val="24"/>
                <w:highlight w:val="none"/>
              </w:rPr>
            </w:pPr>
          </w:p>
        </w:tc>
      </w:tr>
      <w:tr w14:paraId="3DB2D9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6721D431">
            <w:pPr>
              <w:adjustRightInd w:val="0"/>
              <w:snapToGrid w:val="0"/>
              <w:spacing w:line="360" w:lineRule="auto"/>
              <w:rPr>
                <w:rFonts w:ascii="宋体" w:hAnsi="宋体"/>
                <w:color w:val="auto"/>
                <w:kern w:val="0"/>
                <w:sz w:val="24"/>
                <w:highlight w:val="none"/>
              </w:rPr>
            </w:pPr>
          </w:p>
        </w:tc>
        <w:tc>
          <w:tcPr>
            <w:tcW w:w="2963" w:type="dxa"/>
          </w:tcPr>
          <w:p w14:paraId="3B547A29">
            <w:pPr>
              <w:adjustRightInd w:val="0"/>
              <w:snapToGrid w:val="0"/>
              <w:spacing w:line="360" w:lineRule="auto"/>
              <w:rPr>
                <w:rFonts w:ascii="宋体" w:hAnsi="宋体"/>
                <w:color w:val="auto"/>
                <w:kern w:val="0"/>
                <w:sz w:val="24"/>
                <w:highlight w:val="none"/>
              </w:rPr>
            </w:pPr>
          </w:p>
        </w:tc>
        <w:tc>
          <w:tcPr>
            <w:tcW w:w="2439" w:type="dxa"/>
          </w:tcPr>
          <w:p w14:paraId="7A291C16">
            <w:pPr>
              <w:adjustRightInd w:val="0"/>
              <w:snapToGrid w:val="0"/>
              <w:spacing w:line="360" w:lineRule="auto"/>
              <w:rPr>
                <w:rFonts w:ascii="宋体" w:hAnsi="宋体"/>
                <w:color w:val="auto"/>
                <w:kern w:val="0"/>
                <w:sz w:val="24"/>
                <w:highlight w:val="none"/>
              </w:rPr>
            </w:pPr>
          </w:p>
        </w:tc>
        <w:tc>
          <w:tcPr>
            <w:tcW w:w="2483" w:type="dxa"/>
          </w:tcPr>
          <w:p w14:paraId="3EA5FBB3">
            <w:pPr>
              <w:adjustRightInd w:val="0"/>
              <w:snapToGrid w:val="0"/>
              <w:spacing w:line="360" w:lineRule="auto"/>
              <w:rPr>
                <w:rFonts w:ascii="宋体" w:hAnsi="宋体"/>
                <w:color w:val="auto"/>
                <w:kern w:val="0"/>
                <w:sz w:val="24"/>
                <w:highlight w:val="none"/>
              </w:rPr>
            </w:pPr>
          </w:p>
        </w:tc>
      </w:tr>
      <w:tr w14:paraId="02554E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2E5DEA27">
            <w:pPr>
              <w:adjustRightInd w:val="0"/>
              <w:snapToGrid w:val="0"/>
              <w:spacing w:line="360" w:lineRule="auto"/>
              <w:rPr>
                <w:rFonts w:ascii="宋体" w:hAnsi="宋体"/>
                <w:color w:val="auto"/>
                <w:kern w:val="0"/>
                <w:sz w:val="24"/>
                <w:highlight w:val="none"/>
              </w:rPr>
            </w:pPr>
          </w:p>
        </w:tc>
        <w:tc>
          <w:tcPr>
            <w:tcW w:w="2963" w:type="dxa"/>
          </w:tcPr>
          <w:p w14:paraId="041DCAFA">
            <w:pPr>
              <w:adjustRightInd w:val="0"/>
              <w:snapToGrid w:val="0"/>
              <w:spacing w:line="360" w:lineRule="auto"/>
              <w:rPr>
                <w:rFonts w:ascii="宋体" w:hAnsi="宋体"/>
                <w:color w:val="auto"/>
                <w:kern w:val="0"/>
                <w:sz w:val="24"/>
                <w:highlight w:val="none"/>
              </w:rPr>
            </w:pPr>
          </w:p>
        </w:tc>
        <w:tc>
          <w:tcPr>
            <w:tcW w:w="2439" w:type="dxa"/>
          </w:tcPr>
          <w:p w14:paraId="7490776D">
            <w:pPr>
              <w:adjustRightInd w:val="0"/>
              <w:snapToGrid w:val="0"/>
              <w:spacing w:line="360" w:lineRule="auto"/>
              <w:rPr>
                <w:rFonts w:ascii="宋体" w:hAnsi="宋体"/>
                <w:color w:val="auto"/>
                <w:kern w:val="0"/>
                <w:sz w:val="24"/>
                <w:highlight w:val="none"/>
              </w:rPr>
            </w:pPr>
          </w:p>
        </w:tc>
        <w:tc>
          <w:tcPr>
            <w:tcW w:w="2483" w:type="dxa"/>
          </w:tcPr>
          <w:p w14:paraId="2F57037A">
            <w:pPr>
              <w:adjustRightInd w:val="0"/>
              <w:snapToGrid w:val="0"/>
              <w:spacing w:line="360" w:lineRule="auto"/>
              <w:rPr>
                <w:rFonts w:ascii="宋体" w:hAnsi="宋体"/>
                <w:color w:val="auto"/>
                <w:kern w:val="0"/>
                <w:sz w:val="24"/>
                <w:highlight w:val="none"/>
              </w:rPr>
            </w:pPr>
          </w:p>
        </w:tc>
      </w:tr>
      <w:tr w14:paraId="3C82E5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1C536BE8">
            <w:pPr>
              <w:adjustRightInd w:val="0"/>
              <w:snapToGrid w:val="0"/>
              <w:spacing w:line="360" w:lineRule="auto"/>
              <w:rPr>
                <w:rFonts w:ascii="宋体" w:hAnsi="宋体"/>
                <w:color w:val="auto"/>
                <w:kern w:val="0"/>
                <w:sz w:val="24"/>
                <w:highlight w:val="none"/>
              </w:rPr>
            </w:pPr>
          </w:p>
        </w:tc>
        <w:tc>
          <w:tcPr>
            <w:tcW w:w="2963" w:type="dxa"/>
          </w:tcPr>
          <w:p w14:paraId="20218B46">
            <w:pPr>
              <w:adjustRightInd w:val="0"/>
              <w:snapToGrid w:val="0"/>
              <w:spacing w:line="360" w:lineRule="auto"/>
              <w:rPr>
                <w:rFonts w:ascii="宋体" w:hAnsi="宋体"/>
                <w:color w:val="auto"/>
                <w:kern w:val="0"/>
                <w:sz w:val="24"/>
                <w:highlight w:val="none"/>
              </w:rPr>
            </w:pPr>
          </w:p>
        </w:tc>
        <w:tc>
          <w:tcPr>
            <w:tcW w:w="2439" w:type="dxa"/>
          </w:tcPr>
          <w:p w14:paraId="6E55E1F8">
            <w:pPr>
              <w:adjustRightInd w:val="0"/>
              <w:snapToGrid w:val="0"/>
              <w:spacing w:line="360" w:lineRule="auto"/>
              <w:rPr>
                <w:rFonts w:ascii="宋体" w:hAnsi="宋体"/>
                <w:color w:val="auto"/>
                <w:kern w:val="0"/>
                <w:sz w:val="24"/>
                <w:highlight w:val="none"/>
              </w:rPr>
            </w:pPr>
          </w:p>
        </w:tc>
        <w:tc>
          <w:tcPr>
            <w:tcW w:w="2483" w:type="dxa"/>
          </w:tcPr>
          <w:p w14:paraId="498B870B">
            <w:pPr>
              <w:adjustRightInd w:val="0"/>
              <w:snapToGrid w:val="0"/>
              <w:spacing w:line="360" w:lineRule="auto"/>
              <w:rPr>
                <w:rFonts w:ascii="宋体" w:hAnsi="宋体"/>
                <w:color w:val="auto"/>
                <w:kern w:val="0"/>
                <w:sz w:val="24"/>
                <w:highlight w:val="none"/>
              </w:rPr>
            </w:pPr>
          </w:p>
        </w:tc>
      </w:tr>
      <w:tr w14:paraId="5E413C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7A3C5018">
            <w:pPr>
              <w:adjustRightInd w:val="0"/>
              <w:snapToGrid w:val="0"/>
              <w:spacing w:line="360" w:lineRule="auto"/>
              <w:rPr>
                <w:rFonts w:ascii="宋体" w:hAnsi="宋体"/>
                <w:color w:val="auto"/>
                <w:kern w:val="0"/>
                <w:sz w:val="24"/>
                <w:highlight w:val="none"/>
              </w:rPr>
            </w:pPr>
          </w:p>
        </w:tc>
        <w:tc>
          <w:tcPr>
            <w:tcW w:w="2963" w:type="dxa"/>
          </w:tcPr>
          <w:p w14:paraId="1B663F0D">
            <w:pPr>
              <w:adjustRightInd w:val="0"/>
              <w:snapToGrid w:val="0"/>
              <w:spacing w:line="360" w:lineRule="auto"/>
              <w:rPr>
                <w:rFonts w:ascii="宋体" w:hAnsi="宋体"/>
                <w:color w:val="auto"/>
                <w:kern w:val="0"/>
                <w:sz w:val="24"/>
                <w:highlight w:val="none"/>
              </w:rPr>
            </w:pPr>
          </w:p>
        </w:tc>
        <w:tc>
          <w:tcPr>
            <w:tcW w:w="2439" w:type="dxa"/>
          </w:tcPr>
          <w:p w14:paraId="703CD59E">
            <w:pPr>
              <w:adjustRightInd w:val="0"/>
              <w:snapToGrid w:val="0"/>
              <w:spacing w:line="360" w:lineRule="auto"/>
              <w:rPr>
                <w:rFonts w:ascii="宋体" w:hAnsi="宋体"/>
                <w:color w:val="auto"/>
                <w:kern w:val="0"/>
                <w:sz w:val="24"/>
                <w:highlight w:val="none"/>
              </w:rPr>
            </w:pPr>
          </w:p>
        </w:tc>
        <w:tc>
          <w:tcPr>
            <w:tcW w:w="2483" w:type="dxa"/>
          </w:tcPr>
          <w:p w14:paraId="4B5750BA">
            <w:pPr>
              <w:adjustRightInd w:val="0"/>
              <w:snapToGrid w:val="0"/>
              <w:spacing w:line="360" w:lineRule="auto"/>
              <w:rPr>
                <w:rFonts w:ascii="宋体" w:hAnsi="宋体"/>
                <w:color w:val="auto"/>
                <w:kern w:val="0"/>
                <w:sz w:val="24"/>
                <w:highlight w:val="none"/>
              </w:rPr>
            </w:pPr>
          </w:p>
        </w:tc>
      </w:tr>
      <w:tr w14:paraId="0811AE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565B7941">
            <w:pPr>
              <w:adjustRightInd w:val="0"/>
              <w:snapToGrid w:val="0"/>
              <w:spacing w:line="360" w:lineRule="auto"/>
              <w:rPr>
                <w:rFonts w:ascii="宋体" w:hAnsi="宋体"/>
                <w:color w:val="auto"/>
                <w:kern w:val="0"/>
                <w:sz w:val="24"/>
                <w:highlight w:val="none"/>
              </w:rPr>
            </w:pPr>
          </w:p>
        </w:tc>
        <w:tc>
          <w:tcPr>
            <w:tcW w:w="2963" w:type="dxa"/>
          </w:tcPr>
          <w:p w14:paraId="29E882F6">
            <w:pPr>
              <w:adjustRightInd w:val="0"/>
              <w:snapToGrid w:val="0"/>
              <w:spacing w:line="360" w:lineRule="auto"/>
              <w:rPr>
                <w:rFonts w:ascii="宋体" w:hAnsi="宋体"/>
                <w:color w:val="auto"/>
                <w:kern w:val="0"/>
                <w:sz w:val="24"/>
                <w:highlight w:val="none"/>
              </w:rPr>
            </w:pPr>
          </w:p>
        </w:tc>
        <w:tc>
          <w:tcPr>
            <w:tcW w:w="2439" w:type="dxa"/>
          </w:tcPr>
          <w:p w14:paraId="777A59F8">
            <w:pPr>
              <w:adjustRightInd w:val="0"/>
              <w:snapToGrid w:val="0"/>
              <w:spacing w:line="360" w:lineRule="auto"/>
              <w:rPr>
                <w:rFonts w:ascii="宋体" w:hAnsi="宋体"/>
                <w:color w:val="auto"/>
                <w:kern w:val="0"/>
                <w:sz w:val="24"/>
                <w:highlight w:val="none"/>
              </w:rPr>
            </w:pPr>
          </w:p>
        </w:tc>
        <w:tc>
          <w:tcPr>
            <w:tcW w:w="2483" w:type="dxa"/>
          </w:tcPr>
          <w:p w14:paraId="19E231B7">
            <w:pPr>
              <w:adjustRightInd w:val="0"/>
              <w:snapToGrid w:val="0"/>
              <w:spacing w:line="360" w:lineRule="auto"/>
              <w:rPr>
                <w:rFonts w:ascii="宋体" w:hAnsi="宋体"/>
                <w:color w:val="auto"/>
                <w:kern w:val="0"/>
                <w:sz w:val="24"/>
                <w:highlight w:val="none"/>
              </w:rPr>
            </w:pPr>
          </w:p>
        </w:tc>
      </w:tr>
      <w:tr w14:paraId="49FD7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6D582396">
            <w:pPr>
              <w:adjustRightInd w:val="0"/>
              <w:snapToGrid w:val="0"/>
              <w:spacing w:line="360" w:lineRule="auto"/>
              <w:rPr>
                <w:rFonts w:ascii="宋体" w:hAnsi="宋体"/>
                <w:color w:val="auto"/>
                <w:kern w:val="0"/>
                <w:sz w:val="24"/>
                <w:highlight w:val="none"/>
              </w:rPr>
            </w:pPr>
          </w:p>
        </w:tc>
        <w:tc>
          <w:tcPr>
            <w:tcW w:w="2963" w:type="dxa"/>
          </w:tcPr>
          <w:p w14:paraId="699F0157">
            <w:pPr>
              <w:adjustRightInd w:val="0"/>
              <w:snapToGrid w:val="0"/>
              <w:spacing w:line="360" w:lineRule="auto"/>
              <w:rPr>
                <w:rFonts w:ascii="宋体" w:hAnsi="宋体"/>
                <w:color w:val="auto"/>
                <w:kern w:val="0"/>
                <w:sz w:val="24"/>
                <w:highlight w:val="none"/>
              </w:rPr>
            </w:pPr>
          </w:p>
        </w:tc>
        <w:tc>
          <w:tcPr>
            <w:tcW w:w="2439" w:type="dxa"/>
          </w:tcPr>
          <w:p w14:paraId="477E2A02">
            <w:pPr>
              <w:adjustRightInd w:val="0"/>
              <w:snapToGrid w:val="0"/>
              <w:spacing w:line="360" w:lineRule="auto"/>
              <w:rPr>
                <w:rFonts w:ascii="宋体" w:hAnsi="宋体"/>
                <w:color w:val="auto"/>
                <w:kern w:val="0"/>
                <w:sz w:val="24"/>
                <w:highlight w:val="none"/>
              </w:rPr>
            </w:pPr>
          </w:p>
        </w:tc>
        <w:tc>
          <w:tcPr>
            <w:tcW w:w="2483" w:type="dxa"/>
          </w:tcPr>
          <w:p w14:paraId="2BAFDF3B">
            <w:pPr>
              <w:adjustRightInd w:val="0"/>
              <w:snapToGrid w:val="0"/>
              <w:spacing w:line="360" w:lineRule="auto"/>
              <w:rPr>
                <w:rFonts w:ascii="宋体" w:hAnsi="宋体"/>
                <w:color w:val="auto"/>
                <w:kern w:val="0"/>
                <w:sz w:val="24"/>
                <w:highlight w:val="none"/>
              </w:rPr>
            </w:pPr>
          </w:p>
        </w:tc>
      </w:tr>
    </w:tbl>
    <w:p w14:paraId="0B9297DD">
      <w:pPr>
        <w:adjustRightInd w:val="0"/>
        <w:snapToGrid w:val="0"/>
        <w:spacing w:line="360" w:lineRule="auto"/>
        <w:rPr>
          <w:rFonts w:ascii="宋体" w:hAnsi="宋体"/>
          <w:color w:val="auto"/>
          <w:szCs w:val="21"/>
          <w:highlight w:val="none"/>
        </w:rPr>
      </w:pPr>
    </w:p>
    <w:p w14:paraId="19FE1EE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评标委员会（签字）：</w:t>
      </w:r>
    </w:p>
    <w:p w14:paraId="1932552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   年  月  日</w:t>
      </w:r>
    </w:p>
    <w:p w14:paraId="4EAADC51">
      <w:pPr>
        <w:widowControl/>
        <w:jc w:val="left"/>
        <w:rPr>
          <w:rFonts w:ascii="宋体" w:hAnsi="宋体"/>
          <w:color w:val="auto"/>
          <w:sz w:val="24"/>
          <w:highlight w:val="none"/>
        </w:rPr>
      </w:pPr>
      <w:r>
        <w:rPr>
          <w:rFonts w:ascii="宋体" w:hAnsi="宋体"/>
          <w:color w:val="auto"/>
          <w:sz w:val="24"/>
          <w:highlight w:val="none"/>
        </w:rPr>
        <w:br w:type="page"/>
      </w:r>
    </w:p>
    <w:p w14:paraId="46B4724B">
      <w:pPr>
        <w:pStyle w:val="5"/>
        <w:adjustRightInd w:val="0"/>
        <w:snapToGrid w:val="0"/>
        <w:spacing w:before="0" w:after="0" w:line="360" w:lineRule="auto"/>
        <w:rPr>
          <w:rFonts w:ascii="宋体" w:hAnsi="宋体" w:eastAsia="宋体"/>
          <w:b w:val="0"/>
          <w:color w:val="auto"/>
          <w:sz w:val="21"/>
          <w:szCs w:val="21"/>
          <w:highlight w:val="none"/>
        </w:rPr>
      </w:pPr>
      <w:bookmarkStart w:id="1119" w:name="_Toc8156"/>
      <w:bookmarkStart w:id="1120" w:name="_Toc15888519"/>
      <w:r>
        <w:rPr>
          <w:rFonts w:hint="eastAsia" w:ascii="宋体" w:hAnsi="宋体" w:eastAsia="宋体"/>
          <w:b w:val="0"/>
          <w:color w:val="auto"/>
          <w:sz w:val="21"/>
          <w:szCs w:val="21"/>
          <w:highlight w:val="none"/>
        </w:rPr>
        <w:t>附表3 符合性审查合格投标人名单</w:t>
      </w:r>
      <w:bookmarkEnd w:id="1119"/>
      <w:bookmarkEnd w:id="1120"/>
    </w:p>
    <w:p w14:paraId="0E3644B5">
      <w:pPr>
        <w:adjustRightInd w:val="0"/>
        <w:snapToGrid w:val="0"/>
        <w:spacing w:beforeLines="50" w:line="360" w:lineRule="auto"/>
        <w:jc w:val="center"/>
        <w:outlineLvl w:val="2"/>
        <w:rPr>
          <w:rFonts w:ascii="宋体" w:hAnsi="宋体"/>
          <w:b/>
          <w:color w:val="auto"/>
          <w:sz w:val="28"/>
          <w:szCs w:val="28"/>
          <w:highlight w:val="none"/>
        </w:rPr>
      </w:pPr>
      <w:bookmarkStart w:id="1121" w:name="_Toc21009"/>
      <w:bookmarkStart w:id="1122" w:name="_Toc7173"/>
      <w:bookmarkStart w:id="1123" w:name="_Toc118209454"/>
      <w:bookmarkStart w:id="1124" w:name="_Toc166778362"/>
      <w:bookmarkStart w:id="1125" w:name="_Toc20501"/>
      <w:bookmarkStart w:id="1126" w:name="_Toc171282431"/>
      <w:bookmarkStart w:id="1127" w:name="_Toc6397"/>
      <w:bookmarkStart w:id="1128" w:name="_Toc108483423"/>
      <w:bookmarkStart w:id="1129" w:name="_Toc113350963"/>
      <w:bookmarkStart w:id="1130" w:name="_Toc103979606"/>
      <w:bookmarkStart w:id="1131" w:name="_Toc21175"/>
      <w:bookmarkStart w:id="1132" w:name="_Toc109656605"/>
      <w:bookmarkStart w:id="1133" w:name="_Toc20774"/>
      <w:bookmarkStart w:id="1134" w:name="_Toc29614"/>
      <w:bookmarkStart w:id="1135" w:name="_Toc137408744"/>
      <w:bookmarkStart w:id="1136" w:name="_Toc19364"/>
      <w:bookmarkStart w:id="1137" w:name="_Toc193053732"/>
      <w:bookmarkStart w:id="1138" w:name="_Toc910"/>
      <w:bookmarkStart w:id="1139" w:name="_Toc189905388"/>
      <w:bookmarkStart w:id="1140" w:name="_Toc25135"/>
      <w:bookmarkStart w:id="1141" w:name="_Toc30190"/>
      <w:bookmarkStart w:id="1142" w:name="_Toc20050"/>
      <w:bookmarkStart w:id="1143" w:name="_Toc111543584"/>
      <w:bookmarkStart w:id="1144" w:name="_Toc11624"/>
      <w:bookmarkStart w:id="1145" w:name="_Toc79093699"/>
      <w:bookmarkStart w:id="1146" w:name="_Toc30964"/>
      <w:bookmarkStart w:id="1147" w:name="_Toc140957897"/>
      <w:bookmarkStart w:id="1148" w:name="_Toc13256"/>
      <w:bookmarkStart w:id="1149" w:name="_Toc99299753"/>
      <w:r>
        <w:rPr>
          <w:rFonts w:hint="eastAsia" w:ascii="宋体" w:hAnsi="宋体"/>
          <w:b/>
          <w:color w:val="auto"/>
          <w:sz w:val="28"/>
          <w:szCs w:val="28"/>
          <w:highlight w:val="none"/>
        </w:rPr>
        <w:t>符合性审查合格投标人名单</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14:paraId="77C9A23E">
      <w:pPr>
        <w:adjustRightInd w:val="0"/>
        <w:snapToGrid w:val="0"/>
        <w:spacing w:line="360" w:lineRule="auto"/>
        <w:rPr>
          <w:rFonts w:ascii="宋体" w:hAnsi="宋体"/>
          <w:color w:val="auto"/>
          <w:sz w:val="32"/>
          <w:szCs w:val="32"/>
          <w:highlight w:val="none"/>
        </w:rPr>
      </w:pPr>
      <w:r>
        <w:rPr>
          <w:rFonts w:hint="eastAsia" w:ascii="宋体" w:hAnsi="宋体"/>
          <w:color w:val="auto"/>
          <w:szCs w:val="21"/>
          <w:highlight w:val="none"/>
        </w:rPr>
        <w:t>项目名称：                                        政府采购计划编号：</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20"/>
        <w:gridCol w:w="7613"/>
      </w:tblGrid>
      <w:tr w14:paraId="2D26EE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420" w:type="dxa"/>
            <w:vAlign w:val="center"/>
          </w:tcPr>
          <w:p w14:paraId="5619BB53">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7613" w:type="dxa"/>
            <w:vAlign w:val="center"/>
          </w:tcPr>
          <w:p w14:paraId="087E2B9A">
            <w:pPr>
              <w:jc w:val="center"/>
              <w:rPr>
                <w:rFonts w:ascii="宋体" w:hAnsi="宋体"/>
                <w:b/>
                <w:color w:val="auto"/>
                <w:kern w:val="0"/>
                <w:szCs w:val="21"/>
                <w:highlight w:val="none"/>
              </w:rPr>
            </w:pPr>
            <w:r>
              <w:rPr>
                <w:rFonts w:hint="eastAsia" w:ascii="宋体" w:hAnsi="宋体"/>
                <w:b/>
                <w:color w:val="auto"/>
                <w:kern w:val="0"/>
                <w:szCs w:val="21"/>
                <w:highlight w:val="none"/>
              </w:rPr>
              <w:t>合格投标人名称</w:t>
            </w:r>
          </w:p>
        </w:tc>
      </w:tr>
      <w:tr w14:paraId="17742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2277FBA8">
            <w:pPr>
              <w:adjustRightInd w:val="0"/>
              <w:snapToGrid w:val="0"/>
              <w:spacing w:line="360" w:lineRule="auto"/>
              <w:rPr>
                <w:rFonts w:ascii="宋体" w:hAnsi="宋体"/>
                <w:color w:val="auto"/>
                <w:kern w:val="0"/>
                <w:szCs w:val="21"/>
                <w:highlight w:val="none"/>
              </w:rPr>
            </w:pPr>
          </w:p>
        </w:tc>
        <w:tc>
          <w:tcPr>
            <w:tcW w:w="7613" w:type="dxa"/>
          </w:tcPr>
          <w:p w14:paraId="54341927">
            <w:pPr>
              <w:adjustRightInd w:val="0"/>
              <w:snapToGrid w:val="0"/>
              <w:spacing w:line="360" w:lineRule="auto"/>
              <w:rPr>
                <w:rFonts w:ascii="宋体" w:hAnsi="宋体"/>
                <w:color w:val="auto"/>
                <w:kern w:val="0"/>
                <w:szCs w:val="21"/>
                <w:highlight w:val="none"/>
              </w:rPr>
            </w:pPr>
          </w:p>
        </w:tc>
      </w:tr>
      <w:tr w14:paraId="291C1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387A8C78">
            <w:pPr>
              <w:adjustRightInd w:val="0"/>
              <w:snapToGrid w:val="0"/>
              <w:spacing w:line="360" w:lineRule="auto"/>
              <w:rPr>
                <w:rFonts w:ascii="宋体" w:hAnsi="宋体"/>
                <w:color w:val="auto"/>
                <w:kern w:val="0"/>
                <w:sz w:val="24"/>
                <w:highlight w:val="none"/>
              </w:rPr>
            </w:pPr>
          </w:p>
        </w:tc>
        <w:tc>
          <w:tcPr>
            <w:tcW w:w="7613" w:type="dxa"/>
          </w:tcPr>
          <w:p w14:paraId="0BA3F64B">
            <w:pPr>
              <w:adjustRightInd w:val="0"/>
              <w:snapToGrid w:val="0"/>
              <w:spacing w:line="360" w:lineRule="auto"/>
              <w:rPr>
                <w:rFonts w:ascii="宋体" w:hAnsi="宋体"/>
                <w:color w:val="auto"/>
                <w:kern w:val="0"/>
                <w:sz w:val="24"/>
                <w:highlight w:val="none"/>
              </w:rPr>
            </w:pPr>
          </w:p>
        </w:tc>
      </w:tr>
      <w:tr w14:paraId="622E59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03DA56F0">
            <w:pPr>
              <w:adjustRightInd w:val="0"/>
              <w:snapToGrid w:val="0"/>
              <w:spacing w:line="360" w:lineRule="auto"/>
              <w:rPr>
                <w:rFonts w:ascii="宋体" w:hAnsi="宋体"/>
                <w:color w:val="auto"/>
                <w:kern w:val="0"/>
                <w:sz w:val="24"/>
                <w:highlight w:val="none"/>
              </w:rPr>
            </w:pPr>
          </w:p>
        </w:tc>
        <w:tc>
          <w:tcPr>
            <w:tcW w:w="7613" w:type="dxa"/>
          </w:tcPr>
          <w:p w14:paraId="7FAFEC0A">
            <w:pPr>
              <w:adjustRightInd w:val="0"/>
              <w:snapToGrid w:val="0"/>
              <w:spacing w:line="360" w:lineRule="auto"/>
              <w:rPr>
                <w:rFonts w:ascii="宋体" w:hAnsi="宋体"/>
                <w:color w:val="auto"/>
                <w:kern w:val="0"/>
                <w:sz w:val="24"/>
                <w:highlight w:val="none"/>
              </w:rPr>
            </w:pPr>
          </w:p>
        </w:tc>
      </w:tr>
      <w:tr w14:paraId="7055D9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7D6D98A6">
            <w:pPr>
              <w:adjustRightInd w:val="0"/>
              <w:snapToGrid w:val="0"/>
              <w:spacing w:line="360" w:lineRule="auto"/>
              <w:rPr>
                <w:rFonts w:ascii="宋体" w:hAnsi="宋体"/>
                <w:color w:val="auto"/>
                <w:kern w:val="0"/>
                <w:sz w:val="24"/>
                <w:highlight w:val="none"/>
              </w:rPr>
            </w:pPr>
          </w:p>
        </w:tc>
        <w:tc>
          <w:tcPr>
            <w:tcW w:w="7613" w:type="dxa"/>
          </w:tcPr>
          <w:p w14:paraId="1C097B7F">
            <w:pPr>
              <w:adjustRightInd w:val="0"/>
              <w:snapToGrid w:val="0"/>
              <w:spacing w:line="360" w:lineRule="auto"/>
              <w:rPr>
                <w:rFonts w:ascii="宋体" w:hAnsi="宋体"/>
                <w:color w:val="auto"/>
                <w:kern w:val="0"/>
                <w:sz w:val="24"/>
                <w:highlight w:val="none"/>
              </w:rPr>
            </w:pPr>
          </w:p>
        </w:tc>
      </w:tr>
      <w:tr w14:paraId="038E4F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585B6EAB">
            <w:pPr>
              <w:adjustRightInd w:val="0"/>
              <w:snapToGrid w:val="0"/>
              <w:spacing w:line="360" w:lineRule="auto"/>
              <w:rPr>
                <w:rFonts w:ascii="宋体" w:hAnsi="宋体"/>
                <w:color w:val="auto"/>
                <w:kern w:val="0"/>
                <w:sz w:val="24"/>
                <w:highlight w:val="none"/>
              </w:rPr>
            </w:pPr>
          </w:p>
        </w:tc>
        <w:tc>
          <w:tcPr>
            <w:tcW w:w="7613" w:type="dxa"/>
          </w:tcPr>
          <w:p w14:paraId="0F03D3F4">
            <w:pPr>
              <w:adjustRightInd w:val="0"/>
              <w:snapToGrid w:val="0"/>
              <w:spacing w:line="360" w:lineRule="auto"/>
              <w:rPr>
                <w:rFonts w:ascii="宋体" w:hAnsi="宋体"/>
                <w:color w:val="auto"/>
                <w:kern w:val="0"/>
                <w:sz w:val="24"/>
                <w:highlight w:val="none"/>
              </w:rPr>
            </w:pPr>
          </w:p>
        </w:tc>
      </w:tr>
      <w:tr w14:paraId="31210B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1A2D0F36">
            <w:pPr>
              <w:adjustRightInd w:val="0"/>
              <w:snapToGrid w:val="0"/>
              <w:spacing w:line="360" w:lineRule="auto"/>
              <w:rPr>
                <w:rFonts w:ascii="宋体" w:hAnsi="宋体"/>
                <w:color w:val="auto"/>
                <w:kern w:val="0"/>
                <w:sz w:val="24"/>
                <w:highlight w:val="none"/>
              </w:rPr>
            </w:pPr>
          </w:p>
        </w:tc>
        <w:tc>
          <w:tcPr>
            <w:tcW w:w="7613" w:type="dxa"/>
          </w:tcPr>
          <w:p w14:paraId="4D3C0D5B">
            <w:pPr>
              <w:adjustRightInd w:val="0"/>
              <w:snapToGrid w:val="0"/>
              <w:spacing w:line="360" w:lineRule="auto"/>
              <w:rPr>
                <w:rFonts w:ascii="宋体" w:hAnsi="宋体"/>
                <w:color w:val="auto"/>
                <w:kern w:val="0"/>
                <w:sz w:val="24"/>
                <w:highlight w:val="none"/>
              </w:rPr>
            </w:pPr>
          </w:p>
        </w:tc>
      </w:tr>
    </w:tbl>
    <w:p w14:paraId="03BA9BC1">
      <w:pPr>
        <w:adjustRightInd w:val="0"/>
        <w:snapToGrid w:val="0"/>
        <w:spacing w:line="360" w:lineRule="auto"/>
        <w:rPr>
          <w:rFonts w:ascii="宋体" w:hAnsi="宋体"/>
          <w:color w:val="auto"/>
          <w:szCs w:val="21"/>
          <w:highlight w:val="none"/>
        </w:rPr>
      </w:pPr>
    </w:p>
    <w:p w14:paraId="79A7D40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评标委员会（签字）：</w:t>
      </w:r>
    </w:p>
    <w:p w14:paraId="2AD3C437">
      <w:pPr>
        <w:jc w:val="left"/>
        <w:rPr>
          <w:rFonts w:ascii="宋体" w:hAnsi="宋体"/>
          <w:color w:val="auto"/>
          <w:szCs w:val="21"/>
          <w:highlight w:val="none"/>
        </w:rPr>
      </w:pPr>
      <w:r>
        <w:rPr>
          <w:rFonts w:hint="eastAsia" w:ascii="宋体" w:hAnsi="宋体"/>
          <w:color w:val="auto"/>
          <w:szCs w:val="21"/>
          <w:highlight w:val="none"/>
        </w:rPr>
        <w:t>日期：  年  月   日</w:t>
      </w:r>
    </w:p>
    <w:p w14:paraId="44FA4042">
      <w:pPr>
        <w:pStyle w:val="3"/>
        <w:adjustRightInd w:val="0"/>
        <w:snapToGrid w:val="0"/>
        <w:spacing w:beforeLines="50"/>
        <w:jc w:val="center"/>
        <w:rPr>
          <w:rFonts w:ascii="宋体" w:hAnsi="宋体"/>
          <w:color w:val="auto"/>
          <w:sz w:val="28"/>
          <w:szCs w:val="28"/>
          <w:highlight w:val="none"/>
        </w:rPr>
      </w:pPr>
      <w:r>
        <w:rPr>
          <w:rFonts w:ascii="宋体" w:hAnsi="宋体"/>
          <w:color w:val="auto"/>
          <w:highlight w:val="none"/>
        </w:rPr>
        <w:br w:type="page"/>
      </w:r>
      <w:bookmarkStart w:id="1150" w:name="_Toc171282432"/>
      <w:bookmarkStart w:id="1151" w:name="_Toc193053733"/>
      <w:bookmarkStart w:id="1152" w:name="_Toc79093700"/>
      <w:bookmarkStart w:id="1153" w:name="_Toc103979607"/>
      <w:bookmarkStart w:id="1154" w:name="_Toc9361"/>
      <w:bookmarkStart w:id="1155" w:name="_Toc13093"/>
      <w:bookmarkStart w:id="1156" w:name="_Toc113350964"/>
      <w:bookmarkStart w:id="1157" w:name="_Toc111543585"/>
      <w:bookmarkStart w:id="1158" w:name="_Toc25000"/>
      <w:bookmarkStart w:id="1159" w:name="_Toc99299754"/>
      <w:bookmarkStart w:id="1160" w:name="_Toc24484"/>
      <w:bookmarkStart w:id="1161" w:name="_Toc23987"/>
      <w:bookmarkStart w:id="1162" w:name="_Toc109656606"/>
      <w:bookmarkStart w:id="1163" w:name="_Toc137408745"/>
      <w:bookmarkStart w:id="1164" w:name="_Toc141"/>
      <w:bookmarkStart w:id="1165" w:name="_Toc140957898"/>
      <w:bookmarkStart w:id="1166" w:name="_Toc8203"/>
      <w:bookmarkStart w:id="1167" w:name="_Toc189905389"/>
      <w:bookmarkStart w:id="1168" w:name="_Toc6308"/>
      <w:bookmarkStart w:id="1169" w:name="_Toc27718"/>
      <w:bookmarkStart w:id="1170" w:name="_Toc7177"/>
      <w:bookmarkStart w:id="1171" w:name="_Toc25684"/>
      <w:bookmarkStart w:id="1172" w:name="_Toc28365"/>
      <w:bookmarkStart w:id="1173" w:name="_Toc24467"/>
      <w:bookmarkStart w:id="1174" w:name="_Toc166778363"/>
      <w:bookmarkStart w:id="1175" w:name="_Toc25599"/>
      <w:bookmarkStart w:id="1176" w:name="_Toc118209455"/>
      <w:bookmarkStart w:id="1177" w:name="_Toc108483424"/>
      <w:bookmarkStart w:id="1178" w:name="_Toc4121"/>
      <w:bookmarkStart w:id="1179" w:name="_Toc17716"/>
      <w:r>
        <w:rPr>
          <w:rFonts w:hint="eastAsia" w:ascii="宋体" w:hAnsi="宋体"/>
          <w:color w:val="auto"/>
          <w:sz w:val="28"/>
          <w:szCs w:val="28"/>
          <w:highlight w:val="none"/>
        </w:rPr>
        <w:t>第四节 投标文件的比较与评价（综合评分法）</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14:paraId="7B5B6092">
      <w:pPr>
        <w:widowControl/>
        <w:adjustRightInd w:val="0"/>
        <w:snapToGrid w:val="0"/>
        <w:spacing w:line="360" w:lineRule="auto"/>
        <w:rPr>
          <w:rFonts w:ascii="宋体" w:hAnsi="宋体"/>
          <w:b/>
          <w:color w:val="auto"/>
          <w:sz w:val="24"/>
          <w:highlight w:val="none"/>
        </w:rPr>
      </w:pPr>
    </w:p>
    <w:p w14:paraId="6B78284E">
      <w:pPr>
        <w:widowControl/>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1.综合评分法</w:t>
      </w:r>
    </w:p>
    <w:p w14:paraId="4DB13677">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1.1综合评分法，指投标文件满足招标文件全部实质性要求，且按照评审因素的量化指标评审得分最高的投标人为中标候选人的评标方法。</w:t>
      </w:r>
    </w:p>
    <w:p w14:paraId="47657919">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25770BE2">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1.3未通过符合性审查的投标文件不得进入比较与评价。</w:t>
      </w:r>
    </w:p>
    <w:p w14:paraId="6160753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2.投标报价的算术修正及政府采购政策调整</w:t>
      </w:r>
    </w:p>
    <w:p w14:paraId="231A9154">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2.1如果有算术错误，投标报价将按本章第二节第4.2款、第4.3款规定进行算术修正。</w:t>
      </w:r>
    </w:p>
    <w:p w14:paraId="3A65162B">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2.2需落实政府采购政策（价格评审优惠）的，按第二章“投标须知”及本章第二节第</w:t>
      </w:r>
      <w:r>
        <w:rPr>
          <w:rFonts w:ascii="宋体" w:hAnsi="宋体"/>
          <w:bCs/>
          <w:color w:val="auto"/>
          <w:szCs w:val="21"/>
          <w:highlight w:val="none"/>
        </w:rPr>
        <w:t>5.</w:t>
      </w:r>
      <w:r>
        <w:rPr>
          <w:rFonts w:hint="eastAsia" w:ascii="宋体" w:hAnsi="宋体"/>
          <w:bCs/>
          <w:color w:val="auto"/>
          <w:szCs w:val="21"/>
          <w:highlight w:val="none"/>
        </w:rPr>
        <w:t>2（1）项的相关规定进行价格调整。</w:t>
      </w:r>
    </w:p>
    <w:p w14:paraId="7AB3F13C">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2.3按本章本节第2.1款、第2.2款规定，以修正或调整后的价格确定投标人的投标报价和评标基准价，用于投标报价评价。</w:t>
      </w:r>
    </w:p>
    <w:p w14:paraId="4206110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3.投标报价评价</w:t>
      </w:r>
    </w:p>
    <w:p w14:paraId="470C518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45DABFF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修正或调整</w:t>
      </w:r>
      <w:r>
        <w:rPr>
          <w:rFonts w:hint="eastAsia" w:ascii="宋体" w:hAnsi="宋体"/>
          <w:color w:val="auto"/>
          <w:szCs w:val="21"/>
          <w:highlight w:val="none"/>
        </w:rPr>
        <w:t>／投标报价</w:t>
      </w:r>
      <w:r>
        <w:rPr>
          <w:rFonts w:hint="eastAsia" w:ascii="宋体" w:hAnsi="宋体"/>
          <w:color w:val="auto"/>
          <w:szCs w:val="21"/>
          <w:highlight w:val="none"/>
          <w:vertAlign w:val="subscript"/>
        </w:rPr>
        <w:t>修正或调整</w:t>
      </w:r>
      <w:r>
        <w:rPr>
          <w:rFonts w:hint="eastAsia" w:ascii="宋体" w:hAnsi="宋体"/>
          <w:color w:val="auto"/>
          <w:szCs w:val="21"/>
          <w:highlight w:val="none"/>
        </w:rPr>
        <w:t>）×100 ×报价权重分</w:t>
      </w:r>
    </w:p>
    <w:p w14:paraId="4241DB6B">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技术、商务等评分项响应评价及政府采购政策加分</w:t>
      </w:r>
    </w:p>
    <w:p w14:paraId="228F95D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4.1技术、商务等评分项响应评分。按</w:t>
      </w:r>
      <w:r>
        <w:rPr>
          <w:rFonts w:hint="eastAsia" w:ascii="宋体" w:hAnsi="宋体"/>
          <w:bCs/>
          <w:color w:val="auto"/>
          <w:szCs w:val="21"/>
          <w:highlight w:val="none"/>
        </w:rPr>
        <w:t>本章</w:t>
      </w:r>
      <w:r>
        <w:rPr>
          <w:rFonts w:hint="eastAsia" w:ascii="宋体" w:hAnsi="宋体"/>
          <w:color w:val="auto"/>
          <w:szCs w:val="21"/>
          <w:highlight w:val="none"/>
        </w:rPr>
        <w:t>本节附页1“评标方法及标准表”规定的评标因素和标准，对技术、商务等评分项计算得分。</w:t>
      </w:r>
    </w:p>
    <w:p w14:paraId="4641105D">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5.评标总得分</w:t>
      </w:r>
    </w:p>
    <w:p w14:paraId="53C9877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5.1评标总得分为投标报价、技术、商务等评分项得分(含优先采购政策加分)之和。</w:t>
      </w:r>
    </w:p>
    <w:p w14:paraId="7BC4C2B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评标总得分＝F1×A1＋F2×A2＋……＋Fn×An</w:t>
      </w:r>
    </w:p>
    <w:p w14:paraId="4AA0480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F1、F2……Fn分别为各项评审因素的得分；</w:t>
      </w:r>
    </w:p>
    <w:p w14:paraId="0673E38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A1、A2、……An分别为各项评审因素所占的权重（A1＋A2＋…＋An＝1）。</w:t>
      </w:r>
    </w:p>
    <w:p w14:paraId="3637D9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5.2评分分值计算保留小数点后两位，小数点后第三位“四舍五入”。</w:t>
      </w:r>
    </w:p>
    <w:p w14:paraId="0BC86A83">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5.3</w:t>
      </w:r>
      <w:r>
        <w:rPr>
          <w:rFonts w:hint="eastAsia" w:ascii="宋体" w:hAnsi="宋体"/>
          <w:color w:val="auto"/>
          <w:szCs w:val="21"/>
          <w:highlight w:val="none"/>
        </w:rPr>
        <w:t>评标时，评标委员会成员应当独立对满足招标文件全部实质性要求投标人的</w:t>
      </w:r>
      <w:r>
        <w:rPr>
          <w:rFonts w:hint="eastAsia" w:ascii="宋体" w:hAnsi="宋体"/>
          <w:bCs/>
          <w:color w:val="auto"/>
          <w:szCs w:val="21"/>
          <w:highlight w:val="none"/>
        </w:rPr>
        <w:t>投标文件</w:t>
      </w:r>
      <w:r>
        <w:rPr>
          <w:rFonts w:hint="eastAsia" w:ascii="宋体" w:hAnsi="宋体"/>
          <w:color w:val="auto"/>
          <w:szCs w:val="21"/>
          <w:highlight w:val="none"/>
        </w:rPr>
        <w:t>进行评价、评分，然后汇总每个投标人每项评分因素的得分。每个投标人的最终得分为所有评标委员会成员评分的算术平均值。</w:t>
      </w:r>
    </w:p>
    <w:p w14:paraId="494481D4">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6.中标候选人的推荐方法</w:t>
      </w:r>
    </w:p>
    <w:p w14:paraId="56CC29CF">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2F8E4ED">
      <w:pPr>
        <w:spacing w:line="360" w:lineRule="auto"/>
        <w:ind w:firstLine="420" w:firstLineChars="200"/>
        <w:rPr>
          <w:rFonts w:ascii="宋体" w:hAnsi="宋体"/>
          <w:color w:val="auto"/>
          <w:highlight w:val="none"/>
        </w:rPr>
      </w:pPr>
      <w:r>
        <w:rPr>
          <w:rFonts w:hint="eastAsia" w:ascii="宋体" w:hAnsi="宋体"/>
          <w:bCs/>
          <w:color w:val="auto"/>
          <w:szCs w:val="21"/>
          <w:highlight w:val="none"/>
        </w:rPr>
        <w:t>6.2得分且投标报价相同的并列，按本章第二节规定确定中标侯选人。</w:t>
      </w:r>
    </w:p>
    <w:p w14:paraId="4C91158C">
      <w:pPr>
        <w:pStyle w:val="4"/>
        <w:adjustRightInd w:val="0"/>
        <w:snapToGrid w:val="0"/>
        <w:spacing w:beforeLines="50" w:after="0" w:line="360" w:lineRule="auto"/>
        <w:rPr>
          <w:rFonts w:ascii="宋体" w:hAnsi="宋体"/>
          <w:color w:val="auto"/>
          <w:sz w:val="21"/>
          <w:szCs w:val="21"/>
          <w:highlight w:val="none"/>
        </w:rPr>
      </w:pPr>
      <w:r>
        <w:rPr>
          <w:rFonts w:ascii="宋体" w:hAnsi="宋体"/>
          <w:color w:val="auto"/>
          <w:highlight w:val="none"/>
        </w:rPr>
        <w:br w:type="page"/>
      </w:r>
      <w:bookmarkStart w:id="1180" w:name="_Toc118209456"/>
      <w:bookmarkStart w:id="1181" w:name="_Toc22868"/>
      <w:bookmarkStart w:id="1182" w:name="_Toc807"/>
      <w:bookmarkStart w:id="1183" w:name="_Toc137408746"/>
      <w:bookmarkStart w:id="1184" w:name="_Toc189905390"/>
      <w:bookmarkStart w:id="1185" w:name="_Toc31710"/>
      <w:bookmarkStart w:id="1186" w:name="_Toc171282433"/>
      <w:bookmarkStart w:id="1187" w:name="_Toc1"/>
      <w:bookmarkStart w:id="1188" w:name="_Toc21930"/>
      <w:bookmarkStart w:id="1189" w:name="_Toc108483425"/>
      <w:bookmarkStart w:id="1190" w:name="_Toc10318"/>
      <w:bookmarkStart w:id="1191" w:name="_Toc20178"/>
      <w:bookmarkStart w:id="1192" w:name="_Toc29021"/>
      <w:bookmarkStart w:id="1193" w:name="_Toc140957899"/>
      <w:bookmarkStart w:id="1194" w:name="_Toc113350965"/>
      <w:bookmarkStart w:id="1195" w:name="_Toc28960"/>
      <w:bookmarkStart w:id="1196" w:name="_Toc111543586"/>
      <w:bookmarkStart w:id="1197" w:name="_Toc29249"/>
      <w:bookmarkStart w:id="1198" w:name="_Toc103979608"/>
      <w:bookmarkStart w:id="1199" w:name="_Toc22130"/>
      <w:bookmarkStart w:id="1200" w:name="_Toc109656607"/>
      <w:bookmarkStart w:id="1201" w:name="_Toc17518"/>
      <w:bookmarkStart w:id="1202" w:name="_Toc79093701"/>
      <w:bookmarkStart w:id="1203" w:name="_Toc13674"/>
      <w:bookmarkStart w:id="1204" w:name="_Toc15867"/>
      <w:bookmarkStart w:id="1205" w:name="_Toc24091"/>
      <w:bookmarkStart w:id="1206" w:name="_Toc11516"/>
      <w:bookmarkStart w:id="1207" w:name="_Toc193053734"/>
      <w:bookmarkStart w:id="1208" w:name="_Toc99299755"/>
      <w:bookmarkStart w:id="1209" w:name="_Toc166778364"/>
      <w:r>
        <w:rPr>
          <w:rFonts w:hint="eastAsia" w:ascii="宋体" w:hAnsi="宋体"/>
          <w:color w:val="auto"/>
          <w:sz w:val="21"/>
          <w:szCs w:val="21"/>
          <w:highlight w:val="none"/>
        </w:rPr>
        <w:t>附页1 评标方法及标准表</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14:paraId="754ABD9E">
      <w:pPr>
        <w:pStyle w:val="21"/>
        <w:ind w:left="0" w:leftChars="0" w:firstLine="0" w:firstLineChars="0"/>
        <w:jc w:val="center"/>
        <w:rPr>
          <w:b/>
          <w:bCs/>
          <w:color w:val="auto"/>
          <w:highlight w:val="none"/>
        </w:rPr>
      </w:pPr>
      <w:r>
        <w:rPr>
          <w:rFonts w:hint="eastAsia"/>
          <w:b/>
          <w:bCs/>
          <w:color w:val="auto"/>
          <w:kern w:val="2"/>
          <w:sz w:val="21"/>
          <w:highlight w:val="none"/>
        </w:rPr>
        <w:t>本采购项目的权值见下表</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7643A2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vAlign w:val="center"/>
          </w:tcPr>
          <w:p w14:paraId="5319EE07">
            <w:pPr>
              <w:adjustRightInd w:val="0"/>
              <w:snapToGrid w:val="0"/>
              <w:spacing w:line="240" w:lineRule="exact"/>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序号</w:t>
            </w:r>
          </w:p>
        </w:tc>
        <w:tc>
          <w:tcPr>
            <w:tcW w:w="4680" w:type="dxa"/>
            <w:vAlign w:val="center"/>
          </w:tcPr>
          <w:p w14:paraId="05C10991">
            <w:pPr>
              <w:adjustRightInd w:val="0"/>
              <w:snapToGrid w:val="0"/>
              <w:spacing w:line="240" w:lineRule="exact"/>
              <w:jc w:val="center"/>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项     目</w:t>
            </w:r>
          </w:p>
        </w:tc>
        <w:tc>
          <w:tcPr>
            <w:tcW w:w="3420" w:type="dxa"/>
            <w:vAlign w:val="center"/>
          </w:tcPr>
          <w:p w14:paraId="5BED9B0F">
            <w:pPr>
              <w:adjustRightInd w:val="0"/>
              <w:snapToGrid w:val="0"/>
              <w:spacing w:line="240" w:lineRule="exact"/>
              <w:jc w:val="center"/>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权值的取值</w:t>
            </w:r>
          </w:p>
        </w:tc>
      </w:tr>
      <w:tr w14:paraId="2884CE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vAlign w:val="center"/>
          </w:tcPr>
          <w:p w14:paraId="7A7BCB78">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1</w:t>
            </w:r>
          </w:p>
        </w:tc>
        <w:tc>
          <w:tcPr>
            <w:tcW w:w="4680" w:type="dxa"/>
            <w:vAlign w:val="center"/>
          </w:tcPr>
          <w:p w14:paraId="0CB24879">
            <w:pPr>
              <w:adjustRightInd w:val="0"/>
              <w:snapToGrid w:val="0"/>
              <w:spacing w:line="240" w:lineRule="exact"/>
              <w:jc w:val="center"/>
              <w:rPr>
                <w:rFonts w:ascii="宋体" w:hAnsi="宋体" w:cs="宋体"/>
                <w:color w:val="auto"/>
                <w:kern w:val="0"/>
                <w:szCs w:val="21"/>
                <w:highlight w:val="none"/>
                <w:lang w:val="ru-RU"/>
              </w:rPr>
            </w:pPr>
            <w:r>
              <w:rPr>
                <w:rFonts w:hint="eastAsia" w:ascii="宋体" w:hAnsi="宋体" w:cs="宋体"/>
                <w:color w:val="auto"/>
                <w:kern w:val="0"/>
                <w:szCs w:val="21"/>
                <w:highlight w:val="none"/>
                <w:lang w:val="ru-RU" w:eastAsia="ru-RU"/>
              </w:rPr>
              <w:t>报价</w:t>
            </w:r>
            <w:r>
              <w:rPr>
                <w:rFonts w:hint="eastAsia" w:ascii="宋体" w:hAnsi="宋体" w:cs="宋体"/>
                <w:color w:val="auto"/>
                <w:kern w:val="0"/>
                <w:szCs w:val="21"/>
                <w:highlight w:val="none"/>
                <w:lang w:val="ru-RU"/>
              </w:rPr>
              <w:t>（A</w:t>
            </w:r>
            <w:r>
              <w:rPr>
                <w:rFonts w:ascii="宋体" w:hAnsi="宋体" w:cs="宋体"/>
                <w:color w:val="auto"/>
                <w:kern w:val="0"/>
                <w:szCs w:val="21"/>
                <w:highlight w:val="none"/>
                <w:lang w:val="ru-RU"/>
              </w:rPr>
              <w:t>1</w:t>
            </w:r>
            <w:r>
              <w:rPr>
                <w:rFonts w:hint="eastAsia" w:ascii="宋体" w:hAnsi="宋体" w:cs="宋体"/>
                <w:color w:val="auto"/>
                <w:kern w:val="0"/>
                <w:szCs w:val="21"/>
                <w:highlight w:val="none"/>
                <w:lang w:val="ru-RU"/>
              </w:rPr>
              <w:t>）</w:t>
            </w:r>
          </w:p>
        </w:tc>
        <w:tc>
          <w:tcPr>
            <w:tcW w:w="3420" w:type="dxa"/>
            <w:vAlign w:val="center"/>
          </w:tcPr>
          <w:p w14:paraId="71AC9A42">
            <w:pPr>
              <w:adjustRightInd w:val="0"/>
              <w:snapToGrid w:val="0"/>
              <w:spacing w:line="24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2</w:t>
            </w:r>
          </w:p>
        </w:tc>
      </w:tr>
      <w:tr w14:paraId="488EE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421BA589">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2</w:t>
            </w:r>
          </w:p>
        </w:tc>
        <w:tc>
          <w:tcPr>
            <w:tcW w:w="4680" w:type="dxa"/>
            <w:vAlign w:val="center"/>
          </w:tcPr>
          <w:p w14:paraId="7F9CC54D">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技术</w:t>
            </w:r>
            <w:r>
              <w:rPr>
                <w:rFonts w:hint="eastAsia" w:ascii="宋体" w:hAnsi="宋体" w:cs="宋体"/>
                <w:color w:val="auto"/>
                <w:kern w:val="0"/>
                <w:szCs w:val="21"/>
                <w:highlight w:val="none"/>
                <w:lang w:val="ru-RU"/>
              </w:rPr>
              <w:t>（A</w:t>
            </w:r>
            <w:r>
              <w:rPr>
                <w:rFonts w:ascii="宋体" w:hAnsi="宋体" w:cs="宋体"/>
                <w:color w:val="auto"/>
                <w:kern w:val="0"/>
                <w:szCs w:val="21"/>
                <w:highlight w:val="none"/>
                <w:lang w:val="ru-RU"/>
              </w:rPr>
              <w:t>2</w:t>
            </w:r>
            <w:r>
              <w:rPr>
                <w:rFonts w:hint="eastAsia" w:ascii="宋体" w:hAnsi="宋体" w:cs="宋体"/>
                <w:color w:val="auto"/>
                <w:kern w:val="0"/>
                <w:szCs w:val="21"/>
                <w:highlight w:val="none"/>
                <w:lang w:val="ru-RU"/>
              </w:rPr>
              <w:t>）</w:t>
            </w:r>
          </w:p>
        </w:tc>
        <w:tc>
          <w:tcPr>
            <w:tcW w:w="3420" w:type="dxa"/>
            <w:vAlign w:val="center"/>
          </w:tcPr>
          <w:p w14:paraId="1FF76658">
            <w:pPr>
              <w:adjustRightInd w:val="0"/>
              <w:snapToGrid w:val="0"/>
              <w:spacing w:line="24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5</w:t>
            </w:r>
          </w:p>
        </w:tc>
      </w:tr>
      <w:tr w14:paraId="46C911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3491F706">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3</w:t>
            </w:r>
          </w:p>
        </w:tc>
        <w:tc>
          <w:tcPr>
            <w:tcW w:w="4680" w:type="dxa"/>
            <w:vAlign w:val="center"/>
          </w:tcPr>
          <w:p w14:paraId="1C380BB4">
            <w:pPr>
              <w:adjustRightInd w:val="0"/>
              <w:snapToGrid w:val="0"/>
              <w:spacing w:line="240" w:lineRule="exact"/>
              <w:jc w:val="center"/>
              <w:rPr>
                <w:rFonts w:ascii="宋体" w:hAnsi="宋体" w:cs="宋体"/>
                <w:color w:val="auto"/>
                <w:kern w:val="0"/>
                <w:szCs w:val="21"/>
                <w:highlight w:val="none"/>
                <w:lang w:val="ru-RU"/>
              </w:rPr>
            </w:pPr>
            <w:r>
              <w:rPr>
                <w:rFonts w:hint="eastAsia" w:ascii="宋体" w:hAnsi="宋体" w:cs="宋体"/>
                <w:color w:val="auto"/>
                <w:kern w:val="0"/>
                <w:szCs w:val="21"/>
                <w:highlight w:val="none"/>
                <w:lang w:val="ru-RU"/>
              </w:rPr>
              <w:t>商务（A</w:t>
            </w:r>
            <w:r>
              <w:rPr>
                <w:rFonts w:ascii="宋体" w:hAnsi="宋体" w:cs="宋体"/>
                <w:color w:val="auto"/>
                <w:kern w:val="0"/>
                <w:szCs w:val="21"/>
                <w:highlight w:val="none"/>
                <w:lang w:val="ru-RU"/>
              </w:rPr>
              <w:t>3</w:t>
            </w:r>
            <w:r>
              <w:rPr>
                <w:rFonts w:hint="eastAsia" w:ascii="宋体" w:hAnsi="宋体" w:cs="宋体"/>
                <w:color w:val="auto"/>
                <w:kern w:val="0"/>
                <w:szCs w:val="21"/>
                <w:highlight w:val="none"/>
                <w:lang w:val="ru-RU"/>
              </w:rPr>
              <w:t>）</w:t>
            </w:r>
          </w:p>
        </w:tc>
        <w:tc>
          <w:tcPr>
            <w:tcW w:w="3420" w:type="dxa"/>
            <w:vAlign w:val="center"/>
          </w:tcPr>
          <w:p w14:paraId="1B6F4920">
            <w:pPr>
              <w:adjustRightInd w:val="0"/>
              <w:snapToGrid w:val="0"/>
              <w:spacing w:line="240" w:lineRule="exac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3</w:t>
            </w:r>
          </w:p>
        </w:tc>
      </w:tr>
      <w:tr w14:paraId="3F57B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vAlign w:val="center"/>
          </w:tcPr>
          <w:p w14:paraId="4E9F02BB">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ru-RU"/>
              </w:rPr>
              <w:t>合计</w:t>
            </w:r>
          </w:p>
        </w:tc>
        <w:tc>
          <w:tcPr>
            <w:tcW w:w="3420" w:type="dxa"/>
            <w:vAlign w:val="center"/>
          </w:tcPr>
          <w:p w14:paraId="2D6F5D57">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r>
    </w:tbl>
    <w:p w14:paraId="240CF956">
      <w:pPr>
        <w:adjustRightInd w:val="0"/>
        <w:snapToGrid w:val="0"/>
        <w:spacing w:beforeLines="50" w:line="360" w:lineRule="auto"/>
        <w:jc w:val="center"/>
        <w:rPr>
          <w:b/>
          <w:bCs/>
          <w:color w:val="auto"/>
          <w:highlight w:val="none"/>
        </w:rPr>
      </w:pPr>
      <w:r>
        <w:rPr>
          <w:rFonts w:hint="eastAsia"/>
          <w:b/>
          <w:bCs/>
          <w:color w:val="auto"/>
          <w:highlight w:val="none"/>
        </w:rPr>
        <w:t>附表1.1投标报价评审标准表</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6253"/>
      </w:tblGrid>
      <w:tr w14:paraId="0B067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503" w:type="dxa"/>
            <w:tcBorders>
              <w:right w:val="single" w:color="auto" w:sz="4" w:space="0"/>
            </w:tcBorders>
            <w:vAlign w:val="center"/>
          </w:tcPr>
          <w:p w14:paraId="53A09412">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2160" w:type="dxa"/>
            <w:tcBorders>
              <w:left w:val="single" w:color="auto" w:sz="4" w:space="0"/>
              <w:right w:val="single" w:color="auto" w:sz="4" w:space="0"/>
            </w:tcBorders>
            <w:vAlign w:val="center"/>
          </w:tcPr>
          <w:p w14:paraId="5B743CF1">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253" w:type="dxa"/>
            <w:tcBorders>
              <w:left w:val="single" w:color="auto" w:sz="4" w:space="0"/>
            </w:tcBorders>
            <w:vAlign w:val="center"/>
          </w:tcPr>
          <w:p w14:paraId="00596BFF">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0B4239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vAlign w:val="center"/>
          </w:tcPr>
          <w:p w14:paraId="15CA3A1D">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1</w:t>
            </w:r>
          </w:p>
        </w:tc>
        <w:tc>
          <w:tcPr>
            <w:tcW w:w="2160" w:type="dxa"/>
            <w:tcBorders>
              <w:left w:val="single" w:color="auto" w:sz="4" w:space="0"/>
              <w:right w:val="single" w:color="auto" w:sz="4" w:space="0"/>
            </w:tcBorders>
            <w:vAlign w:val="center"/>
          </w:tcPr>
          <w:p w14:paraId="6D963033">
            <w:pPr>
              <w:adjustRightInd w:val="0"/>
              <w:snapToGrid w:val="0"/>
              <w:jc w:val="center"/>
              <w:rPr>
                <w:rFonts w:ascii="宋体" w:hAnsi="宋体"/>
                <w:color w:val="auto"/>
                <w:szCs w:val="21"/>
                <w:highlight w:val="none"/>
              </w:rPr>
            </w:pPr>
            <w:r>
              <w:rPr>
                <w:rFonts w:hint="eastAsia" w:ascii="宋体" w:hAnsi="宋体"/>
                <w:color w:val="auto"/>
                <w:szCs w:val="21"/>
                <w:highlight w:val="none"/>
              </w:rPr>
              <w:t>价格评价项</w:t>
            </w:r>
          </w:p>
          <w:p w14:paraId="137C3030">
            <w:pPr>
              <w:adjustRightInd w:val="0"/>
              <w:snapToGrid w:val="0"/>
              <w:jc w:val="center"/>
              <w:rPr>
                <w:rFonts w:ascii="宋体" w:hAnsi="宋体"/>
                <w:color w:val="auto"/>
                <w:szCs w:val="21"/>
                <w:highlight w:val="none"/>
              </w:rPr>
            </w:pPr>
            <w:r>
              <w:rPr>
                <w:rFonts w:hint="eastAsia" w:ascii="宋体" w:hAnsi="宋体"/>
                <w:color w:val="auto"/>
                <w:szCs w:val="21"/>
                <w:highlight w:val="none"/>
              </w:rPr>
              <w:t>（F=100分）</w:t>
            </w:r>
          </w:p>
        </w:tc>
        <w:tc>
          <w:tcPr>
            <w:tcW w:w="6253" w:type="dxa"/>
            <w:tcBorders>
              <w:left w:val="single" w:color="auto" w:sz="4" w:space="0"/>
            </w:tcBorders>
            <w:vAlign w:val="center"/>
          </w:tcPr>
          <w:p w14:paraId="35DCB8B7">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以经评委会一致认定满足招标文件要求且投标价格最低的投标报价为评标基准价，其价格计满分。其他投标人的价格得分统一按公式计算：</w:t>
            </w:r>
          </w:p>
          <w:p w14:paraId="2BACDE25">
            <w:pPr>
              <w:spacing w:line="360" w:lineRule="exact"/>
              <w:rPr>
                <w:rFonts w:hint="eastAsia" w:eastAsia="宋体"/>
                <w:color w:val="auto"/>
                <w:szCs w:val="21"/>
                <w:highlight w:val="none"/>
                <w:lang w:eastAsia="zh-CN"/>
              </w:rPr>
            </w:pPr>
            <w:r>
              <w:rPr>
                <w:rFonts w:hint="eastAsia" w:ascii="宋体" w:hAnsi="宋体" w:cs="宋体"/>
                <w:color w:val="auto"/>
                <w:szCs w:val="21"/>
                <w:highlight w:val="none"/>
              </w:rPr>
              <w:t>投标报价得分=（评标基准价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／投标报价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w:t>
            </w:r>
            <w:r>
              <w:rPr>
                <w:rFonts w:hint="eastAsia" w:ascii="宋体" w:hAnsi="宋体"/>
                <w:color w:val="auto"/>
                <w:szCs w:val="21"/>
                <w:highlight w:val="none"/>
              </w:rPr>
              <w:t>×100</w:t>
            </w:r>
            <w:r>
              <w:rPr>
                <w:rFonts w:hint="eastAsia" w:ascii="宋体" w:hAnsi="宋体" w:cs="宋体"/>
                <w:color w:val="auto"/>
                <w:szCs w:val="21"/>
                <w:highlight w:val="none"/>
              </w:rPr>
              <w:t>×报价权值</w:t>
            </w:r>
            <w:r>
              <w:rPr>
                <w:rFonts w:hint="eastAsia" w:ascii="宋体" w:hAnsi="宋体" w:cs="宋体"/>
                <w:color w:val="auto"/>
                <w:szCs w:val="21"/>
                <w:highlight w:val="none"/>
                <w:lang w:eastAsia="zh-CN"/>
              </w:rPr>
              <w:t>。</w:t>
            </w:r>
          </w:p>
        </w:tc>
      </w:tr>
      <w:tr w14:paraId="066A0E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122C82DD">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2</w:t>
            </w:r>
          </w:p>
        </w:tc>
        <w:tc>
          <w:tcPr>
            <w:tcW w:w="2160" w:type="dxa"/>
            <w:tcBorders>
              <w:left w:val="single" w:color="auto" w:sz="4" w:space="0"/>
            </w:tcBorders>
            <w:vAlign w:val="center"/>
          </w:tcPr>
          <w:p w14:paraId="5EBB3657">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253" w:type="dxa"/>
            <w:tcBorders>
              <w:bottom w:val="single" w:color="auto" w:sz="4" w:space="0"/>
            </w:tcBorders>
            <w:vAlign w:val="center"/>
          </w:tcPr>
          <w:p w14:paraId="3137BB50">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50D867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02EC1337">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413" w:type="dxa"/>
            <w:gridSpan w:val="2"/>
            <w:tcBorders>
              <w:left w:val="single" w:color="auto" w:sz="4" w:space="0"/>
            </w:tcBorders>
            <w:vAlign w:val="center"/>
          </w:tcPr>
          <w:p w14:paraId="38AB2752">
            <w:pPr>
              <w:adjustRightInd w:val="0"/>
              <w:snapToGrid w:val="0"/>
              <w:rPr>
                <w:rFonts w:ascii="宋体" w:hAnsi="宋体"/>
                <w:color w:val="auto"/>
                <w:szCs w:val="21"/>
                <w:highlight w:val="none"/>
              </w:rPr>
            </w:pPr>
            <w:r>
              <w:rPr>
                <w:rFonts w:hint="eastAsia" w:ascii="宋体" w:hAnsi="宋体"/>
                <w:color w:val="auto"/>
                <w:szCs w:val="21"/>
                <w:highlight w:val="none"/>
              </w:rPr>
              <w:t>F</w:t>
            </w:r>
            <w:r>
              <w:rPr>
                <w:rFonts w:hint="eastAsia" w:ascii="宋体" w:hAnsi="宋体"/>
                <w:color w:val="auto"/>
                <w:szCs w:val="21"/>
                <w:highlight w:val="none"/>
                <w:vertAlign w:val="subscript"/>
              </w:rPr>
              <w:t>1</w:t>
            </w:r>
            <w:r>
              <w:rPr>
                <w:rFonts w:hint="eastAsia" w:ascii="宋体" w:hAnsi="宋体"/>
                <w:color w:val="auto"/>
                <w:szCs w:val="21"/>
                <w:highlight w:val="none"/>
              </w:rPr>
              <w:t>=F+</w:t>
            </w:r>
            <w:r>
              <w:rPr>
                <w:rFonts w:hint="eastAsia"/>
                <w:color w:val="auto"/>
                <w:szCs w:val="21"/>
                <w:highlight w:val="none"/>
              </w:rPr>
              <w:t xml:space="preserve"> </w:t>
            </w:r>
            <w:r>
              <w:rPr>
                <w:rFonts w:hint="eastAsia" w:ascii="宋体" w:hAnsi="宋体"/>
                <w:color w:val="auto"/>
                <w:szCs w:val="21"/>
                <w:highlight w:val="none"/>
              </w:rPr>
              <w:t>F</w:t>
            </w:r>
            <w:r>
              <w:rPr>
                <w:rFonts w:hint="eastAsia" w:ascii="宋体" w:hAnsi="宋体"/>
                <w:color w:val="auto"/>
                <w:szCs w:val="21"/>
                <w:highlight w:val="none"/>
                <w:vertAlign w:val="subscript"/>
              </w:rPr>
              <w:t>优先采购加分</w:t>
            </w:r>
          </w:p>
        </w:tc>
      </w:tr>
    </w:tbl>
    <w:p w14:paraId="47BF149F">
      <w:pPr>
        <w:adjustRightInd w:val="0"/>
        <w:snapToGrid w:val="0"/>
        <w:spacing w:beforeLines="50" w:line="360" w:lineRule="auto"/>
        <w:jc w:val="center"/>
        <w:rPr>
          <w:b/>
          <w:bCs/>
          <w:color w:val="auto"/>
          <w:highlight w:val="none"/>
        </w:rPr>
      </w:pPr>
      <w:bookmarkStart w:id="1210" w:name="_Toc103979610"/>
      <w:bookmarkStart w:id="1211" w:name="_Toc113350966"/>
      <w:bookmarkStart w:id="1212" w:name="_Toc7276"/>
      <w:bookmarkStart w:id="1213" w:name="_Toc109656609"/>
      <w:bookmarkStart w:id="1214" w:name="_Toc25462"/>
      <w:bookmarkStart w:id="1215" w:name="_Toc20184"/>
      <w:bookmarkStart w:id="1216" w:name="_Toc3845"/>
      <w:bookmarkStart w:id="1217" w:name="_Toc7007"/>
      <w:bookmarkStart w:id="1218" w:name="_Toc166778365"/>
      <w:bookmarkStart w:id="1219" w:name="_Toc7873"/>
      <w:bookmarkStart w:id="1220" w:name="_Toc118209457"/>
      <w:bookmarkStart w:id="1221" w:name="_Toc137408748"/>
      <w:bookmarkStart w:id="1222" w:name="_Toc171282434"/>
      <w:bookmarkStart w:id="1223" w:name="_Toc140957900"/>
      <w:bookmarkStart w:id="1224" w:name="_Toc108483427"/>
      <w:bookmarkStart w:id="1225" w:name="_Toc16010"/>
      <w:bookmarkStart w:id="1226" w:name="_Toc79093704"/>
      <w:bookmarkStart w:id="1227" w:name="_Toc12699"/>
      <w:bookmarkStart w:id="1228" w:name="_Toc13491"/>
      <w:bookmarkStart w:id="1229" w:name="_Toc22860"/>
      <w:bookmarkStart w:id="1230" w:name="_Toc99299757"/>
      <w:bookmarkStart w:id="1231" w:name="_Toc32058"/>
      <w:bookmarkStart w:id="1232" w:name="_Toc32398"/>
      <w:bookmarkStart w:id="1233" w:name="_Toc111543587"/>
      <w:bookmarkStart w:id="1234" w:name="_Toc5843"/>
      <w:r>
        <w:rPr>
          <w:rFonts w:hint="eastAsia"/>
          <w:b/>
          <w:bCs/>
          <w:color w:val="auto"/>
          <w:highlight w:val="none"/>
        </w:rPr>
        <w:t>附表1.2技术部分评审标准表</w:t>
      </w:r>
    </w:p>
    <w:tbl>
      <w:tblPr>
        <w:tblStyle w:val="46"/>
        <w:tblW w:w="909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76"/>
        <w:gridCol w:w="1276"/>
        <w:gridCol w:w="5438"/>
      </w:tblGrid>
      <w:tr w14:paraId="586EC8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503" w:type="dxa"/>
            <w:tcBorders>
              <w:right w:val="single" w:color="auto" w:sz="4" w:space="0"/>
            </w:tcBorders>
            <w:vAlign w:val="center"/>
          </w:tcPr>
          <w:p w14:paraId="269B83B5">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1876" w:type="dxa"/>
            <w:tcBorders>
              <w:left w:val="single" w:color="auto" w:sz="4" w:space="0"/>
              <w:right w:val="single" w:color="auto" w:sz="4" w:space="0"/>
            </w:tcBorders>
            <w:vAlign w:val="center"/>
          </w:tcPr>
          <w:p w14:paraId="024D318F">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714" w:type="dxa"/>
            <w:gridSpan w:val="2"/>
            <w:tcBorders>
              <w:left w:val="single" w:color="auto" w:sz="4" w:space="0"/>
            </w:tcBorders>
            <w:vAlign w:val="center"/>
          </w:tcPr>
          <w:p w14:paraId="408BDE92">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5DDCBE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restart"/>
            <w:tcBorders>
              <w:right w:val="single" w:color="auto" w:sz="4" w:space="0"/>
            </w:tcBorders>
            <w:vAlign w:val="center"/>
          </w:tcPr>
          <w:p w14:paraId="1EFA66BE">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1</w:t>
            </w:r>
          </w:p>
          <w:p w14:paraId="7FFBD9BD">
            <w:pPr>
              <w:adjustRightInd w:val="0"/>
              <w:snapToGrid w:val="0"/>
              <w:spacing w:beforeLines="50"/>
              <w:jc w:val="center"/>
              <w:rPr>
                <w:rFonts w:ascii="宋体" w:hAnsi="宋体"/>
                <w:color w:val="auto"/>
                <w:szCs w:val="21"/>
                <w:highlight w:val="none"/>
              </w:rPr>
            </w:pPr>
          </w:p>
          <w:p w14:paraId="488A93E8">
            <w:pPr>
              <w:pStyle w:val="21"/>
              <w:ind w:firstLine="400"/>
              <w:rPr>
                <w:color w:val="auto"/>
                <w:highlight w:val="none"/>
              </w:rPr>
            </w:pPr>
          </w:p>
        </w:tc>
        <w:tc>
          <w:tcPr>
            <w:tcW w:w="1876" w:type="dxa"/>
            <w:vMerge w:val="restart"/>
            <w:tcBorders>
              <w:left w:val="single" w:color="auto" w:sz="4" w:space="0"/>
            </w:tcBorders>
            <w:vAlign w:val="center"/>
          </w:tcPr>
          <w:p w14:paraId="144F2F87">
            <w:pPr>
              <w:adjustRightInd w:val="0"/>
              <w:snapToGrid w:val="0"/>
              <w:jc w:val="center"/>
              <w:rPr>
                <w:rFonts w:ascii="宋体" w:hAnsi="宋体"/>
                <w:color w:val="auto"/>
                <w:szCs w:val="21"/>
                <w:highlight w:val="none"/>
              </w:rPr>
            </w:pPr>
            <w:r>
              <w:rPr>
                <w:rFonts w:hint="eastAsia" w:ascii="宋体" w:hAnsi="宋体"/>
                <w:color w:val="auto"/>
                <w:szCs w:val="21"/>
                <w:highlight w:val="none"/>
              </w:rPr>
              <w:t>技术评价项</w:t>
            </w:r>
          </w:p>
          <w:p w14:paraId="40BD22C0">
            <w:pPr>
              <w:adjustRightInd w:val="0"/>
              <w:snapToGrid w:val="0"/>
              <w:jc w:val="center"/>
              <w:rPr>
                <w:rFonts w:ascii="宋体" w:hAnsi="宋体"/>
                <w:color w:val="auto"/>
                <w:szCs w:val="21"/>
                <w:highlight w:val="none"/>
              </w:rPr>
            </w:pPr>
            <w:r>
              <w:rPr>
                <w:rFonts w:hint="eastAsia" w:ascii="宋体" w:hAnsi="宋体"/>
                <w:color w:val="auto"/>
                <w:szCs w:val="21"/>
                <w:highlight w:val="none"/>
              </w:rPr>
              <w:t>（F=100分）</w:t>
            </w:r>
          </w:p>
        </w:tc>
        <w:tc>
          <w:tcPr>
            <w:tcW w:w="1276" w:type="dxa"/>
            <w:vAlign w:val="center"/>
          </w:tcPr>
          <w:p w14:paraId="7C2A9FA7">
            <w:pPr>
              <w:spacing w:line="32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养护</w:t>
            </w:r>
            <w:r>
              <w:rPr>
                <w:rFonts w:hint="eastAsia" w:ascii="宋体" w:hAnsi="宋体" w:eastAsia="宋体" w:cs="宋体"/>
                <w:color w:val="auto"/>
                <w:sz w:val="21"/>
                <w:szCs w:val="21"/>
                <w:highlight w:val="none"/>
              </w:rPr>
              <w:t>方案</w:t>
            </w:r>
          </w:p>
        </w:tc>
        <w:tc>
          <w:tcPr>
            <w:tcW w:w="5438" w:type="dxa"/>
            <w:vAlign w:val="center"/>
          </w:tcPr>
          <w:p w14:paraId="1242660F">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投标人针对本项目制定的</w:t>
            </w:r>
            <w:r>
              <w:rPr>
                <w:rFonts w:hint="eastAsia" w:ascii="宋体" w:hAnsi="宋体" w:cs="宋体"/>
                <w:color w:val="auto"/>
                <w:sz w:val="21"/>
                <w:szCs w:val="21"/>
                <w:highlight w:val="none"/>
                <w:lang w:val="en-US" w:eastAsia="zh-CN"/>
              </w:rPr>
              <w:t>养护</w:t>
            </w:r>
            <w:r>
              <w:rPr>
                <w:rFonts w:hint="eastAsia" w:ascii="宋体" w:hAnsi="宋体" w:eastAsia="宋体" w:cs="宋体"/>
                <w:color w:val="auto"/>
                <w:sz w:val="21"/>
                <w:szCs w:val="21"/>
                <w:highlight w:val="none"/>
              </w:rPr>
              <w:t>方案（包含但不限于对本项目</w:t>
            </w:r>
            <w:r>
              <w:rPr>
                <w:rFonts w:hint="eastAsia" w:ascii="宋体" w:hAnsi="宋体" w:cs="宋体"/>
                <w:color w:val="auto"/>
                <w:sz w:val="21"/>
                <w:szCs w:val="21"/>
                <w:highlight w:val="none"/>
                <w:lang w:val="en-US" w:eastAsia="zh-CN"/>
              </w:rPr>
              <w:t>苗木汛期涝害、苗木土壤特性</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苗木修剪、病虫害防治、</w:t>
            </w:r>
            <w:r>
              <w:rPr>
                <w:rFonts w:hint="eastAsia" w:ascii="宋体" w:hAnsi="宋体" w:eastAsia="宋体" w:cs="宋体"/>
                <w:color w:val="auto"/>
                <w:sz w:val="21"/>
                <w:szCs w:val="21"/>
                <w:highlight w:val="none"/>
              </w:rPr>
              <w:t>日常</w:t>
            </w:r>
            <w:r>
              <w:rPr>
                <w:rFonts w:hint="eastAsia" w:ascii="宋体" w:hAnsi="宋体" w:cs="宋体"/>
                <w:color w:val="auto"/>
                <w:sz w:val="21"/>
                <w:szCs w:val="21"/>
                <w:highlight w:val="none"/>
                <w:lang w:val="en-US" w:eastAsia="zh-CN"/>
              </w:rPr>
              <w:t>苗木护理等方案</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科学合理、符合</w:t>
            </w:r>
            <w:r>
              <w:rPr>
                <w:rFonts w:hint="eastAsia" w:ascii="宋体" w:hAnsi="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、有针对性、可操作性强计</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bookmarkStart w:id="1235" w:name="OLE_LINK1"/>
            <w:bookmarkStart w:id="1236" w:name="OLE_LINK2"/>
            <w:r>
              <w:rPr>
                <w:rFonts w:hint="eastAsia" w:ascii="宋体" w:hAnsi="宋体" w:eastAsia="宋体" w:cs="宋体"/>
                <w:color w:val="auto"/>
                <w:sz w:val="21"/>
                <w:szCs w:val="21"/>
                <w:highlight w:val="none"/>
              </w:rPr>
              <w:t>每项里有缺陷、不合理、不符合实际要求的每处扣2分，扣完为止</w:t>
            </w:r>
            <w:bookmarkEnd w:id="1235"/>
            <w:bookmarkEnd w:id="1236"/>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tc>
      </w:tr>
      <w:tr w14:paraId="3F2E31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vAlign w:val="center"/>
          </w:tcPr>
          <w:p w14:paraId="32347F90">
            <w:pPr>
              <w:pStyle w:val="21"/>
              <w:ind w:firstLine="400"/>
              <w:rPr>
                <w:color w:val="auto"/>
                <w:highlight w:val="none"/>
              </w:rPr>
            </w:pPr>
          </w:p>
        </w:tc>
        <w:tc>
          <w:tcPr>
            <w:tcW w:w="1876" w:type="dxa"/>
            <w:vMerge w:val="continue"/>
            <w:tcBorders>
              <w:left w:val="single" w:color="auto" w:sz="4" w:space="0"/>
            </w:tcBorders>
            <w:vAlign w:val="center"/>
          </w:tcPr>
          <w:p w14:paraId="262AAAF4">
            <w:pPr>
              <w:adjustRightInd w:val="0"/>
              <w:snapToGrid w:val="0"/>
              <w:jc w:val="center"/>
              <w:rPr>
                <w:rFonts w:hint="eastAsia" w:ascii="宋体" w:hAnsi="宋体"/>
                <w:color w:val="auto"/>
                <w:szCs w:val="21"/>
                <w:highlight w:val="none"/>
              </w:rPr>
            </w:pPr>
          </w:p>
        </w:tc>
        <w:tc>
          <w:tcPr>
            <w:tcW w:w="1276" w:type="dxa"/>
            <w:vAlign w:val="center"/>
          </w:tcPr>
          <w:p w14:paraId="16F4BA22">
            <w:pPr>
              <w:spacing w:line="3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防汛抢险方案</w:t>
            </w:r>
          </w:p>
        </w:tc>
        <w:tc>
          <w:tcPr>
            <w:tcW w:w="5438" w:type="dxa"/>
            <w:vAlign w:val="center"/>
          </w:tcPr>
          <w:p w14:paraId="61709A67">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投标人针对本项目制定的</w:t>
            </w:r>
            <w:r>
              <w:rPr>
                <w:rFonts w:hint="eastAsia" w:ascii="宋体" w:hAnsi="宋体" w:cs="宋体"/>
                <w:color w:val="auto"/>
                <w:sz w:val="21"/>
                <w:szCs w:val="21"/>
                <w:highlight w:val="none"/>
                <w:lang w:val="en-US" w:eastAsia="zh-CN"/>
              </w:rPr>
              <w:t>防汛抢险</w:t>
            </w:r>
            <w:r>
              <w:rPr>
                <w:rFonts w:hint="eastAsia" w:ascii="宋体" w:hAnsi="宋体" w:eastAsia="宋体" w:cs="宋体"/>
                <w:color w:val="auto"/>
                <w:sz w:val="21"/>
                <w:szCs w:val="21"/>
                <w:highlight w:val="none"/>
              </w:rPr>
              <w:t>方案（包含但不限于对本项目</w:t>
            </w:r>
            <w:r>
              <w:rPr>
                <w:rFonts w:hint="eastAsia" w:ascii="宋体" w:hAnsi="宋体" w:cs="宋体"/>
                <w:color w:val="auto"/>
                <w:sz w:val="21"/>
                <w:szCs w:val="21"/>
                <w:highlight w:val="none"/>
                <w:lang w:val="en-US" w:eastAsia="zh-CN"/>
              </w:rPr>
              <w:t>苗木汛期涝害、苗木加固、倒伏清理</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苗木修剪、等方案</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科学合理、符合</w:t>
            </w:r>
            <w:r>
              <w:rPr>
                <w:rFonts w:hint="eastAsia" w:ascii="宋体" w:hAnsi="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、有针对性、可操作性强计</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分，每项里有缺陷、不合理、不符合实际要求的每处扣2分，扣完为止</w:t>
            </w:r>
            <w:r>
              <w:rPr>
                <w:rFonts w:hint="eastAsia" w:ascii="宋体" w:hAnsi="宋体" w:cs="宋体"/>
                <w:color w:val="auto"/>
                <w:sz w:val="21"/>
                <w:szCs w:val="21"/>
                <w:highlight w:val="none"/>
                <w:lang w:eastAsia="zh-CN"/>
              </w:rPr>
              <w:t>。</w:t>
            </w:r>
          </w:p>
        </w:tc>
      </w:tr>
      <w:tr w14:paraId="365CD0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vAlign w:val="center"/>
          </w:tcPr>
          <w:p w14:paraId="7404CA90">
            <w:pPr>
              <w:pStyle w:val="21"/>
              <w:ind w:firstLine="400"/>
              <w:rPr>
                <w:color w:val="auto"/>
                <w:highlight w:val="none"/>
              </w:rPr>
            </w:pPr>
          </w:p>
        </w:tc>
        <w:tc>
          <w:tcPr>
            <w:tcW w:w="1876" w:type="dxa"/>
            <w:vMerge w:val="continue"/>
            <w:tcBorders>
              <w:left w:val="single" w:color="auto" w:sz="4" w:space="0"/>
            </w:tcBorders>
            <w:vAlign w:val="center"/>
          </w:tcPr>
          <w:p w14:paraId="4BB7050D">
            <w:pPr>
              <w:adjustRightInd w:val="0"/>
              <w:snapToGrid w:val="0"/>
              <w:jc w:val="center"/>
              <w:rPr>
                <w:rFonts w:hint="eastAsia" w:ascii="宋体" w:hAnsi="宋体"/>
                <w:color w:val="auto"/>
                <w:szCs w:val="21"/>
                <w:highlight w:val="none"/>
              </w:rPr>
            </w:pPr>
          </w:p>
        </w:tc>
        <w:tc>
          <w:tcPr>
            <w:tcW w:w="1276" w:type="dxa"/>
            <w:vAlign w:val="center"/>
          </w:tcPr>
          <w:p w14:paraId="23284450">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应急方案</w:t>
            </w:r>
          </w:p>
        </w:tc>
        <w:tc>
          <w:tcPr>
            <w:tcW w:w="5438" w:type="dxa"/>
            <w:vAlign w:val="center"/>
          </w:tcPr>
          <w:p w14:paraId="4A9527FF">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投标人</w:t>
            </w:r>
            <w:r>
              <w:rPr>
                <w:rFonts w:hint="eastAsia" w:ascii="宋体" w:hAnsi="宋体" w:eastAsia="宋体" w:cs="宋体"/>
                <w:color w:val="auto"/>
                <w:kern w:val="2"/>
                <w:sz w:val="21"/>
                <w:szCs w:val="21"/>
                <w:highlight w:val="none"/>
                <w:lang w:val="en-US" w:eastAsia="zh-CN" w:bidi="ar-SA"/>
              </w:rPr>
              <w:t>针对本项目制定的应急方案（包含但不限于重大活动及迎检工作保障方案、特殊天气应急保障方案、抛洒滴漏事故应急保障方案、突发事件应急保障方案等）</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rPr>
              <w:t>科学合理、符合</w:t>
            </w:r>
            <w:r>
              <w:rPr>
                <w:rFonts w:hint="eastAsia" w:ascii="宋体" w:hAnsi="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、有针对性、可操作性强计</w:t>
            </w:r>
            <w:r>
              <w:rPr>
                <w:rFonts w:hint="eastAsia" w:ascii="宋体" w:hAnsi="宋体" w:cs="宋体"/>
                <w:color w:val="auto"/>
                <w:kern w:val="2"/>
                <w:sz w:val="21"/>
                <w:szCs w:val="21"/>
                <w:highlight w:val="none"/>
                <w:lang w:val="en-US" w:eastAsia="zh-CN" w:bidi="ar-SA"/>
              </w:rPr>
              <w:t>20</w:t>
            </w:r>
            <w:r>
              <w:rPr>
                <w:rFonts w:hint="eastAsia" w:ascii="宋体" w:hAnsi="宋体" w:eastAsia="宋体" w:cs="宋体"/>
                <w:color w:val="auto"/>
                <w:kern w:val="2"/>
                <w:sz w:val="21"/>
                <w:szCs w:val="21"/>
                <w:highlight w:val="none"/>
                <w:lang w:val="en-US" w:eastAsia="zh-CN" w:bidi="ar-SA"/>
              </w:rPr>
              <w:t>分，每项里有缺陷、不合理、不符合实际要求的每处扣2分，扣完为止</w:t>
            </w:r>
            <w:r>
              <w:rPr>
                <w:rFonts w:hint="eastAsia" w:ascii="宋体" w:hAnsi="宋体" w:cs="宋体"/>
                <w:color w:val="auto"/>
                <w:kern w:val="2"/>
                <w:sz w:val="21"/>
                <w:szCs w:val="21"/>
                <w:highlight w:val="none"/>
                <w:lang w:val="en-US" w:eastAsia="zh-CN" w:bidi="ar-SA"/>
              </w:rPr>
              <w:t>。</w:t>
            </w:r>
          </w:p>
        </w:tc>
      </w:tr>
      <w:tr w14:paraId="162021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vAlign w:val="center"/>
          </w:tcPr>
          <w:p w14:paraId="04164D9B">
            <w:pPr>
              <w:adjustRightInd w:val="0"/>
              <w:snapToGrid w:val="0"/>
              <w:spacing w:beforeLines="50"/>
              <w:jc w:val="center"/>
              <w:rPr>
                <w:rFonts w:ascii="宋体" w:hAnsi="宋体"/>
                <w:color w:val="auto"/>
                <w:szCs w:val="21"/>
                <w:highlight w:val="none"/>
              </w:rPr>
            </w:pPr>
          </w:p>
        </w:tc>
        <w:tc>
          <w:tcPr>
            <w:tcW w:w="1876" w:type="dxa"/>
            <w:vMerge w:val="continue"/>
            <w:tcBorders>
              <w:left w:val="single" w:color="auto" w:sz="4" w:space="0"/>
            </w:tcBorders>
            <w:vAlign w:val="center"/>
          </w:tcPr>
          <w:p w14:paraId="77AEECF0">
            <w:pPr>
              <w:adjustRightInd w:val="0"/>
              <w:snapToGrid w:val="0"/>
              <w:jc w:val="center"/>
              <w:rPr>
                <w:rFonts w:ascii="宋体" w:hAnsi="宋体"/>
                <w:color w:val="auto"/>
                <w:szCs w:val="21"/>
                <w:highlight w:val="none"/>
              </w:rPr>
            </w:pPr>
          </w:p>
        </w:tc>
        <w:tc>
          <w:tcPr>
            <w:tcW w:w="1276" w:type="dxa"/>
            <w:vAlign w:val="center"/>
          </w:tcPr>
          <w:p w14:paraId="54A18EC7">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内控制度</w:t>
            </w:r>
          </w:p>
        </w:tc>
        <w:tc>
          <w:tcPr>
            <w:tcW w:w="5438" w:type="dxa"/>
            <w:vAlign w:val="center"/>
          </w:tcPr>
          <w:p w14:paraId="45082221">
            <w:pPr>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投标人提供的内控制度（包含但不限于组织架构、人员管理方案、各岗位职责、培训方案、考核制度、财务管理制度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员工工资福利分配方案</w:t>
            </w:r>
            <w:r>
              <w:rPr>
                <w:rFonts w:hint="eastAsia" w:ascii="宋体" w:hAnsi="宋体" w:eastAsia="宋体" w:cs="宋体"/>
                <w:color w:val="auto"/>
                <w:sz w:val="21"/>
                <w:szCs w:val="21"/>
                <w:highlight w:val="none"/>
              </w:rPr>
              <w:t>等），科学合理、符合</w:t>
            </w:r>
            <w:r>
              <w:rPr>
                <w:rFonts w:hint="eastAsia" w:ascii="宋体" w:hAnsi="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、有针对性、可操作性强计</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分，每项里有缺陷、不合理、不符合实际要求的每处扣2分，扣完为止</w:t>
            </w:r>
            <w:r>
              <w:rPr>
                <w:rFonts w:hint="eastAsia" w:ascii="宋体" w:hAnsi="宋体" w:cs="宋体"/>
                <w:color w:val="auto"/>
                <w:sz w:val="21"/>
                <w:szCs w:val="21"/>
                <w:highlight w:val="none"/>
                <w:lang w:eastAsia="zh-CN"/>
              </w:rPr>
              <w:t>。</w:t>
            </w:r>
          </w:p>
        </w:tc>
      </w:tr>
      <w:tr w14:paraId="56BD3E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vAlign w:val="center"/>
          </w:tcPr>
          <w:p w14:paraId="6B36D253">
            <w:pPr>
              <w:adjustRightInd w:val="0"/>
              <w:snapToGrid w:val="0"/>
              <w:spacing w:beforeLines="50"/>
              <w:jc w:val="center"/>
              <w:rPr>
                <w:rFonts w:ascii="宋体" w:hAnsi="宋体"/>
                <w:color w:val="auto"/>
                <w:szCs w:val="21"/>
                <w:highlight w:val="none"/>
              </w:rPr>
            </w:pPr>
          </w:p>
        </w:tc>
        <w:tc>
          <w:tcPr>
            <w:tcW w:w="1876" w:type="dxa"/>
            <w:vMerge w:val="continue"/>
            <w:tcBorders>
              <w:left w:val="single" w:color="auto" w:sz="4" w:space="0"/>
            </w:tcBorders>
            <w:vAlign w:val="center"/>
          </w:tcPr>
          <w:p w14:paraId="285D35DF">
            <w:pPr>
              <w:adjustRightInd w:val="0"/>
              <w:snapToGrid w:val="0"/>
              <w:jc w:val="center"/>
              <w:rPr>
                <w:rFonts w:ascii="宋体" w:hAnsi="宋体"/>
                <w:color w:val="auto"/>
                <w:szCs w:val="21"/>
                <w:highlight w:val="none"/>
              </w:rPr>
            </w:pPr>
          </w:p>
        </w:tc>
        <w:tc>
          <w:tcPr>
            <w:tcW w:w="1276" w:type="dxa"/>
            <w:vAlign w:val="center"/>
          </w:tcPr>
          <w:p w14:paraId="757A38AD">
            <w:pPr>
              <w:spacing w:line="32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安全生产文明作业方案</w:t>
            </w:r>
          </w:p>
        </w:tc>
        <w:tc>
          <w:tcPr>
            <w:tcW w:w="5438" w:type="dxa"/>
            <w:vAlign w:val="center"/>
          </w:tcPr>
          <w:p w14:paraId="7FE87EDC">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投标人针对本项目制定的</w:t>
            </w:r>
            <w:r>
              <w:rPr>
                <w:rFonts w:hint="eastAsia" w:ascii="宋体" w:hAnsi="宋体" w:cs="宋体"/>
                <w:color w:val="auto"/>
                <w:sz w:val="21"/>
                <w:szCs w:val="21"/>
                <w:highlight w:val="none"/>
                <w:lang w:eastAsia="zh-CN"/>
              </w:rPr>
              <w:t>安全生产文明作业方案</w:t>
            </w:r>
            <w:r>
              <w:rPr>
                <w:rFonts w:hint="eastAsia" w:ascii="宋体" w:hAnsi="宋体" w:eastAsia="宋体" w:cs="宋体"/>
                <w:color w:val="auto"/>
                <w:sz w:val="21"/>
                <w:szCs w:val="21"/>
                <w:highlight w:val="none"/>
              </w:rPr>
              <w:t>（包含但不限于</w:t>
            </w:r>
            <w:r>
              <w:rPr>
                <w:rFonts w:hint="eastAsia" w:ascii="宋体" w:hAnsi="宋体" w:cs="宋体"/>
                <w:color w:val="auto"/>
                <w:sz w:val="21"/>
                <w:szCs w:val="21"/>
                <w:highlight w:val="none"/>
                <w:lang w:eastAsia="zh-CN"/>
              </w:rPr>
              <w:t>安全管理责任人组织架构及工作职责、安全生产制度和保障措施、资金保障措施、文明作业方案、劳保方案</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科学合理、符合</w:t>
            </w:r>
            <w:r>
              <w:rPr>
                <w:rFonts w:hint="eastAsia" w:ascii="宋体" w:hAnsi="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、有针对性、可操作性强计</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分，每项里有缺陷、不合理、不符合实际要求的每处扣2分，扣完为止</w:t>
            </w:r>
            <w:r>
              <w:rPr>
                <w:rFonts w:hint="eastAsia" w:ascii="宋体" w:hAnsi="宋体" w:cs="宋体"/>
                <w:color w:val="auto"/>
                <w:sz w:val="21"/>
                <w:szCs w:val="21"/>
                <w:highlight w:val="none"/>
                <w:lang w:eastAsia="zh-CN"/>
              </w:rPr>
              <w:t>。</w:t>
            </w:r>
          </w:p>
        </w:tc>
      </w:tr>
      <w:tr w14:paraId="58099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61B43BC6">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2</w:t>
            </w:r>
          </w:p>
        </w:tc>
        <w:tc>
          <w:tcPr>
            <w:tcW w:w="1876" w:type="dxa"/>
            <w:tcBorders>
              <w:left w:val="single" w:color="auto" w:sz="4" w:space="0"/>
            </w:tcBorders>
            <w:vAlign w:val="center"/>
          </w:tcPr>
          <w:p w14:paraId="4EBB60F9">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714" w:type="dxa"/>
            <w:gridSpan w:val="2"/>
            <w:tcBorders>
              <w:bottom w:val="single" w:color="auto" w:sz="4" w:space="0"/>
            </w:tcBorders>
            <w:vAlign w:val="center"/>
          </w:tcPr>
          <w:p w14:paraId="3B6A91DC">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50D9E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7386AA12">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590" w:type="dxa"/>
            <w:gridSpan w:val="3"/>
            <w:tcBorders>
              <w:left w:val="single" w:color="auto" w:sz="4" w:space="0"/>
            </w:tcBorders>
            <w:vAlign w:val="center"/>
          </w:tcPr>
          <w:p w14:paraId="778F3F43">
            <w:pPr>
              <w:adjustRightInd w:val="0"/>
              <w:snapToGrid w:val="0"/>
              <w:rPr>
                <w:rFonts w:ascii="宋体" w:hAnsi="宋体"/>
                <w:color w:val="auto"/>
                <w:szCs w:val="21"/>
                <w:highlight w:val="none"/>
              </w:rPr>
            </w:pPr>
            <w:r>
              <w:rPr>
                <w:rFonts w:hint="eastAsia" w:ascii="宋体" w:hAnsi="宋体"/>
                <w:color w:val="auto"/>
                <w:szCs w:val="21"/>
                <w:highlight w:val="none"/>
              </w:rPr>
              <w:t>F</w:t>
            </w:r>
            <w:r>
              <w:rPr>
                <w:rFonts w:ascii="宋体" w:hAnsi="宋体"/>
                <w:color w:val="auto"/>
                <w:szCs w:val="21"/>
                <w:highlight w:val="none"/>
                <w:vertAlign w:val="subscript"/>
              </w:rPr>
              <w:t>2</w:t>
            </w:r>
            <w:r>
              <w:rPr>
                <w:rFonts w:hint="eastAsia" w:ascii="宋体" w:hAnsi="宋体"/>
                <w:color w:val="auto"/>
                <w:szCs w:val="21"/>
                <w:highlight w:val="none"/>
              </w:rPr>
              <w:t>=F+</w:t>
            </w:r>
            <w:r>
              <w:rPr>
                <w:rFonts w:hint="eastAsia"/>
                <w:color w:val="auto"/>
                <w:szCs w:val="21"/>
                <w:highlight w:val="none"/>
              </w:rPr>
              <w:t xml:space="preserve"> </w:t>
            </w:r>
            <w:r>
              <w:rPr>
                <w:rFonts w:hint="eastAsia" w:ascii="宋体" w:hAnsi="宋体"/>
                <w:color w:val="auto"/>
                <w:szCs w:val="21"/>
                <w:highlight w:val="none"/>
              </w:rPr>
              <w:t>F</w:t>
            </w:r>
            <w:r>
              <w:rPr>
                <w:rFonts w:hint="eastAsia" w:ascii="宋体" w:hAnsi="宋体"/>
                <w:color w:val="auto"/>
                <w:szCs w:val="21"/>
                <w:highlight w:val="none"/>
                <w:vertAlign w:val="subscript"/>
              </w:rPr>
              <w:t>优先采购加分</w:t>
            </w:r>
          </w:p>
        </w:tc>
      </w:tr>
    </w:tbl>
    <w:p w14:paraId="494794CB">
      <w:pPr>
        <w:adjustRightInd w:val="0"/>
        <w:snapToGrid w:val="0"/>
        <w:spacing w:beforeLines="50" w:line="360" w:lineRule="auto"/>
        <w:jc w:val="center"/>
        <w:rPr>
          <w:b/>
          <w:bCs/>
          <w:color w:val="auto"/>
          <w:highlight w:val="none"/>
        </w:rPr>
      </w:pPr>
      <w:r>
        <w:rPr>
          <w:rFonts w:hint="eastAsia"/>
          <w:b/>
          <w:bCs/>
          <w:color w:val="auto"/>
          <w:highlight w:val="none"/>
        </w:rPr>
        <w:t>附表1.3商务部分评审标准表</w:t>
      </w:r>
    </w:p>
    <w:tbl>
      <w:tblPr>
        <w:tblStyle w:val="46"/>
        <w:tblW w:w="91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22"/>
        <w:gridCol w:w="1140"/>
        <w:gridCol w:w="5656"/>
      </w:tblGrid>
      <w:tr w14:paraId="171F63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vAlign w:val="center"/>
          </w:tcPr>
          <w:p w14:paraId="4316F029">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1822" w:type="dxa"/>
            <w:tcBorders>
              <w:left w:val="single" w:color="auto" w:sz="4" w:space="0"/>
              <w:right w:val="single" w:color="auto" w:sz="4" w:space="0"/>
            </w:tcBorders>
            <w:vAlign w:val="center"/>
          </w:tcPr>
          <w:p w14:paraId="5BF12120">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796" w:type="dxa"/>
            <w:gridSpan w:val="2"/>
            <w:tcBorders>
              <w:left w:val="single" w:color="auto" w:sz="4" w:space="0"/>
            </w:tcBorders>
            <w:vAlign w:val="center"/>
          </w:tcPr>
          <w:p w14:paraId="78D5C65D">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3F8B01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503" w:type="dxa"/>
            <w:vMerge w:val="restart"/>
            <w:tcBorders>
              <w:right w:val="single" w:color="auto" w:sz="4" w:space="0"/>
            </w:tcBorders>
            <w:vAlign w:val="center"/>
          </w:tcPr>
          <w:p w14:paraId="43E69D4A">
            <w:pPr>
              <w:adjustRightInd w:val="0"/>
              <w:snapToGrid w:val="0"/>
              <w:spacing w:beforeLines="50"/>
              <w:jc w:val="center"/>
              <w:rPr>
                <w:rFonts w:ascii="宋体" w:hAnsi="宋体"/>
                <w:b/>
                <w:color w:val="auto"/>
                <w:szCs w:val="21"/>
                <w:highlight w:val="none"/>
              </w:rPr>
            </w:pPr>
            <w:r>
              <w:rPr>
                <w:rFonts w:hint="eastAsia" w:ascii="宋体" w:hAnsi="宋体"/>
                <w:color w:val="auto"/>
                <w:szCs w:val="21"/>
                <w:highlight w:val="none"/>
              </w:rPr>
              <w:t>1</w:t>
            </w:r>
          </w:p>
        </w:tc>
        <w:tc>
          <w:tcPr>
            <w:tcW w:w="1822" w:type="dxa"/>
            <w:vMerge w:val="restart"/>
            <w:tcBorders>
              <w:left w:val="single" w:color="auto" w:sz="4" w:space="0"/>
              <w:right w:val="single" w:color="auto" w:sz="4" w:space="0"/>
            </w:tcBorders>
            <w:vAlign w:val="center"/>
          </w:tcPr>
          <w:p w14:paraId="16D983B3">
            <w:pPr>
              <w:adjustRightInd w:val="0"/>
              <w:snapToGrid w:val="0"/>
              <w:jc w:val="center"/>
              <w:rPr>
                <w:rFonts w:ascii="宋体" w:hAnsi="宋体"/>
                <w:color w:val="auto"/>
                <w:szCs w:val="21"/>
                <w:highlight w:val="none"/>
              </w:rPr>
            </w:pPr>
            <w:r>
              <w:rPr>
                <w:rFonts w:hint="eastAsia" w:ascii="宋体" w:hAnsi="宋体"/>
                <w:color w:val="auto"/>
                <w:szCs w:val="21"/>
                <w:highlight w:val="none"/>
              </w:rPr>
              <w:t>商务评价项</w:t>
            </w:r>
          </w:p>
          <w:p w14:paraId="24BFD0C5">
            <w:pPr>
              <w:adjustRightInd w:val="0"/>
              <w:snapToGrid w:val="0"/>
              <w:jc w:val="center"/>
              <w:rPr>
                <w:rFonts w:ascii="宋体" w:hAnsi="宋体"/>
                <w:b/>
                <w:color w:val="auto"/>
                <w:szCs w:val="21"/>
                <w:highlight w:val="none"/>
              </w:rPr>
            </w:pPr>
            <w:r>
              <w:rPr>
                <w:rFonts w:hint="eastAsia" w:ascii="宋体" w:hAnsi="宋体"/>
                <w:color w:val="auto"/>
                <w:szCs w:val="21"/>
                <w:highlight w:val="none"/>
              </w:rPr>
              <w:t>（F=100分）</w:t>
            </w:r>
          </w:p>
        </w:tc>
        <w:tc>
          <w:tcPr>
            <w:tcW w:w="1140" w:type="dxa"/>
            <w:tcBorders>
              <w:left w:val="single" w:color="auto" w:sz="4" w:space="0"/>
              <w:bottom w:val="single" w:color="auto" w:sz="4" w:space="0"/>
            </w:tcBorders>
            <w:vAlign w:val="center"/>
          </w:tcPr>
          <w:p w14:paraId="2C7DA832">
            <w:pPr>
              <w:widowControl/>
              <w:jc w:val="center"/>
              <w:rPr>
                <w:color w:val="auto"/>
                <w:highlight w:val="none"/>
              </w:rPr>
            </w:pPr>
            <w:r>
              <w:rPr>
                <w:rFonts w:hint="eastAsia"/>
                <w:color w:val="auto"/>
                <w:highlight w:val="none"/>
              </w:rPr>
              <w:t>类似业绩</w:t>
            </w:r>
          </w:p>
        </w:tc>
        <w:tc>
          <w:tcPr>
            <w:tcW w:w="5656" w:type="dxa"/>
            <w:tcBorders>
              <w:bottom w:val="single" w:color="auto" w:sz="4" w:space="0"/>
            </w:tcBorders>
          </w:tcPr>
          <w:p w14:paraId="51CCF3F1">
            <w:pPr>
              <w:widowControl/>
              <w:spacing w:line="360" w:lineRule="exact"/>
              <w:jc w:val="left"/>
              <w:rPr>
                <w:rFonts w:ascii="宋体" w:hAnsi="宋体" w:cs="宋体"/>
                <w:color w:val="auto"/>
                <w:kern w:val="0"/>
                <w:szCs w:val="21"/>
                <w:highlight w:val="none"/>
              </w:rPr>
            </w:pPr>
            <w:r>
              <w:rPr>
                <w:rFonts w:hint="eastAsia" w:ascii="宋体" w:hAnsi="宋体"/>
                <w:color w:val="auto"/>
                <w:highlight w:val="none"/>
              </w:rPr>
              <w:t>投标人</w:t>
            </w:r>
            <w:r>
              <w:rPr>
                <w:rFonts w:hint="eastAsia" w:ascii="宋体" w:hAnsi="宋体"/>
                <w:color w:val="auto"/>
                <w:highlight w:val="none"/>
                <w:lang w:val="en-US" w:eastAsia="zh-CN"/>
              </w:rPr>
              <w:t>近三年有</w:t>
            </w:r>
            <w:r>
              <w:rPr>
                <w:rFonts w:hint="eastAsia" w:ascii="宋体" w:hAnsi="宋体"/>
                <w:color w:val="auto"/>
                <w:highlight w:val="none"/>
              </w:rPr>
              <w:t>过类似业绩的，每个计</w:t>
            </w:r>
            <w:r>
              <w:rPr>
                <w:rFonts w:hint="eastAsia" w:ascii="宋体" w:hAnsi="宋体"/>
                <w:color w:val="auto"/>
                <w:highlight w:val="none"/>
                <w:lang w:val="en-US" w:eastAsia="zh-CN"/>
              </w:rPr>
              <w:t>2</w:t>
            </w:r>
            <w:r>
              <w:rPr>
                <w:rFonts w:hint="eastAsia" w:ascii="宋体" w:hAnsi="宋体"/>
                <w:color w:val="auto"/>
                <w:highlight w:val="none"/>
              </w:rPr>
              <w:t>0分，最多计</w:t>
            </w:r>
            <w:r>
              <w:rPr>
                <w:rFonts w:hint="eastAsia" w:ascii="宋体" w:hAnsi="宋体"/>
                <w:color w:val="auto"/>
                <w:highlight w:val="none"/>
                <w:lang w:val="en-US" w:eastAsia="zh-CN"/>
              </w:rPr>
              <w:t>40分</w:t>
            </w:r>
            <w:r>
              <w:rPr>
                <w:rFonts w:hint="eastAsia" w:ascii="宋体" w:hAnsi="宋体"/>
                <w:color w:val="auto"/>
                <w:highlight w:val="none"/>
              </w:rPr>
              <w:t>。</w:t>
            </w:r>
            <w:r>
              <w:rPr>
                <w:rFonts w:hint="eastAsia" w:ascii="宋体" w:hAnsi="宋体" w:cs="宋体"/>
                <w:color w:val="auto"/>
                <w:szCs w:val="21"/>
                <w:highlight w:val="none"/>
              </w:rPr>
              <w:t>（评审依据：投标文件中提供相应合同</w:t>
            </w:r>
            <w:r>
              <w:rPr>
                <w:rFonts w:hint="eastAsia" w:ascii="宋体" w:hAnsi="宋体" w:cs="宋体"/>
                <w:color w:val="auto"/>
                <w:highlight w:val="none"/>
              </w:rPr>
              <w:t>扫描件</w:t>
            </w:r>
            <w:r>
              <w:rPr>
                <w:rFonts w:hint="eastAsia" w:ascii="宋体" w:hAnsi="宋体" w:cs="宋体"/>
                <w:color w:val="auto"/>
                <w:szCs w:val="21"/>
                <w:highlight w:val="none"/>
              </w:rPr>
              <w:t>，否则不计分)</w:t>
            </w:r>
          </w:p>
        </w:tc>
      </w:tr>
      <w:tr w14:paraId="5D82E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503" w:type="dxa"/>
            <w:vMerge w:val="continue"/>
            <w:tcBorders>
              <w:right w:val="single" w:color="auto" w:sz="4" w:space="0"/>
            </w:tcBorders>
            <w:vAlign w:val="center"/>
          </w:tcPr>
          <w:p w14:paraId="63C02EF2">
            <w:pPr>
              <w:adjustRightInd w:val="0"/>
              <w:snapToGrid w:val="0"/>
              <w:spacing w:beforeLines="50"/>
              <w:jc w:val="center"/>
              <w:rPr>
                <w:rFonts w:hint="eastAsia" w:ascii="宋体" w:hAnsi="宋体"/>
                <w:color w:val="auto"/>
                <w:szCs w:val="21"/>
                <w:highlight w:val="none"/>
              </w:rPr>
            </w:pPr>
          </w:p>
        </w:tc>
        <w:tc>
          <w:tcPr>
            <w:tcW w:w="1822" w:type="dxa"/>
            <w:vMerge w:val="continue"/>
            <w:tcBorders>
              <w:left w:val="single" w:color="auto" w:sz="4" w:space="0"/>
              <w:right w:val="single" w:color="auto" w:sz="4" w:space="0"/>
            </w:tcBorders>
            <w:vAlign w:val="center"/>
          </w:tcPr>
          <w:p w14:paraId="3D69934B">
            <w:pPr>
              <w:adjustRightInd w:val="0"/>
              <w:snapToGrid w:val="0"/>
              <w:jc w:val="center"/>
              <w:rPr>
                <w:rFonts w:hint="eastAsia" w:ascii="宋体" w:hAnsi="宋体"/>
                <w:color w:val="auto"/>
                <w:szCs w:val="21"/>
                <w:highlight w:val="none"/>
              </w:rPr>
            </w:pPr>
          </w:p>
        </w:tc>
        <w:tc>
          <w:tcPr>
            <w:tcW w:w="1140" w:type="dxa"/>
            <w:tcBorders>
              <w:left w:val="single" w:color="auto" w:sz="4" w:space="0"/>
              <w:bottom w:val="single" w:color="auto" w:sz="4" w:space="0"/>
            </w:tcBorders>
            <w:vAlign w:val="center"/>
          </w:tcPr>
          <w:p w14:paraId="5D9D1B77">
            <w:pPr>
              <w:widowControl/>
              <w:jc w:val="center"/>
              <w:rPr>
                <w:rFonts w:hint="eastAsia"/>
                <w:color w:val="auto"/>
                <w:highlight w:val="none"/>
              </w:rPr>
            </w:pPr>
            <w:r>
              <w:rPr>
                <w:rFonts w:hint="eastAsia"/>
                <w:color w:val="auto"/>
                <w:highlight w:val="none"/>
              </w:rPr>
              <w:t>履约能力</w:t>
            </w:r>
          </w:p>
        </w:tc>
        <w:tc>
          <w:tcPr>
            <w:tcW w:w="5656" w:type="dxa"/>
            <w:tcBorders>
              <w:bottom w:val="single" w:color="auto" w:sz="4" w:space="0"/>
            </w:tcBorders>
          </w:tcPr>
          <w:p w14:paraId="72AE76B3">
            <w:pPr>
              <w:widowControl/>
              <w:numPr>
                <w:ilvl w:val="0"/>
                <w:numId w:val="1"/>
              </w:numPr>
              <w:spacing w:line="360" w:lineRule="exact"/>
              <w:jc w:val="left"/>
              <w:rPr>
                <w:rStyle w:val="48"/>
                <w:rFonts w:hint="eastAsia" w:ascii="宋体" w:hAnsi="宋体" w:eastAsia="宋体" w:cs="宋体"/>
                <w:b w:val="0"/>
                <w:color w:val="auto"/>
                <w:sz w:val="21"/>
                <w:szCs w:val="24"/>
                <w:highlight w:val="none"/>
                <w:lang w:eastAsia="zh-CN"/>
              </w:rPr>
            </w:pPr>
            <w:r>
              <w:rPr>
                <w:rStyle w:val="52"/>
                <w:rFonts w:hint="eastAsia" w:ascii="宋体" w:hAnsi="宋体" w:eastAsia="宋体" w:cs="宋体"/>
                <w:color w:val="auto"/>
                <w:highlight w:val="none"/>
                <w:lang w:val="en-US"/>
              </w:rPr>
              <w:t>拟投入本项目团队成员中具有风景园林中级职称及以上证书的每人计</w:t>
            </w:r>
            <w:r>
              <w:rPr>
                <w:rStyle w:val="52"/>
                <w:rFonts w:hint="eastAsia" w:ascii="宋体" w:hAnsi="宋体" w:cs="宋体"/>
                <w:color w:val="auto"/>
                <w:highlight w:val="none"/>
                <w:lang w:val="en-US"/>
              </w:rPr>
              <w:t>10</w:t>
            </w:r>
            <w:r>
              <w:rPr>
                <w:rStyle w:val="52"/>
                <w:rFonts w:hint="eastAsia" w:ascii="宋体" w:hAnsi="宋体" w:eastAsia="宋体" w:cs="宋体"/>
                <w:color w:val="auto"/>
                <w:highlight w:val="none"/>
                <w:lang w:val="en-US"/>
              </w:rPr>
              <w:t>分，本项最高计</w:t>
            </w:r>
            <w:r>
              <w:rPr>
                <w:rStyle w:val="52"/>
                <w:rFonts w:hint="eastAsia" w:ascii="宋体" w:hAnsi="宋体" w:cs="宋体"/>
                <w:color w:val="auto"/>
                <w:highlight w:val="none"/>
                <w:lang w:val="en-US"/>
              </w:rPr>
              <w:t>20</w:t>
            </w:r>
            <w:r>
              <w:rPr>
                <w:rStyle w:val="52"/>
                <w:rFonts w:hint="eastAsia" w:ascii="宋体" w:hAnsi="宋体" w:eastAsia="宋体" w:cs="宋体"/>
                <w:color w:val="auto"/>
                <w:highlight w:val="none"/>
                <w:lang w:val="en-US"/>
              </w:rPr>
              <w:t>分。(</w:t>
            </w:r>
            <w:r>
              <w:rPr>
                <w:rStyle w:val="48"/>
                <w:rFonts w:ascii="宋体" w:hAnsi="宋体" w:eastAsia="宋体" w:cs="宋体"/>
                <w:b w:val="0"/>
                <w:color w:val="auto"/>
                <w:sz w:val="21"/>
                <w:szCs w:val="24"/>
                <w:highlight w:val="none"/>
              </w:rPr>
              <w:t>投标文件中提供以上相关人员身份证、相关证书、证书网站查询链接、查询截图及</w:t>
            </w:r>
            <w:r>
              <w:rPr>
                <w:rStyle w:val="48"/>
                <w:rFonts w:hint="eastAsia" w:ascii="宋体" w:hAnsi="宋体" w:eastAsia="宋体" w:cs="宋体"/>
                <w:b w:val="0"/>
                <w:color w:val="auto"/>
                <w:sz w:val="21"/>
                <w:szCs w:val="24"/>
                <w:highlight w:val="none"/>
              </w:rPr>
              <w:t>社保缴纳证明材料一并提供</w:t>
            </w:r>
            <w:r>
              <w:rPr>
                <w:rStyle w:val="48"/>
                <w:rFonts w:ascii="宋体" w:hAnsi="宋体" w:eastAsia="宋体" w:cs="宋体"/>
                <w:b w:val="0"/>
                <w:color w:val="auto"/>
                <w:sz w:val="21"/>
                <w:szCs w:val="24"/>
                <w:highlight w:val="none"/>
              </w:rPr>
              <w:t>原件扫描件并加盖投标人公章，否则不计分</w:t>
            </w:r>
            <w:r>
              <w:rPr>
                <w:rStyle w:val="48"/>
                <w:rFonts w:hint="eastAsia" w:ascii="宋体" w:hAnsi="宋体" w:eastAsia="宋体" w:cs="宋体"/>
                <w:b w:val="0"/>
                <w:color w:val="auto"/>
                <w:sz w:val="21"/>
                <w:szCs w:val="24"/>
                <w:highlight w:val="none"/>
                <w:lang w:eastAsia="zh-CN"/>
              </w:rPr>
              <w:t>）</w:t>
            </w:r>
          </w:p>
          <w:p w14:paraId="04C98425">
            <w:pPr>
              <w:widowControl/>
              <w:numPr>
                <w:ilvl w:val="0"/>
                <w:numId w:val="1"/>
              </w:numPr>
              <w:spacing w:line="360" w:lineRule="exact"/>
              <w:jc w:val="left"/>
              <w:rPr>
                <w:rStyle w:val="48"/>
                <w:rFonts w:hint="eastAsia" w:ascii="宋体" w:hAnsi="宋体" w:eastAsia="宋体" w:cs="宋体"/>
                <w:b w:val="0"/>
                <w:color w:val="auto"/>
                <w:sz w:val="21"/>
                <w:szCs w:val="24"/>
                <w:highlight w:val="none"/>
                <w:lang w:eastAsia="zh-CN"/>
              </w:rPr>
            </w:pPr>
            <w:r>
              <w:rPr>
                <w:rFonts w:hint="eastAsia" w:ascii="宋体" w:hAnsi="宋体" w:cs="宋体"/>
                <w:color w:val="auto"/>
                <w:szCs w:val="21"/>
                <w:highlight w:val="none"/>
              </w:rPr>
              <w:t>拟投入</w:t>
            </w:r>
            <w:r>
              <w:rPr>
                <w:rFonts w:hint="eastAsia" w:ascii="宋体" w:hAnsi="宋体" w:cs="宋体"/>
                <w:color w:val="auto"/>
                <w:szCs w:val="21"/>
                <w:highlight w:val="none"/>
                <w:lang w:val="en-US" w:eastAsia="zh-CN"/>
              </w:rPr>
              <w:t>工具转运车辆计10分/辆，</w:t>
            </w:r>
            <w:r>
              <w:rPr>
                <w:rFonts w:hint="eastAsia" w:ascii="宋体" w:hAnsi="宋体"/>
                <w:color w:val="auto"/>
                <w:highlight w:val="none"/>
              </w:rPr>
              <w:t>最多计</w:t>
            </w:r>
            <w:r>
              <w:rPr>
                <w:rFonts w:hint="eastAsia" w:ascii="宋体" w:hAnsi="宋体"/>
                <w:color w:val="auto"/>
                <w:highlight w:val="none"/>
                <w:lang w:val="en-US" w:eastAsia="zh-CN"/>
              </w:rPr>
              <w:t>20分</w:t>
            </w:r>
            <w:r>
              <w:rPr>
                <w:rFonts w:hint="eastAsia" w:ascii="宋体" w:hAnsi="宋体"/>
                <w:color w:val="auto"/>
                <w:highlight w:val="none"/>
              </w:rPr>
              <w:t>。</w:t>
            </w:r>
            <w:r>
              <w:rPr>
                <w:rFonts w:hint="eastAsia" w:ascii="宋体" w:hAnsi="宋体" w:cs="宋体"/>
                <w:color w:val="auto"/>
                <w:szCs w:val="21"/>
                <w:highlight w:val="none"/>
              </w:rPr>
              <w:t xml:space="preserve"> (评审依据：投标文件中提供行驶证、车辆照片，否则不计分) </w:t>
            </w:r>
          </w:p>
        </w:tc>
      </w:tr>
      <w:tr w14:paraId="0D04DB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503" w:type="dxa"/>
            <w:vMerge w:val="continue"/>
            <w:tcBorders>
              <w:right w:val="single" w:color="auto" w:sz="4" w:space="0"/>
            </w:tcBorders>
            <w:vAlign w:val="center"/>
          </w:tcPr>
          <w:p w14:paraId="2474A04C">
            <w:pPr>
              <w:adjustRightInd w:val="0"/>
              <w:snapToGrid w:val="0"/>
              <w:spacing w:beforeLines="50"/>
              <w:jc w:val="center"/>
              <w:rPr>
                <w:rFonts w:hint="eastAsia" w:ascii="宋体" w:hAnsi="宋体"/>
                <w:color w:val="auto"/>
                <w:szCs w:val="21"/>
                <w:highlight w:val="none"/>
              </w:rPr>
            </w:pPr>
          </w:p>
        </w:tc>
        <w:tc>
          <w:tcPr>
            <w:tcW w:w="1822" w:type="dxa"/>
            <w:vMerge w:val="continue"/>
            <w:tcBorders>
              <w:left w:val="single" w:color="auto" w:sz="4" w:space="0"/>
              <w:right w:val="single" w:color="auto" w:sz="4" w:space="0"/>
            </w:tcBorders>
            <w:vAlign w:val="center"/>
          </w:tcPr>
          <w:p w14:paraId="0547432E">
            <w:pPr>
              <w:adjustRightInd w:val="0"/>
              <w:snapToGrid w:val="0"/>
              <w:jc w:val="center"/>
              <w:rPr>
                <w:rFonts w:hint="eastAsia" w:ascii="宋体" w:hAnsi="宋体"/>
                <w:color w:val="auto"/>
                <w:szCs w:val="21"/>
                <w:highlight w:val="none"/>
              </w:rPr>
            </w:pPr>
          </w:p>
        </w:tc>
        <w:tc>
          <w:tcPr>
            <w:tcW w:w="1140" w:type="dxa"/>
            <w:tcBorders>
              <w:left w:val="single" w:color="auto" w:sz="4" w:space="0"/>
              <w:bottom w:val="single" w:color="auto" w:sz="4" w:space="0"/>
            </w:tcBorders>
            <w:vAlign w:val="center"/>
          </w:tcPr>
          <w:p w14:paraId="7C86CBAC">
            <w:pPr>
              <w:spacing w:line="320" w:lineRule="exact"/>
              <w:jc w:val="center"/>
              <w:rPr>
                <w:rFonts w:hint="eastAsia"/>
                <w:color w:val="auto"/>
                <w:highlight w:val="none"/>
              </w:rPr>
            </w:pPr>
            <w:r>
              <w:rPr>
                <w:rFonts w:hint="eastAsia" w:ascii="宋体" w:hAnsi="宋体"/>
                <w:color w:val="auto"/>
                <w:szCs w:val="21"/>
                <w:highlight w:val="none"/>
              </w:rPr>
              <w:t>服务承诺</w:t>
            </w:r>
          </w:p>
        </w:tc>
        <w:tc>
          <w:tcPr>
            <w:tcW w:w="5656" w:type="dxa"/>
            <w:tcBorders>
              <w:bottom w:val="single" w:color="auto" w:sz="4" w:space="0"/>
            </w:tcBorders>
            <w:vAlign w:val="center"/>
          </w:tcPr>
          <w:p w14:paraId="5FA6A384">
            <w:pPr>
              <w:keepNext w:val="0"/>
              <w:keepLines w:val="0"/>
              <w:pageBreakBefore w:val="0"/>
              <w:widowControl w:val="0"/>
              <w:kinsoku/>
              <w:wordWrap/>
              <w:overflowPunct/>
              <w:topLinePunct w:val="0"/>
              <w:autoSpaceDE/>
              <w:autoSpaceDN/>
              <w:bidi w:val="0"/>
              <w:adjustRightInd w:val="0"/>
              <w:snapToGrid w:val="0"/>
              <w:spacing w:line="360" w:lineRule="exact"/>
              <w:textAlignment w:val="auto"/>
              <w:rPr>
                <w:rStyle w:val="52"/>
                <w:rFonts w:hint="eastAsia" w:ascii="宋体" w:hAnsi="宋体" w:eastAsia="宋体" w:cs="宋体"/>
                <w:color w:val="auto"/>
                <w:highlight w:val="none"/>
                <w:lang w:val="en-US"/>
              </w:rPr>
            </w:pPr>
            <w:r>
              <w:rPr>
                <w:rFonts w:hint="eastAsia" w:ascii="宋体" w:hAnsi="宋体" w:cs="宋体"/>
                <w:color w:val="auto"/>
                <w:szCs w:val="21"/>
                <w:highlight w:val="none"/>
              </w:rPr>
              <w:t>招标人在紧急需求时，投标人能在1小时</w:t>
            </w:r>
            <w:r>
              <w:rPr>
                <w:rFonts w:hint="eastAsia" w:ascii="宋体" w:hAnsi="宋体" w:cs="宋体"/>
                <w:color w:val="auto"/>
                <w:szCs w:val="21"/>
                <w:highlight w:val="none"/>
                <w:lang w:val="en-US" w:eastAsia="zh-CN"/>
              </w:rPr>
              <w:t>内到</w:t>
            </w:r>
            <w:r>
              <w:rPr>
                <w:rFonts w:hint="eastAsia" w:ascii="宋体" w:hAnsi="宋体" w:cs="宋体"/>
                <w:color w:val="auto"/>
                <w:szCs w:val="21"/>
                <w:highlight w:val="none"/>
              </w:rPr>
              <w:t>达的计</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分；在2小时内送达的计</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分；在3小时内送达的计</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（评审依据：提供承诺书，否则不计分）</w:t>
            </w:r>
          </w:p>
        </w:tc>
      </w:tr>
      <w:tr w14:paraId="4A417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57E56B4B">
            <w:pPr>
              <w:adjustRightInd w:val="0"/>
              <w:snapToGrid w:val="0"/>
              <w:jc w:val="center"/>
              <w:rPr>
                <w:rFonts w:ascii="宋体" w:hAnsi="宋体"/>
                <w:color w:val="auto"/>
                <w:szCs w:val="21"/>
                <w:highlight w:val="none"/>
              </w:rPr>
            </w:pPr>
            <w:r>
              <w:rPr>
                <w:rFonts w:hint="eastAsia" w:ascii="宋体" w:hAnsi="宋体"/>
                <w:color w:val="auto"/>
                <w:szCs w:val="21"/>
                <w:highlight w:val="none"/>
              </w:rPr>
              <w:t>2</w:t>
            </w:r>
          </w:p>
        </w:tc>
        <w:tc>
          <w:tcPr>
            <w:tcW w:w="1822" w:type="dxa"/>
            <w:tcBorders>
              <w:left w:val="single" w:color="auto" w:sz="4" w:space="0"/>
            </w:tcBorders>
            <w:vAlign w:val="center"/>
          </w:tcPr>
          <w:p w14:paraId="147665D0">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796" w:type="dxa"/>
            <w:gridSpan w:val="2"/>
            <w:tcBorders>
              <w:bottom w:val="single" w:color="auto" w:sz="4" w:space="0"/>
            </w:tcBorders>
            <w:vAlign w:val="center"/>
          </w:tcPr>
          <w:p w14:paraId="1B0E59AE">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06C738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53985D37">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618" w:type="dxa"/>
            <w:gridSpan w:val="3"/>
            <w:tcBorders>
              <w:left w:val="single" w:color="auto" w:sz="4" w:space="0"/>
            </w:tcBorders>
            <w:vAlign w:val="center"/>
          </w:tcPr>
          <w:p w14:paraId="1504BB1D">
            <w:pPr>
              <w:adjustRightInd w:val="0"/>
              <w:snapToGrid w:val="0"/>
              <w:rPr>
                <w:rFonts w:ascii="宋体" w:hAnsi="宋体"/>
                <w:color w:val="auto"/>
                <w:szCs w:val="21"/>
                <w:highlight w:val="none"/>
              </w:rPr>
            </w:pPr>
          </w:p>
        </w:tc>
      </w:tr>
    </w:tbl>
    <w:p w14:paraId="1A6F875B">
      <w:pPr>
        <w:pStyle w:val="102"/>
        <w:spacing w:afterLines="50" w:line="360" w:lineRule="exact"/>
        <w:ind w:firstLine="0" w:firstLineChars="0"/>
        <w:jc w:val="center"/>
        <w:outlineLvl w:val="0"/>
        <w:rPr>
          <w:rFonts w:ascii="宋体" w:hAnsi="宋体" w:cs="Courier New"/>
          <w:b/>
          <w:color w:val="auto"/>
          <w:sz w:val="32"/>
          <w:szCs w:val="32"/>
          <w:highlight w:val="none"/>
        </w:rPr>
        <w:sectPr>
          <w:headerReference r:id="rId9" w:type="default"/>
          <w:footerReference r:id="rId10" w:type="default"/>
          <w:pgSz w:w="11900" w:h="16832"/>
          <w:pgMar w:top="1763" w:right="1497" w:bottom="1434" w:left="1366" w:header="895" w:footer="1372" w:gutter="0"/>
          <w:cols w:space="0" w:num="1"/>
          <w:rtlGutter w:val="0"/>
          <w:docGrid w:linePitch="0" w:charSpace="0"/>
        </w:sectPr>
      </w:pPr>
    </w:p>
    <w:p w14:paraId="197179A5">
      <w:pPr>
        <w:pStyle w:val="102"/>
        <w:spacing w:afterLines="50" w:line="360" w:lineRule="exact"/>
        <w:ind w:firstLine="0" w:firstLineChars="0"/>
        <w:jc w:val="center"/>
        <w:outlineLvl w:val="0"/>
        <w:rPr>
          <w:rFonts w:ascii="宋体" w:hAnsi="宋体" w:cs="Courier New"/>
          <w:b/>
          <w:color w:val="auto"/>
          <w:sz w:val="32"/>
          <w:szCs w:val="32"/>
          <w:highlight w:val="none"/>
        </w:rPr>
      </w:pPr>
      <w:bookmarkStart w:id="1237" w:name="_Toc193053735"/>
      <w:bookmarkStart w:id="1238" w:name="_Toc2442"/>
      <w:bookmarkStart w:id="1239" w:name="_Toc29314"/>
      <w:bookmarkStart w:id="1240" w:name="_Toc189905391"/>
      <w:r>
        <w:rPr>
          <w:rFonts w:hint="eastAsia" w:ascii="宋体" w:hAnsi="宋体" w:cs="Courier New"/>
          <w:b/>
          <w:color w:val="auto"/>
          <w:sz w:val="32"/>
          <w:szCs w:val="32"/>
          <w:highlight w:val="none"/>
        </w:rPr>
        <w:t>第五章  采购需求</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7"/>
      <w:bookmarkEnd w:id="1238"/>
      <w:bookmarkEnd w:id="1239"/>
      <w:bookmarkEnd w:id="1240"/>
    </w:p>
    <w:p w14:paraId="502CF1D8">
      <w:pPr>
        <w:spacing w:line="360" w:lineRule="auto"/>
        <w:ind w:firstLine="422" w:firstLineChars="200"/>
        <w:rPr>
          <w:rFonts w:ascii="宋体" w:hAnsi="宋体"/>
          <w:b/>
          <w:bCs/>
          <w:color w:val="auto"/>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、服务范围</w:t>
      </w:r>
    </w:p>
    <w:p w14:paraId="361F23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城东防洪堤全线区域绿化养护服务长7.92Km，绿化面积共计520748.41㎡</w:t>
      </w:r>
      <w:r>
        <w:rPr>
          <w:rFonts w:hint="eastAsia" w:ascii="宋体" w:hAnsi="宋体" w:cs="宋体"/>
          <w:color w:val="auto"/>
          <w:sz w:val="21"/>
          <w:szCs w:val="21"/>
          <w:highlight w:val="none"/>
          <w:lang w:eastAsia="zh-CN"/>
        </w:rPr>
        <w:t>。</w:t>
      </w:r>
    </w:p>
    <w:p w14:paraId="20842E33">
      <w:pPr>
        <w:spacing w:line="360" w:lineRule="auto"/>
        <w:ind w:firstLine="422" w:firstLineChars="200"/>
        <w:rPr>
          <w:rFonts w:hint="eastAsia" w:ascii="宋体" w:hAnsi="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二、服务内容</w:t>
      </w:r>
    </w:p>
    <w:p w14:paraId="1D06531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1、主要包括绿化植物松土施肥、杂草杂树清理、杀虫、浇水、拔草(所有绿化地和行道树框内)、涂白、草皮修剪、灌木（绿蓠）、球类乔木的修剪造型以及枯树、枯枝、残枝、落叶的清理和其他日常维护</w:t>
      </w:r>
      <w:r>
        <w:rPr>
          <w:rFonts w:hint="eastAsia" w:ascii="宋体" w:hAnsi="宋体" w:cs="宋体"/>
          <w:color w:val="auto"/>
          <w:sz w:val="21"/>
          <w:szCs w:val="21"/>
          <w:highlight w:val="none"/>
          <w:lang w:eastAsia="zh-CN"/>
        </w:rPr>
        <w:t>。</w:t>
      </w:r>
    </w:p>
    <w:p w14:paraId="6FAD42D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、绿化养护</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rPr>
        <w:t>杀虫、施肥、涂白所需的农药、化肥、涂白耗材及作业劳保工具由甲方另行采购提供，乙方只提供作业车辆和劳务。</w:t>
      </w:r>
    </w:p>
    <w:p w14:paraId="4B2AA6F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服务要求</w:t>
      </w:r>
    </w:p>
    <w:p w14:paraId="44D7BB0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在春季萌芽前和秋季落叶后根据降雨情况每年施肥二次（肥料由业主单位提供,承包方提供劳务及作业设备）</w:t>
      </w:r>
      <w:r>
        <w:rPr>
          <w:rFonts w:hint="eastAsia" w:ascii="宋体" w:hAnsi="宋体" w:cs="宋体"/>
          <w:color w:val="auto"/>
          <w:sz w:val="21"/>
          <w:szCs w:val="21"/>
          <w:highlight w:val="none"/>
          <w:lang w:eastAsia="zh-CN"/>
        </w:rPr>
        <w:t>。</w:t>
      </w:r>
    </w:p>
    <w:p w14:paraId="371ED3A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春秋两季各进行一次农药普洒，夏季根据虫害情况进行有针对性的灭杀（农药由业主单位提供，承包方提供劳务及作业设备）</w:t>
      </w:r>
      <w:r>
        <w:rPr>
          <w:rFonts w:hint="eastAsia" w:ascii="宋体" w:hAnsi="宋体" w:cs="宋体"/>
          <w:color w:val="auto"/>
          <w:sz w:val="21"/>
          <w:szCs w:val="21"/>
          <w:highlight w:val="none"/>
          <w:lang w:eastAsia="zh-CN"/>
        </w:rPr>
        <w:t>。</w:t>
      </w:r>
    </w:p>
    <w:p w14:paraId="5ADEFDF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每年开春前完成一次草皮、灌木修剪，然后3-11月草皮每月修剪一次，灌木、球类每两月修剪一次，枯枝、落叶、杂草杂树清除每月不少于一次，保持绿化区域观赏效果良好。</w:t>
      </w:r>
    </w:p>
    <w:p w14:paraId="301476C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春季开花的观赏球类在花期后一至二周内适度修剪，夏季开花的观赏球类在其休眠期修剪。</w:t>
      </w:r>
    </w:p>
    <w:p w14:paraId="03C712E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定型绿蓠每年整形修剪三次以上，新枝不超过5㎝；根据天气情况对绿化树木抗旱浇水。</w:t>
      </w:r>
    </w:p>
    <w:p w14:paraId="1D76727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每年11－12月对乔木柳树、紫薇、红叶李等高大乔木进行一次全面剪枝清理，同时完成一次树木涂白作业（涂白耗材及作业工具由业主单位提供），确保入冬后能防寒保暖，不受冰雪损害。</w:t>
      </w:r>
    </w:p>
    <w:p w14:paraId="7754B6F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人员配置：项目经理2人，驾驶员2人，主管园艺师2人，绿化修剪工10人，绿化打草工13人，绿化拔草工20人。</w:t>
      </w:r>
    </w:p>
    <w:p w14:paraId="1026508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机器设备配置：打草机13台，修剪机10台，三轮车2台，高杆剪枝机2台等。</w:t>
      </w:r>
    </w:p>
    <w:p w14:paraId="4C951E0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、拟采购服务期限：</w:t>
      </w:r>
      <w:r>
        <w:rPr>
          <w:rFonts w:hint="eastAsia" w:ascii="宋体" w:hAnsi="宋体" w:cs="宋体"/>
          <w:color w:val="auto"/>
          <w:sz w:val="21"/>
          <w:szCs w:val="21"/>
          <w:highlight w:val="none"/>
          <w:lang w:val="en-US" w:eastAsia="zh-CN"/>
        </w:rPr>
        <w:t>一年</w:t>
      </w:r>
      <w:r>
        <w:rPr>
          <w:rFonts w:hint="eastAsia" w:ascii="宋体" w:hAnsi="宋体" w:eastAsia="宋体" w:cs="宋体"/>
          <w:color w:val="auto"/>
          <w:sz w:val="21"/>
          <w:szCs w:val="21"/>
          <w:highlight w:val="none"/>
        </w:rPr>
        <w:t>。</w:t>
      </w:r>
    </w:p>
    <w:p w14:paraId="6F882DF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五</w:t>
      </w:r>
      <w:r>
        <w:rPr>
          <w:rFonts w:hint="eastAsia" w:ascii="宋体" w:hAnsi="宋体" w:eastAsia="宋体" w:cs="宋体"/>
          <w:b/>
          <w:color w:val="auto"/>
          <w:sz w:val="21"/>
          <w:szCs w:val="21"/>
          <w:highlight w:val="none"/>
        </w:rPr>
        <w:t>、服务标准</w:t>
      </w:r>
    </w:p>
    <w:p w14:paraId="7D4BFA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见《新化县资江风光带绿化养护服务项目质量标准》，见</w:t>
      </w:r>
      <w:r>
        <w:rPr>
          <w:rFonts w:hint="eastAsia" w:ascii="宋体" w:hAnsi="宋体" w:cs="宋体"/>
          <w:color w:val="auto"/>
          <w:sz w:val="21"/>
          <w:szCs w:val="21"/>
          <w:highlight w:val="none"/>
          <w:lang w:val="en-US" w:eastAsia="zh-CN"/>
        </w:rPr>
        <w:t>合同</w:t>
      </w:r>
      <w:r>
        <w:rPr>
          <w:rFonts w:hint="eastAsia" w:ascii="宋体" w:hAnsi="宋体" w:eastAsia="宋体" w:cs="宋体"/>
          <w:color w:val="auto"/>
          <w:sz w:val="21"/>
          <w:szCs w:val="21"/>
          <w:highlight w:val="none"/>
        </w:rPr>
        <w:t>附件</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w:t>
      </w:r>
    </w:p>
    <w:p w14:paraId="660F5AF5">
      <w:pPr>
        <w:pStyle w:val="21"/>
        <w:keepNext w:val="0"/>
        <w:keepLines w:val="0"/>
        <w:pageBreakBefore w:val="0"/>
        <w:kinsoku/>
        <w:wordWrap/>
        <w:overflowPunct/>
        <w:topLinePunct w:val="0"/>
        <w:bidi w:val="0"/>
        <w:spacing w:after="0" w:line="360" w:lineRule="auto"/>
        <w:ind w:left="0" w:leftChars="0" w:firstLine="422" w:firstLineChars="200"/>
        <w:jc w:val="both"/>
        <w:textAlignment w:val="auto"/>
        <w:rPr>
          <w:rFonts w:hint="eastAsia" w:ascii="宋体" w:hAnsi="宋体" w:cs="宋体"/>
          <w:color w:val="auto"/>
          <w:kern w:val="0"/>
          <w:sz w:val="21"/>
          <w:szCs w:val="21"/>
          <w:highlight w:val="none"/>
          <w:lang w:val="en-US" w:eastAsia="zh-CN"/>
        </w:rPr>
      </w:pPr>
      <w:r>
        <w:rPr>
          <w:rFonts w:hint="eastAsia" w:ascii="宋体" w:hAnsi="宋体" w:eastAsia="宋体" w:cs="宋体"/>
          <w:b/>
          <w:bCs/>
          <w:color w:val="auto"/>
          <w:sz w:val="21"/>
          <w:szCs w:val="21"/>
          <w:highlight w:val="none"/>
        </w:rPr>
        <w:t>五、结算方法</w:t>
      </w:r>
    </w:p>
    <w:p w14:paraId="41E1CBBE">
      <w:pPr>
        <w:pStyle w:val="21"/>
        <w:keepNext w:val="0"/>
        <w:keepLines w:val="0"/>
        <w:pageBreakBefore w:val="0"/>
        <w:kinsoku/>
        <w:wordWrap/>
        <w:overflowPunct/>
        <w:topLinePunct w:val="0"/>
        <w:bidi w:val="0"/>
        <w:spacing w:after="0" w:line="360" w:lineRule="auto"/>
        <w:ind w:left="0" w:leftChars="0"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付款人：新化县城市管理和综合执法局。</w:t>
      </w:r>
    </w:p>
    <w:p w14:paraId="13D34055">
      <w:pPr>
        <w:pStyle w:val="21"/>
        <w:keepNext w:val="0"/>
        <w:keepLines w:val="0"/>
        <w:pageBreakBefore w:val="0"/>
        <w:kinsoku/>
        <w:wordWrap/>
        <w:overflowPunct/>
        <w:topLinePunct w:val="0"/>
        <w:bidi w:val="0"/>
        <w:spacing w:after="0" w:line="360" w:lineRule="auto"/>
        <w:ind w:left="0" w:leftChars="0"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付款方式：财政集中支付。由采购人根据双方签订合同，按照绩效考核结果对中标方进行付款。服务费用（核减考核扣款后）按</w:t>
      </w:r>
      <w:r>
        <w:rPr>
          <w:rFonts w:hint="eastAsia" w:ascii="宋体" w:hAnsi="宋体" w:cs="宋体"/>
          <w:color w:val="auto"/>
          <w:kern w:val="0"/>
          <w:sz w:val="21"/>
          <w:szCs w:val="21"/>
          <w:highlight w:val="none"/>
          <w:lang w:val="en-US" w:eastAsia="zh-CN"/>
        </w:rPr>
        <w:t>季</w:t>
      </w:r>
      <w:r>
        <w:rPr>
          <w:rFonts w:hint="eastAsia" w:ascii="宋体" w:hAnsi="宋体" w:eastAsia="宋体" w:cs="宋体"/>
          <w:color w:val="auto"/>
          <w:kern w:val="0"/>
          <w:sz w:val="21"/>
          <w:szCs w:val="21"/>
          <w:highlight w:val="none"/>
        </w:rPr>
        <w:t>支付，由中标方出具正式发票。</w:t>
      </w:r>
    </w:p>
    <w:p w14:paraId="746FD8A3">
      <w:pPr>
        <w:pStyle w:val="21"/>
        <w:keepNext w:val="0"/>
        <w:keepLines w:val="0"/>
        <w:pageBreakBefore w:val="0"/>
        <w:kinsoku/>
        <w:wordWrap/>
        <w:overflowPunct/>
        <w:topLinePunct w:val="0"/>
        <w:bidi w:val="0"/>
        <w:spacing w:after="0" w:line="360" w:lineRule="auto"/>
        <w:ind w:left="0" w:leftChars="0" w:firstLine="420" w:firstLineChars="200"/>
        <w:jc w:val="both"/>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本项目采用费用包干方式建设，投标人应根据项目要求和现场情况，参照《湖南省城市环境卫生工作费用定额标准（2013版）》，详细列明项目所需的的车辆设备运行、工具物料消耗、人工、管理、财务等所有费用，如一旦中标，在项目实施中出现任何遗漏，均由中标人免费提供，采购人不再支付任何费用。</w:t>
      </w:r>
    </w:p>
    <w:p w14:paraId="413DD51B">
      <w:pPr>
        <w:keepNext w:val="0"/>
        <w:keepLines w:val="0"/>
        <w:pageBreakBefore w:val="0"/>
        <w:kinsoku/>
        <w:wordWrap/>
        <w:overflowPunct/>
        <w:topLinePunct w:val="0"/>
        <w:bidi w:val="0"/>
        <w:spacing w:line="360" w:lineRule="auto"/>
        <w:ind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六、其他</w:t>
      </w:r>
      <w:r>
        <w:rPr>
          <w:rFonts w:hint="eastAsia" w:ascii="宋体" w:hAnsi="宋体" w:cs="宋体"/>
          <w:b/>
          <w:bCs/>
          <w:color w:val="auto"/>
          <w:sz w:val="21"/>
          <w:szCs w:val="21"/>
          <w:highlight w:val="none"/>
          <w:lang w:eastAsia="zh-CN"/>
        </w:rPr>
        <w:t>未尽事宜双方签订合同时约定</w:t>
      </w:r>
      <w:r>
        <w:rPr>
          <w:rFonts w:hint="eastAsia" w:ascii="宋体" w:hAnsi="宋体" w:eastAsia="宋体" w:cs="宋体"/>
          <w:color w:val="auto"/>
          <w:kern w:val="0"/>
          <w:sz w:val="21"/>
          <w:szCs w:val="21"/>
          <w:highlight w:val="none"/>
        </w:rPr>
        <w:t>。</w:t>
      </w:r>
    </w:p>
    <w:p w14:paraId="6D2761B6">
      <w:pPr>
        <w:rPr>
          <w:rFonts w:hint="default" w:ascii="宋体" w:hAnsi="宋体" w:eastAsia="宋体"/>
          <w:b/>
          <w:bCs/>
          <w:color w:val="auto"/>
          <w:szCs w:val="21"/>
          <w:highlight w:val="none"/>
          <w:lang w:val="en-US" w:eastAsia="zh-CN"/>
        </w:rPr>
        <w:sectPr>
          <w:pgSz w:w="11900" w:h="16832"/>
          <w:pgMar w:top="1763" w:right="1497" w:bottom="1434" w:left="1366" w:header="895" w:footer="1372" w:gutter="0"/>
          <w:cols w:space="0" w:num="1"/>
          <w:rtlGutter w:val="0"/>
          <w:docGrid w:linePitch="0" w:charSpace="0"/>
        </w:sectPr>
      </w:pPr>
    </w:p>
    <w:p w14:paraId="06610E02">
      <w:pPr>
        <w:spacing w:line="360" w:lineRule="auto"/>
        <w:jc w:val="center"/>
        <w:outlineLvl w:val="0"/>
        <w:rPr>
          <w:rFonts w:ascii="宋体" w:hAnsi="宋体"/>
          <w:b/>
          <w:color w:val="auto"/>
          <w:sz w:val="32"/>
          <w:szCs w:val="32"/>
          <w:highlight w:val="none"/>
        </w:rPr>
      </w:pPr>
      <w:bookmarkStart w:id="1241" w:name="_Toc1983"/>
      <w:bookmarkStart w:id="1242" w:name="_Toc3984"/>
      <w:bookmarkStart w:id="1243" w:name="_Toc193053738"/>
      <w:bookmarkStart w:id="1244" w:name="_Toc99299758"/>
      <w:bookmarkStart w:id="1245" w:name="_Toc13335"/>
      <w:bookmarkStart w:id="1246" w:name="_Toc118209458"/>
      <w:bookmarkStart w:id="1247" w:name="_Toc189905392"/>
      <w:bookmarkStart w:id="1248" w:name="_Toc4224"/>
      <w:bookmarkStart w:id="1249" w:name="_Toc2909"/>
      <w:bookmarkStart w:id="1250" w:name="_Toc26990"/>
      <w:bookmarkStart w:id="1251" w:name="_Toc9653"/>
      <w:bookmarkStart w:id="1252" w:name="_Toc140957901"/>
      <w:bookmarkStart w:id="1253" w:name="_Toc111543588"/>
      <w:bookmarkStart w:id="1254" w:name="_Toc103979611"/>
      <w:bookmarkStart w:id="1255" w:name="_Toc79093705"/>
      <w:bookmarkStart w:id="1256" w:name="_Toc108483428"/>
      <w:bookmarkStart w:id="1257" w:name="_Toc109656610"/>
      <w:bookmarkStart w:id="1258" w:name="_Toc166778366"/>
      <w:bookmarkStart w:id="1259" w:name="_Toc12083"/>
      <w:bookmarkStart w:id="1260" w:name="_Toc18722"/>
      <w:bookmarkStart w:id="1261" w:name="_Toc113350967"/>
      <w:bookmarkStart w:id="1262" w:name="_Toc8532"/>
      <w:bookmarkStart w:id="1263" w:name="_Toc137408749"/>
      <w:bookmarkStart w:id="1264" w:name="_Toc171282435"/>
      <w:bookmarkStart w:id="1265" w:name="_Toc9878"/>
      <w:bookmarkStart w:id="1266" w:name="_Toc23488"/>
      <w:bookmarkStart w:id="1267" w:name="_Toc6729"/>
      <w:bookmarkStart w:id="1268" w:name="_Toc4360"/>
      <w:bookmarkStart w:id="1269" w:name="_Toc21768"/>
      <w:r>
        <w:rPr>
          <w:rFonts w:hint="eastAsia" w:ascii="宋体" w:hAnsi="宋体"/>
          <w:b/>
          <w:color w:val="auto"/>
          <w:sz w:val="32"/>
          <w:szCs w:val="32"/>
          <w:highlight w:val="none"/>
        </w:rPr>
        <w:t>第六章 政府采购合同</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1E98325D">
      <w:pPr>
        <w:pStyle w:val="3"/>
        <w:adjustRightInd w:val="0"/>
        <w:snapToGrid w:val="0"/>
        <w:jc w:val="center"/>
        <w:rPr>
          <w:rFonts w:ascii="宋体" w:hAnsi="宋体"/>
          <w:color w:val="auto"/>
          <w:sz w:val="28"/>
          <w:szCs w:val="28"/>
          <w:highlight w:val="none"/>
        </w:rPr>
      </w:pPr>
      <w:bookmarkStart w:id="1270" w:name="_Toc2618"/>
      <w:bookmarkStart w:id="1271" w:name="_Toc4414"/>
      <w:bookmarkStart w:id="1272" w:name="_Toc171282436"/>
      <w:bookmarkStart w:id="1273" w:name="_Toc193053739"/>
      <w:bookmarkStart w:id="1274" w:name="_Toc14034"/>
      <w:bookmarkStart w:id="1275" w:name="_Toc21421"/>
      <w:bookmarkStart w:id="1276" w:name="_Toc118209459"/>
      <w:bookmarkStart w:id="1277" w:name="_Toc12802"/>
      <w:bookmarkStart w:id="1278" w:name="_Toc140957902"/>
      <w:bookmarkStart w:id="1279" w:name="_Toc17087"/>
      <w:bookmarkStart w:id="1280" w:name="_Toc19368"/>
      <w:bookmarkStart w:id="1281" w:name="_Toc15402"/>
      <w:bookmarkStart w:id="1282" w:name="_Toc137408750"/>
      <w:bookmarkStart w:id="1283" w:name="_Toc2315"/>
      <w:bookmarkStart w:id="1284" w:name="_Toc103979612"/>
      <w:bookmarkStart w:id="1285" w:name="_Toc111543589"/>
      <w:bookmarkStart w:id="1286" w:name="_Toc9677"/>
      <w:bookmarkStart w:id="1287" w:name="_Toc24931"/>
      <w:bookmarkStart w:id="1288" w:name="_Toc189905393"/>
      <w:bookmarkStart w:id="1289" w:name="_Toc113350968"/>
      <w:bookmarkStart w:id="1290" w:name="_Toc10038"/>
      <w:bookmarkStart w:id="1291" w:name="_Toc109656611"/>
      <w:bookmarkStart w:id="1292" w:name="_Toc19903"/>
      <w:bookmarkStart w:id="1293" w:name="_Toc99299759"/>
      <w:bookmarkStart w:id="1294" w:name="_Toc14738"/>
      <w:bookmarkStart w:id="1295" w:name="_Toc11496"/>
      <w:bookmarkStart w:id="1296" w:name="_Toc79093706"/>
      <w:bookmarkStart w:id="1297" w:name="_Toc108483429"/>
      <w:bookmarkStart w:id="1298" w:name="_Toc166778367"/>
      <w:bookmarkStart w:id="1299" w:name="_Toc18666"/>
      <w:r>
        <w:rPr>
          <w:rFonts w:hint="eastAsia" w:ascii="宋体" w:hAnsi="宋体"/>
          <w:color w:val="auto"/>
          <w:sz w:val="28"/>
          <w:szCs w:val="28"/>
          <w:highlight w:val="none"/>
        </w:rPr>
        <w:t>第一节 政府采购合同协议书</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14:paraId="0ECFC6A8">
      <w:pPr>
        <w:adjustRightInd w:val="0"/>
        <w:snapToGrid w:val="0"/>
        <w:spacing w:line="360" w:lineRule="auto"/>
        <w:rPr>
          <w:rFonts w:ascii="宋体" w:hAnsi="宋体"/>
          <w:b/>
          <w:color w:val="auto"/>
          <w:szCs w:val="21"/>
          <w:highlight w:val="none"/>
        </w:rPr>
      </w:pPr>
    </w:p>
    <w:p w14:paraId="1AEB33FF">
      <w:pPr>
        <w:adjustRightInd w:val="0"/>
        <w:snapToGrid w:val="0"/>
        <w:spacing w:line="360" w:lineRule="auto"/>
        <w:ind w:firstLine="5880" w:firstLineChars="2800"/>
        <w:rPr>
          <w:rFonts w:ascii="宋体" w:hAnsi="宋体"/>
          <w:b/>
          <w:color w:val="auto"/>
          <w:szCs w:val="21"/>
          <w:highlight w:val="none"/>
        </w:rPr>
      </w:pPr>
      <w:r>
        <w:rPr>
          <w:rFonts w:hint="eastAsia" w:ascii="宋体" w:hAnsi="宋体"/>
          <w:color w:val="auto"/>
          <w:szCs w:val="21"/>
          <w:highlight w:val="none"/>
        </w:rPr>
        <w:t>采购合同编号：</w:t>
      </w:r>
    </w:p>
    <w:p w14:paraId="49C72E70">
      <w:pPr>
        <w:adjustRightInd w:val="0"/>
        <w:snapToGrid w:val="0"/>
        <w:spacing w:line="560" w:lineRule="exact"/>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采购人：新化县城市管理和综合执法局（以下简称甲方）</w:t>
      </w:r>
    </w:p>
    <w:p w14:paraId="1140367C">
      <w:pPr>
        <w:adjustRightInd w:val="0"/>
        <w:snapToGrid w:val="0"/>
        <w:spacing w:line="560" w:lineRule="exact"/>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供应商：（以下简称乙方）</w:t>
      </w:r>
    </w:p>
    <w:p w14:paraId="48940462">
      <w:pPr>
        <w:pStyle w:val="20"/>
        <w:adjustRightInd w:val="0"/>
        <w:snapToGrid w:val="0"/>
        <w:spacing w:after="0" w:line="560" w:lineRule="exact"/>
        <w:ind w:left="0" w:leftChars="0"/>
        <w:rPr>
          <w:rFonts w:ascii="仿宋" w:hAnsi="仿宋" w:eastAsia="仿宋" w:cs="宋体"/>
          <w:color w:val="auto"/>
          <w:sz w:val="32"/>
          <w:szCs w:val="32"/>
          <w:highlight w:val="none"/>
        </w:rPr>
      </w:pPr>
    </w:p>
    <w:p w14:paraId="418EB5F8">
      <w:pPr>
        <w:pStyle w:val="20"/>
        <w:adjustRightInd w:val="0"/>
        <w:snapToGrid w:val="0"/>
        <w:spacing w:after="0" w:line="560" w:lineRule="exact"/>
        <w:ind w:left="0" w:leftChars="0" w:firstLine="640" w:firstLineChars="200"/>
        <w:rPr>
          <w:rFonts w:ascii="仿宋" w:hAnsi="仿宋" w:eastAsia="仿宋" w:cs="宋体"/>
          <w:color w:val="auto"/>
          <w:sz w:val="32"/>
          <w:szCs w:val="32"/>
          <w:highlight w:val="none"/>
        </w:rPr>
      </w:pPr>
      <w:r>
        <w:rPr>
          <w:rFonts w:hint="eastAsia" w:ascii="仿宋" w:hAnsi="仿宋" w:eastAsia="仿宋"/>
          <w:color w:val="auto"/>
          <w:sz w:val="32"/>
          <w:szCs w:val="32"/>
          <w:highlight w:val="none"/>
        </w:rPr>
        <w:t>新化县资江风光带绿化养护服务项目经新化县人民政府采购管理办公室批准，通过采购招标程序，</w:t>
      </w:r>
      <w:r>
        <w:rPr>
          <w:rFonts w:hint="eastAsia" w:ascii="仿宋" w:hAnsi="仿宋" w:eastAsia="仿宋" w:cs="Arial"/>
          <w:color w:val="auto"/>
          <w:sz w:val="32"/>
          <w:szCs w:val="32"/>
          <w:highlight w:val="none"/>
        </w:rPr>
        <w:t>乙方中标。</w:t>
      </w:r>
      <w:r>
        <w:rPr>
          <w:rFonts w:hint="eastAsia" w:ascii="仿宋" w:hAnsi="仿宋" w:eastAsia="仿宋" w:cs="宋体"/>
          <w:color w:val="auto"/>
          <w:sz w:val="32"/>
          <w:szCs w:val="32"/>
          <w:highlight w:val="none"/>
        </w:rPr>
        <w:t>为了保护甲、乙双方合法权益，根据《中华人民共和国合同法》、《中华人民共和国政府采购法》及其他有关法律、法规、规章，双方签订本合同协议书。</w:t>
      </w:r>
    </w:p>
    <w:p w14:paraId="68857F57">
      <w:pPr>
        <w:adjustRightInd w:val="0"/>
        <w:snapToGrid w:val="0"/>
        <w:spacing w:line="56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一、项目概况</w:t>
      </w:r>
    </w:p>
    <w:p w14:paraId="203BDFE9">
      <w:pPr>
        <w:pStyle w:val="20"/>
        <w:adjustRightInd w:val="0"/>
        <w:snapToGrid w:val="0"/>
        <w:spacing w:after="0" w:line="560" w:lineRule="exact"/>
        <w:ind w:left="0" w:leftChars="0"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（一）采购项目名称：新化县资江风光带绿化养护服务项目。</w:t>
      </w:r>
    </w:p>
    <w:p w14:paraId="54598336">
      <w:pPr>
        <w:pStyle w:val="20"/>
        <w:adjustRightInd w:val="0"/>
        <w:snapToGrid w:val="0"/>
        <w:spacing w:after="0" w:line="560" w:lineRule="exact"/>
        <w:ind w:left="0" w:leftChars="0"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（二）采购计划编号：</w:t>
      </w:r>
    </w:p>
    <w:p w14:paraId="6CA27E88">
      <w:pPr>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（三）项目内容：</w:t>
      </w:r>
    </w:p>
    <w:p w14:paraId="5AE95478">
      <w:pPr>
        <w:spacing w:line="560" w:lineRule="exact"/>
        <w:ind w:firstLine="640" w:firstLineChars="200"/>
        <w:rPr>
          <w:rFonts w:ascii="仿宋" w:hAnsi="仿宋" w:eastAsia="仿宋"/>
          <w:color w:val="auto"/>
          <w:sz w:val="32"/>
          <w:szCs w:val="32"/>
          <w:highlight w:val="none"/>
        </w:rPr>
      </w:pPr>
      <w:r>
        <w:rPr>
          <w:rFonts w:hint="eastAsia" w:ascii="仿宋" w:hAnsi="仿宋" w:eastAsia="仿宋" w:cs="宋体"/>
          <w:color w:val="auto"/>
          <w:sz w:val="32"/>
          <w:szCs w:val="32"/>
          <w:highlight w:val="none"/>
        </w:rPr>
        <w:t>1、服务范围：</w:t>
      </w:r>
      <w:r>
        <w:rPr>
          <w:rFonts w:hint="eastAsia" w:ascii="仿宋" w:hAnsi="仿宋" w:eastAsia="仿宋" w:cs="宋体fal"/>
          <w:color w:val="auto"/>
          <w:sz w:val="28"/>
          <w:szCs w:val="28"/>
          <w:highlight w:val="none"/>
        </w:rPr>
        <w:t>资江风光带全线（东起农丰码头至最北端原酒厂），全</w:t>
      </w:r>
      <w:r>
        <w:rPr>
          <w:rFonts w:hint="eastAsia" w:ascii="仿宋" w:hAnsi="仿宋" w:eastAsia="仿宋"/>
          <w:color w:val="auto"/>
          <w:sz w:val="32"/>
          <w:szCs w:val="32"/>
          <w:highlight w:val="none"/>
        </w:rPr>
        <w:t>长7.92Km，总绿化面积520748.41㎡；</w:t>
      </w:r>
    </w:p>
    <w:p w14:paraId="30B01923">
      <w:pPr>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服务内容：主要包括绿化植物松土施肥、杂草杂树清理、杀虫、浇水、拔草(所有绿化地和行道树框内)、涂白、草皮修剪、灌木（绿蓠）、球类乔木的修剪造型以及枯树、枯枝、残枝、落叶的清理和其他日常维护；</w:t>
      </w:r>
    </w:p>
    <w:p w14:paraId="581D5DF9">
      <w:pPr>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3、绿化养护</w:t>
      </w:r>
      <w:r>
        <w:rPr>
          <w:rFonts w:hint="eastAsia" w:ascii="仿宋" w:hAnsi="仿宋" w:eastAsia="仿宋"/>
          <w:color w:val="auto"/>
          <w:sz w:val="32"/>
          <w:szCs w:val="32"/>
          <w:highlight w:val="none"/>
          <w:lang w:val="en-US" w:eastAsia="zh-CN"/>
        </w:rPr>
        <w:t>中</w:t>
      </w:r>
      <w:r>
        <w:rPr>
          <w:rFonts w:hint="eastAsia" w:ascii="仿宋" w:hAnsi="仿宋" w:eastAsia="仿宋"/>
          <w:color w:val="auto"/>
          <w:sz w:val="32"/>
          <w:szCs w:val="32"/>
          <w:highlight w:val="none"/>
        </w:rPr>
        <w:t>杀虫、施肥、涂白所需的农药、化肥、涂白耗材及作业劳保工具由甲方另行采购提供，乙方只提供作业车辆和劳务。</w:t>
      </w:r>
    </w:p>
    <w:p w14:paraId="5BC04097">
      <w:pPr>
        <w:spacing w:line="56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二、合同金额及付款方式</w:t>
      </w:r>
    </w:p>
    <w:p w14:paraId="2427F01D">
      <w:pPr>
        <w:pStyle w:val="116"/>
        <w:spacing w:line="560" w:lineRule="exact"/>
        <w:ind w:firstLine="640" w:firstLineChars="200"/>
        <w:rPr>
          <w:rFonts w:ascii="仿宋" w:hAnsi="仿宋" w:eastAsia="仿宋"/>
          <w:color w:val="auto"/>
          <w:sz w:val="32"/>
          <w:szCs w:val="32"/>
          <w:highlight w:val="none"/>
        </w:rPr>
      </w:pPr>
      <w:r>
        <w:rPr>
          <w:rFonts w:hint="eastAsia" w:ascii="仿宋" w:hAnsi="仿宋" w:eastAsia="仿宋" w:cs="宋体"/>
          <w:color w:val="auto"/>
          <w:sz w:val="32"/>
          <w:szCs w:val="32"/>
          <w:highlight w:val="none"/>
        </w:rPr>
        <w:t>（一）合同金额：</w:t>
      </w:r>
      <w:r>
        <w:rPr>
          <w:rFonts w:hint="eastAsia" w:ascii="仿宋" w:hAnsi="仿宋" w:eastAsia="仿宋"/>
          <w:bCs/>
          <w:color w:val="auto"/>
          <w:sz w:val="32"/>
          <w:szCs w:val="32"/>
          <w:highlight w:val="none"/>
        </w:rPr>
        <w:t>本合同总承包金额</w:t>
      </w:r>
      <w:r>
        <w:rPr>
          <w:rFonts w:hint="eastAsia" w:ascii="仿宋" w:hAnsi="仿宋" w:eastAsia="仿宋"/>
          <w:color w:val="auto"/>
          <w:sz w:val="32"/>
          <w:szCs w:val="32"/>
          <w:highlight w:val="none"/>
        </w:rPr>
        <w:t>价款为   万元（大写：），包含劳务人员工资、日常及法定节假日加班费、社会保险、劳保福利、高温费、防寒费、节日慰问费、商业保险费、作业所需的设备、工具、车辆以及油料费、公司管理费、办公费、服务费、税费等所有费用。不包括自然灾害（地震、台风、冰雪灾害、洪水淹没等）以及其他突发情况所产生的特殊费用。</w:t>
      </w:r>
    </w:p>
    <w:p w14:paraId="75559F89">
      <w:pPr>
        <w:pStyle w:val="116"/>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合同履行期间因甲方需求，服务面积增加（或者减少），其服务费在总承包价10％以内的，由甲乙双方核定增加（或者减少）面积，签订补充合同，依照本次采购核定单价元∕㎡·年的标准执行。</w:t>
      </w:r>
    </w:p>
    <w:p w14:paraId="6C3CE9D2">
      <w:pPr>
        <w:pStyle w:val="116"/>
        <w:spacing w:line="560" w:lineRule="exact"/>
        <w:ind w:firstLine="643" w:firstLineChars="200"/>
        <w:rPr>
          <w:rFonts w:ascii="仿宋" w:hAnsi="仿宋" w:eastAsia="仿宋"/>
          <w:color w:val="auto"/>
          <w:sz w:val="32"/>
          <w:szCs w:val="32"/>
          <w:highlight w:val="none"/>
        </w:rPr>
      </w:pPr>
      <w:r>
        <w:rPr>
          <w:rFonts w:hint="eastAsia" w:ascii="楷体" w:hAnsi="楷体" w:eastAsia="楷体" w:cs="宋体fal"/>
          <w:b/>
          <w:color w:val="auto"/>
          <w:sz w:val="32"/>
          <w:szCs w:val="32"/>
          <w:highlight w:val="none"/>
        </w:rPr>
        <w:t>（二）付款方式：</w:t>
      </w:r>
      <w:r>
        <w:rPr>
          <w:rFonts w:hint="eastAsia" w:ascii="仿宋" w:hAnsi="仿宋" w:eastAsia="仿宋"/>
          <w:color w:val="auto"/>
          <w:sz w:val="32"/>
          <w:szCs w:val="32"/>
          <w:highlight w:val="none"/>
        </w:rPr>
        <w:t>财政集中支付。由采购人根据双方签订合同，按照绩效考核结果对中标方进行付款。服务费用（核减考核扣款后）按季支付，由中标方出具正式发票。（考核方案见附件一）</w:t>
      </w:r>
    </w:p>
    <w:p w14:paraId="003329FE">
      <w:pPr>
        <w:adjustRightInd w:val="0"/>
        <w:snapToGrid w:val="0"/>
        <w:spacing w:line="560" w:lineRule="exact"/>
        <w:ind w:firstLine="643" w:firstLineChars="200"/>
        <w:rPr>
          <w:rFonts w:ascii="仿宋" w:hAnsi="仿宋" w:eastAsia="仿宋" w:cs="宋体"/>
          <w:color w:val="auto"/>
          <w:sz w:val="32"/>
          <w:szCs w:val="32"/>
          <w:highlight w:val="none"/>
        </w:rPr>
      </w:pPr>
      <w:r>
        <w:rPr>
          <w:rFonts w:hint="eastAsia" w:ascii="仿宋" w:hAnsi="仿宋" w:eastAsia="仿宋" w:cs="宋体"/>
          <w:b/>
          <w:color w:val="auto"/>
          <w:sz w:val="32"/>
          <w:szCs w:val="32"/>
          <w:highlight w:val="none"/>
        </w:rPr>
        <w:t>三、履行合同的</w:t>
      </w:r>
      <w:r>
        <w:rPr>
          <w:rFonts w:hint="eastAsia" w:ascii="仿宋" w:hAnsi="仿宋" w:eastAsia="仿宋" w:cs="宋体"/>
          <w:b/>
          <w:color w:val="auto"/>
          <w:sz w:val="32"/>
          <w:szCs w:val="32"/>
          <w:highlight w:val="none"/>
          <w:lang w:val="en-US" w:eastAsia="zh-CN"/>
        </w:rPr>
        <w:t>期限</w:t>
      </w:r>
      <w:r>
        <w:rPr>
          <w:rFonts w:hint="eastAsia" w:ascii="仿宋" w:hAnsi="仿宋" w:eastAsia="仿宋" w:cs="宋体"/>
          <w:b/>
          <w:color w:val="auto"/>
          <w:sz w:val="32"/>
          <w:szCs w:val="32"/>
          <w:highlight w:val="none"/>
        </w:rPr>
        <w:t>、地点</w:t>
      </w:r>
    </w:p>
    <w:p w14:paraId="73122BDA">
      <w:pPr>
        <w:adjustRightInd w:val="0"/>
        <w:snapToGrid w:val="0"/>
        <w:spacing w:line="560" w:lineRule="exact"/>
        <w:ind w:firstLine="960" w:firstLineChars="3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履行合同期限：一年。从</w:t>
      </w:r>
      <w:r>
        <w:rPr>
          <w:rFonts w:hint="eastAsia" w:ascii="仿宋" w:hAnsi="仿宋" w:eastAsia="仿宋" w:cs="宋体"/>
          <w:color w:val="auto"/>
          <w:sz w:val="32"/>
          <w:szCs w:val="32"/>
          <w:highlight w:val="none"/>
          <w:u w:val="single"/>
          <w:lang w:val="en-US" w:eastAsia="zh-CN"/>
        </w:rPr>
        <w:t xml:space="preserve">     </w:t>
      </w:r>
      <w:r>
        <w:rPr>
          <w:rFonts w:hint="eastAsia" w:ascii="仿宋" w:hAnsi="仿宋" w:eastAsia="仿宋" w:cs="宋体"/>
          <w:color w:val="auto"/>
          <w:sz w:val="32"/>
          <w:szCs w:val="32"/>
          <w:highlight w:val="none"/>
        </w:rPr>
        <w:t>年</w:t>
      </w:r>
      <w:r>
        <w:rPr>
          <w:rFonts w:hint="eastAsia" w:ascii="仿宋" w:hAnsi="仿宋" w:eastAsia="仿宋" w:cs="宋体"/>
          <w:color w:val="auto"/>
          <w:sz w:val="32"/>
          <w:szCs w:val="32"/>
          <w:highlight w:val="none"/>
          <w:u w:val="single"/>
          <w:lang w:val="en-US" w:eastAsia="zh-CN"/>
        </w:rPr>
        <w:t xml:space="preserve">    </w:t>
      </w:r>
      <w:r>
        <w:rPr>
          <w:rFonts w:hint="eastAsia" w:ascii="仿宋" w:hAnsi="仿宋" w:eastAsia="仿宋" w:cs="宋体"/>
          <w:color w:val="auto"/>
          <w:sz w:val="32"/>
          <w:szCs w:val="32"/>
          <w:highlight w:val="none"/>
        </w:rPr>
        <w:t>月</w:t>
      </w:r>
      <w:r>
        <w:rPr>
          <w:rFonts w:hint="eastAsia" w:ascii="仿宋" w:hAnsi="仿宋" w:eastAsia="仿宋" w:cs="宋体"/>
          <w:color w:val="auto"/>
          <w:sz w:val="32"/>
          <w:szCs w:val="32"/>
          <w:highlight w:val="none"/>
          <w:u w:val="single"/>
          <w:lang w:val="en-US" w:eastAsia="zh-CN"/>
        </w:rPr>
        <w:t xml:space="preserve">    </w:t>
      </w:r>
      <w:r>
        <w:rPr>
          <w:rFonts w:hint="eastAsia" w:ascii="仿宋" w:hAnsi="仿宋" w:eastAsia="仿宋" w:cs="宋体"/>
          <w:color w:val="auto"/>
          <w:sz w:val="32"/>
          <w:szCs w:val="32"/>
          <w:highlight w:val="none"/>
        </w:rPr>
        <w:t>日起至</w:t>
      </w:r>
      <w:r>
        <w:rPr>
          <w:rFonts w:hint="eastAsia" w:ascii="仿宋" w:hAnsi="仿宋" w:eastAsia="仿宋" w:cs="宋体"/>
          <w:color w:val="auto"/>
          <w:sz w:val="32"/>
          <w:szCs w:val="32"/>
          <w:highlight w:val="none"/>
          <w:u w:val="single"/>
          <w:lang w:val="en-US" w:eastAsia="zh-CN"/>
        </w:rPr>
        <w:t xml:space="preserve">     </w:t>
      </w:r>
      <w:r>
        <w:rPr>
          <w:rFonts w:hint="eastAsia" w:ascii="仿宋" w:hAnsi="仿宋" w:eastAsia="仿宋" w:cs="宋体"/>
          <w:color w:val="auto"/>
          <w:sz w:val="32"/>
          <w:szCs w:val="32"/>
          <w:highlight w:val="none"/>
        </w:rPr>
        <w:t>年</w:t>
      </w:r>
      <w:r>
        <w:rPr>
          <w:rFonts w:hint="eastAsia" w:ascii="仿宋" w:hAnsi="仿宋" w:eastAsia="仿宋" w:cs="宋体"/>
          <w:color w:val="auto"/>
          <w:sz w:val="32"/>
          <w:szCs w:val="32"/>
          <w:highlight w:val="none"/>
          <w:u w:val="single"/>
          <w:lang w:val="en-US" w:eastAsia="zh-CN"/>
        </w:rPr>
        <w:t xml:space="preserve">    </w:t>
      </w:r>
      <w:r>
        <w:rPr>
          <w:rFonts w:hint="eastAsia" w:ascii="仿宋" w:hAnsi="仿宋" w:eastAsia="仿宋" w:cs="宋体"/>
          <w:color w:val="auto"/>
          <w:sz w:val="32"/>
          <w:szCs w:val="32"/>
          <w:highlight w:val="none"/>
        </w:rPr>
        <w:t>月</w:t>
      </w:r>
      <w:r>
        <w:rPr>
          <w:rFonts w:hint="eastAsia" w:ascii="仿宋" w:hAnsi="仿宋" w:eastAsia="仿宋" w:cs="宋体"/>
          <w:color w:val="auto"/>
          <w:sz w:val="32"/>
          <w:szCs w:val="32"/>
          <w:highlight w:val="none"/>
          <w:u w:val="single"/>
          <w:lang w:val="en-US" w:eastAsia="zh-CN"/>
        </w:rPr>
        <w:t xml:space="preserve">    </w:t>
      </w:r>
      <w:r>
        <w:rPr>
          <w:rFonts w:hint="eastAsia" w:ascii="仿宋" w:hAnsi="仿宋" w:eastAsia="仿宋" w:cs="宋体"/>
          <w:color w:val="auto"/>
          <w:sz w:val="32"/>
          <w:szCs w:val="32"/>
          <w:highlight w:val="none"/>
        </w:rPr>
        <w:t>日止。</w:t>
      </w:r>
    </w:p>
    <w:p w14:paraId="404506F7">
      <w:pPr>
        <w:adjustRightInd w:val="0"/>
        <w:snapToGrid w:val="0"/>
        <w:spacing w:line="560" w:lineRule="exact"/>
        <w:ind w:firstLine="960" w:firstLineChars="3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地点</w:t>
      </w:r>
      <w:r>
        <w:rPr>
          <w:rFonts w:hint="eastAsia" w:ascii="仿宋" w:hAnsi="仿宋" w:eastAsia="仿宋" w:cs="宋体"/>
          <w:b/>
          <w:color w:val="auto"/>
          <w:sz w:val="32"/>
          <w:szCs w:val="32"/>
          <w:highlight w:val="none"/>
        </w:rPr>
        <w:t>：</w:t>
      </w:r>
      <w:r>
        <w:rPr>
          <w:rFonts w:hint="eastAsia" w:ascii="仿宋" w:hAnsi="仿宋" w:eastAsia="仿宋" w:cs="宋体"/>
          <w:color w:val="auto"/>
          <w:sz w:val="32"/>
          <w:szCs w:val="32"/>
          <w:highlight w:val="none"/>
        </w:rPr>
        <w:t>新化县资江风光带。</w:t>
      </w:r>
    </w:p>
    <w:p w14:paraId="1B297510">
      <w:pPr>
        <w:pStyle w:val="178"/>
        <w:numPr>
          <w:ilvl w:val="0"/>
          <w:numId w:val="2"/>
        </w:numPr>
        <w:adjustRightInd w:val="0"/>
        <w:snapToGrid w:val="0"/>
        <w:spacing w:line="560" w:lineRule="exact"/>
        <w:ind w:firstLineChars="0"/>
        <w:rPr>
          <w:rFonts w:ascii="仿宋" w:hAnsi="仿宋" w:eastAsia="仿宋" w:cs="宋体"/>
          <w:b/>
          <w:bCs/>
          <w:color w:val="auto"/>
          <w:sz w:val="32"/>
          <w:szCs w:val="32"/>
          <w:highlight w:val="none"/>
        </w:rPr>
      </w:pPr>
      <w:r>
        <w:rPr>
          <w:rFonts w:hint="eastAsia" w:ascii="仿宋" w:hAnsi="仿宋" w:eastAsia="仿宋" w:cs="宋体"/>
          <w:b/>
          <w:bCs/>
          <w:color w:val="auto"/>
          <w:sz w:val="32"/>
          <w:szCs w:val="32"/>
          <w:highlight w:val="none"/>
        </w:rPr>
        <w:t>双方权利义务</w:t>
      </w:r>
    </w:p>
    <w:p w14:paraId="7B8000BA">
      <w:pPr>
        <w:pStyle w:val="116"/>
        <w:spacing w:line="560" w:lineRule="exact"/>
        <w:ind w:firstLine="630" w:firstLineChars="196"/>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甲方权利义务</w:t>
      </w:r>
    </w:p>
    <w:p w14:paraId="06DE027B">
      <w:pPr>
        <w:pStyle w:val="116"/>
        <w:spacing w:line="560" w:lineRule="exact"/>
        <w:ind w:firstLine="627" w:firstLineChars="196"/>
        <w:rPr>
          <w:rFonts w:ascii="仿宋" w:hAnsi="仿宋" w:eastAsia="仿宋"/>
          <w:bCs/>
          <w:color w:val="auto"/>
          <w:sz w:val="32"/>
          <w:szCs w:val="32"/>
          <w:highlight w:val="none"/>
        </w:rPr>
      </w:pPr>
      <w:r>
        <w:rPr>
          <w:rFonts w:hint="eastAsia" w:ascii="仿宋" w:hAnsi="仿宋" w:eastAsia="仿宋"/>
          <w:bCs/>
          <w:color w:val="auto"/>
          <w:sz w:val="32"/>
          <w:szCs w:val="32"/>
          <w:highlight w:val="none"/>
        </w:rPr>
        <w:t>（一）依法拥有监督管理权。</w:t>
      </w:r>
    </w:p>
    <w:p w14:paraId="59F275B3">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bCs/>
          <w:color w:val="auto"/>
          <w:sz w:val="32"/>
          <w:szCs w:val="32"/>
          <w:highlight w:val="none"/>
        </w:rPr>
        <w:t>（二）</w:t>
      </w:r>
      <w:r>
        <w:rPr>
          <w:rFonts w:hint="eastAsia" w:ascii="仿宋" w:hAnsi="仿宋" w:eastAsia="仿宋"/>
          <w:color w:val="auto"/>
          <w:sz w:val="32"/>
          <w:szCs w:val="32"/>
          <w:highlight w:val="none"/>
        </w:rPr>
        <w:t>负责传达上级的政策，制定管理养护要求、作业标准和质量检查考核办法等相关文件。</w:t>
      </w:r>
    </w:p>
    <w:p w14:paraId="702B4B0C">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（三）负责检查、监督乙方作业服务的实施情况；督促乙方配备绿化养护所需的作业人员、机械设备、工具、车辆以及油料。</w:t>
      </w:r>
    </w:p>
    <w:p w14:paraId="2E150DD9">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（四）对乙方的日常维护按月考核（考核办法见附件），并根据考核结果向乙方支付承包费用。</w:t>
      </w:r>
    </w:p>
    <w:p w14:paraId="6FDFCEE4">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（五）定期或不定期对乙方的用工、资金使用、劳动安全进行检查监督。监督乙方切实履行本协议；有权要求乙方及时更正、整改。</w:t>
      </w:r>
    </w:p>
    <w:p w14:paraId="2E69B8F7">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（六）甲方委托新化县资江风光服务中心行使本合同的监督管理权和日常考核权。</w:t>
      </w:r>
    </w:p>
    <w:p w14:paraId="6A083DF3">
      <w:pPr>
        <w:pStyle w:val="116"/>
        <w:spacing w:line="560" w:lineRule="exact"/>
        <w:ind w:firstLine="630" w:firstLineChars="196"/>
        <w:rPr>
          <w:rFonts w:ascii="仿宋" w:hAnsi="仿宋" w:eastAsia="仿宋"/>
          <w:color w:val="auto"/>
          <w:sz w:val="32"/>
          <w:szCs w:val="32"/>
          <w:highlight w:val="none"/>
        </w:rPr>
      </w:pPr>
      <w:r>
        <w:rPr>
          <w:rFonts w:hint="eastAsia" w:ascii="仿宋" w:hAnsi="仿宋" w:eastAsia="仿宋"/>
          <w:b/>
          <w:bCs/>
          <w:color w:val="auto"/>
          <w:sz w:val="32"/>
          <w:szCs w:val="32"/>
          <w:highlight w:val="none"/>
        </w:rPr>
        <w:t>乙方权利义务</w:t>
      </w:r>
    </w:p>
    <w:p w14:paraId="18A34EC5">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（一）有经营管理自主权，有权在协议期内按季领取承包价款；自移交之日起有权对管理工作提出建议。</w:t>
      </w:r>
    </w:p>
    <w:p w14:paraId="44A92ABF">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（二）有权自主开展服务活动，完成各项作业任务。</w:t>
      </w:r>
    </w:p>
    <w:p w14:paraId="4F0002B1">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（三）必须按有关劳动定额标准和要求配备作业人员，按《劳动法》和《劳动合同法》依法用人用工并签订劳动合同，如发生劳动或劳务纠纷，承担相关法律责任。</w:t>
      </w:r>
    </w:p>
    <w:p w14:paraId="672E4A6C">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（四）建立健全安全生产规章制度，定期开展安全教育和岗位安全、技能培训；在工作时间内发生任何安全事故均由乙方负责并承担一切责任。</w:t>
      </w:r>
    </w:p>
    <w:p w14:paraId="440996BD">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（五）接受甲方的监督、检查和指导，完成交办的临时性、突发性任务；对甲方提出的意见及时采纳并采取相应整改措施；对于作业服务范围内发生的破坏行为要积极采取劝阻、制止等措施，并及时向甲方报告。</w:t>
      </w:r>
    </w:p>
    <w:p w14:paraId="36DB6761">
      <w:pPr>
        <w:pStyle w:val="116"/>
        <w:spacing w:line="560" w:lineRule="exact"/>
        <w:ind w:firstLine="630" w:firstLineChars="196"/>
        <w:rPr>
          <w:rFonts w:ascii="仿宋" w:hAnsi="仿宋" w:eastAsia="仿宋"/>
          <w:b/>
          <w:color w:val="auto"/>
          <w:sz w:val="32"/>
          <w:szCs w:val="32"/>
          <w:highlight w:val="none"/>
        </w:rPr>
      </w:pPr>
      <w:r>
        <w:rPr>
          <w:rFonts w:hint="eastAsia" w:ascii="仿宋" w:hAnsi="仿宋" w:eastAsia="仿宋" w:cs="宋体"/>
          <w:b/>
          <w:color w:val="auto"/>
          <w:sz w:val="32"/>
          <w:szCs w:val="32"/>
          <w:highlight w:val="none"/>
        </w:rPr>
        <w:t>五、</w:t>
      </w:r>
      <w:r>
        <w:rPr>
          <w:rFonts w:hint="eastAsia" w:ascii="仿宋" w:hAnsi="仿宋" w:eastAsia="仿宋"/>
          <w:b/>
          <w:color w:val="auto"/>
          <w:sz w:val="32"/>
          <w:szCs w:val="32"/>
          <w:highlight w:val="none"/>
        </w:rPr>
        <w:t>服务要求及标准：</w:t>
      </w:r>
    </w:p>
    <w:p w14:paraId="5EF665FC">
      <w:pPr>
        <w:spacing w:line="560" w:lineRule="exact"/>
        <w:ind w:firstLine="640" w:firstLineChars="200"/>
        <w:rPr>
          <w:rFonts w:ascii="仿宋" w:hAnsi="仿宋" w:eastAsia="仿宋"/>
          <w:color w:val="auto"/>
          <w:kern w:val="0"/>
          <w:sz w:val="32"/>
          <w:szCs w:val="32"/>
          <w:highlight w:val="none"/>
        </w:rPr>
      </w:pPr>
      <w:r>
        <w:rPr>
          <w:rFonts w:hint="eastAsia" w:ascii="仿宋" w:hAnsi="仿宋" w:eastAsia="仿宋"/>
          <w:color w:val="auto"/>
          <w:kern w:val="0"/>
          <w:sz w:val="32"/>
          <w:szCs w:val="32"/>
          <w:highlight w:val="none"/>
        </w:rPr>
        <w:t>（一）服务要求</w:t>
      </w:r>
    </w:p>
    <w:p w14:paraId="64710D26">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1、在春季萌芽前和秋季落叶后根据降雨情况每年施肥二次（肥料由业主单位提供,承包方提供劳务及作业设备）。</w:t>
      </w:r>
    </w:p>
    <w:p w14:paraId="02681FBF">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2、春秋两季各进行一次农药普洒，夏季根据虫害情况进行有针对性的灭杀；（农药由业主单位提供，承包方提供劳务及作业设备）。</w:t>
      </w:r>
    </w:p>
    <w:p w14:paraId="0A993574">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3、每年开春前完成一次草皮、灌木修剪，然后3-11月草皮每月修剪一次，灌木、球类每两月修剪一次，枯枝、落叶、杂草杂树清除每月不少于一次，保持绿化区域观赏效果良好。</w:t>
      </w:r>
    </w:p>
    <w:p w14:paraId="46ABEE4C">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4、春季开花的观赏球类在花期后一至二周内适度修剪，夏季开花的观赏球类在其休眠期修剪。</w:t>
      </w:r>
    </w:p>
    <w:p w14:paraId="00CD6E5D">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5、定型绿蓠每年整形修剪三次以上，新枝不超过5㎝；根据天气情况对绿化树木抗旱浇水。</w:t>
      </w:r>
    </w:p>
    <w:p w14:paraId="28712915">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6、每年11－12月对乔木柳树、紫薇、红叶李等高大乔木进行一次全面剪枝清理，同时完成一次树木涂白作业（涂白耗材及作业工具由业主单位提供），确保入冬后能防寒保暖，不受冰雪损害。</w:t>
      </w:r>
    </w:p>
    <w:p w14:paraId="37F46A6F">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7、人员配置：项目经理2人，驾驶员2人，主管园艺师2人，绿化修剪工10人，绿化打草工13人，绿化拔草工20人。</w:t>
      </w:r>
    </w:p>
    <w:p w14:paraId="3BCF6164">
      <w:pPr>
        <w:spacing w:line="560" w:lineRule="exact"/>
        <w:ind w:firstLine="640" w:firstLineChars="200"/>
        <w:rPr>
          <w:rFonts w:hint="eastAsia" w:ascii="仿宋" w:hAnsi="仿宋" w:eastAsia="仿宋"/>
          <w:color w:val="auto"/>
          <w:kern w:val="0"/>
          <w:sz w:val="32"/>
          <w:szCs w:val="32"/>
          <w:highlight w:val="none"/>
        </w:rPr>
      </w:pPr>
      <w:r>
        <w:rPr>
          <w:rFonts w:hint="eastAsia" w:ascii="仿宋" w:hAnsi="仿宋" w:eastAsia="仿宋"/>
          <w:color w:val="auto"/>
          <w:kern w:val="0"/>
          <w:sz w:val="32"/>
          <w:szCs w:val="32"/>
          <w:highlight w:val="none"/>
        </w:rPr>
        <w:t>8、机器设备配置：打草机13台，修剪机10台，三轮车2台，高杆剪枝机2台等。</w:t>
      </w:r>
    </w:p>
    <w:p w14:paraId="34E8B4C6">
      <w:pPr>
        <w:spacing w:line="560" w:lineRule="exact"/>
        <w:ind w:firstLine="640" w:firstLineChars="200"/>
        <w:rPr>
          <w:rFonts w:ascii="仿宋" w:hAnsi="仿宋" w:eastAsia="仿宋"/>
          <w:color w:val="auto"/>
          <w:kern w:val="0"/>
          <w:sz w:val="32"/>
          <w:szCs w:val="32"/>
          <w:highlight w:val="none"/>
        </w:rPr>
      </w:pPr>
      <w:r>
        <w:rPr>
          <w:rFonts w:hint="eastAsia" w:ascii="仿宋" w:hAnsi="仿宋" w:eastAsia="仿宋"/>
          <w:color w:val="auto"/>
          <w:kern w:val="0"/>
          <w:sz w:val="32"/>
          <w:szCs w:val="32"/>
          <w:highlight w:val="none"/>
        </w:rPr>
        <w:t>（二）服务标准：见附件二《新化县资江风光带绿化养护服务项目质量标准》</w:t>
      </w:r>
    </w:p>
    <w:p w14:paraId="6C45E192">
      <w:pPr>
        <w:pStyle w:val="116"/>
        <w:spacing w:line="560" w:lineRule="exact"/>
        <w:ind w:firstLine="630" w:firstLineChars="196"/>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六、违约责任</w:t>
      </w:r>
    </w:p>
    <w:p w14:paraId="66176F5A">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w:t>
      </w:r>
      <w:r>
        <w:rPr>
          <w:rFonts w:hint="eastAsia" w:ascii="仿宋" w:hAnsi="仿宋" w:eastAsia="仿宋" w:cs="宋体"/>
          <w:color w:val="auto"/>
          <w:sz w:val="32"/>
          <w:szCs w:val="32"/>
          <w:highlight w:val="none"/>
        </w:rPr>
        <w:t>一</w:t>
      </w:r>
      <w:r>
        <w:rPr>
          <w:rFonts w:hint="eastAsia" w:ascii="仿宋" w:hAnsi="仿宋" w:eastAsia="仿宋"/>
          <w:color w:val="auto"/>
          <w:sz w:val="32"/>
          <w:szCs w:val="32"/>
          <w:highlight w:val="none"/>
        </w:rPr>
        <w:t>）甲方违反本协议有关规定，造成乙方未完成规定服务管理目标的，乙方有权要求甲方在合理期限内解决，甲方逾期未解决并造成乙方经济损失的，甲方应给予乙方相应的经济赔偿。</w:t>
      </w:r>
    </w:p>
    <w:p w14:paraId="6D6D3D70">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二）乙方不履行约定或不按规定完成任务或未按投标文件承诺投入人力、物力和设备的，甲方有权要求乙方限期整改；逾期未整改到位或怠于整改、拒绝整改的，甲方有权终止协议并停止支付承包费用，由此给甲方造成的经济损失，乙方须全额支付经济赔偿。</w:t>
      </w:r>
    </w:p>
    <w:p w14:paraId="0BA707D5">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（三）乙方在本协议终止或解除后，不移交相关资料和设备、不撤离作业区域的，每逾期一日须向甲方支付中标价万分之五的违约金，乙方支付的违约金不足以弥补甲方损失的，乙方还应当承担赔偿责任。</w:t>
      </w:r>
    </w:p>
    <w:p w14:paraId="6291AE7A">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四）因乙方管理不善或操作不当等原因发生事故并造成重大人身、财产损害的，由乙方承担相应责任并负责善后处理，造成甲方经济损失的，乙方应支付甲方经济赔偿。产生事故的原因，以相关主管部门的鉴定为准。</w:t>
      </w:r>
    </w:p>
    <w:p w14:paraId="26B5EBB8">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（五）任何一方无正当理由提前解除协议的，应向对方支付违约金5 万元；由于解除协议造成的经济损失超过违约金的，还应给予对方相应的经济赔偿。</w:t>
      </w:r>
    </w:p>
    <w:p w14:paraId="58F4C1AD">
      <w:pPr>
        <w:pStyle w:val="116"/>
        <w:spacing w:line="560" w:lineRule="exact"/>
        <w:ind w:firstLine="627" w:firstLineChars="196"/>
        <w:rPr>
          <w:rFonts w:ascii="仿宋" w:hAnsi="仿宋" w:eastAsia="仿宋"/>
          <w:color w:val="auto"/>
          <w:sz w:val="32"/>
          <w:szCs w:val="32"/>
          <w:highlight w:val="none"/>
        </w:rPr>
      </w:pPr>
      <w:r>
        <w:rPr>
          <w:rFonts w:hint="eastAsia" w:ascii="仿宋" w:hAnsi="仿宋" w:eastAsia="仿宋"/>
          <w:color w:val="auto"/>
          <w:sz w:val="32"/>
          <w:szCs w:val="32"/>
          <w:highlight w:val="none"/>
        </w:rPr>
        <w:t>（六）本协议履行期内，若甲乙双方的一方要求变更或提前</w:t>
      </w:r>
      <w:r>
        <w:rPr>
          <w:rFonts w:hint="eastAsia" w:ascii="仿宋" w:hAnsi="仿宋" w:eastAsia="仿宋"/>
          <w:bCs/>
          <w:color w:val="auto"/>
          <w:sz w:val="32"/>
          <w:szCs w:val="32"/>
          <w:highlight w:val="none"/>
        </w:rPr>
        <w:t>终止协议的，必须提前3个月以书面形式通知对方，经甲乙双方协商一致后方可变更或终止。</w:t>
      </w:r>
    </w:p>
    <w:p w14:paraId="17835C25">
      <w:pPr>
        <w:adjustRightInd w:val="0"/>
        <w:snapToGrid w:val="0"/>
        <w:spacing w:line="56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七、解决合同纠纷方式</w:t>
      </w:r>
    </w:p>
    <w:p w14:paraId="2CC24F73">
      <w:pPr>
        <w:spacing w:line="560" w:lineRule="exact"/>
        <w:ind w:firstLine="640" w:firstLineChars="20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凡因履行合同所产生的一切争议，甲乙双方应通过协商解决，如果协商不能解决的，由新化县人民法院管辖；合同未尽事宜应另行签订补充协议，补充协议与合同及招标文件具有同等法律效力。</w:t>
      </w:r>
    </w:p>
    <w:p w14:paraId="4D1CEFEA">
      <w:pPr>
        <w:adjustRightInd w:val="0"/>
        <w:snapToGrid w:val="0"/>
        <w:spacing w:line="56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八、组成合同的文件</w:t>
      </w:r>
    </w:p>
    <w:p w14:paraId="518AEED3">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本协议书与下列文件一起构成合同文件，如下述文件之间有任何抵触、矛盾或歧义，应按以下顺序解释：</w:t>
      </w:r>
    </w:p>
    <w:p w14:paraId="324BE932">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（1）在采购或合同履行过程中乙方作出的承诺以及双方协商达成的变更或补充协议</w:t>
      </w:r>
    </w:p>
    <w:p w14:paraId="73C847C9">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（2）成交通知书</w:t>
      </w:r>
    </w:p>
    <w:p w14:paraId="67EB6A91">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（3）响应文件</w:t>
      </w:r>
    </w:p>
    <w:p w14:paraId="79181828">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（4）政府采购合同格式条款及其附件</w:t>
      </w:r>
    </w:p>
    <w:p w14:paraId="263B4012">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（5）专用合同条款</w:t>
      </w:r>
    </w:p>
    <w:p w14:paraId="38EB3E97">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（6）通用合同条款（如果有）</w:t>
      </w:r>
    </w:p>
    <w:p w14:paraId="583E5A79">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（7）已标价工程量清单或预算书（如果有）</w:t>
      </w:r>
    </w:p>
    <w:p w14:paraId="471C21FC">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（8）其他合同文件。</w:t>
      </w:r>
    </w:p>
    <w:p w14:paraId="0C79141B">
      <w:pPr>
        <w:adjustRightInd w:val="0"/>
        <w:snapToGrid w:val="0"/>
        <w:spacing w:line="560" w:lineRule="exact"/>
        <w:ind w:firstLine="472" w:firstLineChars="147"/>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九、合同生效</w:t>
      </w:r>
    </w:p>
    <w:p w14:paraId="2D055641">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本合同自甲乙双方签字盖章后生效。</w:t>
      </w:r>
    </w:p>
    <w:p w14:paraId="3A5308F4">
      <w:pPr>
        <w:adjustRightInd w:val="0"/>
        <w:snapToGrid w:val="0"/>
        <w:spacing w:line="560" w:lineRule="exact"/>
        <w:ind w:firstLine="472" w:firstLineChars="147"/>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十、合同份数</w:t>
      </w:r>
    </w:p>
    <w:p w14:paraId="2A14779D">
      <w:pPr>
        <w:adjustRightInd w:val="0"/>
        <w:snapToGrid w:val="0"/>
        <w:spacing w:line="56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本合同一式六份，甲乙双方各执三份，均具有同等法律效力。</w:t>
      </w:r>
    </w:p>
    <w:p w14:paraId="0850F833">
      <w:pPr>
        <w:adjustRightInd w:val="0"/>
        <w:snapToGrid w:val="0"/>
        <w:spacing w:line="560" w:lineRule="exact"/>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甲方：（公章）                乙方：（公章）</w:t>
      </w:r>
    </w:p>
    <w:p w14:paraId="16F9EAF6">
      <w:pPr>
        <w:adjustRightInd w:val="0"/>
        <w:snapToGrid w:val="0"/>
        <w:spacing w:line="560" w:lineRule="exact"/>
        <w:rPr>
          <w:rFonts w:ascii="仿宋" w:hAnsi="仿宋" w:eastAsia="仿宋" w:cs="宋体"/>
          <w:color w:val="auto"/>
          <w:sz w:val="32"/>
          <w:szCs w:val="32"/>
          <w:highlight w:val="none"/>
        </w:rPr>
      </w:pPr>
    </w:p>
    <w:p w14:paraId="65D386EE">
      <w:pPr>
        <w:adjustRightInd w:val="0"/>
        <w:snapToGrid w:val="0"/>
        <w:spacing w:line="560" w:lineRule="exact"/>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法定代表人（签名）：          法定代表人（签名）：</w:t>
      </w:r>
    </w:p>
    <w:p w14:paraId="3D12AB43">
      <w:pPr>
        <w:spacing w:line="560" w:lineRule="exact"/>
        <w:ind w:firstLine="4620" w:firstLineChars="16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p>
    <w:p w14:paraId="3388CCD4">
      <w:pPr>
        <w:spacing w:line="560" w:lineRule="exact"/>
        <w:ind w:firstLine="4620" w:firstLineChars="165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账号：</w:t>
      </w:r>
    </w:p>
    <w:p w14:paraId="30ED9F75">
      <w:pPr>
        <w:spacing w:line="560" w:lineRule="exact"/>
        <w:rPr>
          <w:rFonts w:ascii="仿宋" w:hAnsi="仿宋" w:eastAsia="仿宋" w:cs="仿宋"/>
          <w:color w:val="auto"/>
          <w:sz w:val="32"/>
          <w:szCs w:val="32"/>
          <w:highlight w:val="none"/>
        </w:rPr>
      </w:pPr>
    </w:p>
    <w:p w14:paraId="653D8E5F">
      <w:pPr>
        <w:adjustRightInd w:val="0"/>
        <w:snapToGrid w:val="0"/>
        <w:spacing w:line="560" w:lineRule="exact"/>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合同订立时间：       年     月     日</w:t>
      </w:r>
    </w:p>
    <w:p w14:paraId="2D608274">
      <w:pPr>
        <w:spacing w:line="560" w:lineRule="exact"/>
        <w:ind w:firstLine="4760" w:firstLineChars="1700"/>
        <w:rPr>
          <w:rFonts w:cs="仿宋" w:asciiTheme="minorEastAsia" w:hAnsiTheme="minorEastAsia"/>
          <w:color w:val="auto"/>
          <w:sz w:val="28"/>
          <w:szCs w:val="28"/>
          <w:highlight w:val="none"/>
        </w:rPr>
      </w:pPr>
    </w:p>
    <w:p w14:paraId="0D52D252">
      <w:pPr>
        <w:adjustRightInd w:val="0"/>
        <w:snapToGrid w:val="0"/>
        <w:spacing w:line="560" w:lineRule="exact"/>
        <w:rPr>
          <w:rFonts w:ascii="仿宋" w:hAnsi="仿宋" w:eastAsia="仿宋" w:cs="宋体"/>
          <w:color w:val="auto"/>
          <w:sz w:val="32"/>
          <w:szCs w:val="32"/>
          <w:highlight w:val="none"/>
        </w:rPr>
      </w:pPr>
      <w:r>
        <w:rPr>
          <w:rFonts w:hint="eastAsia" w:cs="仿宋" w:asciiTheme="minorEastAsia" w:hAnsiTheme="minorEastAsia"/>
          <w:color w:val="auto"/>
          <w:sz w:val="28"/>
          <w:szCs w:val="28"/>
          <w:highlight w:val="none"/>
        </w:rPr>
        <w:t>附一：</w:t>
      </w:r>
      <w:r>
        <w:rPr>
          <w:rFonts w:hint="eastAsia" w:ascii="仿宋" w:hAnsi="仿宋" w:eastAsia="仿宋" w:cs="宋体"/>
          <w:color w:val="auto"/>
          <w:sz w:val="32"/>
          <w:szCs w:val="32"/>
          <w:highlight w:val="none"/>
        </w:rPr>
        <w:t>《新化县资江风光带绿化养护服务项目考核办法》</w:t>
      </w:r>
    </w:p>
    <w:p w14:paraId="72DA47AF">
      <w:pPr>
        <w:spacing w:line="560" w:lineRule="exact"/>
        <w:rPr>
          <w:rFonts w:cs="仿宋" w:asciiTheme="minorEastAsia" w:hAnsiTheme="minorEastAsia"/>
          <w:color w:val="auto"/>
          <w:sz w:val="28"/>
          <w:szCs w:val="28"/>
          <w:highlight w:val="none"/>
        </w:rPr>
      </w:pPr>
      <w:r>
        <w:rPr>
          <w:rFonts w:hint="eastAsia" w:cs="仿宋" w:asciiTheme="minorEastAsia" w:hAnsiTheme="minorEastAsia"/>
          <w:color w:val="auto"/>
          <w:sz w:val="28"/>
          <w:szCs w:val="28"/>
          <w:highlight w:val="none"/>
        </w:rPr>
        <w:t>附二：</w:t>
      </w:r>
      <w:r>
        <w:rPr>
          <w:rFonts w:hint="eastAsia" w:ascii="仿宋" w:hAnsi="仿宋" w:eastAsia="仿宋"/>
          <w:color w:val="auto"/>
          <w:kern w:val="0"/>
          <w:sz w:val="32"/>
          <w:szCs w:val="32"/>
          <w:highlight w:val="none"/>
        </w:rPr>
        <w:t>《新化县资江风光带绿化养护服务项目质量标准》</w:t>
      </w:r>
    </w:p>
    <w:p w14:paraId="7AB3220C">
      <w:pPr>
        <w:spacing w:line="560" w:lineRule="exact"/>
        <w:jc w:val="left"/>
        <w:rPr>
          <w:rFonts w:ascii="微软雅黑" w:hAnsi="仿宋" w:eastAsia="微软雅黑" w:cs="宋体"/>
          <w:b/>
          <w:color w:val="auto"/>
          <w:sz w:val="36"/>
          <w:szCs w:val="36"/>
          <w:highlight w:val="none"/>
        </w:rPr>
      </w:pPr>
    </w:p>
    <w:p w14:paraId="7D2C46A8">
      <w:pPr>
        <w:spacing w:line="560" w:lineRule="exact"/>
        <w:jc w:val="left"/>
        <w:rPr>
          <w:rFonts w:ascii="微软雅黑" w:hAnsi="仿宋" w:eastAsia="微软雅黑" w:cs="宋体"/>
          <w:b/>
          <w:color w:val="auto"/>
          <w:sz w:val="36"/>
          <w:szCs w:val="36"/>
          <w:highlight w:val="none"/>
        </w:rPr>
      </w:pPr>
    </w:p>
    <w:p w14:paraId="229FB83D">
      <w:pPr>
        <w:spacing w:line="560" w:lineRule="exact"/>
        <w:jc w:val="left"/>
        <w:rPr>
          <w:rFonts w:ascii="微软雅黑" w:hAnsi="仿宋" w:eastAsia="微软雅黑" w:cs="宋体"/>
          <w:b/>
          <w:color w:val="auto"/>
          <w:sz w:val="36"/>
          <w:szCs w:val="36"/>
          <w:highlight w:val="none"/>
        </w:rPr>
      </w:pPr>
    </w:p>
    <w:p w14:paraId="6F7512E9">
      <w:pPr>
        <w:spacing w:line="560" w:lineRule="exact"/>
        <w:jc w:val="left"/>
        <w:rPr>
          <w:rFonts w:ascii="微软雅黑" w:hAnsi="仿宋" w:eastAsia="微软雅黑" w:cs="宋体"/>
          <w:b/>
          <w:color w:val="auto"/>
          <w:sz w:val="36"/>
          <w:szCs w:val="36"/>
          <w:highlight w:val="none"/>
        </w:rPr>
      </w:pPr>
    </w:p>
    <w:p w14:paraId="63AA71EE">
      <w:pPr>
        <w:spacing w:line="560" w:lineRule="exact"/>
        <w:jc w:val="left"/>
        <w:rPr>
          <w:rFonts w:ascii="微软雅黑" w:hAnsi="仿宋" w:eastAsia="微软雅黑" w:cs="宋体"/>
          <w:b/>
          <w:color w:val="auto"/>
          <w:sz w:val="36"/>
          <w:szCs w:val="36"/>
          <w:highlight w:val="none"/>
        </w:rPr>
      </w:pPr>
    </w:p>
    <w:p w14:paraId="79C8EB90">
      <w:pPr>
        <w:spacing w:line="560" w:lineRule="exact"/>
        <w:jc w:val="left"/>
        <w:rPr>
          <w:rFonts w:ascii="微软雅黑" w:hAnsi="仿宋" w:eastAsia="微软雅黑" w:cs="宋体"/>
          <w:b/>
          <w:color w:val="auto"/>
          <w:sz w:val="36"/>
          <w:szCs w:val="36"/>
          <w:highlight w:val="none"/>
        </w:rPr>
      </w:pPr>
    </w:p>
    <w:p w14:paraId="7FF5D57F">
      <w:pPr>
        <w:spacing w:line="560" w:lineRule="exact"/>
        <w:jc w:val="left"/>
        <w:rPr>
          <w:rFonts w:ascii="微软雅黑" w:hAnsi="仿宋" w:eastAsia="微软雅黑" w:cs="宋体"/>
          <w:b/>
          <w:color w:val="auto"/>
          <w:sz w:val="36"/>
          <w:szCs w:val="36"/>
          <w:highlight w:val="none"/>
        </w:rPr>
      </w:pPr>
    </w:p>
    <w:p w14:paraId="5E0239CD">
      <w:pPr>
        <w:spacing w:line="560" w:lineRule="exact"/>
        <w:jc w:val="left"/>
        <w:rPr>
          <w:rFonts w:ascii="微软雅黑" w:hAnsi="仿宋" w:eastAsia="微软雅黑" w:cs="宋体"/>
          <w:b/>
          <w:color w:val="auto"/>
          <w:sz w:val="36"/>
          <w:szCs w:val="36"/>
          <w:highlight w:val="none"/>
        </w:rPr>
      </w:pPr>
    </w:p>
    <w:p w14:paraId="30682FFF">
      <w:pPr>
        <w:spacing w:line="560" w:lineRule="exact"/>
        <w:jc w:val="left"/>
        <w:rPr>
          <w:rFonts w:ascii="微软雅黑" w:hAnsi="仿宋" w:eastAsia="微软雅黑" w:cs="宋体"/>
          <w:b/>
          <w:color w:val="auto"/>
          <w:sz w:val="36"/>
          <w:szCs w:val="36"/>
          <w:highlight w:val="none"/>
        </w:rPr>
      </w:pPr>
    </w:p>
    <w:p w14:paraId="3448B9FF">
      <w:pPr>
        <w:spacing w:line="560" w:lineRule="exact"/>
        <w:jc w:val="left"/>
        <w:rPr>
          <w:rFonts w:ascii="微软雅黑" w:hAnsi="仿宋" w:eastAsia="微软雅黑" w:cs="宋体"/>
          <w:b/>
          <w:color w:val="auto"/>
          <w:sz w:val="36"/>
          <w:szCs w:val="36"/>
          <w:highlight w:val="none"/>
        </w:rPr>
      </w:pPr>
    </w:p>
    <w:p w14:paraId="596D2F0E">
      <w:pPr>
        <w:spacing w:line="560" w:lineRule="exact"/>
        <w:jc w:val="left"/>
        <w:rPr>
          <w:rFonts w:ascii="微软雅黑" w:hAnsi="仿宋" w:eastAsia="微软雅黑" w:cs="宋体"/>
          <w:b/>
          <w:color w:val="auto"/>
          <w:sz w:val="36"/>
          <w:szCs w:val="36"/>
          <w:highlight w:val="none"/>
        </w:rPr>
      </w:pPr>
      <w:r>
        <w:rPr>
          <w:rFonts w:hint="eastAsia" w:ascii="微软雅黑" w:hAnsi="仿宋" w:eastAsia="微软雅黑" w:cs="宋体"/>
          <w:b/>
          <w:color w:val="auto"/>
          <w:sz w:val="36"/>
          <w:szCs w:val="36"/>
          <w:highlight w:val="none"/>
        </w:rPr>
        <w:t>附件一：</w:t>
      </w:r>
    </w:p>
    <w:p w14:paraId="5F81762F">
      <w:pPr>
        <w:spacing w:line="560" w:lineRule="exact"/>
        <w:jc w:val="center"/>
        <w:rPr>
          <w:rFonts w:ascii="微软雅黑" w:hAnsi="仿宋" w:eastAsia="微软雅黑" w:cs="宋体"/>
          <w:b/>
          <w:color w:val="auto"/>
          <w:sz w:val="40"/>
          <w:szCs w:val="32"/>
          <w:highlight w:val="none"/>
        </w:rPr>
      </w:pPr>
      <w:r>
        <w:rPr>
          <w:rFonts w:hint="eastAsia" w:ascii="微软雅黑" w:hAnsi="仿宋" w:eastAsia="微软雅黑" w:cs="宋体"/>
          <w:b/>
          <w:color w:val="auto"/>
          <w:sz w:val="40"/>
          <w:szCs w:val="32"/>
          <w:highlight w:val="none"/>
        </w:rPr>
        <w:t>新化县资江风光带绿化养护服务项目考核办法</w:t>
      </w:r>
    </w:p>
    <w:p w14:paraId="0E040F6C">
      <w:pPr>
        <w:spacing w:line="560" w:lineRule="exact"/>
        <w:ind w:left="-735" w:leftChars="-350" w:right="-735" w:rightChars="-350"/>
        <w:rPr>
          <w:rFonts w:cs="仿宋" w:asciiTheme="minorEastAsia" w:hAnsiTheme="minorEastAsia"/>
          <w:color w:val="auto"/>
          <w:sz w:val="28"/>
          <w:szCs w:val="28"/>
          <w:highlight w:val="none"/>
        </w:rPr>
      </w:pPr>
      <w:r>
        <w:rPr>
          <w:rFonts w:hint="eastAsia" w:ascii="仿宋" w:hAnsi="仿宋" w:eastAsia="仿宋" w:cs="宋体"/>
          <w:color w:val="auto"/>
          <w:sz w:val="32"/>
          <w:szCs w:val="32"/>
          <w:highlight w:val="none"/>
        </w:rPr>
        <w:t xml:space="preserve">    本办法为新化县资江风光带绿化养护服务项目合同的附件之一，作为甲方考核乙方服务质量的依据。以季度为考核周期，甲方根据季度总扣除分值（1分＝100元）扣除乙方相应的承包费用。其考核细则如下：</w:t>
      </w:r>
    </w:p>
    <w:tbl>
      <w:tblPr>
        <w:tblStyle w:val="47"/>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8"/>
        <w:gridCol w:w="5953"/>
      </w:tblGrid>
      <w:tr w14:paraId="2D64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2CC02F">
            <w:pPr>
              <w:pStyle w:val="229"/>
              <w:jc w:val="center"/>
              <w:rPr>
                <w:rFonts w:ascii="仿宋" w:hAnsi="仿宋" w:eastAsia="仿宋"/>
                <w:color w:val="auto"/>
                <w:sz w:val="24"/>
                <w:highlight w:val="none"/>
              </w:rPr>
            </w:pPr>
            <w:r>
              <w:rPr>
                <w:rFonts w:hint="eastAsia" w:ascii="仿宋" w:hAnsi="仿宋" w:eastAsia="仿宋"/>
                <w:color w:val="auto"/>
                <w:kern w:val="0"/>
                <w:sz w:val="24"/>
                <w:highlight w:val="none"/>
              </w:rPr>
              <w:t>服务质量标准</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4EF307">
            <w:pPr>
              <w:pStyle w:val="229"/>
              <w:jc w:val="center"/>
              <w:rPr>
                <w:rFonts w:ascii="仿宋" w:hAnsi="仿宋" w:eastAsia="仿宋"/>
                <w:color w:val="auto"/>
                <w:sz w:val="24"/>
                <w:highlight w:val="none"/>
              </w:rPr>
            </w:pPr>
            <w:r>
              <w:rPr>
                <w:rFonts w:hint="eastAsia" w:ascii="仿宋" w:hAnsi="仿宋" w:eastAsia="仿宋"/>
                <w:color w:val="auto"/>
                <w:kern w:val="0"/>
                <w:sz w:val="24"/>
                <w:highlight w:val="none"/>
              </w:rPr>
              <w:t>扣分细则</w:t>
            </w:r>
          </w:p>
        </w:tc>
      </w:tr>
      <w:tr w14:paraId="6CBE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35F63F">
            <w:pPr>
              <w:pStyle w:val="229"/>
              <w:rPr>
                <w:rFonts w:ascii="仿宋" w:hAnsi="仿宋" w:eastAsia="仿宋"/>
                <w:color w:val="auto"/>
                <w:sz w:val="24"/>
                <w:highlight w:val="none"/>
              </w:rPr>
            </w:pPr>
            <w:r>
              <w:rPr>
                <w:rFonts w:hint="eastAsia" w:ascii="仿宋" w:hAnsi="仿宋" w:eastAsia="仿宋"/>
                <w:color w:val="auto"/>
                <w:kern w:val="0"/>
                <w:sz w:val="24"/>
                <w:highlight w:val="none"/>
              </w:rPr>
              <w:t>乔木适时修剪,树冠完整，骨架均匀，生长态势良好，无明显病枯枝。</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6DEE36">
            <w:pPr>
              <w:pStyle w:val="229"/>
              <w:rPr>
                <w:rFonts w:ascii="仿宋" w:hAnsi="仿宋" w:eastAsia="仿宋"/>
                <w:color w:val="auto"/>
                <w:sz w:val="24"/>
                <w:highlight w:val="none"/>
              </w:rPr>
            </w:pPr>
            <w:r>
              <w:rPr>
                <w:rFonts w:hint="eastAsia" w:ascii="仿宋" w:hAnsi="仿宋" w:eastAsia="仿宋"/>
                <w:color w:val="auto"/>
                <w:kern w:val="0"/>
                <w:sz w:val="24"/>
                <w:highlight w:val="none"/>
              </w:rPr>
              <w:t>在修剪季节不及时修剪的每株扣0.2分，树冠不完整每株扣0.2分，明显枯枝一株扣0.1分。</w:t>
            </w:r>
          </w:p>
        </w:tc>
      </w:tr>
      <w:tr w14:paraId="723C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763B90">
            <w:pPr>
              <w:pStyle w:val="229"/>
              <w:rPr>
                <w:rFonts w:ascii="仿宋" w:hAnsi="仿宋" w:eastAsia="仿宋"/>
                <w:color w:val="auto"/>
                <w:sz w:val="24"/>
                <w:highlight w:val="none"/>
              </w:rPr>
            </w:pPr>
            <w:r>
              <w:rPr>
                <w:rFonts w:hint="eastAsia" w:ascii="仿宋" w:hAnsi="仿宋" w:eastAsia="仿宋"/>
                <w:color w:val="auto"/>
                <w:kern w:val="0"/>
                <w:sz w:val="24"/>
                <w:highlight w:val="none"/>
              </w:rPr>
              <w:t>树穴杂草清理及时，无积水、无杂物。</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3907A6">
            <w:pPr>
              <w:pStyle w:val="229"/>
              <w:rPr>
                <w:rFonts w:ascii="仿宋" w:hAnsi="仿宋" w:eastAsia="仿宋"/>
                <w:color w:val="auto"/>
                <w:sz w:val="24"/>
                <w:highlight w:val="none"/>
              </w:rPr>
            </w:pPr>
            <w:r>
              <w:rPr>
                <w:rFonts w:hint="eastAsia" w:ascii="仿宋" w:hAnsi="仿宋" w:eastAsia="仿宋"/>
                <w:color w:val="auto"/>
                <w:kern w:val="0"/>
                <w:sz w:val="24"/>
                <w:highlight w:val="none"/>
              </w:rPr>
              <w:t>树穴内杂草长度超过15cm每处扣0.2分，有杂物的每处扣0.1分。</w:t>
            </w:r>
          </w:p>
        </w:tc>
      </w:tr>
      <w:tr w14:paraId="0541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6F3860E">
            <w:pPr>
              <w:pStyle w:val="229"/>
              <w:rPr>
                <w:rFonts w:ascii="仿宋" w:hAnsi="仿宋" w:eastAsia="仿宋"/>
                <w:color w:val="auto"/>
                <w:sz w:val="24"/>
                <w:highlight w:val="none"/>
              </w:rPr>
            </w:pPr>
            <w:r>
              <w:rPr>
                <w:rFonts w:hint="eastAsia" w:ascii="仿宋" w:hAnsi="仿宋" w:eastAsia="仿宋"/>
                <w:color w:val="auto"/>
                <w:kern w:val="0"/>
                <w:sz w:val="24"/>
                <w:highlight w:val="none"/>
              </w:rPr>
              <w:t>灌木树冠完整，生长旺盛，无病虫害，无枯死枝、无枯死株、无缺株</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138A89">
            <w:pPr>
              <w:pStyle w:val="229"/>
              <w:rPr>
                <w:rFonts w:ascii="仿宋" w:hAnsi="仿宋" w:eastAsia="仿宋"/>
                <w:color w:val="auto"/>
                <w:sz w:val="24"/>
                <w:highlight w:val="none"/>
              </w:rPr>
            </w:pPr>
            <w:r>
              <w:rPr>
                <w:rFonts w:hint="eastAsia" w:ascii="仿宋" w:hAnsi="仿宋" w:eastAsia="仿宋"/>
                <w:color w:val="auto"/>
                <w:kern w:val="0"/>
                <w:sz w:val="24"/>
                <w:highlight w:val="none"/>
              </w:rPr>
              <w:t>树冠不完整每株扣0.1分，明显枯枝每株扣0.1分。</w:t>
            </w:r>
          </w:p>
        </w:tc>
      </w:tr>
      <w:tr w14:paraId="7EF9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8BDF4F">
            <w:pPr>
              <w:pStyle w:val="229"/>
              <w:rPr>
                <w:rFonts w:ascii="仿宋" w:hAnsi="仿宋" w:eastAsia="仿宋"/>
                <w:color w:val="auto"/>
                <w:sz w:val="24"/>
                <w:highlight w:val="none"/>
              </w:rPr>
            </w:pPr>
            <w:r>
              <w:rPr>
                <w:rFonts w:hint="eastAsia" w:ascii="仿宋" w:hAnsi="仿宋" w:eastAsia="仿宋"/>
                <w:color w:val="auto"/>
                <w:kern w:val="0"/>
                <w:sz w:val="24"/>
                <w:highlight w:val="none"/>
              </w:rPr>
              <w:t>地被植物长势茂盛，草坪高度控制平坦整齐，无明显杂草。</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C78C78">
            <w:pPr>
              <w:pStyle w:val="229"/>
              <w:rPr>
                <w:rFonts w:ascii="仿宋" w:hAnsi="仿宋" w:eastAsia="仿宋"/>
                <w:color w:val="auto"/>
                <w:sz w:val="24"/>
                <w:highlight w:val="none"/>
              </w:rPr>
            </w:pPr>
            <w:r>
              <w:rPr>
                <w:rFonts w:hint="eastAsia" w:ascii="仿宋" w:hAnsi="仿宋" w:eastAsia="仿宋"/>
                <w:color w:val="auto"/>
                <w:kern w:val="0"/>
                <w:sz w:val="24"/>
                <w:highlight w:val="none"/>
              </w:rPr>
              <w:t>明显高杂草一处扣0.1分，草坪超过高度一处扣0.1分。</w:t>
            </w:r>
          </w:p>
        </w:tc>
      </w:tr>
      <w:tr w14:paraId="1D6E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0E1B958">
            <w:pPr>
              <w:pStyle w:val="229"/>
              <w:rPr>
                <w:rFonts w:ascii="仿宋" w:hAnsi="仿宋" w:eastAsia="仿宋"/>
                <w:color w:val="auto"/>
                <w:sz w:val="24"/>
                <w:highlight w:val="none"/>
              </w:rPr>
            </w:pPr>
            <w:r>
              <w:rPr>
                <w:rFonts w:hint="eastAsia" w:ascii="仿宋" w:hAnsi="仿宋" w:eastAsia="仿宋"/>
                <w:color w:val="auto"/>
                <w:kern w:val="0"/>
                <w:sz w:val="24"/>
                <w:highlight w:val="none"/>
              </w:rPr>
              <w:t>造型植物保持优美形态，生长旺盛，无明显残缺。</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8F41168">
            <w:pPr>
              <w:pStyle w:val="229"/>
              <w:rPr>
                <w:rFonts w:ascii="仿宋" w:hAnsi="仿宋" w:eastAsia="仿宋"/>
                <w:color w:val="auto"/>
                <w:sz w:val="24"/>
                <w:highlight w:val="none"/>
              </w:rPr>
            </w:pPr>
            <w:r>
              <w:rPr>
                <w:rFonts w:hint="eastAsia" w:ascii="仿宋" w:hAnsi="仿宋" w:eastAsia="仿宋"/>
                <w:color w:val="auto"/>
                <w:kern w:val="0"/>
                <w:sz w:val="24"/>
                <w:highlight w:val="none"/>
              </w:rPr>
              <w:t>造型植物每株残缺面&gt;10%扣0.2分，&gt;20%扣0.5分。</w:t>
            </w:r>
          </w:p>
        </w:tc>
      </w:tr>
      <w:tr w14:paraId="073F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6BB0D5">
            <w:pPr>
              <w:pStyle w:val="229"/>
              <w:rPr>
                <w:rFonts w:ascii="仿宋" w:hAnsi="仿宋" w:eastAsia="仿宋"/>
                <w:color w:val="auto"/>
                <w:sz w:val="24"/>
                <w:highlight w:val="none"/>
              </w:rPr>
            </w:pPr>
            <w:r>
              <w:rPr>
                <w:rFonts w:hint="eastAsia" w:ascii="仿宋" w:hAnsi="仿宋" w:eastAsia="仿宋"/>
                <w:color w:val="auto"/>
                <w:kern w:val="0"/>
                <w:sz w:val="24"/>
                <w:highlight w:val="none"/>
              </w:rPr>
              <w:t>有安全管理网络，制度健全，责任落实严格按照制定的安全规程作业。</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BA87943">
            <w:pPr>
              <w:pStyle w:val="229"/>
              <w:rPr>
                <w:rFonts w:ascii="仿宋" w:hAnsi="仿宋" w:eastAsia="仿宋"/>
                <w:color w:val="auto"/>
                <w:sz w:val="24"/>
                <w:highlight w:val="none"/>
              </w:rPr>
            </w:pPr>
            <w:r>
              <w:rPr>
                <w:rFonts w:hint="eastAsia" w:ascii="仿宋" w:hAnsi="仿宋" w:eastAsia="仿宋"/>
                <w:color w:val="auto"/>
                <w:kern w:val="0"/>
                <w:sz w:val="24"/>
                <w:highlight w:val="none"/>
              </w:rPr>
              <w:t>达不到要求每次扣1分。</w:t>
            </w:r>
          </w:p>
        </w:tc>
      </w:tr>
      <w:tr w14:paraId="4A8C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D7C6D1">
            <w:pPr>
              <w:pStyle w:val="229"/>
              <w:rPr>
                <w:rFonts w:ascii="仿宋" w:hAnsi="仿宋" w:eastAsia="仿宋"/>
                <w:color w:val="auto"/>
                <w:sz w:val="24"/>
                <w:highlight w:val="none"/>
              </w:rPr>
            </w:pPr>
            <w:r>
              <w:rPr>
                <w:rFonts w:hint="eastAsia" w:ascii="仿宋" w:hAnsi="仿宋" w:eastAsia="仿宋"/>
                <w:color w:val="auto"/>
                <w:kern w:val="0"/>
                <w:sz w:val="24"/>
                <w:highlight w:val="none"/>
              </w:rPr>
              <w:t>提倡文明生产作业，礼貌用语，不与居民、行人争吵。</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C78482">
            <w:pPr>
              <w:pStyle w:val="229"/>
              <w:rPr>
                <w:rFonts w:ascii="仿宋" w:hAnsi="仿宋" w:eastAsia="仿宋"/>
                <w:color w:val="auto"/>
                <w:sz w:val="24"/>
                <w:highlight w:val="none"/>
              </w:rPr>
            </w:pPr>
            <w:r>
              <w:rPr>
                <w:rFonts w:hint="eastAsia" w:ascii="仿宋" w:hAnsi="仿宋" w:eastAsia="仿宋"/>
                <w:color w:val="auto"/>
                <w:kern w:val="0"/>
                <w:sz w:val="24"/>
                <w:highlight w:val="none"/>
              </w:rPr>
              <w:t>达不到要求每次扣1分。</w:t>
            </w:r>
          </w:p>
        </w:tc>
      </w:tr>
      <w:tr w14:paraId="73EB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0BF397B">
            <w:pPr>
              <w:pStyle w:val="229"/>
              <w:rPr>
                <w:rFonts w:ascii="仿宋" w:hAnsi="仿宋" w:eastAsia="仿宋"/>
                <w:color w:val="auto"/>
                <w:sz w:val="24"/>
                <w:highlight w:val="none"/>
              </w:rPr>
            </w:pPr>
            <w:r>
              <w:rPr>
                <w:rFonts w:hint="eastAsia" w:ascii="仿宋" w:hAnsi="仿宋" w:eastAsia="仿宋"/>
                <w:color w:val="auto"/>
                <w:kern w:val="0"/>
                <w:sz w:val="24"/>
                <w:highlight w:val="none"/>
              </w:rPr>
              <w:t>加强安全管理，确保无事故。</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6DDBD5">
            <w:pPr>
              <w:pStyle w:val="229"/>
              <w:rPr>
                <w:rFonts w:ascii="仿宋" w:hAnsi="仿宋" w:eastAsia="仿宋"/>
                <w:color w:val="auto"/>
                <w:sz w:val="24"/>
                <w:highlight w:val="none"/>
              </w:rPr>
            </w:pPr>
            <w:r>
              <w:rPr>
                <w:rFonts w:hint="eastAsia" w:ascii="仿宋" w:hAnsi="仿宋" w:eastAsia="仿宋"/>
                <w:color w:val="auto"/>
                <w:kern w:val="0"/>
                <w:sz w:val="24"/>
                <w:highlight w:val="none"/>
              </w:rPr>
              <w:t>发生安全等级事故的扣10分</w:t>
            </w:r>
          </w:p>
        </w:tc>
      </w:tr>
      <w:tr w14:paraId="63E7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6C88785">
            <w:pPr>
              <w:pStyle w:val="229"/>
              <w:rPr>
                <w:rFonts w:ascii="仿宋" w:hAnsi="仿宋" w:eastAsia="仿宋"/>
                <w:color w:val="auto"/>
                <w:sz w:val="24"/>
                <w:highlight w:val="none"/>
              </w:rPr>
            </w:pPr>
            <w:r>
              <w:rPr>
                <w:rFonts w:hint="eastAsia" w:ascii="仿宋" w:hAnsi="仿宋" w:eastAsia="仿宋"/>
                <w:color w:val="auto"/>
                <w:kern w:val="0"/>
                <w:sz w:val="24"/>
                <w:highlight w:val="none"/>
              </w:rPr>
              <w:t>加强巡查，及时发现损绿毁绿行为并及时制止、处理和报告。</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D42359">
            <w:pPr>
              <w:pStyle w:val="229"/>
              <w:rPr>
                <w:rFonts w:ascii="仿宋" w:hAnsi="仿宋" w:eastAsia="仿宋"/>
                <w:color w:val="auto"/>
                <w:sz w:val="24"/>
                <w:highlight w:val="none"/>
              </w:rPr>
            </w:pPr>
            <w:r>
              <w:rPr>
                <w:rFonts w:hint="eastAsia" w:ascii="仿宋" w:hAnsi="仿宋" w:eastAsia="仿宋"/>
                <w:color w:val="auto"/>
                <w:kern w:val="0"/>
                <w:sz w:val="24"/>
                <w:highlight w:val="none"/>
              </w:rPr>
              <w:t>未及时发现损绿毁绿行为或发现后未及时制止、处理和报告的视其情节每次扣1-3分。</w:t>
            </w:r>
          </w:p>
        </w:tc>
      </w:tr>
      <w:tr w14:paraId="4363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559AD5D">
            <w:pPr>
              <w:pStyle w:val="229"/>
              <w:rPr>
                <w:rFonts w:ascii="仿宋" w:hAnsi="仿宋" w:eastAsia="仿宋"/>
                <w:color w:val="auto"/>
                <w:sz w:val="24"/>
                <w:highlight w:val="none"/>
              </w:rPr>
            </w:pPr>
            <w:r>
              <w:rPr>
                <w:rFonts w:hint="eastAsia" w:ascii="仿宋" w:hAnsi="仿宋" w:eastAsia="仿宋"/>
                <w:color w:val="auto"/>
                <w:kern w:val="0"/>
                <w:sz w:val="24"/>
                <w:highlight w:val="none"/>
              </w:rPr>
              <w:t>在规定时限内落实整改通知。</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B518B5">
            <w:pPr>
              <w:pStyle w:val="229"/>
              <w:rPr>
                <w:rFonts w:ascii="仿宋" w:hAnsi="仿宋" w:eastAsia="仿宋"/>
                <w:color w:val="auto"/>
                <w:sz w:val="24"/>
                <w:highlight w:val="none"/>
              </w:rPr>
            </w:pPr>
            <w:r>
              <w:rPr>
                <w:rFonts w:hint="eastAsia" w:ascii="仿宋" w:hAnsi="仿宋" w:eastAsia="仿宋"/>
                <w:color w:val="auto"/>
                <w:kern w:val="0"/>
                <w:sz w:val="24"/>
                <w:highlight w:val="none"/>
              </w:rPr>
              <w:t>在规定期间内不予落实或落实不到位的，每次扣3-5分。</w:t>
            </w:r>
          </w:p>
        </w:tc>
      </w:tr>
      <w:tr w14:paraId="36C2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5A12425">
            <w:pPr>
              <w:pStyle w:val="229"/>
              <w:rPr>
                <w:rFonts w:ascii="仿宋" w:hAnsi="仿宋" w:eastAsia="仿宋"/>
                <w:color w:val="auto"/>
                <w:sz w:val="24"/>
                <w:highlight w:val="none"/>
              </w:rPr>
            </w:pPr>
            <w:r>
              <w:rPr>
                <w:rFonts w:hint="eastAsia" w:ascii="仿宋" w:hAnsi="仿宋" w:eastAsia="仿宋"/>
                <w:color w:val="auto"/>
                <w:kern w:val="0"/>
                <w:sz w:val="24"/>
                <w:highlight w:val="none"/>
              </w:rPr>
              <w:t>积极完成创建等重大迎检任务</w:t>
            </w:r>
          </w:p>
        </w:tc>
        <w:tc>
          <w:tcPr>
            <w:tcW w:w="5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6FD7C22">
            <w:pPr>
              <w:pStyle w:val="229"/>
              <w:rPr>
                <w:rFonts w:ascii="仿宋" w:hAnsi="仿宋" w:eastAsia="仿宋"/>
                <w:color w:val="auto"/>
                <w:sz w:val="24"/>
                <w:highlight w:val="none"/>
              </w:rPr>
            </w:pPr>
            <w:r>
              <w:rPr>
                <w:rFonts w:hint="eastAsia" w:ascii="仿宋" w:hAnsi="仿宋" w:eastAsia="仿宋"/>
                <w:color w:val="auto"/>
                <w:kern w:val="0"/>
                <w:sz w:val="24"/>
                <w:highlight w:val="none"/>
              </w:rPr>
              <w:t>创建等重大迎检，因养护不到位或不及时完成各项交办任务，造成不良影响的每次扣5-10分。</w:t>
            </w:r>
          </w:p>
        </w:tc>
      </w:tr>
    </w:tbl>
    <w:p w14:paraId="2E117E20">
      <w:pPr>
        <w:spacing w:line="560" w:lineRule="exact"/>
        <w:jc w:val="left"/>
        <w:rPr>
          <w:rFonts w:hint="eastAsia" w:ascii="微软雅黑" w:hAnsi="仿宋" w:eastAsia="微软雅黑" w:cs="宋体"/>
          <w:b/>
          <w:color w:val="auto"/>
          <w:sz w:val="36"/>
          <w:szCs w:val="36"/>
          <w:highlight w:val="none"/>
        </w:rPr>
      </w:pPr>
      <w:r>
        <w:rPr>
          <w:rFonts w:hint="eastAsia" w:ascii="微软雅黑" w:hAnsi="仿宋" w:eastAsia="微软雅黑" w:cs="宋体"/>
          <w:b/>
          <w:color w:val="auto"/>
          <w:sz w:val="36"/>
          <w:szCs w:val="36"/>
          <w:highlight w:val="none"/>
        </w:rPr>
        <w:t>附件</w:t>
      </w:r>
      <w:r>
        <w:rPr>
          <w:rFonts w:hint="eastAsia" w:ascii="微软雅黑" w:hAnsi="仿宋" w:eastAsia="微软雅黑" w:cs="宋体"/>
          <w:b/>
          <w:color w:val="auto"/>
          <w:sz w:val="36"/>
          <w:szCs w:val="36"/>
          <w:highlight w:val="none"/>
          <w:lang w:val="en-US" w:eastAsia="zh-CN"/>
        </w:rPr>
        <w:t>二</w:t>
      </w:r>
      <w:r>
        <w:rPr>
          <w:rFonts w:hint="eastAsia" w:ascii="微软雅黑" w:hAnsi="仿宋" w:eastAsia="微软雅黑" w:cs="宋体"/>
          <w:b/>
          <w:color w:val="auto"/>
          <w:sz w:val="36"/>
          <w:szCs w:val="36"/>
          <w:highlight w:val="none"/>
        </w:rPr>
        <w:t>：</w:t>
      </w:r>
    </w:p>
    <w:p w14:paraId="6B5C4634">
      <w:pPr>
        <w:shd w:val="solid" w:color="FFFFFF" w:fill="auto"/>
        <w:autoSpaceDN w:val="0"/>
        <w:spacing w:line="580" w:lineRule="exact"/>
        <w:jc w:val="center"/>
        <w:rPr>
          <w:rFonts w:hint="eastAsia" w:ascii="微软雅黑" w:eastAsia="微软雅黑"/>
          <w:color w:val="auto"/>
          <w:spacing w:val="-6"/>
          <w:sz w:val="44"/>
          <w:szCs w:val="40"/>
          <w:highlight w:val="none"/>
          <w:lang w:val="zh-CN"/>
        </w:rPr>
      </w:pPr>
      <w:r>
        <w:rPr>
          <w:rFonts w:hint="eastAsia" w:ascii="微软雅黑" w:eastAsia="微软雅黑"/>
          <w:color w:val="auto"/>
          <w:spacing w:val="-6"/>
          <w:sz w:val="44"/>
          <w:szCs w:val="40"/>
          <w:highlight w:val="none"/>
          <w:lang w:val="zh-CN"/>
        </w:rPr>
        <w:t>新化县资江风光带绿化养护服务项目</w:t>
      </w:r>
    </w:p>
    <w:p w14:paraId="6EA8CCA1">
      <w:pPr>
        <w:shd w:val="solid" w:color="FFFFFF" w:fill="auto"/>
        <w:autoSpaceDN w:val="0"/>
        <w:spacing w:line="580" w:lineRule="exact"/>
        <w:jc w:val="center"/>
        <w:rPr>
          <w:rFonts w:ascii="微软雅黑" w:eastAsia="微软雅黑"/>
          <w:color w:val="auto"/>
          <w:spacing w:val="-6"/>
          <w:sz w:val="44"/>
          <w:szCs w:val="40"/>
          <w:highlight w:val="none"/>
          <w:lang w:val="zh-CN"/>
        </w:rPr>
      </w:pPr>
      <w:r>
        <w:rPr>
          <w:rFonts w:hint="eastAsia" w:ascii="微软雅黑" w:eastAsia="微软雅黑"/>
          <w:color w:val="auto"/>
          <w:spacing w:val="-6"/>
          <w:sz w:val="44"/>
          <w:szCs w:val="40"/>
          <w:highlight w:val="none"/>
          <w:lang w:val="zh-CN"/>
        </w:rPr>
        <w:t>质量标准</w:t>
      </w:r>
    </w:p>
    <w:p w14:paraId="60E4F9C4">
      <w:pPr>
        <w:shd w:val="solid" w:color="FFFFFF" w:fill="auto"/>
        <w:autoSpaceDN w:val="0"/>
        <w:spacing w:line="580" w:lineRule="exact"/>
        <w:ind w:firstLine="619" w:firstLineChars="200"/>
        <w:jc w:val="left"/>
        <w:rPr>
          <w:rFonts w:ascii="仿宋" w:hAnsi="仿宋" w:eastAsia="仿宋"/>
          <w:b/>
          <w:color w:val="auto"/>
          <w:spacing w:val="-6"/>
          <w:sz w:val="32"/>
          <w:szCs w:val="32"/>
          <w:highlight w:val="none"/>
        </w:rPr>
      </w:pPr>
      <w:r>
        <w:rPr>
          <w:rFonts w:hint="eastAsia" w:ascii="仿宋" w:hAnsi="仿宋" w:eastAsia="仿宋"/>
          <w:b/>
          <w:color w:val="auto"/>
          <w:spacing w:val="-6"/>
          <w:sz w:val="32"/>
          <w:szCs w:val="32"/>
          <w:highlight w:val="none"/>
        </w:rPr>
        <w:t>一、风光带内绿化养护标准</w:t>
      </w:r>
    </w:p>
    <w:p w14:paraId="41B02327">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1</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根据植物生态习性，修剪基本合理，剪口基本平滑，树形基本整齐，长势较好、无严重枯枝、焦叶。长势茂盛，树冠丰满完整，具有一定的遮荫及观赏效果。</w:t>
      </w:r>
    </w:p>
    <w:p w14:paraId="66BDE304">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2</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绿篱生长较好，修剪基本整齐、合理，基本无死株、无严重缺档。</w:t>
      </w:r>
    </w:p>
    <w:p w14:paraId="50B67AC2">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3</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草坪生长较好，基本平整，高度控制在</w:t>
      </w:r>
      <w:r>
        <w:rPr>
          <w:rFonts w:ascii="仿宋" w:hAnsi="仿宋" w:eastAsia="仿宋"/>
          <w:color w:val="auto"/>
          <w:spacing w:val="-6"/>
          <w:sz w:val="32"/>
          <w:szCs w:val="32"/>
          <w:highlight w:val="none"/>
        </w:rPr>
        <w:t>6</w:t>
      </w:r>
      <w:r>
        <w:rPr>
          <w:rFonts w:hint="eastAsia" w:ascii="仿宋" w:hAnsi="仿宋" w:eastAsia="仿宋"/>
          <w:color w:val="auto"/>
          <w:spacing w:val="-6"/>
          <w:sz w:val="32"/>
          <w:szCs w:val="32"/>
          <w:highlight w:val="none"/>
          <w:lang w:val="zh-CN"/>
        </w:rPr>
        <w:t>厘米以下，无基本杂草，无严重裸露地面，无较大成片枯黄。枯黄面不得超过总面积的</w:t>
      </w:r>
      <w:r>
        <w:rPr>
          <w:rFonts w:ascii="仿宋" w:hAnsi="仿宋" w:eastAsia="仿宋"/>
          <w:color w:val="auto"/>
          <w:spacing w:val="-6"/>
          <w:sz w:val="32"/>
          <w:szCs w:val="32"/>
          <w:highlight w:val="none"/>
          <w:lang w:val="zh-CN"/>
        </w:rPr>
        <w:t>5%</w:t>
      </w:r>
      <w:r>
        <w:rPr>
          <w:rFonts w:hint="eastAsia" w:ascii="仿宋" w:hAnsi="仿宋" w:eastAsia="仿宋"/>
          <w:color w:val="auto"/>
          <w:spacing w:val="-6"/>
          <w:sz w:val="32"/>
          <w:szCs w:val="32"/>
          <w:highlight w:val="none"/>
          <w:lang w:val="zh-CN"/>
        </w:rPr>
        <w:t>。</w:t>
      </w:r>
    </w:p>
    <w:p w14:paraId="186CE191">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4</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花坛（台）、草坪等绿地内保持无杂草杂树生长，基本无杂藤攀援树木，无明显污物、垃圾等。</w:t>
      </w:r>
    </w:p>
    <w:p w14:paraId="18CA435F">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5</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树木花草无严重病虫危害症状，病虫害危害率控制在</w:t>
      </w:r>
      <w:r>
        <w:rPr>
          <w:rFonts w:ascii="仿宋" w:hAnsi="仿宋" w:eastAsia="仿宋"/>
          <w:color w:val="auto"/>
          <w:spacing w:val="-6"/>
          <w:sz w:val="32"/>
          <w:szCs w:val="32"/>
          <w:highlight w:val="none"/>
          <w:lang w:val="zh-CN"/>
        </w:rPr>
        <w:t>15%</w:t>
      </w:r>
      <w:r>
        <w:rPr>
          <w:rFonts w:hint="eastAsia" w:ascii="仿宋" w:hAnsi="仿宋" w:eastAsia="仿宋"/>
          <w:color w:val="auto"/>
          <w:spacing w:val="-6"/>
          <w:sz w:val="32"/>
          <w:szCs w:val="32"/>
          <w:highlight w:val="none"/>
          <w:lang w:val="zh-CN"/>
        </w:rPr>
        <w:t>以下，基本无药害。</w:t>
      </w:r>
    </w:p>
    <w:p w14:paraId="68E6CF82">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6</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无严重人为损害花草树木。</w:t>
      </w:r>
    </w:p>
    <w:p w14:paraId="58F7EBFC">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7</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基本无死树，无枯枝落叶，及时清理自然落叶和作业时产生的枯草、残枝、残叶等。</w:t>
      </w:r>
    </w:p>
    <w:p w14:paraId="58447156">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8</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古树名木挂牌、建档管理，有保护复壮措施。</w:t>
      </w:r>
    </w:p>
    <w:p w14:paraId="47337278">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9</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花坛图案、造型新颖，花大叶肥，有一定观赏效果，保持一季有花。</w:t>
      </w:r>
    </w:p>
    <w:p w14:paraId="2DB30C22">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rPr>
        <w:t>（</w:t>
      </w:r>
      <w:r>
        <w:rPr>
          <w:rFonts w:ascii="仿宋" w:hAnsi="仿宋" w:eastAsia="仿宋"/>
          <w:color w:val="auto"/>
          <w:spacing w:val="-6"/>
          <w:sz w:val="32"/>
          <w:szCs w:val="32"/>
          <w:highlight w:val="none"/>
        </w:rPr>
        <w:t>10</w:t>
      </w:r>
      <w:r>
        <w:rPr>
          <w:rFonts w:hint="eastAsia" w:ascii="仿宋" w:hAnsi="仿宋" w:eastAsia="仿宋"/>
          <w:color w:val="auto"/>
          <w:spacing w:val="-6"/>
          <w:sz w:val="32"/>
          <w:szCs w:val="32"/>
          <w:highlight w:val="none"/>
        </w:rPr>
        <w:t>）</w:t>
      </w:r>
      <w:r>
        <w:rPr>
          <w:rFonts w:hint="eastAsia" w:ascii="仿宋" w:hAnsi="仿宋" w:eastAsia="仿宋"/>
          <w:color w:val="auto"/>
          <w:spacing w:val="-6"/>
          <w:sz w:val="32"/>
          <w:szCs w:val="32"/>
          <w:highlight w:val="none"/>
          <w:lang w:val="zh-CN"/>
        </w:rPr>
        <w:t>当年植树成活率达</w:t>
      </w:r>
      <w:r>
        <w:rPr>
          <w:rFonts w:ascii="仿宋" w:hAnsi="仿宋" w:eastAsia="仿宋"/>
          <w:color w:val="auto"/>
          <w:spacing w:val="-6"/>
          <w:sz w:val="32"/>
          <w:szCs w:val="32"/>
          <w:highlight w:val="none"/>
          <w:lang w:val="zh-CN"/>
        </w:rPr>
        <w:t>85%</w:t>
      </w:r>
      <w:r>
        <w:rPr>
          <w:rFonts w:hint="eastAsia" w:ascii="仿宋" w:hAnsi="仿宋" w:eastAsia="仿宋"/>
          <w:color w:val="auto"/>
          <w:spacing w:val="-6"/>
          <w:sz w:val="32"/>
          <w:szCs w:val="32"/>
          <w:highlight w:val="none"/>
          <w:lang w:val="zh-CN"/>
        </w:rPr>
        <w:t>以上，保存率达</w:t>
      </w:r>
      <w:r>
        <w:rPr>
          <w:rFonts w:ascii="仿宋" w:hAnsi="仿宋" w:eastAsia="仿宋"/>
          <w:color w:val="auto"/>
          <w:spacing w:val="-6"/>
          <w:sz w:val="32"/>
          <w:szCs w:val="32"/>
          <w:highlight w:val="none"/>
          <w:lang w:val="zh-CN"/>
        </w:rPr>
        <w:t>80%</w:t>
      </w:r>
      <w:r>
        <w:rPr>
          <w:rFonts w:hint="eastAsia" w:ascii="仿宋" w:hAnsi="仿宋" w:eastAsia="仿宋"/>
          <w:color w:val="auto"/>
          <w:spacing w:val="-6"/>
          <w:sz w:val="32"/>
          <w:szCs w:val="32"/>
          <w:highlight w:val="none"/>
          <w:lang w:val="zh-CN"/>
        </w:rPr>
        <w:t>以上，老树保存率达</w:t>
      </w:r>
      <w:r>
        <w:rPr>
          <w:rFonts w:ascii="仿宋" w:hAnsi="仿宋" w:eastAsia="仿宋"/>
          <w:color w:val="auto"/>
          <w:spacing w:val="-6"/>
          <w:sz w:val="32"/>
          <w:szCs w:val="32"/>
          <w:highlight w:val="none"/>
          <w:lang w:val="zh-CN"/>
        </w:rPr>
        <w:t>98%</w:t>
      </w:r>
      <w:r>
        <w:rPr>
          <w:rFonts w:hint="eastAsia" w:ascii="仿宋" w:hAnsi="仿宋" w:eastAsia="仿宋"/>
          <w:color w:val="auto"/>
          <w:spacing w:val="-6"/>
          <w:sz w:val="32"/>
          <w:szCs w:val="32"/>
          <w:highlight w:val="none"/>
          <w:lang w:val="zh-CN"/>
        </w:rPr>
        <w:t>以上。</w:t>
      </w:r>
    </w:p>
    <w:p w14:paraId="58897C0C">
      <w:pPr>
        <w:shd w:val="solid" w:color="FFFFFF" w:fill="auto"/>
        <w:autoSpaceDN w:val="0"/>
        <w:spacing w:line="580" w:lineRule="exact"/>
        <w:ind w:firstLine="619" w:firstLineChars="200"/>
        <w:jc w:val="left"/>
        <w:rPr>
          <w:rFonts w:ascii="仿宋" w:hAnsi="仿宋" w:eastAsia="仿宋"/>
          <w:b/>
          <w:color w:val="auto"/>
          <w:spacing w:val="-6"/>
          <w:sz w:val="32"/>
          <w:szCs w:val="32"/>
          <w:highlight w:val="none"/>
          <w:lang w:val="zh-CN"/>
        </w:rPr>
      </w:pPr>
      <w:r>
        <w:rPr>
          <w:rFonts w:hint="eastAsia" w:ascii="仿宋" w:hAnsi="仿宋" w:eastAsia="仿宋"/>
          <w:b/>
          <w:color w:val="auto"/>
          <w:spacing w:val="-6"/>
          <w:sz w:val="32"/>
          <w:szCs w:val="32"/>
          <w:highlight w:val="none"/>
          <w:lang w:val="zh-CN"/>
        </w:rPr>
        <w:t>二、绿化养护生产要求及标准</w:t>
      </w:r>
    </w:p>
    <w:p w14:paraId="16A87420">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ascii="仿宋" w:hAnsi="仿宋" w:eastAsia="仿宋"/>
          <w:color w:val="auto"/>
          <w:spacing w:val="-6"/>
          <w:sz w:val="32"/>
          <w:szCs w:val="32"/>
          <w:highlight w:val="none"/>
          <w:lang w:val="zh-CN"/>
        </w:rPr>
        <w:t xml:space="preserve">1. </w:t>
      </w:r>
      <w:r>
        <w:rPr>
          <w:rFonts w:hint="eastAsia" w:ascii="仿宋" w:hAnsi="仿宋" w:eastAsia="仿宋"/>
          <w:color w:val="auto"/>
          <w:spacing w:val="-6"/>
          <w:sz w:val="32"/>
          <w:szCs w:val="32"/>
          <w:highlight w:val="none"/>
          <w:lang w:val="zh-CN"/>
        </w:rPr>
        <w:t>各种苗木、花卉的繁殖成活率在</w:t>
      </w:r>
      <w:r>
        <w:rPr>
          <w:rFonts w:ascii="仿宋" w:hAnsi="仿宋" w:eastAsia="仿宋"/>
          <w:color w:val="auto"/>
          <w:spacing w:val="-6"/>
          <w:sz w:val="32"/>
          <w:szCs w:val="32"/>
          <w:highlight w:val="none"/>
          <w:lang w:val="zh-CN"/>
        </w:rPr>
        <w:t>90</w:t>
      </w:r>
      <w:r>
        <w:rPr>
          <w:rFonts w:hint="eastAsia" w:ascii="仿宋" w:hAnsi="仿宋" w:eastAsia="仿宋"/>
          <w:color w:val="auto"/>
          <w:spacing w:val="-6"/>
          <w:sz w:val="32"/>
          <w:szCs w:val="32"/>
          <w:highlight w:val="none"/>
          <w:lang w:val="zh-CN"/>
        </w:rPr>
        <w:t>％以上，移栽成活率在</w:t>
      </w:r>
      <w:r>
        <w:rPr>
          <w:rFonts w:ascii="仿宋" w:hAnsi="仿宋" w:eastAsia="仿宋"/>
          <w:color w:val="auto"/>
          <w:spacing w:val="-6"/>
          <w:sz w:val="32"/>
          <w:szCs w:val="32"/>
          <w:highlight w:val="none"/>
          <w:lang w:val="zh-CN"/>
        </w:rPr>
        <w:t>95</w:t>
      </w:r>
      <w:r>
        <w:rPr>
          <w:rFonts w:hint="eastAsia" w:ascii="仿宋" w:hAnsi="仿宋" w:eastAsia="仿宋"/>
          <w:color w:val="auto"/>
          <w:spacing w:val="-6"/>
          <w:sz w:val="32"/>
          <w:szCs w:val="32"/>
          <w:highlight w:val="none"/>
          <w:lang w:val="zh-CN"/>
        </w:rPr>
        <w:t>％以上。</w:t>
      </w:r>
    </w:p>
    <w:p w14:paraId="3C9B8537">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lang w:val="zh-CN"/>
        </w:rPr>
        <w:t>2</w:t>
      </w:r>
      <w:r>
        <w:rPr>
          <w:rFonts w:ascii="仿宋" w:hAnsi="仿宋" w:eastAsia="仿宋"/>
          <w:color w:val="auto"/>
          <w:spacing w:val="-6"/>
          <w:sz w:val="32"/>
          <w:szCs w:val="32"/>
          <w:highlight w:val="none"/>
          <w:lang w:val="zh-CN"/>
        </w:rPr>
        <w:t>.</w:t>
      </w:r>
      <w:r>
        <w:rPr>
          <w:rFonts w:hint="eastAsia" w:ascii="仿宋" w:hAnsi="仿宋" w:eastAsia="仿宋"/>
          <w:color w:val="auto"/>
          <w:spacing w:val="-6"/>
          <w:sz w:val="32"/>
          <w:szCs w:val="32"/>
          <w:highlight w:val="none"/>
          <w:lang w:val="zh-CN"/>
        </w:rPr>
        <w:t>揭盖草，除杂草、间苗、施肥、打药等一系列管养工作规范、及时，做到圃地无杂草。</w:t>
      </w:r>
    </w:p>
    <w:p w14:paraId="095306E7">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lang w:val="zh-CN"/>
        </w:rPr>
        <w:t>3</w:t>
      </w:r>
      <w:r>
        <w:rPr>
          <w:rFonts w:ascii="仿宋" w:hAnsi="仿宋" w:eastAsia="仿宋"/>
          <w:color w:val="auto"/>
          <w:spacing w:val="-6"/>
          <w:sz w:val="32"/>
          <w:szCs w:val="32"/>
          <w:highlight w:val="none"/>
          <w:lang w:val="zh-CN"/>
        </w:rPr>
        <w:t>.</w:t>
      </w:r>
      <w:r>
        <w:rPr>
          <w:rFonts w:hint="eastAsia" w:ascii="仿宋" w:hAnsi="仿宋" w:eastAsia="仿宋"/>
          <w:color w:val="auto"/>
          <w:spacing w:val="-6"/>
          <w:sz w:val="32"/>
          <w:szCs w:val="32"/>
          <w:highlight w:val="none"/>
          <w:lang w:val="zh-CN"/>
        </w:rPr>
        <w:t>施肥，灌溉做到不跑肥、不漏水、不冲苗、不烧坏苗木根叶。病虫害防治采取</w:t>
      </w:r>
      <w:r>
        <w:rPr>
          <w:rFonts w:ascii="仿宋" w:hAnsi="仿宋" w:eastAsia="仿宋"/>
          <w:color w:val="auto"/>
          <w:spacing w:val="-6"/>
          <w:sz w:val="32"/>
          <w:szCs w:val="32"/>
          <w:highlight w:val="none"/>
          <w:lang w:val="zh-CN"/>
        </w:rPr>
        <w:t>“</w:t>
      </w:r>
      <w:r>
        <w:rPr>
          <w:rFonts w:hint="eastAsia" w:ascii="仿宋" w:hAnsi="仿宋" w:eastAsia="仿宋"/>
          <w:color w:val="auto"/>
          <w:spacing w:val="-6"/>
          <w:sz w:val="32"/>
          <w:szCs w:val="32"/>
          <w:highlight w:val="none"/>
          <w:lang w:val="zh-CN"/>
        </w:rPr>
        <w:t>预防为主，综合防治</w:t>
      </w:r>
      <w:r>
        <w:rPr>
          <w:rFonts w:ascii="仿宋" w:hAnsi="仿宋" w:eastAsia="仿宋"/>
          <w:color w:val="auto"/>
          <w:spacing w:val="-6"/>
          <w:sz w:val="32"/>
          <w:szCs w:val="32"/>
          <w:highlight w:val="none"/>
          <w:lang w:val="zh-CN"/>
        </w:rPr>
        <w:t>”</w:t>
      </w:r>
      <w:r>
        <w:rPr>
          <w:rFonts w:hint="eastAsia" w:ascii="仿宋" w:hAnsi="仿宋" w:eastAsia="仿宋"/>
          <w:color w:val="auto"/>
          <w:spacing w:val="-6"/>
          <w:sz w:val="32"/>
          <w:szCs w:val="32"/>
          <w:highlight w:val="none"/>
          <w:lang w:val="zh-CN"/>
        </w:rPr>
        <w:t>方针，用生物、化学和物理等方法进行防治，并注意保护天敌。</w:t>
      </w:r>
    </w:p>
    <w:p w14:paraId="23C97125">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lang w:val="zh-CN"/>
        </w:rPr>
        <w:t>4</w:t>
      </w:r>
      <w:r>
        <w:rPr>
          <w:rFonts w:ascii="仿宋" w:hAnsi="仿宋" w:eastAsia="仿宋"/>
          <w:color w:val="auto"/>
          <w:spacing w:val="-6"/>
          <w:sz w:val="32"/>
          <w:szCs w:val="32"/>
          <w:highlight w:val="none"/>
          <w:lang w:val="zh-CN"/>
        </w:rPr>
        <w:t>.</w:t>
      </w:r>
      <w:r>
        <w:rPr>
          <w:rFonts w:hint="eastAsia" w:ascii="仿宋" w:hAnsi="仿宋" w:eastAsia="仿宋"/>
          <w:color w:val="auto"/>
          <w:spacing w:val="-6"/>
          <w:sz w:val="32"/>
          <w:szCs w:val="32"/>
          <w:highlight w:val="none"/>
          <w:lang w:val="zh-CN"/>
        </w:rPr>
        <w:t>按不同品种苗木及时进行修剪整形，一般以自然树形为主，因树造型，轻量勤修，剪除枯枝、病虫枝、徒长枝、交叉枝，内堂通透、分枝均匀，冠幅丰满，干冠比例适宜。</w:t>
      </w:r>
    </w:p>
    <w:p w14:paraId="315EAEEB">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lang w:val="zh-CN"/>
        </w:rPr>
        <w:t>5</w:t>
      </w:r>
      <w:r>
        <w:rPr>
          <w:rFonts w:ascii="仿宋" w:hAnsi="仿宋" w:eastAsia="仿宋"/>
          <w:color w:val="auto"/>
          <w:spacing w:val="-6"/>
          <w:sz w:val="32"/>
          <w:szCs w:val="32"/>
          <w:highlight w:val="none"/>
          <w:lang w:val="zh-CN"/>
        </w:rPr>
        <w:t>.</w:t>
      </w:r>
      <w:r>
        <w:rPr>
          <w:rFonts w:hint="eastAsia" w:ascii="仿宋" w:hAnsi="仿宋" w:eastAsia="仿宋"/>
          <w:color w:val="auto"/>
          <w:spacing w:val="-6"/>
          <w:sz w:val="32"/>
          <w:szCs w:val="32"/>
          <w:highlight w:val="none"/>
          <w:lang w:val="zh-CN"/>
        </w:rPr>
        <w:t>及时中耕，松土除草，做到圃地不板结。</w:t>
      </w:r>
    </w:p>
    <w:p w14:paraId="0C5A15E8">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lang w:val="zh-CN"/>
        </w:rPr>
        <w:t>6</w:t>
      </w:r>
      <w:r>
        <w:rPr>
          <w:rFonts w:ascii="仿宋" w:hAnsi="仿宋" w:eastAsia="仿宋"/>
          <w:color w:val="auto"/>
          <w:spacing w:val="-6"/>
          <w:sz w:val="32"/>
          <w:szCs w:val="32"/>
          <w:highlight w:val="none"/>
          <w:lang w:val="zh-CN"/>
        </w:rPr>
        <w:t>.</w:t>
      </w:r>
      <w:r>
        <w:rPr>
          <w:rFonts w:hint="eastAsia" w:ascii="仿宋" w:hAnsi="仿宋" w:eastAsia="仿宋"/>
          <w:color w:val="auto"/>
          <w:spacing w:val="-6"/>
          <w:sz w:val="32"/>
          <w:szCs w:val="32"/>
          <w:highlight w:val="none"/>
          <w:lang w:val="zh-CN"/>
        </w:rPr>
        <w:t>草坪及时除杂草，纯度达到</w:t>
      </w:r>
      <w:r>
        <w:rPr>
          <w:rFonts w:ascii="仿宋" w:hAnsi="仿宋" w:eastAsia="仿宋"/>
          <w:color w:val="auto"/>
          <w:spacing w:val="-6"/>
          <w:sz w:val="32"/>
          <w:szCs w:val="32"/>
          <w:highlight w:val="none"/>
          <w:lang w:val="zh-CN"/>
        </w:rPr>
        <w:t>95</w:t>
      </w:r>
      <w:r>
        <w:rPr>
          <w:rFonts w:hint="eastAsia" w:ascii="仿宋" w:hAnsi="仿宋" w:eastAsia="仿宋"/>
          <w:color w:val="auto"/>
          <w:spacing w:val="-6"/>
          <w:sz w:val="32"/>
          <w:szCs w:val="32"/>
          <w:highlight w:val="none"/>
          <w:lang w:val="zh-CN"/>
        </w:rPr>
        <w:t>％以上，及时修剪控制高度，对低凹不平处，及时补盖黄土，保持草坪平整度。</w:t>
      </w:r>
    </w:p>
    <w:p w14:paraId="742DA705">
      <w:pPr>
        <w:shd w:val="solid" w:color="FFFFFF" w:fill="auto"/>
        <w:autoSpaceDN w:val="0"/>
        <w:spacing w:line="580" w:lineRule="exact"/>
        <w:ind w:firstLine="616" w:firstLineChars="200"/>
        <w:jc w:val="left"/>
        <w:rPr>
          <w:rFonts w:ascii="仿宋" w:hAnsi="仿宋" w:eastAsia="仿宋"/>
          <w:color w:val="auto"/>
          <w:spacing w:val="-6"/>
          <w:sz w:val="32"/>
          <w:szCs w:val="32"/>
          <w:highlight w:val="none"/>
          <w:lang w:val="zh-CN"/>
        </w:rPr>
      </w:pPr>
      <w:r>
        <w:rPr>
          <w:rFonts w:hint="eastAsia" w:ascii="仿宋" w:hAnsi="仿宋" w:eastAsia="仿宋"/>
          <w:color w:val="auto"/>
          <w:spacing w:val="-6"/>
          <w:sz w:val="32"/>
          <w:szCs w:val="32"/>
          <w:highlight w:val="none"/>
          <w:lang w:val="zh-CN"/>
        </w:rPr>
        <w:t>7.加强预防旱、涝、风、雪、严寒、酷热等自然灾害和人、畜的损伤，提高苗木保存率。</w:t>
      </w:r>
    </w:p>
    <w:p w14:paraId="04BF413A">
      <w:pPr>
        <w:bidi w:val="0"/>
        <w:jc w:val="center"/>
        <w:rPr>
          <w:rFonts w:ascii="宋体" w:hAnsi="宋体"/>
          <w:color w:val="auto"/>
          <w:sz w:val="28"/>
          <w:szCs w:val="28"/>
          <w:highlight w:val="none"/>
        </w:rPr>
      </w:pPr>
      <w:r>
        <w:rPr>
          <w:rFonts w:hint="eastAsia" w:ascii="宋体" w:hAnsi="宋体" w:eastAsia="宋体" w:cs="Times New Roman"/>
          <w:b w:val="0"/>
          <w:bCs w:val="0"/>
          <w:color w:val="auto"/>
          <w:kern w:val="2"/>
          <w:sz w:val="21"/>
          <w:szCs w:val="21"/>
          <w:highlight w:val="none"/>
          <w:lang w:val="en-US" w:eastAsia="zh-CN" w:bidi="ar-SA"/>
        </w:rPr>
        <w:br w:type="page"/>
      </w:r>
      <w:bookmarkStart w:id="1300" w:name="_Toc19869"/>
      <w:bookmarkStart w:id="1301" w:name="_Toc29742"/>
      <w:bookmarkStart w:id="1302" w:name="_Toc23494"/>
      <w:bookmarkStart w:id="1303" w:name="_Toc15525"/>
      <w:bookmarkStart w:id="1304" w:name="_Toc26836"/>
      <w:bookmarkStart w:id="1305" w:name="_Toc79093707"/>
      <w:bookmarkStart w:id="1306" w:name="_Toc1200"/>
      <w:bookmarkStart w:id="1307" w:name="_Toc1448"/>
      <w:bookmarkStart w:id="1308" w:name="_Toc171282437"/>
      <w:bookmarkStart w:id="1309" w:name="_Toc111543590"/>
      <w:bookmarkStart w:id="1310" w:name="_Toc7688"/>
      <w:bookmarkStart w:id="1311" w:name="_Toc166778368"/>
      <w:bookmarkStart w:id="1312" w:name="_Toc27146"/>
      <w:bookmarkStart w:id="1313" w:name="_Toc140957903"/>
      <w:bookmarkStart w:id="1314" w:name="_Toc27719"/>
      <w:bookmarkStart w:id="1315" w:name="_Toc109656612"/>
      <w:bookmarkStart w:id="1316" w:name="_Toc108483430"/>
      <w:bookmarkStart w:id="1317" w:name="_Toc189905394"/>
      <w:bookmarkStart w:id="1318" w:name="_Toc10934"/>
      <w:bookmarkStart w:id="1319" w:name="_Toc25280"/>
      <w:bookmarkStart w:id="1320" w:name="_Toc16074"/>
      <w:bookmarkStart w:id="1321" w:name="_Toc103979613"/>
      <w:bookmarkStart w:id="1322" w:name="_Toc19860"/>
      <w:bookmarkStart w:id="1323" w:name="_Toc118209460"/>
      <w:bookmarkStart w:id="1324" w:name="_Toc137408751"/>
      <w:bookmarkStart w:id="1325" w:name="_Toc99299760"/>
      <w:bookmarkStart w:id="1326" w:name="_Toc113350969"/>
      <w:bookmarkStart w:id="1327" w:name="_Toc13282"/>
      <w:bookmarkStart w:id="1328" w:name="_Toc193053740"/>
      <w:r>
        <w:rPr>
          <w:rFonts w:hint="eastAsia" w:ascii="宋体" w:hAnsi="宋体"/>
          <w:color w:val="auto"/>
          <w:sz w:val="28"/>
          <w:szCs w:val="28"/>
          <w:highlight w:val="none"/>
        </w:rPr>
        <w:t xml:space="preserve">第二节 </w:t>
      </w:r>
      <w:bookmarkEnd w:id="1300"/>
      <w:bookmarkEnd w:id="1301"/>
      <w:bookmarkEnd w:id="1302"/>
      <w:bookmarkStart w:id="1329" w:name="_Toc23599"/>
      <w:bookmarkStart w:id="1330" w:name="_Toc31796"/>
      <w:r>
        <w:rPr>
          <w:rFonts w:hint="eastAsia" w:ascii="宋体" w:hAnsi="宋体"/>
          <w:color w:val="auto"/>
          <w:sz w:val="28"/>
          <w:szCs w:val="28"/>
          <w:highlight w:val="none"/>
        </w:rPr>
        <w:t xml:space="preserve"> </w:t>
      </w:r>
      <w:bookmarkEnd w:id="1303"/>
      <w:bookmarkEnd w:id="1304"/>
      <w:bookmarkEnd w:id="1305"/>
      <w:bookmarkEnd w:id="1329"/>
      <w:bookmarkEnd w:id="1330"/>
      <w:r>
        <w:rPr>
          <w:rFonts w:hint="eastAsia" w:ascii="宋体" w:hAnsi="宋体"/>
          <w:color w:val="auto"/>
          <w:sz w:val="28"/>
          <w:szCs w:val="28"/>
          <w:highlight w:val="none"/>
        </w:rPr>
        <w:t>政府采购合同专用条款</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14:paraId="7121BBA8">
      <w:pPr>
        <w:adjustRightInd w:val="0"/>
        <w:snapToGrid w:val="0"/>
        <w:jc w:val="center"/>
        <w:rPr>
          <w:rFonts w:ascii="宋体" w:hAnsi="宋体"/>
          <w:color w:val="auto"/>
          <w:sz w:val="24"/>
          <w:highlight w:val="none"/>
        </w:rPr>
      </w:pPr>
    </w:p>
    <w:p w14:paraId="2886EA62">
      <w:pPr>
        <w:spacing w:before="240" w:after="240" w:line="360" w:lineRule="auto"/>
        <w:ind w:firstLine="420" w:firstLineChars="200"/>
        <w:jc w:val="left"/>
        <w:rPr>
          <w:rFonts w:ascii="宋体" w:hAnsi="宋体" w:cs="宋体"/>
          <w:b/>
          <w:color w:val="auto"/>
          <w:szCs w:val="21"/>
          <w:highlight w:val="none"/>
        </w:rPr>
      </w:pPr>
      <w:bookmarkStart w:id="1331" w:name="_Toc14193"/>
      <w:bookmarkStart w:id="1332" w:name="_Toc118209461"/>
      <w:bookmarkStart w:id="1333" w:name="_Toc137408752"/>
      <w:bookmarkStart w:id="1334" w:name="_Toc109656613"/>
      <w:bookmarkStart w:id="1335" w:name="_Toc108483431"/>
      <w:bookmarkStart w:id="1336" w:name="_Toc10732"/>
      <w:bookmarkStart w:id="1337" w:name="_Toc113350970"/>
      <w:bookmarkStart w:id="1338" w:name="_Toc140957904"/>
      <w:bookmarkStart w:id="1339" w:name="_Toc99299761"/>
      <w:bookmarkStart w:id="1340" w:name="_Toc2645"/>
      <w:bookmarkStart w:id="1341" w:name="_Toc31319"/>
      <w:bookmarkStart w:id="1342" w:name="_Toc21824"/>
      <w:bookmarkStart w:id="1343" w:name="_Toc111543591"/>
      <w:bookmarkStart w:id="1344" w:name="_Toc103979614"/>
      <w:r>
        <w:rPr>
          <w:rStyle w:val="98"/>
          <w:rFonts w:hAnsi="宋体"/>
          <w:color w:val="auto"/>
          <w:highlight w:val="none"/>
        </w:rPr>
        <w:t>服务类政府采购合同格式文本省级以上政府部门或行业组织有示范文本的，应按照其示范文本确定合同格式。没有示范文本的，按照《</w:t>
      </w:r>
      <w:r>
        <w:rPr>
          <w:rStyle w:val="98"/>
          <w:rFonts w:hint="eastAsia" w:hAnsi="宋体"/>
          <w:color w:val="auto"/>
          <w:highlight w:val="none"/>
        </w:rPr>
        <w:t>中华人民共和国民法典</w:t>
      </w:r>
      <w:r>
        <w:rPr>
          <w:rStyle w:val="98"/>
          <w:rFonts w:hAnsi="宋体"/>
          <w:color w:val="auto"/>
          <w:highlight w:val="none"/>
        </w:rPr>
        <w:t>》及采购项目特点自行拟定特定文本确定合同格式。服务外包，可自拟示范文本。示范文本可在中国湖南政府采购网(www.ccgp-hunan.gov.cn) 相关栏目中下载。</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0D6E31AA">
      <w:pPr>
        <w:pStyle w:val="25"/>
        <w:adjustRightInd w:val="0"/>
        <w:snapToGrid w:val="0"/>
        <w:spacing w:beforeLines="50" w:line="360" w:lineRule="auto"/>
        <w:ind w:firstLine="1044" w:firstLineChars="200"/>
        <w:jc w:val="center"/>
        <w:outlineLvl w:val="0"/>
        <w:rPr>
          <w:rFonts w:hAnsi="宋体"/>
          <w:b/>
          <w:color w:val="auto"/>
          <w:sz w:val="32"/>
          <w:szCs w:val="32"/>
          <w:highlight w:val="none"/>
        </w:rPr>
      </w:pPr>
      <w:r>
        <w:rPr>
          <w:rFonts w:hAnsi="宋体"/>
          <w:b/>
          <w:bCs/>
          <w:color w:val="auto"/>
          <w:sz w:val="52"/>
          <w:szCs w:val="30"/>
          <w:highlight w:val="none"/>
        </w:rPr>
        <w:br w:type="page"/>
      </w:r>
      <w:bookmarkStart w:id="1345" w:name="_Toc22956"/>
      <w:bookmarkStart w:id="1346" w:name="_Toc16854"/>
      <w:bookmarkStart w:id="1347" w:name="_Toc3489"/>
      <w:bookmarkStart w:id="1348" w:name="_Toc79093709"/>
      <w:bookmarkStart w:id="1349" w:name="_Toc118209462"/>
      <w:bookmarkStart w:id="1350" w:name="_Toc5019"/>
      <w:bookmarkStart w:id="1351" w:name="_Toc18713"/>
      <w:bookmarkStart w:id="1352" w:name="_Toc166778369"/>
      <w:bookmarkStart w:id="1353" w:name="_Toc28279"/>
      <w:bookmarkStart w:id="1354" w:name="_Toc0"/>
      <w:bookmarkStart w:id="1355" w:name="_Toc15948"/>
      <w:bookmarkStart w:id="1356" w:name="_Toc32133"/>
      <w:bookmarkStart w:id="1357" w:name="_Toc99299762"/>
      <w:bookmarkStart w:id="1358" w:name="_Toc8670"/>
      <w:bookmarkStart w:id="1359" w:name="_Toc189905395"/>
      <w:bookmarkStart w:id="1360" w:name="_Toc9834"/>
      <w:bookmarkStart w:id="1361" w:name="_Toc8904"/>
      <w:bookmarkStart w:id="1362" w:name="_Toc30195"/>
      <w:bookmarkStart w:id="1363" w:name="_Toc109656614"/>
      <w:bookmarkStart w:id="1364" w:name="_Toc193053741"/>
      <w:bookmarkStart w:id="1365" w:name="_Toc16324"/>
      <w:bookmarkStart w:id="1366" w:name="_Toc113350971"/>
      <w:bookmarkStart w:id="1367" w:name="_Toc111543592"/>
      <w:bookmarkStart w:id="1368" w:name="_Toc103979615"/>
      <w:bookmarkStart w:id="1369" w:name="_Toc137408753"/>
      <w:bookmarkStart w:id="1370" w:name="_Toc4315"/>
      <w:bookmarkStart w:id="1371" w:name="_Toc140957905"/>
      <w:bookmarkStart w:id="1372" w:name="_Toc108483432"/>
      <w:bookmarkStart w:id="1373" w:name="_Toc20940"/>
      <w:bookmarkStart w:id="1374" w:name="_Toc171282438"/>
      <w:r>
        <w:rPr>
          <w:rFonts w:hint="eastAsia" w:hAnsi="宋体"/>
          <w:b/>
          <w:color w:val="auto"/>
          <w:sz w:val="32"/>
          <w:szCs w:val="32"/>
          <w:highlight w:val="none"/>
        </w:rPr>
        <w:t>第七章 投标文件的组成</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14:paraId="6E90CE31">
      <w:pPr>
        <w:adjustRightInd w:val="0"/>
        <w:snapToGrid w:val="0"/>
        <w:spacing w:line="360" w:lineRule="auto"/>
        <w:ind w:left="-88" w:leftChars="-42"/>
        <w:jc w:val="center"/>
        <w:rPr>
          <w:rFonts w:ascii="宋体" w:hAnsi="宋体"/>
          <w:b/>
          <w:bCs/>
          <w:color w:val="auto"/>
          <w:szCs w:val="21"/>
          <w:highlight w:val="none"/>
        </w:rPr>
      </w:pPr>
    </w:p>
    <w:p w14:paraId="22869C31">
      <w:pPr>
        <w:adjustRightInd w:val="0"/>
        <w:snapToGrid w:val="0"/>
        <w:spacing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01A4B12A">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31ACA42E">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二、投标保证金</w:t>
      </w:r>
    </w:p>
    <w:p w14:paraId="408A21D9">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三、授权委托书</w:t>
      </w:r>
    </w:p>
    <w:p w14:paraId="00ACF71C">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5C4AE037">
      <w:pPr>
        <w:adjustRightInd w:val="0"/>
        <w:snapToGrid w:val="0"/>
        <w:spacing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72534C75">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78D250B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00C26D1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261EAB09">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2C32F52C">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589FCF26">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十、享受政府采购政策优惠的证明资料和清单表</w:t>
      </w:r>
    </w:p>
    <w:p w14:paraId="2A0CA8B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4369F106">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十二、投标人认为需提供的其他资料</w:t>
      </w:r>
    </w:p>
    <w:p w14:paraId="15CC411D">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注：投标人可编制资格审查索引表、符合性审查索引表、评审索引表，以便采购人及采购代理机构资格审查和评标委员会评审。</w:t>
      </w:r>
    </w:p>
    <w:p w14:paraId="79AB5E60">
      <w:pPr>
        <w:adjustRightInd w:val="0"/>
        <w:snapToGrid w:val="0"/>
        <w:spacing w:line="360" w:lineRule="auto"/>
        <w:jc w:val="center"/>
        <w:rPr>
          <w:rFonts w:ascii="宋体" w:hAnsi="宋体"/>
          <w:color w:val="auto"/>
          <w:szCs w:val="21"/>
          <w:highlight w:val="none"/>
        </w:rPr>
      </w:pPr>
    </w:p>
    <w:p w14:paraId="2ED452FF">
      <w:pPr>
        <w:adjustRightInd w:val="0"/>
        <w:snapToGrid w:val="0"/>
        <w:spacing w:line="360" w:lineRule="auto"/>
        <w:jc w:val="center"/>
        <w:rPr>
          <w:rFonts w:ascii="宋体" w:hAnsi="宋体"/>
          <w:color w:val="auto"/>
          <w:sz w:val="32"/>
          <w:szCs w:val="32"/>
          <w:highlight w:val="none"/>
        </w:rPr>
      </w:pPr>
      <w:r>
        <w:rPr>
          <w:rFonts w:ascii="宋体" w:hAnsi="宋体"/>
          <w:color w:val="auto"/>
          <w:szCs w:val="21"/>
          <w:highlight w:val="none"/>
        </w:rPr>
        <w:br w:type="page"/>
      </w:r>
    </w:p>
    <w:p w14:paraId="3AD25BCE">
      <w:pPr>
        <w:adjustRightInd w:val="0"/>
        <w:snapToGrid w:val="0"/>
        <w:spacing w:line="360" w:lineRule="auto"/>
        <w:jc w:val="center"/>
        <w:rPr>
          <w:rFonts w:ascii="宋体" w:hAnsi="宋体"/>
          <w:color w:val="auto"/>
          <w:sz w:val="32"/>
          <w:szCs w:val="32"/>
          <w:highlight w:val="none"/>
        </w:rPr>
      </w:pPr>
    </w:p>
    <w:p w14:paraId="16798D5C">
      <w:pPr>
        <w:pStyle w:val="25"/>
        <w:adjustRightInd w:val="0"/>
        <w:snapToGrid w:val="0"/>
        <w:spacing w:line="360" w:lineRule="auto"/>
        <w:jc w:val="center"/>
        <w:rPr>
          <w:rFonts w:hAnsi="宋体"/>
          <w:b/>
          <w:bCs/>
          <w:color w:val="auto"/>
          <w:sz w:val="72"/>
          <w:szCs w:val="72"/>
          <w:highlight w:val="none"/>
        </w:rPr>
      </w:pPr>
      <w:r>
        <w:rPr>
          <w:rFonts w:hint="eastAsia" w:hAnsi="宋体"/>
          <w:b/>
          <w:bCs/>
          <w:color w:val="auto"/>
          <w:sz w:val="72"/>
          <w:szCs w:val="72"/>
          <w:highlight w:val="none"/>
        </w:rPr>
        <w:t>政府采购</w:t>
      </w:r>
    </w:p>
    <w:p w14:paraId="26646AEA">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78575F07">
      <w:pPr>
        <w:pStyle w:val="3"/>
        <w:adjustRightInd w:val="0"/>
        <w:snapToGrid w:val="0"/>
        <w:jc w:val="center"/>
        <w:rPr>
          <w:rFonts w:ascii="宋体" w:hAnsi="宋体"/>
          <w:color w:val="auto"/>
          <w:sz w:val="44"/>
          <w:szCs w:val="44"/>
          <w:highlight w:val="none"/>
        </w:rPr>
      </w:pPr>
      <w:bookmarkStart w:id="1375" w:name="_Toc369"/>
      <w:bookmarkStart w:id="1376" w:name="_Toc31903"/>
      <w:bookmarkStart w:id="1377" w:name="_Toc111543593"/>
      <w:bookmarkStart w:id="1378" w:name="_Toc30253"/>
      <w:bookmarkStart w:id="1379" w:name="_Toc171282439"/>
      <w:bookmarkStart w:id="1380" w:name="_Toc18739"/>
      <w:bookmarkStart w:id="1381" w:name="_Toc99299763"/>
      <w:bookmarkStart w:id="1382" w:name="_Toc13666"/>
      <w:bookmarkStart w:id="1383" w:name="_Toc193053742"/>
      <w:bookmarkStart w:id="1384" w:name="_Toc24612"/>
      <w:bookmarkStart w:id="1385" w:name="_Toc79093710"/>
      <w:bookmarkStart w:id="1386" w:name="_Toc189905396"/>
      <w:bookmarkStart w:id="1387" w:name="_Toc137408754"/>
      <w:bookmarkStart w:id="1388" w:name="_Toc29606"/>
      <w:bookmarkStart w:id="1389" w:name="_Toc118209463"/>
      <w:bookmarkStart w:id="1390" w:name="_Toc103979616"/>
      <w:bookmarkStart w:id="1391" w:name="_Toc24136"/>
      <w:bookmarkStart w:id="1392" w:name="_Toc108483433"/>
      <w:bookmarkStart w:id="1393" w:name="_Toc28145"/>
      <w:bookmarkStart w:id="1394" w:name="_Toc30570"/>
      <w:bookmarkStart w:id="1395" w:name="_Toc11329"/>
      <w:bookmarkStart w:id="1396" w:name="_Toc109656615"/>
      <w:bookmarkStart w:id="1397" w:name="_Toc24441"/>
      <w:bookmarkStart w:id="1398" w:name="_Toc12788"/>
      <w:bookmarkStart w:id="1399" w:name="_Toc344"/>
      <w:bookmarkStart w:id="1400" w:name="_Toc166778370"/>
      <w:bookmarkStart w:id="1401" w:name="_Toc113350972"/>
      <w:bookmarkStart w:id="1402" w:name="_Toc29513"/>
      <w:bookmarkStart w:id="1403" w:name="_Toc27220"/>
      <w:bookmarkStart w:id="1404" w:name="_Toc140957906"/>
      <w:r>
        <w:rPr>
          <w:rFonts w:hint="eastAsia" w:ascii="宋体" w:hAnsi="宋体"/>
          <w:color w:val="auto"/>
          <w:sz w:val="44"/>
          <w:szCs w:val="44"/>
          <w:highlight w:val="none"/>
        </w:rPr>
        <w:t>第一部分 资格证明文件</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14:paraId="36884880">
      <w:pPr>
        <w:adjustRightInd w:val="0"/>
        <w:snapToGrid w:val="0"/>
        <w:spacing w:line="360" w:lineRule="auto"/>
        <w:rPr>
          <w:rFonts w:ascii="宋体" w:hAnsi="宋体"/>
          <w:b/>
          <w:color w:val="auto"/>
          <w:sz w:val="32"/>
          <w:szCs w:val="32"/>
          <w:highlight w:val="none"/>
        </w:rPr>
      </w:pPr>
    </w:p>
    <w:p w14:paraId="66E125D7">
      <w:pPr>
        <w:adjustRightInd w:val="0"/>
        <w:snapToGrid w:val="0"/>
        <w:spacing w:line="360" w:lineRule="auto"/>
        <w:rPr>
          <w:rFonts w:ascii="宋体" w:hAnsi="宋体"/>
          <w:b/>
          <w:color w:val="auto"/>
          <w:sz w:val="30"/>
          <w:szCs w:val="30"/>
          <w:highlight w:val="none"/>
        </w:rPr>
      </w:pPr>
    </w:p>
    <w:p w14:paraId="240884E7">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p>
    <w:p w14:paraId="0DD92015">
      <w:pPr>
        <w:pStyle w:val="25"/>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p>
    <w:p w14:paraId="106B55B5">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p>
    <w:p w14:paraId="03223DEB">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委托代理编号:</w:t>
      </w:r>
    </w:p>
    <w:p w14:paraId="7BC02350">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p>
    <w:p w14:paraId="5EA218A8">
      <w:pPr>
        <w:adjustRightInd w:val="0"/>
        <w:snapToGrid w:val="0"/>
        <w:spacing w:line="360" w:lineRule="auto"/>
        <w:rPr>
          <w:rFonts w:ascii="宋体" w:hAnsi="宋体"/>
          <w:color w:val="auto"/>
          <w:sz w:val="30"/>
          <w:szCs w:val="30"/>
          <w:highlight w:val="none"/>
        </w:rPr>
      </w:pPr>
    </w:p>
    <w:p w14:paraId="788A5A99">
      <w:pPr>
        <w:adjustRightInd w:val="0"/>
        <w:snapToGrid w:val="0"/>
        <w:rPr>
          <w:rFonts w:ascii="宋体" w:hAnsi="宋体"/>
          <w:color w:val="auto"/>
          <w:sz w:val="30"/>
          <w:szCs w:val="30"/>
          <w:highlight w:val="none"/>
        </w:rPr>
      </w:pPr>
    </w:p>
    <w:p w14:paraId="0C605EF6">
      <w:pPr>
        <w:adjustRightInd w:val="0"/>
        <w:snapToGrid w:val="0"/>
        <w:spacing w:line="360" w:lineRule="auto"/>
        <w:rPr>
          <w:rFonts w:ascii="宋体" w:hAnsi="宋体"/>
          <w:color w:val="auto"/>
          <w:sz w:val="30"/>
          <w:szCs w:val="30"/>
          <w:highlight w:val="none"/>
        </w:rPr>
      </w:pPr>
    </w:p>
    <w:p w14:paraId="78B86A40">
      <w:pPr>
        <w:adjustRightInd w:val="0"/>
        <w:snapToGrid w:val="0"/>
        <w:spacing w:line="360" w:lineRule="auto"/>
        <w:rPr>
          <w:rFonts w:ascii="宋体" w:hAnsi="宋体"/>
          <w:color w:val="auto"/>
          <w:sz w:val="30"/>
          <w:szCs w:val="30"/>
          <w:highlight w:val="none"/>
        </w:rPr>
      </w:pPr>
    </w:p>
    <w:p w14:paraId="4EB12499">
      <w:pPr>
        <w:adjustRightInd w:val="0"/>
        <w:snapToGrid w:val="0"/>
        <w:spacing w:line="360" w:lineRule="auto"/>
        <w:ind w:firstLine="3520" w:firstLineChars="1100"/>
        <w:rPr>
          <w:rFonts w:ascii="宋体" w:hAnsi="宋体"/>
          <w:color w:val="auto"/>
          <w:sz w:val="32"/>
          <w:szCs w:val="32"/>
          <w:highlight w:val="none"/>
          <w:u w:val="single"/>
        </w:rPr>
      </w:pPr>
      <w:r>
        <w:rPr>
          <w:rFonts w:hint="eastAsia" w:ascii="宋体" w:hAnsi="宋体"/>
          <w:color w:val="auto"/>
          <w:sz w:val="32"/>
          <w:szCs w:val="32"/>
          <w:highlight w:val="none"/>
        </w:rPr>
        <w:t>投标人</w:t>
      </w:r>
    </w:p>
    <w:p w14:paraId="7B7C8C4C">
      <w:pPr>
        <w:adjustRightInd w:val="0"/>
        <w:snapToGrid w:val="0"/>
        <w:jc w:val="center"/>
        <w:rPr>
          <w:rFonts w:ascii="宋体" w:hAnsi="宋体"/>
          <w:color w:val="auto"/>
          <w:szCs w:val="21"/>
          <w:highlight w:val="none"/>
        </w:rPr>
      </w:pPr>
      <w:r>
        <w:rPr>
          <w:rFonts w:hint="eastAsia" w:ascii="宋体" w:hAnsi="宋体"/>
          <w:color w:val="auto"/>
          <w:sz w:val="32"/>
          <w:szCs w:val="32"/>
          <w:highlight w:val="none"/>
        </w:rPr>
        <w:t>年  月  日</w:t>
      </w:r>
      <w:r>
        <w:rPr>
          <w:rFonts w:ascii="宋体" w:hAnsi="宋体"/>
          <w:color w:val="auto"/>
          <w:sz w:val="28"/>
          <w:szCs w:val="28"/>
          <w:highlight w:val="none"/>
        </w:rPr>
        <w:br w:type="page"/>
      </w:r>
    </w:p>
    <w:p w14:paraId="0ABE7F13">
      <w:pPr>
        <w:pStyle w:val="3"/>
        <w:adjustRightInd w:val="0"/>
        <w:snapToGrid w:val="0"/>
        <w:jc w:val="center"/>
        <w:rPr>
          <w:rFonts w:ascii="宋体" w:hAnsi="宋体"/>
          <w:color w:val="auto"/>
          <w:sz w:val="28"/>
          <w:szCs w:val="28"/>
          <w:highlight w:val="none"/>
        </w:rPr>
      </w:pPr>
      <w:bookmarkStart w:id="1405" w:name="_Toc8450"/>
      <w:bookmarkStart w:id="1406" w:name="_Toc26191"/>
      <w:bookmarkStart w:id="1407" w:name="_Toc10229"/>
      <w:bookmarkStart w:id="1408" w:name="_Toc7838"/>
      <w:bookmarkStart w:id="1409" w:name="_Toc883"/>
      <w:bookmarkStart w:id="1410" w:name="_Toc27674"/>
      <w:bookmarkStart w:id="1411" w:name="_Toc12087"/>
      <w:bookmarkStart w:id="1412" w:name="_Toc20651243"/>
      <w:bookmarkStart w:id="1413" w:name="_Toc14912"/>
      <w:bookmarkStart w:id="1414" w:name="_Toc12283"/>
      <w:bookmarkStart w:id="1415" w:name="_Toc15091"/>
      <w:bookmarkStart w:id="1416" w:name="_Toc103979618"/>
      <w:bookmarkStart w:id="1417" w:name="_Toc23187"/>
      <w:bookmarkStart w:id="1418" w:name="_Toc140957907"/>
      <w:bookmarkStart w:id="1419" w:name="_Toc25877"/>
      <w:bookmarkStart w:id="1420" w:name="_Toc189905397"/>
      <w:bookmarkStart w:id="1421" w:name="_Toc18258"/>
      <w:bookmarkStart w:id="1422" w:name="_Toc166778371"/>
      <w:bookmarkStart w:id="1423" w:name="_Toc193053743"/>
      <w:bookmarkStart w:id="1424" w:name="_Toc137408755"/>
      <w:bookmarkStart w:id="1425" w:name="_Toc4543"/>
      <w:bookmarkStart w:id="1426" w:name="_Toc111543595"/>
      <w:bookmarkStart w:id="1427" w:name="_Toc108483435"/>
      <w:bookmarkStart w:id="1428" w:name="_Toc10547"/>
      <w:bookmarkStart w:id="1429" w:name="_Toc109656617"/>
      <w:bookmarkStart w:id="1430" w:name="_Toc118209464"/>
      <w:bookmarkStart w:id="1431" w:name="_Toc171282440"/>
      <w:bookmarkStart w:id="1432" w:name="_Toc79093712"/>
      <w:bookmarkStart w:id="1433" w:name="_Toc99299765"/>
      <w:bookmarkStart w:id="1434" w:name="_Toc23492"/>
      <w:bookmarkStart w:id="1435" w:name="_Toc113350973"/>
      <w:r>
        <w:rPr>
          <w:rFonts w:hint="eastAsia" w:ascii="宋体" w:hAnsi="宋体"/>
          <w:color w:val="auto"/>
          <w:sz w:val="28"/>
          <w:szCs w:val="28"/>
          <w:highlight w:val="none"/>
        </w:rPr>
        <w:t>一、开标一览表</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14:paraId="4C95B91D">
      <w:pPr>
        <w:adjustRightInd w:val="0"/>
        <w:snapToGrid w:val="0"/>
        <w:spacing w:line="360" w:lineRule="auto"/>
        <w:ind w:left="-88" w:leftChars="-42"/>
        <w:jc w:val="center"/>
        <w:rPr>
          <w:rFonts w:ascii="宋体" w:hAnsi="宋体"/>
          <w:color w:val="auto"/>
          <w:sz w:val="24"/>
          <w:highlight w:val="none"/>
        </w:rPr>
      </w:pPr>
    </w:p>
    <w:p w14:paraId="70E7D0E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p>
    <w:p w14:paraId="1312EEC8">
      <w:pPr>
        <w:adjustRightInd w:val="0"/>
        <w:snapToGrid w:val="0"/>
        <w:spacing w:line="360" w:lineRule="auto"/>
        <w:rPr>
          <w:rFonts w:ascii="宋体" w:hAnsi="宋体"/>
          <w:b/>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45BE2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jc w:val="center"/>
        </w:trPr>
        <w:tc>
          <w:tcPr>
            <w:tcW w:w="5670" w:type="dxa"/>
            <w:vAlign w:val="center"/>
          </w:tcPr>
          <w:p w14:paraId="6F09CAAC">
            <w:pPr>
              <w:adjustRightInd w:val="0"/>
              <w:snapToGrid w:val="0"/>
              <w:spacing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投标报价</w:t>
            </w:r>
          </w:p>
        </w:tc>
        <w:tc>
          <w:tcPr>
            <w:tcW w:w="3119" w:type="dxa"/>
            <w:vAlign w:val="center"/>
          </w:tcPr>
          <w:p w14:paraId="366034BD">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37024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jc w:val="center"/>
        </w:trPr>
        <w:tc>
          <w:tcPr>
            <w:tcW w:w="5670" w:type="dxa"/>
            <w:vAlign w:val="center"/>
          </w:tcPr>
          <w:p w14:paraId="44FCF86C">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1994325C">
            <w:pPr>
              <w:adjustRightInd w:val="0"/>
              <w:snapToGrid w:val="0"/>
              <w:spacing w:line="360" w:lineRule="auto"/>
              <w:jc w:val="center"/>
              <w:rPr>
                <w:rFonts w:hint="eastAsia" w:ascii="宋体" w:hAnsi="宋体"/>
                <w:color w:val="auto"/>
                <w:kern w:val="0"/>
                <w:szCs w:val="21"/>
                <w:highlight w:val="none"/>
              </w:rPr>
            </w:pPr>
            <w:r>
              <w:rPr>
                <w:rFonts w:hint="eastAsia" w:ascii="宋体" w:hAnsi="宋体"/>
                <w:color w:val="auto"/>
                <w:kern w:val="0"/>
                <w:szCs w:val="21"/>
                <w:highlight w:val="none"/>
              </w:rPr>
              <w:t>大写金额：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0F8E9E59">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（大写金额与小写金额不一致时，以大写金额为准）</w:t>
            </w:r>
          </w:p>
        </w:tc>
        <w:tc>
          <w:tcPr>
            <w:tcW w:w="3119" w:type="dxa"/>
            <w:vAlign w:val="center"/>
          </w:tcPr>
          <w:p w14:paraId="44AE9D57">
            <w:pPr>
              <w:adjustRightInd w:val="0"/>
              <w:snapToGrid w:val="0"/>
              <w:spacing w:line="360" w:lineRule="exact"/>
              <w:rPr>
                <w:rFonts w:ascii="宋体" w:hAnsi="宋体"/>
                <w:color w:val="auto"/>
                <w:kern w:val="0"/>
                <w:szCs w:val="21"/>
                <w:highlight w:val="none"/>
              </w:rPr>
            </w:pPr>
            <w:r>
              <w:rPr>
                <w:rFonts w:hint="eastAsia" w:ascii="宋体" w:hAnsi="宋体"/>
                <w:color w:val="auto"/>
                <w:kern w:val="0"/>
                <w:szCs w:val="21"/>
                <w:highlight w:val="none"/>
              </w:rPr>
              <w:t>服务期限：</w:t>
            </w:r>
          </w:p>
          <w:p w14:paraId="2543A2A7">
            <w:pPr>
              <w:pStyle w:val="102"/>
              <w:spacing w:line="360" w:lineRule="exact"/>
              <w:ind w:firstLine="0" w:firstLineChars="0"/>
              <w:rPr>
                <w:rFonts w:ascii="宋体" w:hAnsi="宋体"/>
                <w:color w:val="auto"/>
                <w:highlight w:val="none"/>
              </w:rPr>
            </w:pPr>
            <w:r>
              <w:rPr>
                <w:rFonts w:hint="eastAsia" w:ascii="宋体" w:hAnsi="宋体"/>
                <w:color w:val="auto"/>
                <w:sz w:val="21"/>
                <w:szCs w:val="21"/>
                <w:highlight w:val="none"/>
              </w:rPr>
              <w:t>项目负责人：</w:t>
            </w:r>
          </w:p>
        </w:tc>
      </w:tr>
    </w:tbl>
    <w:p w14:paraId="1D4BC2BA">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（1）本表须按包填写，一个“包号”一份。</w:t>
      </w:r>
    </w:p>
    <w:p w14:paraId="164E7A2B">
      <w:pPr>
        <w:adjustRightInd w:val="0"/>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highlight w:val="none"/>
        </w:rPr>
        <w:t>投标人对采购项目内容只允许有一个投标报价，否则其</w:t>
      </w:r>
      <w:r>
        <w:rPr>
          <w:rFonts w:hint="eastAsia" w:ascii="宋体" w:hAnsi="宋体"/>
          <w:b/>
          <w:color w:val="auto"/>
          <w:highlight w:val="none"/>
        </w:rPr>
        <w:t>投标无效</w:t>
      </w:r>
      <w:r>
        <w:rPr>
          <w:rFonts w:hint="eastAsia" w:ascii="宋体" w:hAnsi="宋体"/>
          <w:color w:val="auto"/>
          <w:szCs w:val="21"/>
          <w:highlight w:val="none"/>
        </w:rPr>
        <w:t>。</w:t>
      </w:r>
    </w:p>
    <w:p w14:paraId="0D4927AA">
      <w:pPr>
        <w:adjustRightInd w:val="0"/>
        <w:snapToGrid w:val="0"/>
        <w:spacing w:line="360" w:lineRule="exact"/>
        <w:ind w:firstLine="420" w:firstLineChars="200"/>
        <w:jc w:val="left"/>
        <w:rPr>
          <w:rFonts w:ascii="宋体" w:hAnsi="宋体"/>
          <w:color w:val="auto"/>
          <w:highlight w:val="none"/>
        </w:rPr>
      </w:pPr>
      <w:r>
        <w:rPr>
          <w:rFonts w:hint="eastAsia" w:ascii="宋体" w:hAnsi="宋体"/>
          <w:color w:val="auto"/>
          <w:szCs w:val="21"/>
          <w:highlight w:val="none"/>
        </w:rPr>
        <w:t>（3）</w:t>
      </w:r>
      <w:r>
        <w:rPr>
          <w:rFonts w:hint="eastAsia" w:ascii="宋体" w:hAnsi="宋体"/>
          <w:color w:val="auto"/>
          <w:highlight w:val="none"/>
        </w:rPr>
        <w:t>投标人在投标截止时间前修改“开标一览表”中的投标报价的，应同时修改投标文件“分项报价明细表”“享受政府采购政策优惠的证明资料”等相关内容。</w:t>
      </w:r>
    </w:p>
    <w:p w14:paraId="0B47D9B0">
      <w:pPr>
        <w:tabs>
          <w:tab w:val="left" w:pos="0"/>
        </w:tabs>
        <w:spacing w:line="360" w:lineRule="exact"/>
        <w:ind w:firstLine="480" w:firstLineChars="200"/>
        <w:rPr>
          <w:rFonts w:ascii="宋体" w:hAnsi="宋体"/>
          <w:color w:val="auto"/>
          <w:sz w:val="24"/>
          <w:highlight w:val="none"/>
        </w:rPr>
      </w:pPr>
    </w:p>
    <w:p w14:paraId="1B3D11AF">
      <w:pPr>
        <w:adjustRightInd w:val="0"/>
        <w:snapToGrid w:val="0"/>
        <w:spacing w:line="360" w:lineRule="auto"/>
        <w:ind w:firstLine="420" w:firstLineChars="200"/>
        <w:rPr>
          <w:rFonts w:ascii="宋体" w:hAnsi="宋体"/>
          <w:color w:val="auto"/>
          <w:szCs w:val="21"/>
          <w:highlight w:val="none"/>
        </w:rPr>
      </w:pPr>
    </w:p>
    <w:p w14:paraId="2428B4A5">
      <w:pPr>
        <w:adjustRightInd w:val="0"/>
        <w:snapToGrid w:val="0"/>
        <w:spacing w:line="360" w:lineRule="auto"/>
        <w:ind w:firstLine="420" w:firstLineChars="200"/>
        <w:rPr>
          <w:rFonts w:ascii="宋体" w:hAnsi="宋体"/>
          <w:color w:val="auto"/>
          <w:szCs w:val="21"/>
          <w:highlight w:val="none"/>
        </w:rPr>
      </w:pPr>
    </w:p>
    <w:p w14:paraId="7E8FDE09">
      <w:pPr>
        <w:adjustRightInd w:val="0"/>
        <w:snapToGrid w:val="0"/>
        <w:spacing w:line="360" w:lineRule="auto"/>
        <w:rPr>
          <w:rFonts w:ascii="宋体" w:hAnsi="宋体"/>
          <w:color w:val="auto"/>
          <w:szCs w:val="21"/>
          <w:highlight w:val="none"/>
        </w:rPr>
      </w:pPr>
    </w:p>
    <w:p w14:paraId="304993A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7EC1A60">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或其授权的代理人（签字或印章）：_</w:t>
      </w:r>
    </w:p>
    <w:p w14:paraId="6B20EAD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20062348">
      <w:pPr>
        <w:pStyle w:val="3"/>
        <w:jc w:val="center"/>
        <w:rPr>
          <w:rFonts w:ascii="宋体" w:hAnsi="宋体"/>
          <w:color w:val="auto"/>
          <w:sz w:val="28"/>
          <w:szCs w:val="28"/>
          <w:highlight w:val="none"/>
        </w:rPr>
      </w:pPr>
      <w:r>
        <w:rPr>
          <w:rFonts w:ascii="宋体" w:hAnsi="宋体"/>
          <w:color w:val="auto"/>
          <w:szCs w:val="21"/>
          <w:highlight w:val="none"/>
        </w:rPr>
        <w:br w:type="page"/>
      </w:r>
      <w:bookmarkStart w:id="1436" w:name="_Toc14247"/>
      <w:bookmarkStart w:id="1437" w:name="_Toc10631"/>
      <w:bookmarkStart w:id="1438" w:name="_Toc113350974"/>
      <w:bookmarkStart w:id="1439" w:name="_Toc109656618"/>
      <w:bookmarkStart w:id="1440" w:name="_Toc108483436"/>
      <w:bookmarkStart w:id="1441" w:name="_Toc21131"/>
      <w:bookmarkStart w:id="1442" w:name="_Toc10560"/>
      <w:bookmarkStart w:id="1443" w:name="_Toc26872"/>
      <w:bookmarkStart w:id="1444" w:name="_Toc118209465"/>
      <w:bookmarkStart w:id="1445" w:name="_Toc166778372"/>
      <w:bookmarkStart w:id="1446" w:name="_Toc22711"/>
      <w:bookmarkStart w:id="1447" w:name="_Toc31076"/>
      <w:bookmarkStart w:id="1448" w:name="_Toc137408756"/>
      <w:bookmarkStart w:id="1449" w:name="_Toc140957908"/>
      <w:bookmarkStart w:id="1450" w:name="_Toc103979619"/>
      <w:bookmarkStart w:id="1451" w:name="_Toc25517"/>
      <w:bookmarkStart w:id="1452" w:name="_Toc18110"/>
      <w:bookmarkStart w:id="1453" w:name="_Toc79093714"/>
      <w:bookmarkStart w:id="1454" w:name="_Toc21637"/>
      <w:bookmarkStart w:id="1455" w:name="_Toc19068"/>
      <w:bookmarkStart w:id="1456" w:name="_Toc884"/>
      <w:bookmarkStart w:id="1457" w:name="_Toc99299766"/>
      <w:bookmarkStart w:id="1458" w:name="_Toc111543596"/>
      <w:bookmarkStart w:id="1459" w:name="_Toc27716"/>
      <w:bookmarkStart w:id="1460" w:name="_Toc4670"/>
      <w:bookmarkStart w:id="1461" w:name="_Toc171282441"/>
      <w:bookmarkStart w:id="1462" w:name="_Toc189905398"/>
      <w:bookmarkStart w:id="1463" w:name="_Toc193053744"/>
      <w:bookmarkStart w:id="1464" w:name="_Toc9046"/>
      <w:bookmarkStart w:id="1465" w:name="_Toc27281"/>
      <w:r>
        <w:rPr>
          <w:rFonts w:hint="eastAsia" w:ascii="宋体" w:hAnsi="宋体"/>
          <w:color w:val="auto"/>
          <w:sz w:val="28"/>
          <w:szCs w:val="28"/>
          <w:highlight w:val="none"/>
        </w:rPr>
        <w:t>二、</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rPr>
          <w:rFonts w:hint="eastAsia" w:ascii="宋体" w:hAnsi="宋体"/>
          <w:color w:val="auto"/>
          <w:sz w:val="28"/>
          <w:szCs w:val="28"/>
          <w:highlight w:val="none"/>
        </w:rPr>
        <w:t>投标保证金</w:t>
      </w:r>
      <w:bookmarkEnd w:id="1460"/>
      <w:bookmarkEnd w:id="1461"/>
      <w:bookmarkEnd w:id="1462"/>
      <w:bookmarkEnd w:id="1463"/>
      <w:bookmarkEnd w:id="1464"/>
      <w:bookmarkEnd w:id="1465"/>
    </w:p>
    <w:p w14:paraId="76BCB181">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highlight w:val="none"/>
        </w:rPr>
      </w:pPr>
    </w:p>
    <w:p w14:paraId="027FD50A">
      <w:pPr>
        <w:adjustRightInd w:val="0"/>
        <w:snapToGrid w:val="0"/>
        <w:spacing w:line="360" w:lineRule="auto"/>
        <w:ind w:right="420"/>
        <w:jc w:val="center"/>
        <w:rPr>
          <w:rFonts w:ascii="宋体" w:hAnsi="宋体"/>
          <w:color w:val="auto"/>
          <w:sz w:val="24"/>
          <w:highlight w:val="none"/>
        </w:rPr>
      </w:pPr>
      <w:r>
        <w:rPr>
          <w:rFonts w:hint="eastAsia" w:ascii="宋体" w:hAnsi="宋体"/>
          <w:color w:val="auto"/>
          <w:sz w:val="24"/>
          <w:highlight w:val="none"/>
        </w:rPr>
        <w:t>（不作要求）</w:t>
      </w:r>
    </w:p>
    <w:p w14:paraId="39931912">
      <w:pPr>
        <w:pStyle w:val="21"/>
        <w:ind w:firstLine="400"/>
        <w:rPr>
          <w:color w:val="auto"/>
          <w:highlight w:val="none"/>
        </w:rPr>
      </w:pPr>
    </w:p>
    <w:p w14:paraId="71DC4A26">
      <w:pPr>
        <w:pStyle w:val="3"/>
        <w:adjustRightInd w:val="0"/>
        <w:snapToGrid w:val="0"/>
        <w:spacing w:beforeLines="50"/>
        <w:jc w:val="center"/>
        <w:rPr>
          <w:rFonts w:ascii="宋体" w:hAnsi="宋体"/>
          <w:color w:val="auto"/>
          <w:sz w:val="28"/>
          <w:szCs w:val="28"/>
          <w:highlight w:val="none"/>
        </w:rPr>
      </w:pPr>
      <w:r>
        <w:rPr>
          <w:rFonts w:ascii="宋体" w:hAnsi="宋体"/>
          <w:bCs w:val="0"/>
          <w:color w:val="auto"/>
          <w:sz w:val="28"/>
          <w:szCs w:val="28"/>
          <w:highlight w:val="none"/>
        </w:rPr>
        <w:br w:type="page"/>
      </w:r>
      <w:bookmarkStart w:id="1466" w:name="_Toc166778373"/>
      <w:bookmarkStart w:id="1467" w:name="_Toc11548"/>
      <w:bookmarkStart w:id="1468" w:name="_Toc10395"/>
      <w:bookmarkStart w:id="1469" w:name="_Toc79093715"/>
      <w:bookmarkStart w:id="1470" w:name="_Toc23155"/>
      <w:bookmarkStart w:id="1471" w:name="_Toc771"/>
      <w:bookmarkStart w:id="1472" w:name="_Toc99299767"/>
      <w:bookmarkStart w:id="1473" w:name="_Toc171282442"/>
      <w:bookmarkStart w:id="1474" w:name="_Toc25210"/>
      <w:bookmarkStart w:id="1475" w:name="_Toc22800"/>
      <w:bookmarkStart w:id="1476" w:name="_Toc137408757"/>
      <w:bookmarkStart w:id="1477" w:name="_Toc111543597"/>
      <w:bookmarkStart w:id="1478" w:name="_Toc19691"/>
      <w:bookmarkStart w:id="1479" w:name="_Toc5211"/>
      <w:bookmarkStart w:id="1480" w:name="_Toc19062"/>
      <w:bookmarkStart w:id="1481" w:name="_Toc10612"/>
      <w:bookmarkStart w:id="1482" w:name="_Toc14586"/>
      <w:bookmarkStart w:id="1483" w:name="_Toc103979620"/>
      <w:bookmarkStart w:id="1484" w:name="_Toc118209466"/>
      <w:bookmarkStart w:id="1485" w:name="_Toc20062"/>
      <w:bookmarkStart w:id="1486" w:name="_Toc18518"/>
      <w:bookmarkStart w:id="1487" w:name="_Toc113350975"/>
      <w:bookmarkStart w:id="1488" w:name="_Toc189905399"/>
      <w:bookmarkStart w:id="1489" w:name="_Toc108483437"/>
      <w:bookmarkStart w:id="1490" w:name="_Toc140957909"/>
      <w:bookmarkStart w:id="1491" w:name="_Toc193053745"/>
      <w:bookmarkStart w:id="1492" w:name="_Toc109656619"/>
      <w:bookmarkStart w:id="1493" w:name="_Toc25255"/>
      <w:bookmarkStart w:id="1494" w:name="_Toc6232"/>
      <w:bookmarkStart w:id="1495" w:name="_Toc13239"/>
      <w:r>
        <w:rPr>
          <w:rFonts w:hint="eastAsia" w:ascii="宋体" w:hAnsi="宋体"/>
          <w:color w:val="auto"/>
          <w:sz w:val="28"/>
          <w:szCs w:val="28"/>
          <w:highlight w:val="none"/>
        </w:rPr>
        <w:t>三、授权委托书</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14:paraId="5911A4A7">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551F0669">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3175A53C">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名称）的法定代表人，现授权（姓名、职务）为我方代理人。代理人根据授权，以我方名义签署、澄清、说明、补正、递交、撤回、修改（项目名称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宋体" w:hAnsi="宋体"/>
          <w:color w:val="auto"/>
          <w:highlight w:val="none"/>
        </w:rPr>
        <w:t>政府采购计划编号</w:t>
      </w:r>
      <w:r>
        <w:rPr>
          <w:rFonts w:hint="eastAsia" w:ascii="宋体" w:hAnsi="宋体"/>
          <w:iCs/>
          <w:color w:val="auto"/>
          <w:highlight w:val="none"/>
        </w:rPr>
        <w:t>： ，</w:t>
      </w:r>
      <w:r>
        <w:rPr>
          <w:rFonts w:hint="eastAsia" w:ascii="宋体" w:hAnsi="宋体" w:cs="宋体"/>
          <w:color w:val="auto"/>
          <w:kern w:val="0"/>
          <w:szCs w:val="21"/>
          <w:highlight w:val="none"/>
        </w:rPr>
        <w:t>委托代理编号：）投标文件、签订合同和处理有关事宜，其法律后果由我方承担。</w:t>
      </w:r>
    </w:p>
    <w:p w14:paraId="621FDF2C">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 。</w:t>
      </w:r>
    </w:p>
    <w:p w14:paraId="6A60ACAE">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34727EBB">
      <w:pPr>
        <w:adjustRightInd w:val="0"/>
        <w:snapToGrid w:val="0"/>
        <w:spacing w:line="360" w:lineRule="auto"/>
        <w:ind w:firstLine="435"/>
        <w:rPr>
          <w:rFonts w:ascii="宋体" w:hAnsi="宋体" w:cs="微软雅黑"/>
          <w:color w:val="auto"/>
          <w:kern w:val="0"/>
          <w:szCs w:val="21"/>
          <w:highlight w:val="none"/>
        </w:rPr>
      </w:pPr>
      <w:r>
        <w:rPr>
          <w:rFonts w:hint="eastAsia" w:ascii="宋体" w:hAnsi="宋体"/>
          <w:color w:val="auto"/>
          <w:szCs w:val="21"/>
          <w:highlight w:val="none"/>
        </w:rPr>
        <w:t>本授权书于年月日签字生效，特此声明。</w:t>
      </w:r>
    </w:p>
    <w:tbl>
      <w:tblPr>
        <w:tblStyle w:val="4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223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5022CF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vAlign w:val="center"/>
          </w:tcPr>
          <w:p w14:paraId="3E50FEAA">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r w14:paraId="3143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34B36A3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vAlign w:val="center"/>
          </w:tcPr>
          <w:p w14:paraId="305A520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5F18B1F7">
      <w:pPr>
        <w:adjustRightInd w:val="0"/>
        <w:snapToGrid w:val="0"/>
        <w:spacing w:line="360" w:lineRule="auto"/>
        <w:ind w:firstLine="420" w:firstLineChars="200"/>
        <w:rPr>
          <w:rFonts w:ascii="宋体" w:hAnsi="宋体"/>
          <w:color w:val="auto"/>
          <w:szCs w:val="21"/>
          <w:highlight w:val="none"/>
        </w:rPr>
      </w:pPr>
    </w:p>
    <w:p w14:paraId="3AE755F0">
      <w:pPr>
        <w:adjustRightInd w:val="0"/>
        <w:snapToGrid w:val="0"/>
        <w:spacing w:line="360" w:lineRule="auto"/>
        <w:ind w:firstLine="420" w:firstLineChars="200"/>
        <w:rPr>
          <w:rFonts w:ascii="宋体" w:hAnsi="宋体"/>
          <w:color w:val="auto"/>
          <w:szCs w:val="21"/>
          <w:highlight w:val="none"/>
        </w:rPr>
      </w:pPr>
    </w:p>
    <w:p w14:paraId="1B8D805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的提供。自然人投标的无需提供。</w:t>
      </w:r>
    </w:p>
    <w:p w14:paraId="317DA7D7">
      <w:pPr>
        <w:adjustRightInd w:val="0"/>
        <w:snapToGrid w:val="0"/>
        <w:spacing w:line="360" w:lineRule="auto"/>
        <w:ind w:firstLine="420" w:firstLineChars="200"/>
        <w:rPr>
          <w:rFonts w:ascii="宋体" w:hAnsi="宋体"/>
          <w:color w:val="auto"/>
          <w:szCs w:val="21"/>
          <w:highlight w:val="none"/>
        </w:rPr>
      </w:pPr>
    </w:p>
    <w:p w14:paraId="62BBDA59">
      <w:pPr>
        <w:adjustRightInd w:val="0"/>
        <w:snapToGrid w:val="0"/>
        <w:spacing w:line="360" w:lineRule="auto"/>
        <w:ind w:firstLine="420" w:firstLineChars="200"/>
        <w:rPr>
          <w:rFonts w:ascii="宋体" w:hAnsi="宋体"/>
          <w:color w:val="auto"/>
          <w:szCs w:val="21"/>
          <w:highlight w:val="none"/>
        </w:rPr>
      </w:pPr>
    </w:p>
    <w:p w14:paraId="300790E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294370A6">
      <w:pPr>
        <w:adjustRightInd w:val="0"/>
        <w:snapToGrid w:val="0"/>
        <w:spacing w:line="360" w:lineRule="auto"/>
        <w:ind w:right="420"/>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（签字或印章）：</w:t>
      </w:r>
    </w:p>
    <w:p w14:paraId="6FFCB105">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委托代理人（签字或印章）：</w:t>
      </w:r>
    </w:p>
    <w:p w14:paraId="2A2CB5AE">
      <w:pP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日期：</w:t>
      </w:r>
      <w:r>
        <w:rPr>
          <w:rFonts w:hint="eastAsia" w:ascii="宋体" w:hAnsi="宋体"/>
          <w:color w:val="auto"/>
          <w:szCs w:val="21"/>
          <w:highlight w:val="none"/>
        </w:rPr>
        <w:t>年月日</w:t>
      </w:r>
    </w:p>
    <w:p w14:paraId="5C0F4A27">
      <w:pPr>
        <w:pStyle w:val="102"/>
        <w:ind w:firstLine="400"/>
        <w:rPr>
          <w:rFonts w:ascii="宋体" w:hAnsi="宋体"/>
          <w:color w:val="auto"/>
          <w:highlight w:val="none"/>
        </w:rPr>
      </w:pPr>
      <w:r>
        <w:rPr>
          <w:rFonts w:ascii="宋体" w:hAnsi="宋体"/>
          <w:color w:val="auto"/>
          <w:highlight w:val="none"/>
        </w:rPr>
        <w:br w:type="page"/>
      </w:r>
    </w:p>
    <w:p w14:paraId="401FF55E">
      <w:pPr>
        <w:pStyle w:val="3"/>
        <w:adjustRightInd w:val="0"/>
        <w:snapToGrid w:val="0"/>
        <w:jc w:val="center"/>
        <w:rPr>
          <w:rFonts w:ascii="宋体" w:hAnsi="宋体"/>
          <w:color w:val="auto"/>
          <w:sz w:val="28"/>
          <w:szCs w:val="28"/>
          <w:highlight w:val="none"/>
        </w:rPr>
      </w:pPr>
      <w:bookmarkStart w:id="1496" w:name="_Toc166778374"/>
      <w:bookmarkStart w:id="1497" w:name="_Toc109656620"/>
      <w:bookmarkStart w:id="1498" w:name="_Toc171282443"/>
      <w:bookmarkStart w:id="1499" w:name="_Toc79093716"/>
      <w:bookmarkStart w:id="1500" w:name="_Toc10480"/>
      <w:bookmarkStart w:id="1501" w:name="_Toc118209467"/>
      <w:bookmarkStart w:id="1502" w:name="_Toc24137"/>
      <w:bookmarkStart w:id="1503" w:name="_Toc3690"/>
      <w:bookmarkStart w:id="1504" w:name="_Toc99299768"/>
      <w:bookmarkStart w:id="1505" w:name="_Toc13627"/>
      <w:bookmarkStart w:id="1506" w:name="_Toc31615"/>
      <w:bookmarkStart w:id="1507" w:name="_Toc137408758"/>
      <w:bookmarkStart w:id="1508" w:name="_Toc193053746"/>
      <w:bookmarkStart w:id="1509" w:name="_Toc7161"/>
      <w:bookmarkStart w:id="1510" w:name="_Toc11208"/>
      <w:bookmarkStart w:id="1511" w:name="_Toc1461"/>
      <w:bookmarkStart w:id="1512" w:name="_Toc108483438"/>
      <w:bookmarkStart w:id="1513" w:name="_Toc25395"/>
      <w:bookmarkStart w:id="1514" w:name="_Toc103979621"/>
      <w:bookmarkStart w:id="1515" w:name="_Toc26676"/>
      <w:bookmarkStart w:id="1516" w:name="_Toc9744"/>
      <w:bookmarkStart w:id="1517" w:name="_Toc140957910"/>
      <w:bookmarkStart w:id="1518" w:name="_Toc24685"/>
      <w:bookmarkStart w:id="1519" w:name="_Toc19054"/>
      <w:bookmarkStart w:id="1520" w:name="_Toc111543598"/>
      <w:bookmarkStart w:id="1521" w:name="_Toc113350976"/>
      <w:bookmarkStart w:id="1522" w:name="_Toc27594"/>
      <w:bookmarkStart w:id="1523" w:name="_Toc15000"/>
      <w:bookmarkStart w:id="1524" w:name="_Toc189905400"/>
      <w:bookmarkStart w:id="1525" w:name="_Toc4755"/>
      <w:r>
        <w:rPr>
          <w:rFonts w:hint="eastAsia" w:ascii="宋体" w:hAnsi="宋体"/>
          <w:color w:val="auto"/>
          <w:sz w:val="28"/>
          <w:szCs w:val="28"/>
          <w:highlight w:val="none"/>
        </w:rPr>
        <w:t>四、投标人提供的资格证明文件</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Start w:id="1526" w:name="_Toc294186060"/>
      <w:bookmarkStart w:id="1527" w:name="_Toc294206743"/>
    </w:p>
    <w:p w14:paraId="7F1803C0">
      <w:pPr>
        <w:pStyle w:val="25"/>
        <w:adjustRightInd w:val="0"/>
        <w:snapToGrid w:val="0"/>
        <w:spacing w:line="360" w:lineRule="auto"/>
        <w:jc w:val="center"/>
        <w:rPr>
          <w:rFonts w:hAnsi="宋体"/>
          <w:b/>
          <w:bCs/>
          <w:color w:val="auto"/>
          <w:sz w:val="24"/>
          <w:szCs w:val="24"/>
          <w:highlight w:val="none"/>
        </w:rPr>
      </w:pPr>
    </w:p>
    <w:p w14:paraId="0529FE15">
      <w:pPr>
        <w:pStyle w:val="25"/>
        <w:adjustRightInd w:val="0"/>
        <w:snapToGrid w:val="0"/>
        <w:spacing w:line="360" w:lineRule="auto"/>
        <w:jc w:val="center"/>
        <w:rPr>
          <w:rFonts w:hAnsi="宋体"/>
          <w:b/>
          <w:bCs/>
          <w:color w:val="auto"/>
          <w:sz w:val="28"/>
          <w:szCs w:val="28"/>
          <w:highlight w:val="none"/>
        </w:rPr>
      </w:pPr>
      <w:r>
        <w:rPr>
          <w:rFonts w:hint="eastAsia" w:hAnsi="宋体"/>
          <w:b/>
          <w:bCs/>
          <w:color w:val="auto"/>
          <w:sz w:val="28"/>
          <w:szCs w:val="28"/>
          <w:highlight w:val="none"/>
        </w:rPr>
        <w:t>须  知</w:t>
      </w:r>
    </w:p>
    <w:p w14:paraId="4616EC12">
      <w:pPr>
        <w:numPr>
          <w:ilvl w:val="0"/>
          <w:numId w:val="3"/>
        </w:numPr>
        <w:tabs>
          <w:tab w:val="left" w:pos="4725"/>
        </w:tabs>
        <w:adjustRightInd w:val="0"/>
        <w:snapToGrid w:val="0"/>
        <w:spacing w:beforeLines="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投标人</w:t>
      </w:r>
      <w:r>
        <w:rPr>
          <w:rFonts w:hint="eastAsia" w:ascii="宋体" w:hAnsi="宋体"/>
          <w:b/>
          <w:bCs/>
          <w:color w:val="auto"/>
          <w:szCs w:val="21"/>
          <w:highlight w:val="none"/>
        </w:rPr>
        <w:t>应按第二章第14.1款要求提供下列的证明材料</w:t>
      </w:r>
    </w:p>
    <w:p w14:paraId="629E19E8">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附件4-1 法人或者其他组织的营业执照等主体资格证明文件，自然人的身份证明</w:t>
      </w:r>
    </w:p>
    <w:p w14:paraId="026FB275">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附件4-2 湖南省政府采购供应商资格承诺函(格式)</w:t>
      </w:r>
    </w:p>
    <w:p w14:paraId="0048EF11">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附件4-3 符合特定资格条件证明材料复印件或者情况说明</w:t>
      </w:r>
    </w:p>
    <w:p w14:paraId="7550A735">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附件4-4 联合体协议书（格式）（联合体形式投标的提供）</w:t>
      </w:r>
    </w:p>
    <w:p w14:paraId="1407129D">
      <w:pPr>
        <w:tabs>
          <w:tab w:val="left" w:pos="4725"/>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2、投标人以联合体形式投标的，除应提交联合协议书(本节附4-4)外，参加联合体的各方均应提交上款资格证明材料。</w:t>
      </w:r>
    </w:p>
    <w:p w14:paraId="27439584">
      <w:pPr>
        <w:tabs>
          <w:tab w:val="left" w:pos="4725"/>
        </w:tabs>
        <w:adjustRightInd w:val="0"/>
        <w:snapToGrid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3、附件4-5 分包承诺（执行强制分包的提供）</w:t>
      </w:r>
    </w:p>
    <w:p w14:paraId="7104A3D0">
      <w:pPr>
        <w:widowControl/>
        <w:adjustRightInd w:val="0"/>
        <w:snapToGrid w:val="0"/>
        <w:jc w:val="left"/>
        <w:rPr>
          <w:rFonts w:ascii="宋体" w:hAnsi="宋体" w:cs="宋体"/>
          <w:color w:val="auto"/>
          <w:szCs w:val="21"/>
          <w:highlight w:val="none"/>
        </w:rPr>
      </w:pPr>
      <w:r>
        <w:rPr>
          <w:rFonts w:ascii="宋体" w:hAnsi="宋体" w:cs="宋体"/>
          <w:color w:val="auto"/>
          <w:szCs w:val="21"/>
          <w:highlight w:val="none"/>
        </w:rPr>
        <w:br w:type="page"/>
      </w:r>
    </w:p>
    <w:p w14:paraId="2B1E8EB1">
      <w:pPr>
        <w:pStyle w:val="5"/>
        <w:adjustRightInd w:val="0"/>
        <w:snapToGrid w:val="0"/>
        <w:spacing w:beforeLines="50" w:after="0" w:line="360" w:lineRule="auto"/>
        <w:rPr>
          <w:rFonts w:ascii="宋体" w:hAnsi="宋体" w:eastAsia="宋体" w:cs="宋体"/>
          <w:b w:val="0"/>
          <w:color w:val="auto"/>
          <w:sz w:val="21"/>
          <w:szCs w:val="21"/>
          <w:highlight w:val="none"/>
        </w:rPr>
      </w:pPr>
      <w:bookmarkStart w:id="1528" w:name="_Toc590"/>
      <w:r>
        <w:rPr>
          <w:rFonts w:hint="eastAsia" w:ascii="黑体" w:hAnsi="仿宋" w:cs="宋体"/>
          <w:b w:val="0"/>
          <w:color w:val="auto"/>
          <w:sz w:val="21"/>
          <w:szCs w:val="21"/>
          <w:highlight w:val="none"/>
        </w:rPr>
        <w:t>附件4-1 法人或者其他组织的营业执照等主体资格证明文件，自然人的身份证明</w:t>
      </w:r>
      <w:bookmarkEnd w:id="1528"/>
    </w:p>
    <w:p w14:paraId="4F2BA956">
      <w:pPr>
        <w:widowControl/>
        <w:adjustRightInd w:val="0"/>
        <w:snapToGrid w:val="0"/>
        <w:spacing w:beforeLines="50" w:line="360" w:lineRule="auto"/>
        <w:jc w:val="center"/>
        <w:outlineLvl w:val="2"/>
        <w:rPr>
          <w:rFonts w:ascii="宋体" w:hAnsi="宋体" w:cs="宋体"/>
          <w:color w:val="auto"/>
          <w:sz w:val="28"/>
          <w:szCs w:val="28"/>
          <w:highlight w:val="none"/>
        </w:rPr>
      </w:pPr>
      <w:bookmarkStart w:id="1529" w:name="_Toc29857"/>
      <w:bookmarkStart w:id="1530" w:name="_Toc13567"/>
      <w:bookmarkStart w:id="1531" w:name="_Toc7085"/>
      <w:bookmarkStart w:id="1532" w:name="_Toc113350977"/>
      <w:bookmarkStart w:id="1533" w:name="_Toc140957911"/>
      <w:bookmarkStart w:id="1534" w:name="_Toc118209468"/>
      <w:bookmarkStart w:id="1535" w:name="_Toc29824"/>
      <w:bookmarkStart w:id="1536" w:name="_Toc6692"/>
      <w:bookmarkStart w:id="1537" w:name="_Toc26094"/>
      <w:bookmarkStart w:id="1538" w:name="_Toc1365"/>
      <w:bookmarkStart w:id="1539" w:name="_Toc17951"/>
      <w:bookmarkStart w:id="1540" w:name="_Toc171282444"/>
      <w:bookmarkStart w:id="1541" w:name="_Toc193053747"/>
      <w:bookmarkStart w:id="1542" w:name="_Toc166778375"/>
      <w:bookmarkStart w:id="1543" w:name="_Toc111543599"/>
      <w:bookmarkStart w:id="1544" w:name="_Toc189905401"/>
      <w:bookmarkStart w:id="1545" w:name="_Toc5083"/>
      <w:bookmarkStart w:id="1546" w:name="_Toc137408759"/>
      <w:r>
        <w:rPr>
          <w:rFonts w:hint="eastAsia" w:ascii="黑体" w:hAnsi="仿宋" w:eastAsia="黑体" w:cs="宋体"/>
          <w:b/>
          <w:color w:val="auto"/>
          <w:sz w:val="28"/>
          <w:szCs w:val="28"/>
          <w:highlight w:val="none"/>
        </w:rPr>
        <w:t>法人或者其他组织的营业执照等主体资格证明文件，自然人的身份证明</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14:paraId="2254C023">
      <w:pPr>
        <w:adjustRightInd w:val="0"/>
        <w:snapToGrid w:val="0"/>
        <w:spacing w:beforeLines="50" w:line="360" w:lineRule="auto"/>
        <w:ind w:firstLine="420" w:firstLineChars="200"/>
        <w:rPr>
          <w:rFonts w:ascii="宋体" w:hAnsi="宋体" w:cs="宋体"/>
          <w:color w:val="auto"/>
          <w:szCs w:val="21"/>
          <w:highlight w:val="none"/>
        </w:rPr>
      </w:pPr>
    </w:p>
    <w:p w14:paraId="5CD5F081">
      <w:pPr>
        <w:adjustRightInd w:val="0"/>
        <w:snapToGrid w:val="0"/>
        <w:spacing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（1）项要求提供。</w:t>
      </w:r>
    </w:p>
    <w:p w14:paraId="682B6AC5">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70693FDB">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3E73B558">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55826784">
      <w:pPr>
        <w:widowControl/>
        <w:ind w:firstLine="390"/>
        <w:jc w:val="left"/>
        <w:rPr>
          <w:rFonts w:ascii="宋体" w:hAnsi="宋体"/>
          <w:bCs/>
          <w:color w:val="auto"/>
          <w:kern w:val="0"/>
          <w:sz w:val="20"/>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r>
        <w:rPr>
          <w:rFonts w:hint="eastAsia" w:ascii="宋体" w:hAnsi="宋体"/>
          <w:bCs/>
          <w:color w:val="auto"/>
          <w:kern w:val="0"/>
          <w:sz w:val="20"/>
          <w:highlight w:val="none"/>
        </w:rPr>
        <w:br w:type="page"/>
      </w:r>
    </w:p>
    <w:p w14:paraId="7A8CAC85">
      <w:pPr>
        <w:pStyle w:val="5"/>
        <w:spacing w:before="0" w:line="240" w:lineRule="auto"/>
        <w:rPr>
          <w:rFonts w:ascii="宋体" w:hAnsi="宋体" w:eastAsia="宋体" w:cs="宋体"/>
          <w:b w:val="0"/>
          <w:color w:val="auto"/>
          <w:sz w:val="21"/>
          <w:szCs w:val="21"/>
          <w:highlight w:val="none"/>
        </w:rPr>
      </w:pPr>
      <w:r>
        <w:rPr>
          <w:rFonts w:hint="eastAsia" w:ascii="黑体" w:hAnsi="仿宋" w:cs="宋体"/>
          <w:b w:val="0"/>
          <w:color w:val="auto"/>
          <w:sz w:val="21"/>
          <w:szCs w:val="21"/>
          <w:highlight w:val="none"/>
        </w:rPr>
        <w:t>附件4-2 湖南省政府采购供应商资格承诺函(格式)</w:t>
      </w:r>
    </w:p>
    <w:p w14:paraId="0EA94BC5">
      <w:pPr>
        <w:widowControl/>
        <w:adjustRightInd w:val="0"/>
        <w:snapToGrid w:val="0"/>
        <w:spacing w:beforeLines="50" w:line="360" w:lineRule="auto"/>
        <w:jc w:val="center"/>
        <w:outlineLvl w:val="2"/>
        <w:rPr>
          <w:rFonts w:ascii="宋体" w:hAnsi="宋体" w:cs="宋体"/>
          <w:color w:val="auto"/>
          <w:szCs w:val="21"/>
          <w:highlight w:val="none"/>
        </w:rPr>
      </w:pPr>
      <w:bookmarkStart w:id="1547" w:name="_Toc166778376"/>
      <w:bookmarkStart w:id="1548" w:name="_Toc14018"/>
      <w:bookmarkStart w:id="1549" w:name="_Toc14670"/>
      <w:bookmarkStart w:id="1550" w:name="_Toc171282445"/>
      <w:bookmarkStart w:id="1551" w:name="_Toc22159"/>
      <w:bookmarkStart w:id="1552" w:name="_Toc13471"/>
      <w:bookmarkStart w:id="1553" w:name="_Toc5688"/>
      <w:bookmarkStart w:id="1554" w:name="_Toc111543600"/>
      <w:bookmarkStart w:id="1555" w:name="_Toc22508"/>
      <w:bookmarkStart w:id="1556" w:name="_Toc189905402"/>
      <w:bookmarkStart w:id="1557" w:name="_Toc118209469"/>
      <w:bookmarkStart w:id="1558" w:name="_Toc193053748"/>
      <w:bookmarkStart w:id="1559" w:name="_Toc137408760"/>
      <w:bookmarkStart w:id="1560" w:name="_Toc10208"/>
      <w:bookmarkStart w:id="1561" w:name="_Toc23913"/>
      <w:bookmarkStart w:id="1562" w:name="_Toc140957912"/>
      <w:bookmarkStart w:id="1563" w:name="_Toc113350978"/>
      <w:bookmarkStart w:id="1564" w:name="_Toc8453"/>
      <w:r>
        <w:rPr>
          <w:rFonts w:hint="eastAsia" w:ascii="黑体" w:hAnsi="仿宋" w:eastAsia="黑体" w:cs="宋体"/>
          <w:b/>
          <w:color w:val="auto"/>
          <w:sz w:val="28"/>
          <w:szCs w:val="28"/>
          <w:highlight w:val="none"/>
        </w:rPr>
        <w:t>湖南省政府采购供应商资格承诺函(格式)</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14:paraId="09681609">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B1D9907">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613BDF7A">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1AB31E3D">
      <w:pPr>
        <w:widowControl/>
        <w:spacing w:beforeLines="50" w:line="360" w:lineRule="auto"/>
        <w:ind w:firstLine="420" w:firstLineChars="200"/>
        <w:jc w:val="left"/>
        <w:rPr>
          <w:rFonts w:ascii="宋体" w:hAnsi="宋体" w:cs="宋体"/>
          <w:color w:val="auto"/>
          <w:szCs w:val="21"/>
          <w:highlight w:val="none"/>
        </w:rPr>
      </w:pPr>
    </w:p>
    <w:p w14:paraId="5D53A6DD">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18178D28">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04CCCCBB">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293445DA">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szCs w:val="21"/>
          <w:highlight w:val="none"/>
        </w:rPr>
        <w:t>授权代表人姓名(签字)、身份证号、手机号:</w:t>
      </w:r>
    </w:p>
    <w:p w14:paraId="4FDF243E">
      <w:pPr>
        <w:widowControl/>
        <w:adjustRightInd w:val="0"/>
        <w:snapToGrid w:val="0"/>
        <w:spacing w:beforeLines="50" w:line="360" w:lineRule="auto"/>
        <w:ind w:firstLine="422" w:firstLineChars="200"/>
        <w:jc w:val="left"/>
        <w:rPr>
          <w:rFonts w:ascii="宋体" w:hAnsi="宋体"/>
          <w:b/>
          <w:color w:val="auto"/>
          <w:highlight w:val="none"/>
        </w:rPr>
      </w:pPr>
    </w:p>
    <w:p w14:paraId="2DC1ADDC">
      <w:pPr>
        <w:widowControl/>
        <w:adjustRightInd w:val="0"/>
        <w:snapToGrid w:val="0"/>
        <w:spacing w:beforeLines="50" w:line="360" w:lineRule="auto"/>
        <w:ind w:firstLine="420" w:firstLineChars="200"/>
        <w:jc w:val="left"/>
        <w:rPr>
          <w:rFonts w:ascii="宋体" w:hAnsi="宋体" w:cs="宋体"/>
          <w:color w:val="auto"/>
          <w:szCs w:val="21"/>
          <w:highlight w:val="none"/>
        </w:rPr>
      </w:pPr>
    </w:p>
    <w:p w14:paraId="4DF7D703">
      <w:pPr>
        <w:widowControl/>
        <w:jc w:val="left"/>
        <w:rPr>
          <w:rFonts w:ascii="宋体" w:hAnsi="宋体" w:cs="宋体"/>
          <w:color w:val="auto"/>
          <w:szCs w:val="21"/>
          <w:highlight w:val="none"/>
        </w:rPr>
      </w:pPr>
      <w:r>
        <w:rPr>
          <w:rFonts w:ascii="宋体" w:hAnsi="宋体" w:cs="宋体"/>
          <w:color w:val="auto"/>
          <w:szCs w:val="21"/>
          <w:highlight w:val="none"/>
        </w:rPr>
        <w:br w:type="page"/>
      </w:r>
    </w:p>
    <w:p w14:paraId="11419B89">
      <w:pPr>
        <w:pStyle w:val="5"/>
        <w:spacing w:before="0" w:line="240" w:lineRule="auto"/>
        <w:rPr>
          <w:rFonts w:ascii="宋体" w:hAnsi="宋体" w:eastAsia="宋体" w:cs="宋体"/>
          <w:b w:val="0"/>
          <w:color w:val="auto"/>
          <w:sz w:val="21"/>
          <w:szCs w:val="21"/>
          <w:highlight w:val="none"/>
        </w:rPr>
      </w:pPr>
      <w:bookmarkStart w:id="1565" w:name="_Toc13891"/>
      <w:r>
        <w:rPr>
          <w:rFonts w:hint="eastAsia" w:ascii="黑体" w:hAnsi="仿宋" w:cs="宋体"/>
          <w:b w:val="0"/>
          <w:color w:val="auto"/>
          <w:sz w:val="21"/>
          <w:szCs w:val="21"/>
          <w:highlight w:val="none"/>
        </w:rPr>
        <w:t>附件4-3 符合特定资格条件证明材料复印件或者情况说明</w:t>
      </w:r>
      <w:bookmarkEnd w:id="1565"/>
    </w:p>
    <w:p w14:paraId="5DE0B663">
      <w:pPr>
        <w:widowControl/>
        <w:adjustRightInd w:val="0"/>
        <w:snapToGrid w:val="0"/>
        <w:spacing w:line="360" w:lineRule="auto"/>
        <w:jc w:val="center"/>
        <w:outlineLvl w:val="2"/>
        <w:rPr>
          <w:rFonts w:ascii="宋体" w:hAnsi="宋体" w:cs="宋体"/>
          <w:b/>
          <w:color w:val="auto"/>
          <w:sz w:val="28"/>
          <w:szCs w:val="28"/>
          <w:highlight w:val="none"/>
        </w:rPr>
      </w:pPr>
      <w:bookmarkStart w:id="1566" w:name="_Toc113350979"/>
      <w:bookmarkStart w:id="1567" w:name="_Toc22638"/>
      <w:bookmarkStart w:id="1568" w:name="_Toc111543601"/>
      <w:bookmarkStart w:id="1569" w:name="_Toc30185"/>
      <w:bookmarkStart w:id="1570" w:name="_Toc137408761"/>
      <w:bookmarkStart w:id="1571" w:name="_Toc171282446"/>
      <w:bookmarkStart w:id="1572" w:name="_Toc140957913"/>
      <w:bookmarkStart w:id="1573" w:name="_Toc189905403"/>
      <w:bookmarkStart w:id="1574" w:name="_Toc22471"/>
      <w:bookmarkStart w:id="1575" w:name="_Toc19680"/>
      <w:bookmarkStart w:id="1576" w:name="_Toc166778377"/>
      <w:bookmarkStart w:id="1577" w:name="_Toc14347"/>
      <w:bookmarkStart w:id="1578" w:name="_Toc5172"/>
      <w:bookmarkStart w:id="1579" w:name="_Toc4250"/>
      <w:bookmarkStart w:id="1580" w:name="_Toc28352"/>
      <w:bookmarkStart w:id="1581" w:name="_Toc193053749"/>
      <w:bookmarkStart w:id="1582" w:name="_Toc7117"/>
      <w:bookmarkStart w:id="1583" w:name="_Toc118209470"/>
      <w:r>
        <w:rPr>
          <w:rFonts w:hint="eastAsia" w:ascii="黑体" w:hAnsi="仿宋" w:eastAsia="黑体" w:cs="宋体"/>
          <w:b/>
          <w:color w:val="auto"/>
          <w:sz w:val="28"/>
          <w:szCs w:val="28"/>
          <w:highlight w:val="none"/>
        </w:rPr>
        <w:t>符合特定资格条件证明材料复印件或者情况说明</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14:paraId="6D720EFB">
      <w:pPr>
        <w:widowControl/>
        <w:adjustRightInd w:val="0"/>
        <w:snapToGrid w:val="0"/>
        <w:spacing w:line="360" w:lineRule="auto"/>
        <w:ind w:firstLine="420" w:firstLineChars="200"/>
        <w:jc w:val="left"/>
        <w:rPr>
          <w:rFonts w:ascii="宋体" w:hAnsi="宋体" w:cs="宋体"/>
          <w:color w:val="auto"/>
          <w:szCs w:val="21"/>
          <w:highlight w:val="none"/>
        </w:rPr>
      </w:pPr>
    </w:p>
    <w:p w14:paraId="01E3A360">
      <w:pPr>
        <w:widowControl/>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14.1</w:t>
      </w:r>
      <w:r>
        <w:rPr>
          <w:rFonts w:hint="eastAsia" w:ascii="宋体" w:hAnsi="宋体" w:cs="宋体"/>
          <w:color w:val="auto"/>
          <w:szCs w:val="21"/>
          <w:highlight w:val="none"/>
        </w:rPr>
        <w:t>项要求提供。</w:t>
      </w:r>
    </w:p>
    <w:p w14:paraId="585FF85C">
      <w:pPr>
        <w:widowControl/>
        <w:jc w:val="left"/>
        <w:rPr>
          <w:rFonts w:ascii="宋体" w:hAnsi="宋体" w:cs="宋体"/>
          <w:color w:val="auto"/>
          <w:szCs w:val="21"/>
          <w:highlight w:val="none"/>
        </w:rPr>
      </w:pPr>
      <w:r>
        <w:rPr>
          <w:rFonts w:ascii="宋体" w:hAnsi="宋体" w:cs="宋体"/>
          <w:color w:val="auto"/>
          <w:szCs w:val="21"/>
          <w:highlight w:val="none"/>
        </w:rPr>
        <w:br w:type="page"/>
      </w:r>
    </w:p>
    <w:p w14:paraId="4F91371D">
      <w:pPr>
        <w:pStyle w:val="5"/>
        <w:spacing w:before="0" w:line="240" w:lineRule="auto"/>
        <w:rPr>
          <w:rFonts w:ascii="宋体" w:hAnsi="宋体" w:eastAsia="宋体" w:cs="宋体"/>
          <w:b w:val="0"/>
          <w:color w:val="auto"/>
          <w:sz w:val="21"/>
          <w:szCs w:val="21"/>
          <w:highlight w:val="none"/>
        </w:rPr>
      </w:pPr>
      <w:bookmarkStart w:id="1584" w:name="_Toc11547"/>
      <w:r>
        <w:rPr>
          <w:rFonts w:hint="eastAsia" w:ascii="黑体" w:hAnsi="仿宋" w:cs="宋体"/>
          <w:b w:val="0"/>
          <w:color w:val="auto"/>
          <w:sz w:val="21"/>
          <w:szCs w:val="21"/>
          <w:highlight w:val="none"/>
        </w:rPr>
        <w:t>附件4-4 联合体协议书（</w:t>
      </w:r>
      <w:r>
        <w:rPr>
          <w:rFonts w:hint="eastAsia" w:ascii="黑体" w:hAnsi="仿宋" w:cs="宋体"/>
          <w:b w:val="0"/>
          <w:color w:val="auto"/>
          <w:sz w:val="21"/>
          <w:szCs w:val="21"/>
          <w:highlight w:val="none"/>
          <w:lang w:eastAsia="zh-CN"/>
        </w:rPr>
        <w:t>本项目不适用</w:t>
      </w:r>
      <w:r>
        <w:rPr>
          <w:rFonts w:hint="eastAsia" w:ascii="黑体" w:hAnsi="仿宋" w:cs="宋体"/>
          <w:b w:val="0"/>
          <w:color w:val="auto"/>
          <w:sz w:val="21"/>
          <w:szCs w:val="21"/>
          <w:highlight w:val="none"/>
        </w:rPr>
        <w:t>）</w:t>
      </w:r>
      <w:bookmarkEnd w:id="1584"/>
    </w:p>
    <w:p w14:paraId="7483CC4B">
      <w:pPr>
        <w:adjustRightInd w:val="0"/>
        <w:snapToGrid w:val="0"/>
        <w:spacing w:line="360" w:lineRule="auto"/>
        <w:jc w:val="center"/>
        <w:outlineLvl w:val="2"/>
        <w:rPr>
          <w:rFonts w:ascii="宋体" w:hAnsi="宋体"/>
          <w:b/>
          <w:color w:val="auto"/>
          <w:szCs w:val="21"/>
          <w:highlight w:val="none"/>
        </w:rPr>
      </w:pPr>
      <w:bookmarkStart w:id="1585" w:name="_Toc26708"/>
      <w:bookmarkStart w:id="1586" w:name="_Toc189905404"/>
      <w:bookmarkStart w:id="1587" w:name="_Toc25229"/>
      <w:bookmarkStart w:id="1588" w:name="_Toc17097"/>
      <w:bookmarkStart w:id="1589" w:name="_Toc32757"/>
      <w:bookmarkStart w:id="1590" w:name="_Toc3460"/>
      <w:bookmarkStart w:id="1591" w:name="_Toc30788"/>
      <w:bookmarkStart w:id="1592" w:name="_Toc166778378"/>
      <w:bookmarkStart w:id="1593" w:name="_Toc193053750"/>
      <w:bookmarkStart w:id="1594" w:name="_Toc24732"/>
      <w:bookmarkStart w:id="1595" w:name="_Toc2956"/>
      <w:bookmarkStart w:id="1596" w:name="_Toc171282447"/>
      <w:bookmarkStart w:id="1597" w:name="_Toc118209471"/>
      <w:bookmarkStart w:id="1598" w:name="_Toc140957914"/>
      <w:bookmarkStart w:id="1599" w:name="_Toc111543602"/>
      <w:bookmarkStart w:id="1600" w:name="_Toc7215"/>
      <w:bookmarkStart w:id="1601" w:name="_Toc113350980"/>
      <w:bookmarkStart w:id="1602" w:name="_Toc137408762"/>
      <w:r>
        <w:rPr>
          <w:rFonts w:hint="eastAsia" w:ascii="黑体" w:hAnsi="仿宋" w:eastAsia="黑体" w:cs="宋体"/>
          <w:b/>
          <w:color w:val="auto"/>
          <w:sz w:val="28"/>
          <w:szCs w:val="28"/>
          <w:highlight w:val="none"/>
        </w:rPr>
        <w:t>联合体协议书（</w:t>
      </w:r>
      <w:r>
        <w:rPr>
          <w:rFonts w:hint="eastAsia" w:ascii="黑体" w:hAnsi="仿宋" w:eastAsia="黑体" w:cs="宋体"/>
          <w:b/>
          <w:color w:val="auto"/>
          <w:sz w:val="28"/>
          <w:szCs w:val="28"/>
          <w:highlight w:val="none"/>
          <w:lang w:eastAsia="zh-CN"/>
        </w:rPr>
        <w:t>格式</w:t>
      </w:r>
      <w:r>
        <w:rPr>
          <w:rFonts w:hint="eastAsia" w:ascii="黑体" w:hAnsi="仿宋" w:eastAsia="黑体" w:cs="宋体"/>
          <w:b/>
          <w:color w:val="auto"/>
          <w:sz w:val="28"/>
          <w:szCs w:val="28"/>
          <w:highlight w:val="none"/>
        </w:rPr>
        <w:t>）</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14:paraId="7ABD59F6">
      <w:pPr>
        <w:adjustRightInd w:val="0"/>
        <w:snapToGrid w:val="0"/>
        <w:spacing w:line="360" w:lineRule="auto"/>
        <w:rPr>
          <w:rFonts w:ascii="宋体" w:hAnsi="宋体"/>
          <w:color w:val="auto"/>
          <w:szCs w:val="21"/>
          <w:highlight w:val="none"/>
        </w:rPr>
      </w:pPr>
    </w:p>
    <w:bookmarkEnd w:id="1526"/>
    <w:bookmarkEnd w:id="1527"/>
    <w:p w14:paraId="3ECC700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78BD20A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经研究，我们决定自愿组成联合体共同参加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）项目的投标。现就联合体投标事宜订立如下协议：</w:t>
      </w:r>
    </w:p>
    <w:p w14:paraId="07D9D9FE">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一、联合体基本信息：</w:t>
      </w:r>
      <w:r>
        <w:rPr>
          <w:rFonts w:hint="eastAsia" w:ascii="宋体" w:hAnsi="宋体"/>
          <w:color w:val="auto"/>
          <w:szCs w:val="21"/>
          <w:highlight w:val="none"/>
          <w:u w:val="single"/>
        </w:rPr>
        <w:t xml:space="preserve">                </w:t>
      </w:r>
      <w:r>
        <w:rPr>
          <w:rFonts w:hint="eastAsia" w:ascii="宋体" w:hAnsi="宋体"/>
          <w:color w:val="auto"/>
          <w:szCs w:val="21"/>
          <w:highlight w:val="none"/>
        </w:rPr>
        <w:t>（各方公司名称、地址、注册资金、营业执照、</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姓名）</w:t>
      </w:r>
    </w:p>
    <w:p w14:paraId="1B66E90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56CAA15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03EE0AC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四．联合体将严格按照招标文件的各项要求，递交投标文件，参加投标，履行中标义务和中标后的合同，并向采购人承担连带责任。</w:t>
      </w:r>
    </w:p>
    <w:p w14:paraId="46BA5ABF">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五、联合体各成员单位内部的职责分工如下：</w:t>
      </w:r>
      <w:r>
        <w:rPr>
          <w:rFonts w:hint="eastAsia" w:ascii="宋体" w:hAnsi="宋体"/>
          <w:color w:val="auto"/>
          <w:szCs w:val="21"/>
          <w:highlight w:val="none"/>
          <w:u w:val="single"/>
        </w:rPr>
        <w:t xml:space="preserve">             </w:t>
      </w:r>
      <w:r>
        <w:rPr>
          <w:rFonts w:hint="eastAsia" w:ascii="宋体" w:hAnsi="宋体"/>
          <w:color w:val="auto"/>
          <w:szCs w:val="21"/>
          <w:highlight w:val="none"/>
        </w:rPr>
        <w:t>。按照本条上述分工，联合体各成员的协议合同金额占联合体协议合同总金额比例如下：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26A16C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六、本协议书自签署之日起生效，合同履行完毕后自动失效。</w:t>
      </w:r>
    </w:p>
    <w:p w14:paraId="1C731CE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七、本协议书一式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份，联合体成员和采购人各执一份。</w:t>
      </w:r>
    </w:p>
    <w:p w14:paraId="5657D6F6">
      <w:pPr>
        <w:adjustRightInd w:val="0"/>
        <w:snapToGrid w:val="0"/>
        <w:spacing w:line="360" w:lineRule="auto"/>
        <w:rPr>
          <w:rFonts w:ascii="宋体" w:hAnsi="宋体"/>
          <w:color w:val="auto"/>
          <w:szCs w:val="21"/>
          <w:highlight w:val="none"/>
        </w:rPr>
      </w:pPr>
    </w:p>
    <w:p w14:paraId="3F1B755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牵头人名称（盖单位章）：</w:t>
      </w:r>
    </w:p>
    <w:p w14:paraId="5590696A">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02B47DE7">
      <w:pPr>
        <w:adjustRightInd w:val="0"/>
        <w:snapToGrid w:val="0"/>
        <w:spacing w:line="360" w:lineRule="auto"/>
        <w:rPr>
          <w:rFonts w:ascii="宋体" w:hAnsi="宋体"/>
          <w:color w:val="auto"/>
          <w:szCs w:val="21"/>
          <w:highlight w:val="none"/>
        </w:rPr>
      </w:pPr>
    </w:p>
    <w:p w14:paraId="1961030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成员1名称（盖单位章）：</w:t>
      </w:r>
    </w:p>
    <w:p w14:paraId="67DD36F5">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5A7B1B8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成员2名称（盖单位章）：</w:t>
      </w:r>
    </w:p>
    <w:p w14:paraId="3D040798">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35DFA194">
      <w:pPr>
        <w:adjustRightInd w:val="0"/>
        <w:snapToGrid w:val="0"/>
        <w:spacing w:line="360" w:lineRule="auto"/>
        <w:rPr>
          <w:rFonts w:ascii="宋体" w:hAnsi="宋体"/>
          <w:color w:val="auto"/>
          <w:szCs w:val="21"/>
          <w:highlight w:val="none"/>
        </w:rPr>
      </w:pPr>
      <w:r>
        <w:rPr>
          <w:rFonts w:ascii="宋体" w:hAnsi="宋体"/>
          <w:color w:val="auto"/>
          <w:szCs w:val="21"/>
          <w:highlight w:val="none"/>
        </w:rPr>
        <w:t>…</w:t>
      </w:r>
    </w:p>
    <w:p w14:paraId="664348C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0946122">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注：1.</w:t>
      </w:r>
      <w:r>
        <w:rPr>
          <w:rFonts w:hint="eastAsia" w:ascii="宋体" w:hAnsi="宋体"/>
          <w:color w:val="auto"/>
          <w:szCs w:val="21"/>
          <w:highlight w:val="none"/>
        </w:rPr>
        <w:t>本协议书由委托代理人签字的，应附授权委托书。</w:t>
      </w:r>
    </w:p>
    <w:p w14:paraId="2CCF460C">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2.投标人在提交投标文件的截止时间前修改“开标一览表”中的投标报价，影响本协议书第五条的，应同时修改本协议书第五条。否则，评审时价格评审优惠不予以考虑。</w:t>
      </w:r>
    </w:p>
    <w:p w14:paraId="4DEA5395">
      <w:pPr>
        <w:pStyle w:val="102"/>
        <w:ind w:firstLine="400"/>
        <w:rPr>
          <w:color w:val="auto"/>
          <w:highlight w:val="none"/>
        </w:rPr>
      </w:pPr>
      <w:r>
        <w:rPr>
          <w:color w:val="auto"/>
          <w:highlight w:val="none"/>
        </w:rPr>
        <w:br w:type="page"/>
      </w:r>
      <w:bookmarkStart w:id="1603" w:name="_Toc17581"/>
    </w:p>
    <w:bookmarkEnd w:id="1603"/>
    <w:p w14:paraId="79037F05">
      <w:pPr>
        <w:pStyle w:val="102"/>
        <w:rPr>
          <w:rFonts w:ascii="黑体" w:hAnsi="仿宋" w:eastAsia="黑体" w:cs="宋体"/>
          <w:bCs/>
          <w:color w:val="auto"/>
          <w:sz w:val="21"/>
          <w:szCs w:val="21"/>
          <w:highlight w:val="none"/>
        </w:rPr>
      </w:pPr>
      <w:r>
        <w:rPr>
          <w:rFonts w:hint="eastAsia" w:ascii="黑体" w:hAnsi="仿宋" w:eastAsia="黑体" w:cs="宋体"/>
          <w:bCs/>
          <w:color w:val="auto"/>
          <w:sz w:val="21"/>
          <w:szCs w:val="21"/>
          <w:highlight w:val="none"/>
        </w:rPr>
        <w:t>附件4-5 分包承诺（本项目不适用）</w:t>
      </w:r>
    </w:p>
    <w:p w14:paraId="376399DD">
      <w:pPr>
        <w:pStyle w:val="102"/>
        <w:rPr>
          <w:rFonts w:ascii="黑体" w:hAnsi="仿宋" w:cs="宋体"/>
          <w:color w:val="auto"/>
          <w:sz w:val="21"/>
          <w:szCs w:val="21"/>
          <w:highlight w:val="none"/>
        </w:rPr>
      </w:pPr>
    </w:p>
    <w:p w14:paraId="29202AD3">
      <w:pPr>
        <w:pStyle w:val="102"/>
        <w:rPr>
          <w:rFonts w:ascii="宋体" w:hAnsi="宋体"/>
          <w:color w:val="auto"/>
          <w:sz w:val="21"/>
          <w:szCs w:val="21"/>
          <w:highlight w:val="none"/>
        </w:rPr>
      </w:pPr>
      <w:r>
        <w:rPr>
          <w:rFonts w:hint="eastAsia" w:ascii="宋体" w:hAnsi="宋体"/>
          <w:color w:val="auto"/>
          <w:sz w:val="21"/>
          <w:szCs w:val="21"/>
          <w:highlight w:val="none"/>
        </w:rPr>
        <w:t>注：采购项目或者采购包属于“预留采购份额”，且要求合同分包的，投标人应当按照招标文件第一章第三条第2款规定提供《分包承诺》，格式自拟。</w:t>
      </w:r>
      <w:r>
        <w:rPr>
          <w:rFonts w:ascii="宋体" w:hAnsi="宋体"/>
          <w:color w:val="auto"/>
          <w:sz w:val="21"/>
          <w:szCs w:val="21"/>
          <w:highlight w:val="none"/>
        </w:rPr>
        <w:br w:type="page"/>
      </w:r>
    </w:p>
    <w:p w14:paraId="52C1CAD5">
      <w:pPr>
        <w:adjustRightInd w:val="0"/>
        <w:snapToGrid w:val="0"/>
        <w:spacing w:line="360" w:lineRule="auto"/>
        <w:jc w:val="center"/>
        <w:rPr>
          <w:rFonts w:ascii="宋体" w:hAnsi="宋体"/>
          <w:color w:val="auto"/>
          <w:sz w:val="32"/>
          <w:szCs w:val="32"/>
          <w:highlight w:val="none"/>
        </w:rPr>
      </w:pPr>
    </w:p>
    <w:p w14:paraId="62AB73A9">
      <w:pPr>
        <w:pStyle w:val="25"/>
        <w:adjustRightInd w:val="0"/>
        <w:snapToGrid w:val="0"/>
        <w:spacing w:line="360" w:lineRule="auto"/>
        <w:jc w:val="center"/>
        <w:rPr>
          <w:rFonts w:hAnsi="宋体"/>
          <w:bCs/>
          <w:color w:val="auto"/>
          <w:sz w:val="72"/>
          <w:szCs w:val="72"/>
          <w:highlight w:val="none"/>
        </w:rPr>
      </w:pPr>
      <w:r>
        <w:rPr>
          <w:rFonts w:hint="eastAsia" w:hAnsi="宋体"/>
          <w:bCs/>
          <w:color w:val="auto"/>
          <w:sz w:val="72"/>
          <w:szCs w:val="72"/>
          <w:highlight w:val="none"/>
        </w:rPr>
        <w:t>政府采购</w:t>
      </w:r>
    </w:p>
    <w:p w14:paraId="0A49AC76">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67A1B69A">
      <w:pPr>
        <w:pStyle w:val="3"/>
        <w:adjustRightInd w:val="0"/>
        <w:snapToGrid w:val="0"/>
        <w:jc w:val="center"/>
        <w:rPr>
          <w:rFonts w:ascii="宋体" w:hAnsi="宋体"/>
          <w:color w:val="auto"/>
          <w:sz w:val="44"/>
          <w:szCs w:val="44"/>
          <w:highlight w:val="none"/>
        </w:rPr>
      </w:pPr>
      <w:bookmarkStart w:id="1604" w:name="_Toc113350981"/>
      <w:bookmarkStart w:id="1605" w:name="_Toc189905405"/>
      <w:bookmarkStart w:id="1606" w:name="_Toc7726"/>
      <w:bookmarkStart w:id="1607" w:name="_Toc166778379"/>
      <w:bookmarkStart w:id="1608" w:name="_Toc79093721"/>
      <w:bookmarkStart w:id="1609" w:name="_Toc23677"/>
      <w:bookmarkStart w:id="1610" w:name="_Toc10761"/>
      <w:bookmarkStart w:id="1611" w:name="_Toc108483443"/>
      <w:bookmarkStart w:id="1612" w:name="_Toc9239"/>
      <w:bookmarkStart w:id="1613" w:name="_Toc6133"/>
      <w:bookmarkStart w:id="1614" w:name="_Toc24173"/>
      <w:bookmarkStart w:id="1615" w:name="_Toc137408763"/>
      <w:bookmarkStart w:id="1616" w:name="_Toc16446"/>
      <w:bookmarkStart w:id="1617" w:name="_Toc17350"/>
      <w:bookmarkStart w:id="1618" w:name="_Toc99299773"/>
      <w:bookmarkStart w:id="1619" w:name="_Toc171282448"/>
      <w:bookmarkStart w:id="1620" w:name="_Toc109656625"/>
      <w:bookmarkStart w:id="1621" w:name="_Toc4606"/>
      <w:bookmarkStart w:id="1622" w:name="_Toc193053751"/>
      <w:bookmarkStart w:id="1623" w:name="_Toc16132"/>
      <w:bookmarkStart w:id="1624" w:name="_Toc22182"/>
      <w:bookmarkStart w:id="1625" w:name="_Toc31044"/>
      <w:bookmarkStart w:id="1626" w:name="_Toc103979626"/>
      <w:bookmarkStart w:id="1627" w:name="_Toc21099"/>
      <w:bookmarkStart w:id="1628" w:name="_Toc2550"/>
      <w:bookmarkStart w:id="1629" w:name="_Toc5630"/>
      <w:bookmarkStart w:id="1630" w:name="_Toc140957915"/>
      <w:bookmarkStart w:id="1631" w:name="_Toc11315"/>
      <w:bookmarkStart w:id="1632" w:name="_Toc111543603"/>
      <w:bookmarkStart w:id="1633" w:name="_Toc118209472"/>
      <w:r>
        <w:rPr>
          <w:rFonts w:hint="eastAsia" w:ascii="宋体" w:hAnsi="宋体"/>
          <w:color w:val="auto"/>
          <w:sz w:val="44"/>
          <w:szCs w:val="44"/>
          <w:highlight w:val="none"/>
        </w:rPr>
        <w:t>第二部分 商务技术文件</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p>
    <w:p w14:paraId="7A36FF69">
      <w:pPr>
        <w:adjustRightInd w:val="0"/>
        <w:snapToGrid w:val="0"/>
        <w:spacing w:line="360" w:lineRule="auto"/>
        <w:rPr>
          <w:rFonts w:ascii="宋体" w:hAnsi="宋体"/>
          <w:color w:val="auto"/>
          <w:sz w:val="32"/>
          <w:szCs w:val="32"/>
          <w:highlight w:val="none"/>
        </w:rPr>
      </w:pPr>
    </w:p>
    <w:p w14:paraId="253D0697">
      <w:pPr>
        <w:pStyle w:val="25"/>
        <w:adjustRightInd w:val="0"/>
        <w:snapToGrid w:val="0"/>
        <w:spacing w:line="360" w:lineRule="auto"/>
        <w:ind w:firstLine="1988" w:firstLineChars="660"/>
        <w:rPr>
          <w:rFonts w:hAnsi="宋体"/>
          <w:b/>
          <w:bCs/>
          <w:color w:val="auto"/>
          <w:sz w:val="30"/>
          <w:szCs w:val="30"/>
          <w:highlight w:val="none"/>
        </w:rPr>
      </w:pPr>
    </w:p>
    <w:p w14:paraId="0F4C12E5">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p>
    <w:p w14:paraId="745FC41C">
      <w:pPr>
        <w:pStyle w:val="25"/>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p>
    <w:p w14:paraId="7F2F4EB0">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p>
    <w:p w14:paraId="2C96BC66">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委托代理编号:</w:t>
      </w:r>
    </w:p>
    <w:p w14:paraId="10DB4E19">
      <w:pPr>
        <w:pStyle w:val="25"/>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p>
    <w:p w14:paraId="70C22D6A">
      <w:pPr>
        <w:adjustRightInd w:val="0"/>
        <w:snapToGrid w:val="0"/>
        <w:spacing w:line="360" w:lineRule="auto"/>
        <w:rPr>
          <w:rFonts w:ascii="宋体" w:hAnsi="宋体"/>
          <w:color w:val="auto"/>
          <w:sz w:val="30"/>
          <w:szCs w:val="30"/>
          <w:highlight w:val="none"/>
        </w:rPr>
      </w:pPr>
    </w:p>
    <w:p w14:paraId="07F88AA6">
      <w:pPr>
        <w:adjustRightInd w:val="0"/>
        <w:snapToGrid w:val="0"/>
        <w:spacing w:line="360" w:lineRule="auto"/>
        <w:rPr>
          <w:rFonts w:ascii="宋体" w:hAnsi="宋体"/>
          <w:color w:val="auto"/>
          <w:sz w:val="30"/>
          <w:szCs w:val="30"/>
          <w:highlight w:val="none"/>
        </w:rPr>
      </w:pPr>
    </w:p>
    <w:p w14:paraId="1FB48504">
      <w:pPr>
        <w:adjustRightInd w:val="0"/>
        <w:snapToGrid w:val="0"/>
        <w:spacing w:line="360" w:lineRule="auto"/>
        <w:rPr>
          <w:rFonts w:ascii="宋体" w:hAnsi="宋体"/>
          <w:color w:val="auto"/>
          <w:sz w:val="30"/>
          <w:szCs w:val="30"/>
          <w:highlight w:val="none"/>
        </w:rPr>
      </w:pPr>
    </w:p>
    <w:p w14:paraId="5CE67F6C">
      <w:pPr>
        <w:adjustRightInd w:val="0"/>
        <w:snapToGrid w:val="0"/>
        <w:spacing w:line="360" w:lineRule="auto"/>
        <w:rPr>
          <w:rFonts w:ascii="宋体" w:hAnsi="宋体"/>
          <w:color w:val="auto"/>
          <w:sz w:val="30"/>
          <w:szCs w:val="30"/>
          <w:highlight w:val="none"/>
        </w:rPr>
      </w:pPr>
    </w:p>
    <w:p w14:paraId="401E06C2">
      <w:pPr>
        <w:adjustRightInd w:val="0"/>
        <w:snapToGrid w:val="0"/>
        <w:spacing w:line="360" w:lineRule="auto"/>
        <w:ind w:left="1273" w:leftChars="606" w:firstLine="2"/>
        <w:rPr>
          <w:rFonts w:ascii="宋体" w:hAnsi="宋体"/>
          <w:color w:val="auto"/>
          <w:sz w:val="32"/>
          <w:szCs w:val="32"/>
          <w:highlight w:val="none"/>
          <w:u w:val="single"/>
        </w:rPr>
      </w:pPr>
      <w:r>
        <w:rPr>
          <w:rFonts w:hint="eastAsia" w:ascii="宋体" w:hAnsi="宋体"/>
          <w:color w:val="auto"/>
          <w:sz w:val="32"/>
          <w:szCs w:val="32"/>
          <w:highlight w:val="none"/>
        </w:rPr>
        <w:t>投标人</w:t>
      </w:r>
    </w:p>
    <w:p w14:paraId="47E1D390">
      <w:pPr>
        <w:adjustRightInd w:val="0"/>
        <w:snapToGrid w:val="0"/>
        <w:spacing w:line="360" w:lineRule="auto"/>
        <w:jc w:val="center"/>
        <w:rPr>
          <w:rFonts w:ascii="宋体" w:hAnsi="宋体"/>
          <w:color w:val="auto"/>
          <w:sz w:val="32"/>
          <w:szCs w:val="32"/>
          <w:highlight w:val="none"/>
        </w:rPr>
      </w:pPr>
      <w:r>
        <w:rPr>
          <w:rFonts w:hint="eastAsia" w:ascii="宋体" w:hAnsi="宋体"/>
          <w:color w:val="auto"/>
          <w:sz w:val="32"/>
          <w:szCs w:val="32"/>
          <w:highlight w:val="none"/>
        </w:rPr>
        <w:t>年  月  日</w:t>
      </w:r>
    </w:p>
    <w:p w14:paraId="2C16DC43">
      <w:pPr>
        <w:pStyle w:val="5"/>
        <w:adjustRightInd w:val="0"/>
        <w:spacing w:beforeLines="50" w:after="0" w:line="240" w:lineRule="auto"/>
        <w:jc w:val="left"/>
        <w:rPr>
          <w:rFonts w:ascii="宋体" w:hAnsi="宋体"/>
          <w:b w:val="0"/>
          <w:bCs w:val="0"/>
          <w:color w:val="auto"/>
          <w:sz w:val="21"/>
          <w:szCs w:val="21"/>
          <w:highlight w:val="none"/>
        </w:rPr>
      </w:pPr>
      <w:r>
        <w:rPr>
          <w:rFonts w:ascii="宋体" w:hAnsi="宋体" w:eastAsia="宋体"/>
          <w:color w:val="auto"/>
          <w:highlight w:val="none"/>
          <w:u w:val="single"/>
        </w:rPr>
        <w:br w:type="page"/>
      </w:r>
    </w:p>
    <w:p w14:paraId="64242C58">
      <w:pPr>
        <w:pStyle w:val="3"/>
        <w:adjustRightInd w:val="0"/>
        <w:snapToGrid w:val="0"/>
        <w:jc w:val="center"/>
        <w:rPr>
          <w:rFonts w:ascii="宋体" w:hAnsi="宋体"/>
          <w:color w:val="auto"/>
          <w:sz w:val="28"/>
          <w:szCs w:val="28"/>
          <w:highlight w:val="none"/>
        </w:rPr>
      </w:pPr>
      <w:bookmarkStart w:id="1634" w:name="_Toc30007"/>
      <w:bookmarkStart w:id="1635" w:name="_Toc27802"/>
      <w:bookmarkStart w:id="1636" w:name="_Toc171282449"/>
      <w:bookmarkStart w:id="1637" w:name="_Toc20074"/>
      <w:bookmarkStart w:id="1638" w:name="_Toc14851"/>
      <w:bookmarkStart w:id="1639" w:name="_Toc103979629"/>
      <w:bookmarkStart w:id="1640" w:name="_Toc113350982"/>
      <w:bookmarkStart w:id="1641" w:name="_Toc10626"/>
      <w:bookmarkStart w:id="1642" w:name="_Toc109656628"/>
      <w:bookmarkStart w:id="1643" w:name="_Toc189905406"/>
      <w:bookmarkStart w:id="1644" w:name="_Toc4912"/>
      <w:bookmarkStart w:id="1645" w:name="_Toc7562"/>
      <w:bookmarkStart w:id="1646" w:name="_Toc30765"/>
      <w:bookmarkStart w:id="1647" w:name="_Toc20362"/>
      <w:bookmarkStart w:id="1648" w:name="_Toc9585"/>
      <w:bookmarkStart w:id="1649" w:name="_Toc15187"/>
      <w:bookmarkStart w:id="1650" w:name="_Toc99299776"/>
      <w:bookmarkStart w:id="1651" w:name="_Toc140957916"/>
      <w:bookmarkStart w:id="1652" w:name="_Toc111543606"/>
      <w:bookmarkStart w:id="1653" w:name="_Toc166778380"/>
      <w:bookmarkStart w:id="1654" w:name="_Toc118209473"/>
      <w:bookmarkStart w:id="1655" w:name="_Toc4451"/>
      <w:bookmarkStart w:id="1656" w:name="_Toc22326"/>
      <w:bookmarkStart w:id="1657" w:name="_Toc137408764"/>
      <w:bookmarkStart w:id="1658" w:name="_Toc30333"/>
      <w:bookmarkStart w:id="1659" w:name="_Toc79093724"/>
      <w:bookmarkStart w:id="1660" w:name="_Toc10992"/>
      <w:bookmarkStart w:id="1661" w:name="_Toc25165"/>
      <w:bookmarkStart w:id="1662" w:name="_Toc108483446"/>
      <w:bookmarkStart w:id="1663" w:name="_Toc193053752"/>
      <w:r>
        <w:rPr>
          <w:rFonts w:hint="eastAsia" w:ascii="宋体" w:hAnsi="宋体"/>
          <w:color w:val="auto"/>
          <w:sz w:val="28"/>
          <w:szCs w:val="28"/>
          <w:highlight w:val="none"/>
        </w:rPr>
        <w:t>五</w:t>
      </w:r>
      <w:r>
        <w:rPr>
          <w:rFonts w:ascii="宋体" w:hAnsi="宋体"/>
          <w:color w:val="auto"/>
          <w:sz w:val="28"/>
          <w:szCs w:val="28"/>
          <w:highlight w:val="none"/>
        </w:rPr>
        <w:t>、</w:t>
      </w:r>
      <w:r>
        <w:rPr>
          <w:rFonts w:hint="eastAsia" w:ascii="宋体" w:hAnsi="宋体"/>
          <w:color w:val="auto"/>
          <w:sz w:val="28"/>
          <w:szCs w:val="28"/>
          <w:highlight w:val="none"/>
        </w:rPr>
        <w:t>投标函</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14:paraId="1DF58ACA">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致：（采购人、采购代理机构）：</w:t>
      </w:r>
    </w:p>
    <w:p w14:paraId="17994EE3">
      <w:pPr>
        <w:adjustRightInd w:val="0"/>
        <w:snapToGrid w:val="0"/>
        <w:spacing w:beforeLines="50" w:line="360" w:lineRule="auto"/>
        <w:ind w:firstLine="435"/>
        <w:rPr>
          <w:rFonts w:ascii="宋体" w:hAnsi="宋体"/>
          <w:color w:val="auto"/>
          <w:szCs w:val="21"/>
          <w:highlight w:val="none"/>
        </w:rPr>
      </w:pPr>
      <w:r>
        <w:rPr>
          <w:rFonts w:hint="eastAsia" w:ascii="宋体" w:hAnsi="宋体"/>
          <w:color w:val="auto"/>
          <w:szCs w:val="21"/>
          <w:highlight w:val="none"/>
        </w:rPr>
        <w:t>根据贵方为（项目名称）的投标邀请（</w:t>
      </w:r>
      <w:r>
        <w:rPr>
          <w:rFonts w:hint="eastAsia" w:ascii="宋体" w:hAnsi="宋体"/>
          <w:color w:val="auto"/>
          <w:highlight w:val="none"/>
        </w:rPr>
        <w:t>政府采购计划编号</w:t>
      </w:r>
      <w:r>
        <w:rPr>
          <w:rFonts w:hint="eastAsia" w:ascii="宋体" w:hAnsi="宋体"/>
          <w:iCs/>
          <w:color w:val="auto"/>
          <w:highlight w:val="none"/>
        </w:rPr>
        <w:t>： ，</w:t>
      </w:r>
      <w:r>
        <w:rPr>
          <w:rFonts w:hint="eastAsia" w:ascii="宋体" w:hAnsi="宋体"/>
          <w:color w:val="auto"/>
          <w:szCs w:val="21"/>
          <w:highlight w:val="none"/>
        </w:rPr>
        <w:t>委托代理编号：），签字代表 （姓名、职务）经正式授权并代表投标人 （投标人名称）提交下述电子投标文件一份,参加采购项目第</w:t>
      </w:r>
      <w:r>
        <w:rPr>
          <w:rFonts w:hint="eastAsia" w:ascii="宋体" w:hAnsi="宋体"/>
          <w:color w:val="auto"/>
          <w:szCs w:val="21"/>
          <w:highlight w:val="none"/>
          <w:u w:val="single"/>
        </w:rPr>
        <w:t xml:space="preserve">     </w:t>
      </w:r>
      <w:r>
        <w:rPr>
          <w:rFonts w:hint="eastAsia" w:ascii="宋体" w:hAnsi="宋体"/>
          <w:color w:val="auto"/>
          <w:szCs w:val="21"/>
          <w:highlight w:val="none"/>
        </w:rPr>
        <w:t>包投标，并在此声明，所递交的投标文件内容完整、真实。</w:t>
      </w:r>
    </w:p>
    <w:p w14:paraId="4A9745ED">
      <w:pPr>
        <w:adjustRightInd w:val="0"/>
        <w:snapToGrid w:val="0"/>
        <w:spacing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5DD6D525">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一、开标一览表</w:t>
      </w:r>
    </w:p>
    <w:p w14:paraId="02462B4B">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二、投标保证金</w:t>
      </w:r>
    </w:p>
    <w:p w14:paraId="18639C08">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三、授权委托书</w:t>
      </w:r>
    </w:p>
    <w:p w14:paraId="116BD708">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四、投标人提供的资格证明文件</w:t>
      </w:r>
    </w:p>
    <w:p w14:paraId="65F42308">
      <w:pPr>
        <w:adjustRightInd w:val="0"/>
        <w:snapToGrid w:val="0"/>
        <w:spacing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商务技术文件</w:t>
      </w:r>
    </w:p>
    <w:p w14:paraId="048E78E1">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五、投标函</w:t>
      </w:r>
    </w:p>
    <w:p w14:paraId="67E06C54">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六、分项报价</w:t>
      </w:r>
    </w:p>
    <w:p w14:paraId="1A0865E9">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七、采购需求响应</w:t>
      </w:r>
    </w:p>
    <w:p w14:paraId="36396A29">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八、合同条款偏离表</w:t>
      </w:r>
    </w:p>
    <w:p w14:paraId="6BC83E75">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九、采购需求偏离表</w:t>
      </w:r>
    </w:p>
    <w:p w14:paraId="408D1A37">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32AEE5B7">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669D6711">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十二、投标人认为需提供的其他资料</w:t>
      </w:r>
    </w:p>
    <w:p w14:paraId="0EFB5017">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在此，签字代表宣布同意如下：</w:t>
      </w:r>
    </w:p>
    <w:p w14:paraId="471FF43D">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1、投标人严格按照招标文件的规定报价，见《开标一览表》。</w:t>
      </w:r>
    </w:p>
    <w:p w14:paraId="78FDE41E">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2、投标人将按招标文件的规定履行合同责任和义务。</w:t>
      </w:r>
    </w:p>
    <w:p w14:paraId="24A6F066">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3、投标人已详细审查招标文件。我们完全理解并同意放弃对这方面有不明及误解的权力。</w:t>
      </w:r>
    </w:p>
    <w:p w14:paraId="0A05B082">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szCs w:val="21"/>
          <w:highlight w:val="none"/>
        </w:rPr>
        <w:t>4、本投标有效期为自招标文件规定的提交投标文件截止之日起</w:t>
      </w:r>
      <w:r>
        <w:rPr>
          <w:rFonts w:hint="eastAsia" w:ascii="宋体" w:hAnsi="宋体"/>
          <w:color w:val="auto"/>
          <w:szCs w:val="21"/>
          <w:highlight w:val="none"/>
          <w:u w:val="single"/>
        </w:rPr>
        <w:t xml:space="preserve"> 90 </w:t>
      </w:r>
      <w:r>
        <w:rPr>
          <w:rFonts w:hint="eastAsia" w:ascii="宋体" w:hAnsi="宋体"/>
          <w:color w:val="auto"/>
          <w:szCs w:val="21"/>
          <w:highlight w:val="none"/>
        </w:rPr>
        <w:t>个日历日。在投标有效期内，</w:t>
      </w:r>
      <w:r>
        <w:rPr>
          <w:rFonts w:hint="eastAsia" w:ascii="宋体" w:hAnsi="宋体"/>
          <w:color w:val="auto"/>
          <w:highlight w:val="none"/>
        </w:rPr>
        <w:t>投标人同意遵守本</w:t>
      </w:r>
      <w:r>
        <w:rPr>
          <w:rFonts w:hint="eastAsia" w:ascii="宋体" w:hAnsi="宋体"/>
          <w:color w:val="auto"/>
          <w:szCs w:val="21"/>
          <w:highlight w:val="none"/>
        </w:rPr>
        <w:t>投标</w:t>
      </w:r>
      <w:r>
        <w:rPr>
          <w:rFonts w:hint="eastAsia" w:ascii="宋体" w:hAnsi="宋体"/>
          <w:color w:val="auto"/>
          <w:highlight w:val="none"/>
        </w:rPr>
        <w:t>文件中的承诺且在此期限期满之前</w:t>
      </w:r>
      <w:r>
        <w:rPr>
          <w:rFonts w:hint="eastAsia" w:ascii="宋体" w:hAnsi="宋体"/>
          <w:color w:val="auto"/>
          <w:szCs w:val="21"/>
          <w:highlight w:val="none"/>
        </w:rPr>
        <w:t>投标</w:t>
      </w:r>
      <w:r>
        <w:rPr>
          <w:rFonts w:hint="eastAsia" w:ascii="宋体" w:hAnsi="宋体"/>
          <w:color w:val="auto"/>
          <w:highlight w:val="none"/>
        </w:rPr>
        <w:t>文件</w:t>
      </w:r>
      <w:r>
        <w:rPr>
          <w:rFonts w:hint="eastAsia" w:ascii="宋体" w:hAnsi="宋体"/>
          <w:color w:val="auto"/>
          <w:szCs w:val="21"/>
          <w:highlight w:val="none"/>
        </w:rPr>
        <w:t>对我方具有法律约束力</w:t>
      </w:r>
      <w:r>
        <w:rPr>
          <w:rFonts w:hint="eastAsia" w:ascii="宋体" w:hAnsi="宋体"/>
          <w:color w:val="auto"/>
          <w:highlight w:val="none"/>
        </w:rPr>
        <w:t>。</w:t>
      </w:r>
    </w:p>
    <w:p w14:paraId="70E17753">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5、</w:t>
      </w:r>
      <w:r>
        <w:rPr>
          <w:rFonts w:hint="eastAsia" w:ascii="宋体" w:hAnsi="宋体"/>
          <w:color w:val="auto"/>
          <w:szCs w:val="21"/>
          <w:highlight w:val="none"/>
        </w:rPr>
        <w:t>同意提供贵方可能要求的与其投标有关的一切数据或资料。</w:t>
      </w:r>
    </w:p>
    <w:p w14:paraId="6F8CFA47">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5BEAD62F">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地址：；邮编： ；电话：；电子邮箱： 。</w:t>
      </w:r>
    </w:p>
    <w:p w14:paraId="18A1A4D5">
      <w:pPr>
        <w:adjustRightInd w:val="0"/>
        <w:snapToGrid w:val="0"/>
        <w:spacing w:beforeLines="50" w:line="360" w:lineRule="auto"/>
        <w:ind w:firstLine="420" w:firstLineChars="200"/>
        <w:rPr>
          <w:rFonts w:ascii="宋体" w:hAnsi="宋体"/>
          <w:color w:val="auto"/>
          <w:szCs w:val="21"/>
          <w:highlight w:val="none"/>
        </w:rPr>
      </w:pPr>
    </w:p>
    <w:p w14:paraId="49492A75">
      <w:pPr>
        <w:pStyle w:val="25"/>
        <w:adjustRightInd w:val="0"/>
        <w:snapToGrid w:val="0"/>
        <w:spacing w:beforeLines="50" w:line="360" w:lineRule="auto"/>
        <w:rPr>
          <w:rFonts w:hAnsi="宋体"/>
          <w:color w:val="auto"/>
          <w:sz w:val="21"/>
          <w:highlight w:val="none"/>
        </w:rPr>
      </w:pPr>
    </w:p>
    <w:p w14:paraId="21B99FDA">
      <w:pPr>
        <w:pStyle w:val="25"/>
        <w:adjustRightInd w:val="0"/>
        <w:snapToGrid w:val="0"/>
        <w:spacing w:beforeLines="50" w:line="360" w:lineRule="auto"/>
        <w:rPr>
          <w:rFonts w:hAnsi="宋体"/>
          <w:color w:val="auto"/>
          <w:highlight w:val="none"/>
        </w:rPr>
      </w:pPr>
      <w:r>
        <w:rPr>
          <w:rFonts w:hint="eastAsia" w:hAnsi="宋体"/>
          <w:color w:val="auto"/>
          <w:sz w:val="21"/>
          <w:highlight w:val="none"/>
        </w:rPr>
        <w:t xml:space="preserve">投标人名称（盖单位章）：               </w:t>
      </w:r>
      <w:r>
        <w:rPr>
          <w:rFonts w:hint="eastAsia" w:hAnsi="宋体"/>
          <w:color w:val="auto"/>
          <w:highlight w:val="none"/>
        </w:rPr>
        <w:t xml:space="preserve">        </w:t>
      </w:r>
    </w:p>
    <w:p w14:paraId="737C2853">
      <w:pPr>
        <w:adjustRightInd w:val="0"/>
        <w:snapToGrid w:val="0"/>
        <w:spacing w:beforeLines="50"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65293A76">
      <w:pPr>
        <w:adjustRightInd w:val="0"/>
        <w:snapToGrid w:val="0"/>
        <w:rPr>
          <w:rFonts w:ascii="宋体" w:hAnsi="宋体"/>
          <w:color w:val="auto"/>
          <w:szCs w:val="21"/>
          <w:highlight w:val="none"/>
        </w:rPr>
      </w:pPr>
      <w:r>
        <w:rPr>
          <w:rFonts w:hint="eastAsia" w:ascii="宋体" w:hAnsi="宋体"/>
          <w:color w:val="auto"/>
          <w:szCs w:val="21"/>
          <w:highlight w:val="none"/>
        </w:rPr>
        <w:t>日期：年月日</w:t>
      </w:r>
    </w:p>
    <w:p w14:paraId="6C82FBA6">
      <w:pPr>
        <w:adjustRightInd w:val="0"/>
        <w:snapToGrid w:val="0"/>
        <w:jc w:val="center"/>
        <w:outlineLvl w:val="1"/>
        <w:rPr>
          <w:rFonts w:ascii="宋体" w:hAnsi="宋体"/>
          <w:color w:val="auto"/>
          <w:sz w:val="28"/>
          <w:szCs w:val="28"/>
          <w:highlight w:val="none"/>
        </w:rPr>
      </w:pPr>
      <w:r>
        <w:rPr>
          <w:rFonts w:ascii="宋体" w:hAnsi="宋体"/>
          <w:b/>
          <w:bCs/>
          <w:color w:val="auto"/>
          <w:sz w:val="28"/>
          <w:szCs w:val="28"/>
          <w:highlight w:val="none"/>
        </w:rPr>
        <w:br w:type="page"/>
      </w:r>
      <w:bookmarkStart w:id="1664" w:name="_Toc10890"/>
      <w:bookmarkStart w:id="1665" w:name="_Toc30582"/>
      <w:bookmarkStart w:id="1666" w:name="_Toc137408765"/>
      <w:bookmarkStart w:id="1667" w:name="_Toc103979630"/>
      <w:bookmarkStart w:id="1668" w:name="_Toc113350983"/>
      <w:bookmarkStart w:id="1669" w:name="_Toc1984"/>
      <w:bookmarkStart w:id="1670" w:name="_Toc25019"/>
      <w:bookmarkStart w:id="1671" w:name="_Toc111543607"/>
      <w:bookmarkStart w:id="1672" w:name="_Toc10004"/>
      <w:bookmarkStart w:id="1673" w:name="_Toc30820"/>
      <w:bookmarkStart w:id="1674" w:name="_Toc99299777"/>
      <w:bookmarkStart w:id="1675" w:name="_Toc28848"/>
      <w:bookmarkStart w:id="1676" w:name="_Toc23279"/>
      <w:bookmarkStart w:id="1677" w:name="_Toc118209474"/>
      <w:bookmarkStart w:id="1678" w:name="_Toc79093725"/>
      <w:bookmarkStart w:id="1679" w:name="_Toc138"/>
      <w:bookmarkStart w:id="1680" w:name="_Toc10281"/>
      <w:bookmarkStart w:id="1681" w:name="_Toc193053753"/>
      <w:bookmarkStart w:id="1682" w:name="_Toc189905407"/>
      <w:bookmarkStart w:id="1683" w:name="_Toc109656629"/>
      <w:bookmarkStart w:id="1684" w:name="_Toc28172"/>
      <w:bookmarkStart w:id="1685" w:name="_Toc108483447"/>
      <w:bookmarkStart w:id="1686" w:name="_Toc171282450"/>
      <w:bookmarkStart w:id="1687" w:name="_Toc13707"/>
      <w:bookmarkStart w:id="1688" w:name="_Toc140957917"/>
      <w:bookmarkStart w:id="1689" w:name="_Toc29022"/>
      <w:bookmarkStart w:id="1690" w:name="_Toc9104"/>
      <w:r>
        <w:rPr>
          <w:rFonts w:hint="eastAsia" w:ascii="宋体" w:hAnsi="宋体"/>
          <w:b/>
          <w:bCs/>
          <w:color w:val="auto"/>
          <w:sz w:val="28"/>
          <w:szCs w:val="28"/>
          <w:highlight w:val="none"/>
        </w:rPr>
        <w:t>六、分项报价</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14:paraId="391C10B3">
      <w:pPr>
        <w:pStyle w:val="5"/>
        <w:spacing w:before="120" w:line="377" w:lineRule="auto"/>
        <w:jc w:val="left"/>
        <w:rPr>
          <w:rFonts w:ascii="宋体" w:hAnsi="宋体" w:eastAsia="宋体" w:cs="微软雅黑"/>
          <w:b w:val="0"/>
          <w:color w:val="auto"/>
          <w:sz w:val="21"/>
          <w:szCs w:val="21"/>
          <w:highlight w:val="none"/>
        </w:rPr>
      </w:pPr>
      <w:bookmarkStart w:id="1691" w:name="_Toc29173"/>
      <w:r>
        <w:rPr>
          <w:rFonts w:hint="eastAsia" w:ascii="宋体" w:hAnsi="宋体" w:eastAsia="宋体" w:cs="宋体"/>
          <w:b w:val="0"/>
          <w:bCs w:val="0"/>
          <w:color w:val="auto"/>
          <w:spacing w:val="6"/>
          <w:sz w:val="21"/>
          <w:szCs w:val="21"/>
          <w:highlight w:val="none"/>
        </w:rPr>
        <w:t xml:space="preserve">附件6-1 </w:t>
      </w:r>
      <w:r>
        <w:rPr>
          <w:rFonts w:hint="eastAsia" w:ascii="宋体" w:hAnsi="宋体" w:eastAsia="宋体" w:cs="微软雅黑"/>
          <w:b w:val="0"/>
          <w:color w:val="auto"/>
          <w:spacing w:val="-2"/>
          <w:sz w:val="21"/>
          <w:szCs w:val="21"/>
          <w:highlight w:val="none"/>
        </w:rPr>
        <w:t>分</w:t>
      </w:r>
      <w:r>
        <w:rPr>
          <w:rFonts w:hint="eastAsia" w:ascii="宋体" w:hAnsi="宋体" w:eastAsia="宋体" w:cs="微软雅黑"/>
          <w:b w:val="0"/>
          <w:color w:val="auto"/>
          <w:sz w:val="21"/>
          <w:szCs w:val="21"/>
          <w:highlight w:val="none"/>
        </w:rPr>
        <w:t>项</w:t>
      </w:r>
      <w:r>
        <w:rPr>
          <w:rFonts w:hint="eastAsia" w:ascii="宋体" w:hAnsi="宋体" w:eastAsia="宋体" w:cs="微软雅黑"/>
          <w:b w:val="0"/>
          <w:color w:val="auto"/>
          <w:spacing w:val="-2"/>
          <w:sz w:val="21"/>
          <w:szCs w:val="21"/>
          <w:highlight w:val="none"/>
        </w:rPr>
        <w:t>报</w:t>
      </w:r>
      <w:r>
        <w:rPr>
          <w:rFonts w:hint="eastAsia" w:ascii="宋体" w:hAnsi="宋体" w:eastAsia="宋体" w:cs="微软雅黑"/>
          <w:b w:val="0"/>
          <w:color w:val="auto"/>
          <w:sz w:val="21"/>
          <w:szCs w:val="21"/>
          <w:highlight w:val="none"/>
        </w:rPr>
        <w:t>价说明</w:t>
      </w:r>
      <w:bookmarkEnd w:id="1691"/>
    </w:p>
    <w:p w14:paraId="6019BAE5">
      <w:pPr>
        <w:autoSpaceDE w:val="0"/>
        <w:autoSpaceDN w:val="0"/>
        <w:adjustRightInd w:val="0"/>
        <w:snapToGrid w:val="0"/>
        <w:spacing w:line="360" w:lineRule="auto"/>
        <w:jc w:val="center"/>
        <w:outlineLvl w:val="2"/>
        <w:rPr>
          <w:rFonts w:ascii="宋体" w:hAnsi="宋体" w:cs="微软雅黑"/>
          <w:b/>
          <w:color w:val="auto"/>
          <w:kern w:val="0"/>
          <w:sz w:val="28"/>
          <w:szCs w:val="28"/>
          <w:highlight w:val="none"/>
        </w:rPr>
      </w:pPr>
      <w:bookmarkStart w:id="1692" w:name="_Toc166778381"/>
      <w:bookmarkStart w:id="1693" w:name="_Toc103979631"/>
      <w:bookmarkStart w:id="1694" w:name="_Toc3818"/>
      <w:bookmarkStart w:id="1695" w:name="_Toc14405"/>
      <w:bookmarkStart w:id="1696" w:name="_Toc171282451"/>
      <w:bookmarkStart w:id="1697" w:name="_Toc18926"/>
      <w:bookmarkStart w:id="1698" w:name="_Toc29984"/>
      <w:bookmarkStart w:id="1699" w:name="_Toc109656630"/>
      <w:bookmarkStart w:id="1700" w:name="_Toc5357"/>
      <w:bookmarkStart w:id="1701" w:name="_Toc14557"/>
      <w:bookmarkStart w:id="1702" w:name="_Toc108483448"/>
      <w:bookmarkStart w:id="1703" w:name="_Toc111543608"/>
      <w:bookmarkStart w:id="1704" w:name="_Toc113350984"/>
      <w:bookmarkStart w:id="1705" w:name="_Toc193053754"/>
      <w:bookmarkStart w:id="1706" w:name="_Toc1267"/>
      <w:bookmarkStart w:id="1707" w:name="_Toc140957918"/>
      <w:bookmarkStart w:id="1708" w:name="_Toc189905408"/>
      <w:bookmarkStart w:id="1709" w:name="_Toc99299778"/>
      <w:bookmarkStart w:id="1710" w:name="_Toc22685"/>
      <w:bookmarkStart w:id="1711" w:name="_Toc6031"/>
      <w:bookmarkStart w:id="1712" w:name="_Toc5919"/>
      <w:bookmarkStart w:id="1713" w:name="_Toc13886"/>
      <w:bookmarkStart w:id="1714" w:name="_Toc26776"/>
      <w:bookmarkStart w:id="1715" w:name="_Toc137408766"/>
      <w:bookmarkStart w:id="1716" w:name="_Toc79093726"/>
      <w:bookmarkStart w:id="1717" w:name="_Toc9379"/>
      <w:bookmarkStart w:id="1718" w:name="_Toc118209475"/>
      <w:bookmarkStart w:id="1719" w:name="_Toc9758"/>
      <w:bookmarkStart w:id="1720" w:name="_Toc18897"/>
      <w:r>
        <w:rPr>
          <w:rFonts w:hint="eastAsia" w:ascii="宋体" w:hAnsi="宋体" w:cs="微软雅黑"/>
          <w:b/>
          <w:color w:val="auto"/>
          <w:spacing w:val="-2"/>
          <w:kern w:val="0"/>
          <w:sz w:val="28"/>
          <w:szCs w:val="28"/>
          <w:highlight w:val="none"/>
        </w:rPr>
        <w:t>分</w:t>
      </w:r>
      <w:r>
        <w:rPr>
          <w:rFonts w:hint="eastAsia" w:ascii="宋体" w:hAnsi="宋体" w:cs="微软雅黑"/>
          <w:b/>
          <w:color w:val="auto"/>
          <w:kern w:val="0"/>
          <w:sz w:val="28"/>
          <w:szCs w:val="28"/>
          <w:highlight w:val="none"/>
        </w:rPr>
        <w:t>项</w:t>
      </w:r>
      <w:r>
        <w:rPr>
          <w:rFonts w:hint="eastAsia" w:ascii="宋体" w:hAnsi="宋体" w:cs="微软雅黑"/>
          <w:b/>
          <w:color w:val="auto"/>
          <w:spacing w:val="-2"/>
          <w:kern w:val="0"/>
          <w:sz w:val="28"/>
          <w:szCs w:val="28"/>
          <w:highlight w:val="none"/>
        </w:rPr>
        <w:t>报</w:t>
      </w:r>
      <w:r>
        <w:rPr>
          <w:rFonts w:hint="eastAsia" w:ascii="宋体" w:hAnsi="宋体" w:cs="微软雅黑"/>
          <w:b/>
          <w:color w:val="auto"/>
          <w:kern w:val="0"/>
          <w:sz w:val="28"/>
          <w:szCs w:val="28"/>
          <w:highlight w:val="none"/>
        </w:rPr>
        <w:t>价说明</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14:paraId="65DB98D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（格式自拟）</w:t>
      </w:r>
    </w:p>
    <w:p w14:paraId="18CDD0CC">
      <w:pPr>
        <w:rPr>
          <w:rFonts w:ascii="宋体" w:hAnsi="宋体"/>
          <w:color w:val="auto"/>
          <w:highlight w:val="none"/>
        </w:rPr>
      </w:pPr>
    </w:p>
    <w:p w14:paraId="2FF0EFA9">
      <w:pPr>
        <w:pStyle w:val="134"/>
        <w:ind w:firstLine="414"/>
        <w:rPr>
          <w:rFonts w:ascii="宋体" w:hAnsi="宋体"/>
          <w:color w:val="auto"/>
          <w:highlight w:val="none"/>
        </w:rPr>
      </w:pPr>
    </w:p>
    <w:p w14:paraId="4BAD8CAE">
      <w:pPr>
        <w:pStyle w:val="134"/>
        <w:ind w:firstLine="414"/>
        <w:rPr>
          <w:rFonts w:ascii="宋体" w:hAnsi="宋体"/>
          <w:color w:val="auto"/>
          <w:highlight w:val="none"/>
        </w:rPr>
      </w:pPr>
    </w:p>
    <w:p w14:paraId="152F7AC3">
      <w:pPr>
        <w:pStyle w:val="134"/>
        <w:ind w:firstLine="414"/>
        <w:rPr>
          <w:rFonts w:ascii="宋体" w:hAnsi="宋体"/>
          <w:color w:val="auto"/>
          <w:highlight w:val="none"/>
        </w:rPr>
      </w:pPr>
    </w:p>
    <w:p w14:paraId="492492FC">
      <w:pPr>
        <w:pStyle w:val="134"/>
        <w:ind w:firstLine="414"/>
        <w:rPr>
          <w:rFonts w:ascii="宋体" w:hAnsi="宋体"/>
          <w:color w:val="auto"/>
          <w:highlight w:val="none"/>
        </w:rPr>
      </w:pPr>
    </w:p>
    <w:p w14:paraId="20284EF6">
      <w:pPr>
        <w:pStyle w:val="5"/>
        <w:spacing w:before="120" w:line="377" w:lineRule="auto"/>
        <w:jc w:val="left"/>
        <w:rPr>
          <w:rFonts w:ascii="宋体" w:hAnsi="宋体" w:eastAsia="宋体" w:cs="微软雅黑"/>
          <w:b w:val="0"/>
          <w:color w:val="auto"/>
          <w:sz w:val="21"/>
          <w:szCs w:val="21"/>
          <w:highlight w:val="none"/>
        </w:rPr>
      </w:pPr>
      <w:bookmarkStart w:id="1721" w:name="_Toc1491"/>
      <w:r>
        <w:rPr>
          <w:rFonts w:hint="eastAsia" w:ascii="宋体" w:hAnsi="宋体" w:eastAsia="宋体" w:cs="宋体"/>
          <w:b w:val="0"/>
          <w:bCs w:val="0"/>
          <w:color w:val="auto"/>
          <w:spacing w:val="6"/>
          <w:sz w:val="21"/>
          <w:szCs w:val="21"/>
          <w:highlight w:val="none"/>
        </w:rPr>
        <w:t xml:space="preserve">附件6-2 </w:t>
      </w:r>
      <w:r>
        <w:rPr>
          <w:rFonts w:hint="eastAsia" w:ascii="宋体" w:hAnsi="宋体" w:eastAsia="宋体" w:cs="微软雅黑"/>
          <w:b w:val="0"/>
          <w:color w:val="auto"/>
          <w:spacing w:val="-2"/>
          <w:position w:val="-3"/>
          <w:sz w:val="21"/>
          <w:szCs w:val="21"/>
          <w:highlight w:val="none"/>
        </w:rPr>
        <w:t>分</w:t>
      </w:r>
      <w:r>
        <w:rPr>
          <w:rFonts w:hint="eastAsia" w:ascii="宋体" w:hAnsi="宋体" w:eastAsia="宋体" w:cs="微软雅黑"/>
          <w:b w:val="0"/>
          <w:color w:val="auto"/>
          <w:position w:val="-3"/>
          <w:sz w:val="21"/>
          <w:szCs w:val="21"/>
          <w:highlight w:val="none"/>
        </w:rPr>
        <w:t>项</w:t>
      </w:r>
      <w:r>
        <w:rPr>
          <w:rFonts w:hint="eastAsia" w:ascii="宋体" w:hAnsi="宋体" w:eastAsia="宋体" w:cs="微软雅黑"/>
          <w:b w:val="0"/>
          <w:color w:val="auto"/>
          <w:spacing w:val="-2"/>
          <w:position w:val="-3"/>
          <w:sz w:val="21"/>
          <w:szCs w:val="21"/>
          <w:highlight w:val="none"/>
        </w:rPr>
        <w:t>报</w:t>
      </w:r>
      <w:r>
        <w:rPr>
          <w:rFonts w:hint="eastAsia" w:ascii="宋体" w:hAnsi="宋体" w:eastAsia="宋体" w:cs="微软雅黑"/>
          <w:b w:val="0"/>
          <w:color w:val="auto"/>
          <w:position w:val="-3"/>
          <w:sz w:val="21"/>
          <w:szCs w:val="21"/>
          <w:highlight w:val="none"/>
        </w:rPr>
        <w:t>价明细表</w:t>
      </w:r>
      <w:bookmarkEnd w:id="1721"/>
    </w:p>
    <w:p w14:paraId="737AAA4B">
      <w:pPr>
        <w:adjustRightInd w:val="0"/>
        <w:snapToGrid w:val="0"/>
        <w:spacing w:line="360" w:lineRule="auto"/>
        <w:jc w:val="center"/>
        <w:outlineLvl w:val="2"/>
        <w:rPr>
          <w:rFonts w:ascii="宋体" w:hAnsi="宋体" w:cs="微软雅黑"/>
          <w:b/>
          <w:color w:val="auto"/>
          <w:kern w:val="0"/>
          <w:position w:val="-3"/>
          <w:sz w:val="28"/>
          <w:szCs w:val="28"/>
          <w:highlight w:val="none"/>
        </w:rPr>
      </w:pPr>
      <w:bookmarkStart w:id="1722" w:name="_Toc22449"/>
      <w:bookmarkStart w:id="1723" w:name="_Toc109656631"/>
      <w:bookmarkStart w:id="1724" w:name="_Toc21291"/>
      <w:bookmarkStart w:id="1725" w:name="_Toc79093727"/>
      <w:bookmarkStart w:id="1726" w:name="_Toc137408767"/>
      <w:bookmarkStart w:id="1727" w:name="_Toc166778382"/>
      <w:bookmarkStart w:id="1728" w:name="_Toc108483449"/>
      <w:bookmarkStart w:id="1729" w:name="_Toc9796"/>
      <w:bookmarkStart w:id="1730" w:name="_Toc111543609"/>
      <w:bookmarkStart w:id="1731" w:name="_Toc20298"/>
      <w:bookmarkStart w:id="1732" w:name="_Toc189905409"/>
      <w:bookmarkStart w:id="1733" w:name="_Toc118209476"/>
      <w:bookmarkStart w:id="1734" w:name="_Toc28831"/>
      <w:bookmarkStart w:id="1735" w:name="_Toc7525"/>
      <w:bookmarkStart w:id="1736" w:name="_Toc27046"/>
      <w:bookmarkStart w:id="1737" w:name="_Toc18536"/>
      <w:bookmarkStart w:id="1738" w:name="_Toc20105"/>
      <w:bookmarkStart w:id="1739" w:name="_Toc32226"/>
      <w:bookmarkStart w:id="1740" w:name="_Toc26155"/>
      <w:bookmarkStart w:id="1741" w:name="_Toc15612"/>
      <w:bookmarkStart w:id="1742" w:name="_Toc113350985"/>
      <w:bookmarkStart w:id="1743" w:name="_Toc103979632"/>
      <w:bookmarkStart w:id="1744" w:name="_Toc99299779"/>
      <w:bookmarkStart w:id="1745" w:name="_Toc140957919"/>
      <w:bookmarkStart w:id="1746" w:name="_Toc32206"/>
      <w:bookmarkStart w:id="1747" w:name="_Toc193053755"/>
      <w:bookmarkStart w:id="1748" w:name="_Toc171282452"/>
      <w:bookmarkStart w:id="1749" w:name="_Toc12903"/>
      <w:bookmarkStart w:id="1750" w:name="_Toc20772"/>
      <w:r>
        <w:rPr>
          <w:rFonts w:hint="eastAsia" w:ascii="宋体" w:hAnsi="宋体" w:cs="微软雅黑"/>
          <w:b/>
          <w:color w:val="auto"/>
          <w:spacing w:val="-2"/>
          <w:kern w:val="0"/>
          <w:position w:val="-3"/>
          <w:sz w:val="28"/>
          <w:szCs w:val="28"/>
          <w:highlight w:val="none"/>
        </w:rPr>
        <w:t>分</w:t>
      </w:r>
      <w:r>
        <w:rPr>
          <w:rFonts w:hint="eastAsia" w:ascii="宋体" w:hAnsi="宋体" w:cs="微软雅黑"/>
          <w:b/>
          <w:color w:val="auto"/>
          <w:kern w:val="0"/>
          <w:position w:val="-3"/>
          <w:sz w:val="28"/>
          <w:szCs w:val="28"/>
          <w:highlight w:val="none"/>
        </w:rPr>
        <w:t>项</w:t>
      </w:r>
      <w:r>
        <w:rPr>
          <w:rFonts w:hint="eastAsia" w:ascii="宋体" w:hAnsi="宋体" w:cs="微软雅黑"/>
          <w:b/>
          <w:color w:val="auto"/>
          <w:spacing w:val="-2"/>
          <w:kern w:val="0"/>
          <w:position w:val="-3"/>
          <w:sz w:val="28"/>
          <w:szCs w:val="28"/>
          <w:highlight w:val="none"/>
        </w:rPr>
        <w:t>报</w:t>
      </w:r>
      <w:r>
        <w:rPr>
          <w:rFonts w:hint="eastAsia" w:ascii="宋体" w:hAnsi="宋体" w:cs="微软雅黑"/>
          <w:b/>
          <w:color w:val="auto"/>
          <w:kern w:val="0"/>
          <w:position w:val="-3"/>
          <w:sz w:val="28"/>
          <w:szCs w:val="28"/>
          <w:highlight w:val="none"/>
        </w:rPr>
        <w:t>价明细表</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14:paraId="675042B6">
      <w:pPr>
        <w:adjustRightInd w:val="0"/>
        <w:snapToGrid w:val="0"/>
        <w:spacing w:line="360" w:lineRule="auto"/>
        <w:rPr>
          <w:rFonts w:ascii="宋体" w:hAnsi="宋体"/>
          <w:color w:val="auto"/>
          <w:szCs w:val="21"/>
          <w:highlight w:val="none"/>
        </w:rPr>
      </w:pPr>
    </w:p>
    <w:p w14:paraId="583D5B79">
      <w:pPr>
        <w:adjustRightInd w:val="0"/>
        <w:snapToGrid w:val="0"/>
        <w:spacing w:line="360" w:lineRule="auto"/>
        <w:rPr>
          <w:rFonts w:ascii="宋体" w:hAnsi="宋体"/>
          <w:color w:val="auto"/>
          <w:szCs w:val="21"/>
          <w:highlight w:val="none"/>
        </w:rPr>
      </w:pPr>
    </w:p>
    <w:p w14:paraId="66A3B75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（格式自拟）</w:t>
      </w:r>
    </w:p>
    <w:p w14:paraId="23D89394">
      <w:pPr>
        <w:adjustRightInd w:val="0"/>
        <w:snapToGrid w:val="0"/>
        <w:spacing w:line="360" w:lineRule="auto"/>
        <w:rPr>
          <w:rFonts w:ascii="宋体" w:hAnsi="宋体"/>
          <w:color w:val="auto"/>
          <w:szCs w:val="21"/>
          <w:highlight w:val="none"/>
        </w:rPr>
      </w:pPr>
    </w:p>
    <w:p w14:paraId="0D44F345">
      <w:pPr>
        <w:adjustRightInd w:val="0"/>
        <w:snapToGrid w:val="0"/>
        <w:spacing w:line="360" w:lineRule="auto"/>
        <w:rPr>
          <w:rFonts w:ascii="宋体" w:hAnsi="宋体"/>
          <w:color w:val="auto"/>
          <w:szCs w:val="21"/>
          <w:highlight w:val="none"/>
        </w:rPr>
      </w:pPr>
    </w:p>
    <w:p w14:paraId="5A24F4E3">
      <w:pPr>
        <w:adjustRightInd w:val="0"/>
        <w:snapToGrid w:val="0"/>
        <w:spacing w:line="360" w:lineRule="auto"/>
        <w:rPr>
          <w:rFonts w:ascii="宋体" w:hAnsi="宋体"/>
          <w:color w:val="auto"/>
          <w:szCs w:val="21"/>
          <w:highlight w:val="none"/>
        </w:rPr>
      </w:pPr>
    </w:p>
    <w:p w14:paraId="2363EDF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备注：1.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开标一览表</w:t>
      </w:r>
      <w:r>
        <w:rPr>
          <w:rFonts w:hint="eastAsia" w:ascii="宋体" w:hAnsi="宋体"/>
          <w:color w:val="auto"/>
          <w:szCs w:val="21"/>
          <w:highlight w:val="none"/>
        </w:rPr>
        <w:t>”</w:t>
      </w:r>
      <w:r>
        <w:rPr>
          <w:rFonts w:hint="eastAsia" w:ascii="宋体" w:hAnsi="宋体"/>
          <w:b/>
          <w:color w:val="auto"/>
          <w:szCs w:val="21"/>
          <w:highlight w:val="none"/>
        </w:rPr>
        <w:t>，按包填写</w:t>
      </w:r>
      <w:r>
        <w:rPr>
          <w:rFonts w:hint="eastAsia" w:ascii="宋体" w:hAnsi="宋体"/>
          <w:color w:val="auto"/>
          <w:szCs w:val="21"/>
          <w:highlight w:val="none"/>
        </w:rPr>
        <w:t>。</w:t>
      </w:r>
    </w:p>
    <w:p w14:paraId="784CC68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2.不得填写“免费”或“赠与”，也不得进行“零”报价，否则</w:t>
      </w:r>
      <w:r>
        <w:rPr>
          <w:rFonts w:hint="eastAsia" w:ascii="宋体" w:hAnsi="宋体"/>
          <w:b/>
          <w:color w:val="auto"/>
          <w:szCs w:val="21"/>
          <w:highlight w:val="none"/>
        </w:rPr>
        <w:t>投标无效</w:t>
      </w:r>
      <w:r>
        <w:rPr>
          <w:rFonts w:hint="eastAsia" w:ascii="宋体" w:hAnsi="宋体"/>
          <w:color w:val="auto"/>
          <w:szCs w:val="21"/>
          <w:highlight w:val="none"/>
        </w:rPr>
        <w:t>。</w:t>
      </w:r>
    </w:p>
    <w:p w14:paraId="72FEE17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3.如果开标一览表内容与本表内容不一致的，以开标一览表内容为准。</w:t>
      </w:r>
    </w:p>
    <w:p w14:paraId="0A95311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投标人在投标截止时间前修改“开标一览表”中的投标报价的，应按第二章第13.7款规定修改本表相应内容。否则，</w:t>
      </w:r>
      <w:r>
        <w:rPr>
          <w:rFonts w:hint="eastAsia" w:ascii="宋体" w:hAnsi="宋体"/>
          <w:color w:val="auto"/>
          <w:szCs w:val="21"/>
          <w:highlight w:val="none"/>
        </w:rPr>
        <w:t>本表相应内容按投标报价修改的相同比例进行调整。</w:t>
      </w:r>
    </w:p>
    <w:p w14:paraId="57BB5CC6">
      <w:pPr>
        <w:adjustRightInd w:val="0"/>
        <w:snapToGrid w:val="0"/>
        <w:spacing w:line="360" w:lineRule="auto"/>
        <w:rPr>
          <w:rFonts w:ascii="宋体" w:hAnsi="宋体"/>
          <w:color w:val="auto"/>
          <w:szCs w:val="21"/>
          <w:highlight w:val="none"/>
        </w:rPr>
      </w:pPr>
    </w:p>
    <w:p w14:paraId="40FA2683">
      <w:pPr>
        <w:adjustRightInd w:val="0"/>
        <w:snapToGrid w:val="0"/>
        <w:spacing w:line="360" w:lineRule="auto"/>
        <w:rPr>
          <w:rFonts w:ascii="宋体" w:hAnsi="宋体"/>
          <w:color w:val="auto"/>
          <w:szCs w:val="21"/>
          <w:highlight w:val="none"/>
        </w:rPr>
      </w:pPr>
    </w:p>
    <w:p w14:paraId="2BFEE92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1DC881C6">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208631C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56466576">
      <w:pPr>
        <w:pStyle w:val="134"/>
        <w:ind w:firstLine="414"/>
        <w:rPr>
          <w:rFonts w:ascii="宋体" w:hAnsi="宋体"/>
          <w:color w:val="auto"/>
          <w:szCs w:val="21"/>
          <w:highlight w:val="none"/>
        </w:rPr>
      </w:pPr>
    </w:p>
    <w:p w14:paraId="42F5E145">
      <w:pPr>
        <w:pStyle w:val="4"/>
        <w:adjustRightInd w:val="0"/>
        <w:snapToGrid w:val="0"/>
        <w:spacing w:before="0" w:after="0" w:line="240" w:lineRule="auto"/>
        <w:jc w:val="center"/>
        <w:rPr>
          <w:rFonts w:ascii="宋体" w:hAnsi="宋体"/>
          <w:color w:val="auto"/>
          <w:sz w:val="21"/>
          <w:szCs w:val="21"/>
          <w:highlight w:val="none"/>
        </w:rPr>
      </w:pPr>
      <w:r>
        <w:rPr>
          <w:rFonts w:ascii="宋体" w:hAnsi="宋体"/>
          <w:color w:val="auto"/>
          <w:sz w:val="21"/>
          <w:szCs w:val="21"/>
          <w:highlight w:val="none"/>
        </w:rPr>
        <w:br w:type="page"/>
      </w:r>
    </w:p>
    <w:p w14:paraId="63998FAE">
      <w:pPr>
        <w:pStyle w:val="3"/>
        <w:adjustRightInd w:val="0"/>
        <w:snapToGrid w:val="0"/>
        <w:jc w:val="center"/>
        <w:rPr>
          <w:rFonts w:ascii="宋体" w:hAnsi="宋体"/>
          <w:color w:val="auto"/>
          <w:sz w:val="28"/>
          <w:szCs w:val="28"/>
          <w:highlight w:val="none"/>
        </w:rPr>
      </w:pPr>
      <w:bookmarkStart w:id="1751" w:name="_Toc140957920"/>
      <w:bookmarkStart w:id="1752" w:name="_Toc4948"/>
      <w:bookmarkStart w:id="1753" w:name="_Toc113350986"/>
      <w:bookmarkStart w:id="1754" w:name="_Toc21664"/>
      <w:bookmarkStart w:id="1755" w:name="_Toc14893"/>
      <w:bookmarkStart w:id="1756" w:name="_Toc189905410"/>
      <w:bookmarkStart w:id="1757" w:name="_Toc23989"/>
      <w:bookmarkStart w:id="1758" w:name="_Toc108483450"/>
      <w:bookmarkStart w:id="1759" w:name="_Toc109656632"/>
      <w:bookmarkStart w:id="1760" w:name="_Toc12932"/>
      <w:bookmarkStart w:id="1761" w:name="_Toc25284"/>
      <w:bookmarkStart w:id="1762" w:name="_Toc12431"/>
      <w:bookmarkStart w:id="1763" w:name="_Toc99299780"/>
      <w:bookmarkStart w:id="1764" w:name="_Toc12393"/>
      <w:bookmarkStart w:id="1765" w:name="_Toc3421"/>
      <w:bookmarkStart w:id="1766" w:name="_Toc16943"/>
      <w:bookmarkStart w:id="1767" w:name="_Toc11367"/>
      <w:bookmarkStart w:id="1768" w:name="_Toc23281"/>
      <w:bookmarkStart w:id="1769" w:name="_Toc118209477"/>
      <w:bookmarkStart w:id="1770" w:name="_Toc193053756"/>
      <w:bookmarkStart w:id="1771" w:name="_Toc171282453"/>
      <w:bookmarkStart w:id="1772" w:name="_Toc22929"/>
      <w:bookmarkStart w:id="1773" w:name="_Toc14223"/>
      <w:bookmarkStart w:id="1774" w:name="_Toc166778383"/>
      <w:bookmarkStart w:id="1775" w:name="_Toc137408768"/>
      <w:bookmarkStart w:id="1776" w:name="_Toc103979633"/>
      <w:bookmarkStart w:id="1777" w:name="_Toc111543610"/>
      <w:bookmarkStart w:id="1778" w:name="_Toc22399"/>
      <w:bookmarkStart w:id="1779" w:name="_Toc5715"/>
      <w:bookmarkStart w:id="1780" w:name="_Toc79093728"/>
      <w:r>
        <w:rPr>
          <w:rFonts w:hint="eastAsia" w:ascii="宋体" w:hAnsi="宋体"/>
          <w:color w:val="auto"/>
          <w:sz w:val="28"/>
          <w:szCs w:val="28"/>
          <w:highlight w:val="none"/>
        </w:rPr>
        <w:t>七、采购需求响应</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14:paraId="17CEA57D">
      <w:pPr>
        <w:adjustRightInd w:val="0"/>
        <w:snapToGrid w:val="0"/>
        <w:spacing w:line="360" w:lineRule="auto"/>
        <w:rPr>
          <w:rFonts w:ascii="宋体" w:hAnsi="宋体"/>
          <w:b/>
          <w:color w:val="auto"/>
          <w:szCs w:val="21"/>
          <w:highlight w:val="none"/>
        </w:rPr>
      </w:pPr>
    </w:p>
    <w:p w14:paraId="2E32F4AB">
      <w:pPr>
        <w:adjustRightInd w:val="0"/>
        <w:snapToGrid w:val="0"/>
        <w:spacing w:line="360" w:lineRule="auto"/>
        <w:rPr>
          <w:rFonts w:ascii="宋体" w:hAnsi="宋体"/>
          <w:b/>
          <w:color w:val="auto"/>
          <w:highlight w:val="none"/>
        </w:rPr>
      </w:pPr>
      <w:r>
        <w:rPr>
          <w:rFonts w:hint="eastAsia" w:ascii="宋体" w:hAnsi="宋体"/>
          <w:b/>
          <w:color w:val="auto"/>
          <w:szCs w:val="21"/>
          <w:highlight w:val="none"/>
        </w:rPr>
        <w:t>备注</w:t>
      </w:r>
      <w:r>
        <w:rPr>
          <w:rFonts w:hint="eastAsia" w:ascii="宋体" w:hAnsi="宋体"/>
          <w:bCs/>
          <w:color w:val="auto"/>
          <w:szCs w:val="21"/>
          <w:highlight w:val="none"/>
        </w:rPr>
        <w:t>：</w:t>
      </w:r>
      <w:r>
        <w:rPr>
          <w:rFonts w:hint="eastAsia" w:ascii="宋体" w:hAnsi="宋体"/>
          <w:b/>
          <w:color w:val="auto"/>
          <w:highlight w:val="none"/>
        </w:rPr>
        <w:t>投标人应按招标文件中评分标准和第五章采购需求自行编写采购需求响应文件（格式自拟）。</w:t>
      </w:r>
    </w:p>
    <w:p w14:paraId="0F551117">
      <w:pPr>
        <w:pStyle w:val="27"/>
        <w:adjustRightInd w:val="0"/>
        <w:snapToGrid w:val="0"/>
        <w:spacing w:line="360" w:lineRule="auto"/>
        <w:ind w:left="-88" w:leftChars="-42"/>
        <w:rPr>
          <w:rFonts w:ascii="宋体" w:hAnsi="宋体"/>
          <w:bCs/>
          <w:color w:val="auto"/>
          <w:sz w:val="21"/>
          <w:szCs w:val="21"/>
          <w:highlight w:val="none"/>
        </w:rPr>
      </w:pPr>
    </w:p>
    <w:p w14:paraId="26406ECA">
      <w:pPr>
        <w:rPr>
          <w:rFonts w:ascii="宋体" w:hAnsi="宋体"/>
          <w:color w:val="auto"/>
          <w:highlight w:val="none"/>
        </w:rPr>
      </w:pPr>
    </w:p>
    <w:p w14:paraId="072F90CF">
      <w:pPr>
        <w:rPr>
          <w:rFonts w:ascii="宋体" w:hAnsi="宋体"/>
          <w:color w:val="auto"/>
          <w:highlight w:val="none"/>
        </w:rPr>
      </w:pPr>
    </w:p>
    <w:p w14:paraId="36F6BD85">
      <w:pPr>
        <w:rPr>
          <w:rFonts w:ascii="宋体" w:hAnsi="宋体"/>
          <w:color w:val="auto"/>
          <w:highlight w:val="none"/>
        </w:rPr>
      </w:pPr>
    </w:p>
    <w:p w14:paraId="5D8C0D91">
      <w:pPr>
        <w:adjustRightInd w:val="0"/>
        <w:snapToGrid w:val="0"/>
        <w:spacing w:line="360" w:lineRule="auto"/>
        <w:rPr>
          <w:rFonts w:ascii="宋体" w:hAnsi="宋体"/>
          <w:color w:val="auto"/>
          <w:szCs w:val="21"/>
          <w:highlight w:val="none"/>
        </w:rPr>
      </w:pPr>
    </w:p>
    <w:p w14:paraId="42BA458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374B3D1">
      <w:pP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71121DD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    年    月    日</w:t>
      </w:r>
    </w:p>
    <w:p w14:paraId="2EDFC000">
      <w:pPr>
        <w:rPr>
          <w:rFonts w:ascii="宋体" w:hAnsi="宋体"/>
          <w:color w:val="auto"/>
          <w:highlight w:val="none"/>
        </w:rPr>
      </w:pPr>
    </w:p>
    <w:p w14:paraId="719BAC36">
      <w:pPr>
        <w:pStyle w:val="102"/>
        <w:ind w:firstLine="400"/>
        <w:rPr>
          <w:rFonts w:ascii="宋体" w:hAnsi="宋体"/>
          <w:color w:val="auto"/>
          <w:highlight w:val="none"/>
        </w:rPr>
      </w:pPr>
    </w:p>
    <w:p w14:paraId="70B4274F">
      <w:pPr>
        <w:pStyle w:val="102"/>
        <w:ind w:firstLine="400"/>
        <w:rPr>
          <w:rFonts w:ascii="宋体" w:hAnsi="宋体"/>
          <w:color w:val="auto"/>
          <w:highlight w:val="none"/>
        </w:rPr>
      </w:pPr>
    </w:p>
    <w:p w14:paraId="2D7D282C">
      <w:pPr>
        <w:pStyle w:val="102"/>
        <w:ind w:firstLine="400"/>
        <w:rPr>
          <w:rFonts w:ascii="宋体" w:hAnsi="宋体"/>
          <w:color w:val="auto"/>
          <w:highlight w:val="none"/>
        </w:rPr>
      </w:pPr>
    </w:p>
    <w:p w14:paraId="35207613">
      <w:pPr>
        <w:pStyle w:val="5"/>
        <w:adjustRightInd w:val="0"/>
        <w:snapToGrid w:val="0"/>
        <w:spacing w:beforeLines="50" w:after="0" w:line="360" w:lineRule="auto"/>
        <w:rPr>
          <w:rFonts w:ascii="宋体" w:hAnsi="宋体" w:eastAsia="宋体"/>
          <w:b w:val="0"/>
          <w:color w:val="auto"/>
          <w:sz w:val="21"/>
          <w:szCs w:val="21"/>
          <w:highlight w:val="none"/>
        </w:rPr>
      </w:pPr>
      <w:bookmarkStart w:id="1781" w:name="_Toc30897"/>
      <w:r>
        <w:rPr>
          <w:rFonts w:hint="eastAsia" w:ascii="宋体" w:hAnsi="宋体" w:eastAsia="宋体" w:cs="宋体"/>
          <w:b w:val="0"/>
          <w:color w:val="auto"/>
          <w:spacing w:val="6"/>
          <w:sz w:val="21"/>
          <w:szCs w:val="21"/>
          <w:highlight w:val="none"/>
        </w:rPr>
        <w:t>附件7-1 拟投入的主要人员简历表</w:t>
      </w:r>
      <w:bookmarkEnd w:id="1781"/>
    </w:p>
    <w:p w14:paraId="6298F658">
      <w:pPr>
        <w:pStyle w:val="4"/>
        <w:jc w:val="center"/>
        <w:rPr>
          <w:rFonts w:ascii="宋体" w:hAnsi="宋体"/>
          <w:b w:val="0"/>
          <w:bCs w:val="0"/>
          <w:color w:val="auto"/>
          <w:sz w:val="30"/>
          <w:szCs w:val="30"/>
          <w:highlight w:val="none"/>
        </w:rPr>
      </w:pPr>
      <w:bookmarkStart w:id="1782" w:name="_Toc111543611"/>
      <w:bookmarkStart w:id="1783" w:name="_Toc118209478"/>
      <w:bookmarkStart w:id="1784" w:name="_Toc171282454"/>
      <w:bookmarkStart w:id="1785" w:name="_Toc12912"/>
      <w:bookmarkStart w:id="1786" w:name="_Toc9041"/>
      <w:bookmarkStart w:id="1787" w:name="_Toc31355"/>
      <w:bookmarkStart w:id="1788" w:name="_Toc26331"/>
      <w:bookmarkStart w:id="1789" w:name="_Toc189905411"/>
      <w:bookmarkStart w:id="1790" w:name="_Toc12721"/>
      <w:bookmarkStart w:id="1791" w:name="_Toc137408769"/>
      <w:bookmarkStart w:id="1792" w:name="_Toc140957921"/>
      <w:bookmarkStart w:id="1793" w:name="_Toc109656633"/>
      <w:bookmarkStart w:id="1794" w:name="_Toc24631"/>
      <w:bookmarkStart w:id="1795" w:name="_Toc18045"/>
      <w:bookmarkStart w:id="1796" w:name="_Toc108483451"/>
      <w:bookmarkStart w:id="1797" w:name="_Toc28671"/>
      <w:bookmarkStart w:id="1798" w:name="_Toc3786"/>
      <w:bookmarkStart w:id="1799" w:name="_Toc113350987"/>
      <w:bookmarkStart w:id="1800" w:name="_Toc17073"/>
      <w:bookmarkStart w:id="1801" w:name="_Toc79093729"/>
      <w:bookmarkStart w:id="1802" w:name="_Toc6874"/>
      <w:bookmarkStart w:id="1803" w:name="_Toc7627"/>
      <w:bookmarkStart w:id="1804" w:name="_Toc12555"/>
      <w:bookmarkStart w:id="1805" w:name="_Toc103979634"/>
      <w:bookmarkStart w:id="1806" w:name="_Toc23546"/>
      <w:bookmarkStart w:id="1807" w:name="_Toc99299781"/>
      <w:bookmarkStart w:id="1808" w:name="_Toc193053757"/>
      <w:bookmarkStart w:id="1809" w:name="_Toc166778384"/>
      <w:bookmarkStart w:id="1810" w:name="_Toc26650"/>
      <w:bookmarkStart w:id="1811" w:name="_Toc21692"/>
      <w:r>
        <w:rPr>
          <w:rFonts w:hint="eastAsia" w:ascii="宋体" w:hAnsi="宋体" w:cs="Calibri"/>
          <w:color w:val="auto"/>
          <w:sz w:val="30"/>
          <w:szCs w:val="30"/>
          <w:highlight w:val="none"/>
        </w:rPr>
        <w:t>拟投入的主要人员简历表</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810"/>
        <w:gridCol w:w="665"/>
        <w:gridCol w:w="1145"/>
        <w:gridCol w:w="1065"/>
        <w:gridCol w:w="992"/>
        <w:gridCol w:w="2060"/>
      </w:tblGrid>
      <w:tr w14:paraId="7D64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35" w:type="dxa"/>
            <w:tcBorders>
              <w:top w:val="single" w:color="auto" w:sz="12" w:space="0"/>
              <w:left w:val="single" w:color="auto" w:sz="12" w:space="0"/>
            </w:tcBorders>
            <w:vAlign w:val="center"/>
          </w:tcPr>
          <w:p w14:paraId="4934F7ED">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810" w:type="dxa"/>
            <w:tcBorders>
              <w:top w:val="single" w:color="auto" w:sz="12" w:space="0"/>
            </w:tcBorders>
            <w:vAlign w:val="center"/>
          </w:tcPr>
          <w:p w14:paraId="36446C1F">
            <w:pPr>
              <w:jc w:val="center"/>
              <w:rPr>
                <w:rFonts w:ascii="宋体" w:hAnsi="宋体" w:cs="宋体"/>
                <w:color w:val="auto"/>
                <w:szCs w:val="21"/>
                <w:highlight w:val="none"/>
              </w:rPr>
            </w:pPr>
            <w:r>
              <w:rPr>
                <w:rFonts w:hint="eastAsia" w:ascii="宋体" w:hAnsi="宋体" w:cs="宋体"/>
                <w:color w:val="auto"/>
                <w:szCs w:val="21"/>
                <w:highlight w:val="none"/>
              </w:rPr>
              <w:t>姓    名</w:t>
            </w:r>
          </w:p>
        </w:tc>
        <w:tc>
          <w:tcPr>
            <w:tcW w:w="665" w:type="dxa"/>
            <w:tcBorders>
              <w:top w:val="single" w:color="auto" w:sz="12" w:space="0"/>
            </w:tcBorders>
            <w:vAlign w:val="center"/>
          </w:tcPr>
          <w:p w14:paraId="706A1109">
            <w:pPr>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1145" w:type="dxa"/>
            <w:tcBorders>
              <w:top w:val="single" w:color="auto" w:sz="12" w:space="0"/>
            </w:tcBorders>
            <w:vAlign w:val="center"/>
          </w:tcPr>
          <w:p w14:paraId="30062450">
            <w:pPr>
              <w:jc w:val="center"/>
              <w:rPr>
                <w:rFonts w:ascii="宋体" w:hAnsi="宋体" w:cs="宋体"/>
                <w:color w:val="auto"/>
                <w:szCs w:val="21"/>
                <w:highlight w:val="none"/>
              </w:rPr>
            </w:pPr>
            <w:r>
              <w:rPr>
                <w:rFonts w:hint="eastAsia" w:ascii="宋体" w:hAnsi="宋体" w:cs="宋体"/>
                <w:color w:val="auto"/>
                <w:szCs w:val="21"/>
                <w:highlight w:val="none"/>
              </w:rPr>
              <w:t>出生日期</w:t>
            </w:r>
          </w:p>
        </w:tc>
        <w:tc>
          <w:tcPr>
            <w:tcW w:w="1065" w:type="dxa"/>
            <w:tcBorders>
              <w:top w:val="single" w:color="auto" w:sz="12" w:space="0"/>
            </w:tcBorders>
            <w:vAlign w:val="center"/>
          </w:tcPr>
          <w:p w14:paraId="23A8DB63">
            <w:pPr>
              <w:jc w:val="center"/>
              <w:rPr>
                <w:rFonts w:ascii="宋体" w:hAnsi="宋体" w:cs="宋体"/>
                <w:color w:val="auto"/>
                <w:szCs w:val="21"/>
                <w:highlight w:val="none"/>
              </w:rPr>
            </w:pPr>
            <w:r>
              <w:rPr>
                <w:rFonts w:hint="eastAsia" w:ascii="宋体" w:hAnsi="宋体" w:cs="宋体"/>
                <w:color w:val="auto"/>
                <w:szCs w:val="21"/>
                <w:highlight w:val="none"/>
              </w:rPr>
              <w:t>学 历</w:t>
            </w:r>
          </w:p>
        </w:tc>
        <w:tc>
          <w:tcPr>
            <w:tcW w:w="992" w:type="dxa"/>
            <w:tcBorders>
              <w:top w:val="single" w:color="auto" w:sz="12" w:space="0"/>
            </w:tcBorders>
            <w:vAlign w:val="center"/>
          </w:tcPr>
          <w:p w14:paraId="5FC57201">
            <w:pPr>
              <w:jc w:val="center"/>
              <w:rPr>
                <w:rFonts w:ascii="宋体" w:hAnsi="宋体" w:cs="宋体"/>
                <w:color w:val="auto"/>
                <w:szCs w:val="21"/>
                <w:highlight w:val="none"/>
              </w:rPr>
            </w:pPr>
            <w:r>
              <w:rPr>
                <w:rFonts w:hint="eastAsia" w:ascii="宋体" w:hAnsi="宋体" w:cs="宋体"/>
                <w:color w:val="auto"/>
                <w:szCs w:val="21"/>
                <w:highlight w:val="none"/>
              </w:rPr>
              <w:t>专 业</w:t>
            </w:r>
          </w:p>
        </w:tc>
        <w:tc>
          <w:tcPr>
            <w:tcW w:w="2060" w:type="dxa"/>
            <w:tcBorders>
              <w:top w:val="single" w:color="auto" w:sz="12" w:space="0"/>
              <w:right w:val="single" w:color="auto" w:sz="12" w:space="0"/>
            </w:tcBorders>
            <w:vAlign w:val="center"/>
          </w:tcPr>
          <w:p w14:paraId="17102B3A">
            <w:pPr>
              <w:jc w:val="center"/>
              <w:rPr>
                <w:rFonts w:ascii="宋体" w:hAnsi="宋体" w:cs="宋体"/>
                <w:color w:val="auto"/>
                <w:szCs w:val="21"/>
                <w:highlight w:val="none"/>
              </w:rPr>
            </w:pPr>
            <w:r>
              <w:rPr>
                <w:rFonts w:hint="eastAsia" w:ascii="宋体" w:hAnsi="宋体" w:cs="宋体"/>
                <w:color w:val="auto"/>
                <w:szCs w:val="21"/>
                <w:highlight w:val="none"/>
              </w:rPr>
              <w:t>在本项目拟任职务</w:t>
            </w:r>
          </w:p>
        </w:tc>
      </w:tr>
      <w:tr w14:paraId="0F7F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34B2E530">
            <w:pPr>
              <w:jc w:val="center"/>
              <w:rPr>
                <w:rFonts w:ascii="宋体" w:hAnsi="宋体" w:cs="宋体"/>
                <w:color w:val="auto"/>
                <w:szCs w:val="21"/>
                <w:highlight w:val="none"/>
              </w:rPr>
            </w:pPr>
          </w:p>
        </w:tc>
        <w:tc>
          <w:tcPr>
            <w:tcW w:w="1810" w:type="dxa"/>
            <w:vAlign w:val="center"/>
          </w:tcPr>
          <w:p w14:paraId="5545DA25">
            <w:pPr>
              <w:jc w:val="center"/>
              <w:rPr>
                <w:rFonts w:ascii="宋体" w:hAnsi="宋体" w:cs="宋体"/>
                <w:color w:val="auto"/>
                <w:szCs w:val="21"/>
                <w:highlight w:val="none"/>
              </w:rPr>
            </w:pPr>
          </w:p>
        </w:tc>
        <w:tc>
          <w:tcPr>
            <w:tcW w:w="665" w:type="dxa"/>
            <w:vAlign w:val="center"/>
          </w:tcPr>
          <w:p w14:paraId="4E4EBDCF">
            <w:pPr>
              <w:jc w:val="center"/>
              <w:rPr>
                <w:rFonts w:ascii="宋体" w:hAnsi="宋体" w:cs="宋体"/>
                <w:color w:val="auto"/>
                <w:szCs w:val="21"/>
                <w:highlight w:val="none"/>
              </w:rPr>
            </w:pPr>
          </w:p>
        </w:tc>
        <w:tc>
          <w:tcPr>
            <w:tcW w:w="1145" w:type="dxa"/>
            <w:vAlign w:val="center"/>
          </w:tcPr>
          <w:p w14:paraId="3BF0E9E2">
            <w:pPr>
              <w:jc w:val="center"/>
              <w:rPr>
                <w:rFonts w:ascii="宋体" w:hAnsi="宋体" w:cs="宋体"/>
                <w:color w:val="auto"/>
                <w:szCs w:val="21"/>
                <w:highlight w:val="none"/>
              </w:rPr>
            </w:pPr>
          </w:p>
        </w:tc>
        <w:tc>
          <w:tcPr>
            <w:tcW w:w="1065" w:type="dxa"/>
            <w:vAlign w:val="center"/>
          </w:tcPr>
          <w:p w14:paraId="351E541E">
            <w:pPr>
              <w:jc w:val="center"/>
              <w:rPr>
                <w:rFonts w:ascii="宋体" w:hAnsi="宋体" w:cs="宋体"/>
                <w:color w:val="auto"/>
                <w:szCs w:val="21"/>
                <w:highlight w:val="none"/>
              </w:rPr>
            </w:pPr>
          </w:p>
        </w:tc>
        <w:tc>
          <w:tcPr>
            <w:tcW w:w="992" w:type="dxa"/>
            <w:vAlign w:val="center"/>
          </w:tcPr>
          <w:p w14:paraId="3F4AD4A5">
            <w:pPr>
              <w:jc w:val="center"/>
              <w:rPr>
                <w:rFonts w:ascii="宋体" w:hAnsi="宋体" w:cs="宋体"/>
                <w:color w:val="auto"/>
                <w:szCs w:val="21"/>
                <w:highlight w:val="none"/>
              </w:rPr>
            </w:pPr>
          </w:p>
        </w:tc>
        <w:tc>
          <w:tcPr>
            <w:tcW w:w="2060" w:type="dxa"/>
            <w:tcBorders>
              <w:right w:val="single" w:color="auto" w:sz="12" w:space="0"/>
            </w:tcBorders>
            <w:vAlign w:val="center"/>
          </w:tcPr>
          <w:p w14:paraId="64C666FA">
            <w:pPr>
              <w:jc w:val="center"/>
              <w:rPr>
                <w:rFonts w:ascii="宋体" w:hAnsi="宋体" w:cs="宋体"/>
                <w:color w:val="auto"/>
                <w:szCs w:val="21"/>
                <w:highlight w:val="none"/>
              </w:rPr>
            </w:pPr>
          </w:p>
        </w:tc>
      </w:tr>
      <w:tr w14:paraId="7604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126653B4">
            <w:pPr>
              <w:jc w:val="center"/>
              <w:rPr>
                <w:rFonts w:ascii="宋体" w:hAnsi="宋体" w:cs="宋体"/>
                <w:color w:val="auto"/>
                <w:szCs w:val="21"/>
                <w:highlight w:val="none"/>
              </w:rPr>
            </w:pPr>
          </w:p>
        </w:tc>
        <w:tc>
          <w:tcPr>
            <w:tcW w:w="1810" w:type="dxa"/>
            <w:vAlign w:val="center"/>
          </w:tcPr>
          <w:p w14:paraId="69483DFE">
            <w:pPr>
              <w:jc w:val="center"/>
              <w:rPr>
                <w:rFonts w:ascii="宋体" w:hAnsi="宋体" w:cs="宋体"/>
                <w:color w:val="auto"/>
                <w:szCs w:val="21"/>
                <w:highlight w:val="none"/>
              </w:rPr>
            </w:pPr>
          </w:p>
        </w:tc>
        <w:tc>
          <w:tcPr>
            <w:tcW w:w="665" w:type="dxa"/>
            <w:vAlign w:val="center"/>
          </w:tcPr>
          <w:p w14:paraId="12521517">
            <w:pPr>
              <w:jc w:val="center"/>
              <w:rPr>
                <w:rFonts w:ascii="宋体" w:hAnsi="宋体" w:cs="宋体"/>
                <w:color w:val="auto"/>
                <w:szCs w:val="21"/>
                <w:highlight w:val="none"/>
              </w:rPr>
            </w:pPr>
          </w:p>
        </w:tc>
        <w:tc>
          <w:tcPr>
            <w:tcW w:w="1145" w:type="dxa"/>
            <w:vAlign w:val="center"/>
          </w:tcPr>
          <w:p w14:paraId="5FE13CEC">
            <w:pPr>
              <w:jc w:val="center"/>
              <w:rPr>
                <w:rFonts w:ascii="宋体" w:hAnsi="宋体" w:cs="宋体"/>
                <w:color w:val="auto"/>
                <w:szCs w:val="21"/>
                <w:highlight w:val="none"/>
              </w:rPr>
            </w:pPr>
          </w:p>
        </w:tc>
        <w:tc>
          <w:tcPr>
            <w:tcW w:w="1065" w:type="dxa"/>
            <w:vAlign w:val="center"/>
          </w:tcPr>
          <w:p w14:paraId="750DC09C">
            <w:pPr>
              <w:jc w:val="center"/>
              <w:rPr>
                <w:rFonts w:ascii="宋体" w:hAnsi="宋体" w:cs="宋体"/>
                <w:color w:val="auto"/>
                <w:szCs w:val="21"/>
                <w:highlight w:val="none"/>
              </w:rPr>
            </w:pPr>
          </w:p>
        </w:tc>
        <w:tc>
          <w:tcPr>
            <w:tcW w:w="992" w:type="dxa"/>
            <w:vAlign w:val="center"/>
          </w:tcPr>
          <w:p w14:paraId="0A55BB70">
            <w:pPr>
              <w:jc w:val="center"/>
              <w:rPr>
                <w:rFonts w:ascii="宋体" w:hAnsi="宋体" w:cs="宋体"/>
                <w:color w:val="auto"/>
                <w:szCs w:val="21"/>
                <w:highlight w:val="none"/>
              </w:rPr>
            </w:pPr>
          </w:p>
        </w:tc>
        <w:tc>
          <w:tcPr>
            <w:tcW w:w="2060" w:type="dxa"/>
            <w:tcBorders>
              <w:right w:val="single" w:color="auto" w:sz="12" w:space="0"/>
            </w:tcBorders>
            <w:vAlign w:val="center"/>
          </w:tcPr>
          <w:p w14:paraId="0A0DEE9C">
            <w:pPr>
              <w:jc w:val="center"/>
              <w:rPr>
                <w:rFonts w:ascii="宋体" w:hAnsi="宋体" w:cs="宋体"/>
                <w:color w:val="auto"/>
                <w:szCs w:val="21"/>
                <w:highlight w:val="none"/>
              </w:rPr>
            </w:pPr>
          </w:p>
        </w:tc>
      </w:tr>
      <w:tr w14:paraId="1EB6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27102DF1">
            <w:pPr>
              <w:jc w:val="center"/>
              <w:rPr>
                <w:rFonts w:ascii="宋体" w:hAnsi="宋体" w:cs="宋体"/>
                <w:color w:val="auto"/>
                <w:szCs w:val="21"/>
                <w:highlight w:val="none"/>
              </w:rPr>
            </w:pPr>
          </w:p>
        </w:tc>
        <w:tc>
          <w:tcPr>
            <w:tcW w:w="1810" w:type="dxa"/>
            <w:vAlign w:val="center"/>
          </w:tcPr>
          <w:p w14:paraId="5EFCC2B5">
            <w:pPr>
              <w:jc w:val="center"/>
              <w:rPr>
                <w:rFonts w:ascii="宋体" w:hAnsi="宋体" w:cs="宋体"/>
                <w:color w:val="auto"/>
                <w:szCs w:val="21"/>
                <w:highlight w:val="none"/>
              </w:rPr>
            </w:pPr>
          </w:p>
        </w:tc>
        <w:tc>
          <w:tcPr>
            <w:tcW w:w="665" w:type="dxa"/>
            <w:vAlign w:val="center"/>
          </w:tcPr>
          <w:p w14:paraId="2FED9103">
            <w:pPr>
              <w:jc w:val="center"/>
              <w:rPr>
                <w:rFonts w:ascii="宋体" w:hAnsi="宋体" w:cs="宋体"/>
                <w:color w:val="auto"/>
                <w:szCs w:val="21"/>
                <w:highlight w:val="none"/>
              </w:rPr>
            </w:pPr>
          </w:p>
        </w:tc>
        <w:tc>
          <w:tcPr>
            <w:tcW w:w="1145" w:type="dxa"/>
            <w:vAlign w:val="center"/>
          </w:tcPr>
          <w:p w14:paraId="1E4DD877">
            <w:pPr>
              <w:jc w:val="center"/>
              <w:rPr>
                <w:rFonts w:ascii="宋体" w:hAnsi="宋体" w:cs="宋体"/>
                <w:color w:val="auto"/>
                <w:szCs w:val="21"/>
                <w:highlight w:val="none"/>
              </w:rPr>
            </w:pPr>
          </w:p>
        </w:tc>
        <w:tc>
          <w:tcPr>
            <w:tcW w:w="1065" w:type="dxa"/>
            <w:vAlign w:val="center"/>
          </w:tcPr>
          <w:p w14:paraId="7BF267C0">
            <w:pPr>
              <w:jc w:val="center"/>
              <w:rPr>
                <w:rFonts w:ascii="宋体" w:hAnsi="宋体" w:cs="宋体"/>
                <w:color w:val="auto"/>
                <w:szCs w:val="21"/>
                <w:highlight w:val="none"/>
              </w:rPr>
            </w:pPr>
          </w:p>
        </w:tc>
        <w:tc>
          <w:tcPr>
            <w:tcW w:w="992" w:type="dxa"/>
            <w:vAlign w:val="center"/>
          </w:tcPr>
          <w:p w14:paraId="33372BC3">
            <w:pPr>
              <w:jc w:val="center"/>
              <w:rPr>
                <w:rFonts w:ascii="宋体" w:hAnsi="宋体" w:cs="宋体"/>
                <w:color w:val="auto"/>
                <w:szCs w:val="21"/>
                <w:highlight w:val="none"/>
              </w:rPr>
            </w:pPr>
          </w:p>
        </w:tc>
        <w:tc>
          <w:tcPr>
            <w:tcW w:w="2060" w:type="dxa"/>
            <w:tcBorders>
              <w:right w:val="single" w:color="auto" w:sz="12" w:space="0"/>
            </w:tcBorders>
            <w:vAlign w:val="center"/>
          </w:tcPr>
          <w:p w14:paraId="357129FE">
            <w:pPr>
              <w:jc w:val="center"/>
              <w:rPr>
                <w:rFonts w:ascii="宋体" w:hAnsi="宋体" w:cs="宋体"/>
                <w:color w:val="auto"/>
                <w:szCs w:val="21"/>
                <w:highlight w:val="none"/>
              </w:rPr>
            </w:pPr>
          </w:p>
        </w:tc>
      </w:tr>
      <w:tr w14:paraId="7356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557AE003">
            <w:pPr>
              <w:jc w:val="center"/>
              <w:rPr>
                <w:rFonts w:ascii="宋体" w:hAnsi="宋体" w:cs="宋体"/>
                <w:color w:val="auto"/>
                <w:szCs w:val="21"/>
                <w:highlight w:val="none"/>
              </w:rPr>
            </w:pPr>
          </w:p>
        </w:tc>
        <w:tc>
          <w:tcPr>
            <w:tcW w:w="1810" w:type="dxa"/>
            <w:vAlign w:val="center"/>
          </w:tcPr>
          <w:p w14:paraId="3E05A3BF">
            <w:pPr>
              <w:jc w:val="center"/>
              <w:rPr>
                <w:rFonts w:ascii="宋体" w:hAnsi="宋体" w:cs="宋体"/>
                <w:color w:val="auto"/>
                <w:szCs w:val="21"/>
                <w:highlight w:val="none"/>
              </w:rPr>
            </w:pPr>
          </w:p>
        </w:tc>
        <w:tc>
          <w:tcPr>
            <w:tcW w:w="665" w:type="dxa"/>
            <w:vAlign w:val="center"/>
          </w:tcPr>
          <w:p w14:paraId="56323E0B">
            <w:pPr>
              <w:jc w:val="center"/>
              <w:rPr>
                <w:rFonts w:ascii="宋体" w:hAnsi="宋体" w:cs="宋体"/>
                <w:color w:val="auto"/>
                <w:szCs w:val="21"/>
                <w:highlight w:val="none"/>
              </w:rPr>
            </w:pPr>
          </w:p>
        </w:tc>
        <w:tc>
          <w:tcPr>
            <w:tcW w:w="1145" w:type="dxa"/>
            <w:vAlign w:val="center"/>
          </w:tcPr>
          <w:p w14:paraId="75E085FD">
            <w:pPr>
              <w:jc w:val="center"/>
              <w:rPr>
                <w:rFonts w:ascii="宋体" w:hAnsi="宋体" w:cs="宋体"/>
                <w:color w:val="auto"/>
                <w:szCs w:val="21"/>
                <w:highlight w:val="none"/>
              </w:rPr>
            </w:pPr>
          </w:p>
        </w:tc>
        <w:tc>
          <w:tcPr>
            <w:tcW w:w="1065" w:type="dxa"/>
            <w:vAlign w:val="center"/>
          </w:tcPr>
          <w:p w14:paraId="3D7A4DA8">
            <w:pPr>
              <w:jc w:val="center"/>
              <w:rPr>
                <w:rFonts w:ascii="宋体" w:hAnsi="宋体" w:cs="宋体"/>
                <w:color w:val="auto"/>
                <w:szCs w:val="21"/>
                <w:highlight w:val="none"/>
              </w:rPr>
            </w:pPr>
          </w:p>
        </w:tc>
        <w:tc>
          <w:tcPr>
            <w:tcW w:w="992" w:type="dxa"/>
            <w:vAlign w:val="center"/>
          </w:tcPr>
          <w:p w14:paraId="6E8F2D4D">
            <w:pPr>
              <w:jc w:val="center"/>
              <w:rPr>
                <w:rFonts w:ascii="宋体" w:hAnsi="宋体" w:cs="宋体"/>
                <w:color w:val="auto"/>
                <w:szCs w:val="21"/>
                <w:highlight w:val="none"/>
              </w:rPr>
            </w:pPr>
          </w:p>
        </w:tc>
        <w:tc>
          <w:tcPr>
            <w:tcW w:w="2060" w:type="dxa"/>
            <w:tcBorders>
              <w:right w:val="single" w:color="auto" w:sz="12" w:space="0"/>
            </w:tcBorders>
            <w:vAlign w:val="center"/>
          </w:tcPr>
          <w:p w14:paraId="3A9E79B9">
            <w:pPr>
              <w:jc w:val="center"/>
              <w:rPr>
                <w:rFonts w:ascii="宋体" w:hAnsi="宋体" w:cs="宋体"/>
                <w:color w:val="auto"/>
                <w:szCs w:val="21"/>
                <w:highlight w:val="none"/>
              </w:rPr>
            </w:pPr>
          </w:p>
        </w:tc>
      </w:tr>
      <w:tr w14:paraId="093B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37AF05C7">
            <w:pPr>
              <w:jc w:val="center"/>
              <w:rPr>
                <w:rFonts w:ascii="宋体" w:hAnsi="宋体" w:cs="宋体"/>
                <w:color w:val="auto"/>
                <w:szCs w:val="21"/>
                <w:highlight w:val="none"/>
              </w:rPr>
            </w:pPr>
          </w:p>
        </w:tc>
        <w:tc>
          <w:tcPr>
            <w:tcW w:w="1810" w:type="dxa"/>
            <w:vAlign w:val="center"/>
          </w:tcPr>
          <w:p w14:paraId="33E0A2A4">
            <w:pPr>
              <w:jc w:val="center"/>
              <w:rPr>
                <w:rFonts w:ascii="宋体" w:hAnsi="宋体" w:cs="宋体"/>
                <w:color w:val="auto"/>
                <w:szCs w:val="21"/>
                <w:highlight w:val="none"/>
              </w:rPr>
            </w:pPr>
          </w:p>
        </w:tc>
        <w:tc>
          <w:tcPr>
            <w:tcW w:w="665" w:type="dxa"/>
            <w:vAlign w:val="center"/>
          </w:tcPr>
          <w:p w14:paraId="67AA288F">
            <w:pPr>
              <w:jc w:val="center"/>
              <w:rPr>
                <w:rFonts w:ascii="宋体" w:hAnsi="宋体" w:cs="宋体"/>
                <w:color w:val="auto"/>
                <w:szCs w:val="21"/>
                <w:highlight w:val="none"/>
              </w:rPr>
            </w:pPr>
          </w:p>
        </w:tc>
        <w:tc>
          <w:tcPr>
            <w:tcW w:w="1145" w:type="dxa"/>
            <w:vAlign w:val="center"/>
          </w:tcPr>
          <w:p w14:paraId="66084B40">
            <w:pPr>
              <w:jc w:val="center"/>
              <w:rPr>
                <w:rFonts w:ascii="宋体" w:hAnsi="宋体" w:cs="宋体"/>
                <w:color w:val="auto"/>
                <w:szCs w:val="21"/>
                <w:highlight w:val="none"/>
              </w:rPr>
            </w:pPr>
          </w:p>
        </w:tc>
        <w:tc>
          <w:tcPr>
            <w:tcW w:w="1065" w:type="dxa"/>
            <w:vAlign w:val="center"/>
          </w:tcPr>
          <w:p w14:paraId="3C48857F">
            <w:pPr>
              <w:jc w:val="center"/>
              <w:rPr>
                <w:rFonts w:ascii="宋体" w:hAnsi="宋体" w:cs="宋体"/>
                <w:color w:val="auto"/>
                <w:szCs w:val="21"/>
                <w:highlight w:val="none"/>
              </w:rPr>
            </w:pPr>
          </w:p>
        </w:tc>
        <w:tc>
          <w:tcPr>
            <w:tcW w:w="992" w:type="dxa"/>
            <w:vAlign w:val="center"/>
          </w:tcPr>
          <w:p w14:paraId="04EABF0A">
            <w:pPr>
              <w:jc w:val="center"/>
              <w:rPr>
                <w:rFonts w:ascii="宋体" w:hAnsi="宋体" w:cs="宋体"/>
                <w:color w:val="auto"/>
                <w:szCs w:val="21"/>
                <w:highlight w:val="none"/>
              </w:rPr>
            </w:pPr>
          </w:p>
        </w:tc>
        <w:tc>
          <w:tcPr>
            <w:tcW w:w="2060" w:type="dxa"/>
            <w:tcBorders>
              <w:right w:val="single" w:color="auto" w:sz="12" w:space="0"/>
            </w:tcBorders>
            <w:vAlign w:val="center"/>
          </w:tcPr>
          <w:p w14:paraId="06B3C1D8">
            <w:pPr>
              <w:jc w:val="center"/>
              <w:rPr>
                <w:rFonts w:ascii="宋体" w:hAnsi="宋体" w:cs="宋体"/>
                <w:color w:val="auto"/>
                <w:szCs w:val="21"/>
                <w:highlight w:val="none"/>
              </w:rPr>
            </w:pPr>
          </w:p>
        </w:tc>
      </w:tr>
      <w:tr w14:paraId="444D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20E092E0">
            <w:pPr>
              <w:jc w:val="center"/>
              <w:rPr>
                <w:rFonts w:ascii="宋体" w:hAnsi="宋体" w:cs="宋体"/>
                <w:color w:val="auto"/>
                <w:szCs w:val="21"/>
                <w:highlight w:val="none"/>
              </w:rPr>
            </w:pPr>
          </w:p>
        </w:tc>
        <w:tc>
          <w:tcPr>
            <w:tcW w:w="1810" w:type="dxa"/>
            <w:vAlign w:val="center"/>
          </w:tcPr>
          <w:p w14:paraId="5468BCC3">
            <w:pPr>
              <w:jc w:val="center"/>
              <w:rPr>
                <w:rFonts w:ascii="宋体" w:hAnsi="宋体" w:cs="宋体"/>
                <w:color w:val="auto"/>
                <w:szCs w:val="21"/>
                <w:highlight w:val="none"/>
              </w:rPr>
            </w:pPr>
          </w:p>
        </w:tc>
        <w:tc>
          <w:tcPr>
            <w:tcW w:w="665" w:type="dxa"/>
            <w:vAlign w:val="center"/>
          </w:tcPr>
          <w:p w14:paraId="6458059A">
            <w:pPr>
              <w:jc w:val="center"/>
              <w:rPr>
                <w:rFonts w:ascii="宋体" w:hAnsi="宋体" w:cs="宋体"/>
                <w:color w:val="auto"/>
                <w:szCs w:val="21"/>
                <w:highlight w:val="none"/>
              </w:rPr>
            </w:pPr>
          </w:p>
        </w:tc>
        <w:tc>
          <w:tcPr>
            <w:tcW w:w="1145" w:type="dxa"/>
            <w:vAlign w:val="center"/>
          </w:tcPr>
          <w:p w14:paraId="1C7EF073">
            <w:pPr>
              <w:jc w:val="center"/>
              <w:rPr>
                <w:rFonts w:ascii="宋体" w:hAnsi="宋体" w:cs="宋体"/>
                <w:color w:val="auto"/>
                <w:szCs w:val="21"/>
                <w:highlight w:val="none"/>
              </w:rPr>
            </w:pPr>
          </w:p>
        </w:tc>
        <w:tc>
          <w:tcPr>
            <w:tcW w:w="1065" w:type="dxa"/>
            <w:vAlign w:val="center"/>
          </w:tcPr>
          <w:p w14:paraId="5435EA11">
            <w:pPr>
              <w:jc w:val="center"/>
              <w:rPr>
                <w:rFonts w:ascii="宋体" w:hAnsi="宋体" w:cs="宋体"/>
                <w:color w:val="auto"/>
                <w:szCs w:val="21"/>
                <w:highlight w:val="none"/>
              </w:rPr>
            </w:pPr>
          </w:p>
        </w:tc>
        <w:tc>
          <w:tcPr>
            <w:tcW w:w="992" w:type="dxa"/>
            <w:vAlign w:val="center"/>
          </w:tcPr>
          <w:p w14:paraId="754A7132">
            <w:pPr>
              <w:jc w:val="center"/>
              <w:rPr>
                <w:rFonts w:ascii="宋体" w:hAnsi="宋体" w:cs="宋体"/>
                <w:color w:val="auto"/>
                <w:szCs w:val="21"/>
                <w:highlight w:val="none"/>
              </w:rPr>
            </w:pPr>
          </w:p>
        </w:tc>
        <w:tc>
          <w:tcPr>
            <w:tcW w:w="2060" w:type="dxa"/>
            <w:tcBorders>
              <w:right w:val="single" w:color="auto" w:sz="12" w:space="0"/>
            </w:tcBorders>
            <w:vAlign w:val="center"/>
          </w:tcPr>
          <w:p w14:paraId="477E00C4">
            <w:pPr>
              <w:jc w:val="center"/>
              <w:rPr>
                <w:rFonts w:ascii="宋体" w:hAnsi="宋体" w:cs="宋体"/>
                <w:color w:val="auto"/>
                <w:szCs w:val="21"/>
                <w:highlight w:val="none"/>
              </w:rPr>
            </w:pPr>
          </w:p>
        </w:tc>
      </w:tr>
      <w:tr w14:paraId="2DC7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bottom w:val="single" w:color="auto" w:sz="12" w:space="0"/>
            </w:tcBorders>
            <w:vAlign w:val="center"/>
          </w:tcPr>
          <w:p w14:paraId="68028267">
            <w:pPr>
              <w:jc w:val="center"/>
              <w:rPr>
                <w:rFonts w:ascii="宋体" w:hAnsi="宋体" w:cs="宋体"/>
                <w:color w:val="auto"/>
                <w:szCs w:val="21"/>
                <w:highlight w:val="none"/>
              </w:rPr>
            </w:pPr>
          </w:p>
        </w:tc>
        <w:tc>
          <w:tcPr>
            <w:tcW w:w="1810" w:type="dxa"/>
            <w:tcBorders>
              <w:bottom w:val="single" w:color="auto" w:sz="12" w:space="0"/>
            </w:tcBorders>
            <w:vAlign w:val="center"/>
          </w:tcPr>
          <w:p w14:paraId="67600352">
            <w:pPr>
              <w:jc w:val="center"/>
              <w:rPr>
                <w:rFonts w:ascii="宋体" w:hAnsi="宋体" w:cs="宋体"/>
                <w:color w:val="auto"/>
                <w:szCs w:val="21"/>
                <w:highlight w:val="none"/>
              </w:rPr>
            </w:pPr>
          </w:p>
        </w:tc>
        <w:tc>
          <w:tcPr>
            <w:tcW w:w="665" w:type="dxa"/>
            <w:tcBorders>
              <w:bottom w:val="single" w:color="auto" w:sz="12" w:space="0"/>
            </w:tcBorders>
            <w:vAlign w:val="center"/>
          </w:tcPr>
          <w:p w14:paraId="346A052B">
            <w:pPr>
              <w:jc w:val="center"/>
              <w:rPr>
                <w:rFonts w:ascii="宋体" w:hAnsi="宋体" w:cs="宋体"/>
                <w:color w:val="auto"/>
                <w:szCs w:val="21"/>
                <w:highlight w:val="none"/>
              </w:rPr>
            </w:pPr>
          </w:p>
        </w:tc>
        <w:tc>
          <w:tcPr>
            <w:tcW w:w="1145" w:type="dxa"/>
            <w:tcBorders>
              <w:bottom w:val="single" w:color="auto" w:sz="12" w:space="0"/>
            </w:tcBorders>
            <w:vAlign w:val="center"/>
          </w:tcPr>
          <w:p w14:paraId="0C1D991F">
            <w:pPr>
              <w:jc w:val="center"/>
              <w:rPr>
                <w:rFonts w:ascii="宋体" w:hAnsi="宋体" w:cs="宋体"/>
                <w:color w:val="auto"/>
                <w:szCs w:val="21"/>
                <w:highlight w:val="none"/>
              </w:rPr>
            </w:pPr>
          </w:p>
        </w:tc>
        <w:tc>
          <w:tcPr>
            <w:tcW w:w="1065" w:type="dxa"/>
            <w:tcBorders>
              <w:bottom w:val="single" w:color="auto" w:sz="12" w:space="0"/>
            </w:tcBorders>
            <w:vAlign w:val="center"/>
          </w:tcPr>
          <w:p w14:paraId="37F23FBE">
            <w:pPr>
              <w:jc w:val="center"/>
              <w:rPr>
                <w:rFonts w:ascii="宋体" w:hAnsi="宋体" w:cs="宋体"/>
                <w:color w:val="auto"/>
                <w:szCs w:val="21"/>
                <w:highlight w:val="none"/>
              </w:rPr>
            </w:pPr>
          </w:p>
        </w:tc>
        <w:tc>
          <w:tcPr>
            <w:tcW w:w="992" w:type="dxa"/>
            <w:tcBorders>
              <w:bottom w:val="single" w:color="auto" w:sz="12" w:space="0"/>
            </w:tcBorders>
            <w:vAlign w:val="center"/>
          </w:tcPr>
          <w:p w14:paraId="09342610">
            <w:pPr>
              <w:jc w:val="center"/>
              <w:rPr>
                <w:rFonts w:ascii="宋体" w:hAnsi="宋体" w:cs="宋体"/>
                <w:color w:val="auto"/>
                <w:szCs w:val="21"/>
                <w:highlight w:val="none"/>
              </w:rPr>
            </w:pPr>
          </w:p>
        </w:tc>
        <w:tc>
          <w:tcPr>
            <w:tcW w:w="2060" w:type="dxa"/>
            <w:tcBorders>
              <w:bottom w:val="single" w:color="auto" w:sz="12" w:space="0"/>
              <w:right w:val="single" w:color="auto" w:sz="12" w:space="0"/>
            </w:tcBorders>
            <w:vAlign w:val="center"/>
          </w:tcPr>
          <w:p w14:paraId="2C850720">
            <w:pPr>
              <w:jc w:val="center"/>
              <w:rPr>
                <w:rFonts w:ascii="宋体" w:hAnsi="宋体" w:cs="宋体"/>
                <w:color w:val="auto"/>
                <w:szCs w:val="21"/>
                <w:highlight w:val="none"/>
              </w:rPr>
            </w:pPr>
          </w:p>
        </w:tc>
      </w:tr>
    </w:tbl>
    <w:p w14:paraId="2096DDEE">
      <w:pPr>
        <w:adjustRightInd w:val="0"/>
        <w:snapToGrid w:val="0"/>
        <w:spacing w:line="360" w:lineRule="auto"/>
        <w:rPr>
          <w:rFonts w:ascii="宋体" w:hAnsi="宋体"/>
          <w:color w:val="auto"/>
          <w:szCs w:val="21"/>
          <w:highlight w:val="none"/>
        </w:rPr>
      </w:pPr>
    </w:p>
    <w:p w14:paraId="0796DF55">
      <w:pPr>
        <w:pStyle w:val="3"/>
        <w:jc w:val="center"/>
        <w:rPr>
          <w:rFonts w:ascii="宋体" w:hAnsi="宋体"/>
          <w:color w:val="auto"/>
          <w:sz w:val="28"/>
          <w:szCs w:val="28"/>
          <w:highlight w:val="none"/>
        </w:rPr>
      </w:pPr>
      <w:r>
        <w:rPr>
          <w:rFonts w:ascii="宋体" w:hAnsi="宋体"/>
          <w:color w:val="auto"/>
          <w:szCs w:val="21"/>
          <w:highlight w:val="none"/>
        </w:rPr>
        <w:br w:type="page"/>
      </w:r>
      <w:bookmarkStart w:id="1812" w:name="_Toc5181"/>
      <w:bookmarkStart w:id="1813" w:name="_Toc109656634"/>
      <w:bookmarkStart w:id="1814" w:name="_Toc166778385"/>
      <w:bookmarkStart w:id="1815" w:name="_Toc2524"/>
      <w:bookmarkStart w:id="1816" w:name="_Toc3511"/>
      <w:bookmarkStart w:id="1817" w:name="_Toc108483452"/>
      <w:bookmarkStart w:id="1818" w:name="_Toc171282455"/>
      <w:bookmarkStart w:id="1819" w:name="_Toc23191"/>
      <w:bookmarkStart w:id="1820" w:name="_Toc12109"/>
      <w:bookmarkStart w:id="1821" w:name="_Toc8175"/>
      <w:bookmarkStart w:id="1822" w:name="_Toc113350988"/>
      <w:bookmarkStart w:id="1823" w:name="_Toc193053758"/>
      <w:bookmarkStart w:id="1824" w:name="_Toc79093730"/>
      <w:bookmarkStart w:id="1825" w:name="_Toc26389"/>
      <w:bookmarkStart w:id="1826" w:name="_Toc111543612"/>
      <w:bookmarkStart w:id="1827" w:name="_Toc189905412"/>
      <w:bookmarkStart w:id="1828" w:name="_Toc13514"/>
      <w:bookmarkStart w:id="1829" w:name="_Toc32196"/>
      <w:bookmarkStart w:id="1830" w:name="_Toc20538"/>
      <w:bookmarkStart w:id="1831" w:name="_Toc103979635"/>
      <w:bookmarkStart w:id="1832" w:name="_Toc16966"/>
      <w:bookmarkStart w:id="1833" w:name="_Toc8873"/>
      <w:bookmarkStart w:id="1834" w:name="_Toc11451"/>
      <w:bookmarkStart w:id="1835" w:name="_Toc140957922"/>
      <w:bookmarkStart w:id="1836" w:name="_Toc118209479"/>
      <w:bookmarkStart w:id="1837" w:name="_Toc24858"/>
      <w:bookmarkStart w:id="1838" w:name="_Toc19675"/>
      <w:bookmarkStart w:id="1839" w:name="_Toc137408770"/>
      <w:bookmarkStart w:id="1840" w:name="_Toc99299782"/>
      <w:bookmarkStart w:id="1841" w:name="_Toc20655"/>
      <w:r>
        <w:rPr>
          <w:rFonts w:hint="eastAsia" w:ascii="宋体" w:hAnsi="宋体"/>
          <w:color w:val="auto"/>
          <w:sz w:val="28"/>
          <w:szCs w:val="28"/>
          <w:highlight w:val="none"/>
        </w:rPr>
        <w:t>八、合同条款偏离表</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p>
    <w:p w14:paraId="43A91479">
      <w:pPr>
        <w:adjustRightInd w:val="0"/>
        <w:snapToGrid w:val="0"/>
        <w:spacing w:line="360" w:lineRule="auto"/>
        <w:rPr>
          <w:rFonts w:ascii="宋体" w:hAnsi="宋体"/>
          <w:color w:val="auto"/>
          <w:szCs w:val="21"/>
          <w:highlight w:val="none"/>
        </w:rPr>
      </w:pPr>
    </w:p>
    <w:p w14:paraId="7257854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5DF7225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包号：                                   包名称： </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569"/>
      </w:tblGrid>
      <w:tr w14:paraId="742364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14198660">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7339ADAB">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3329BA39">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highlight w:val="none"/>
              </w:rPr>
              <w:t>招标文件要求</w:t>
            </w:r>
          </w:p>
        </w:tc>
        <w:tc>
          <w:tcPr>
            <w:tcW w:w="2082" w:type="dxa"/>
            <w:tcBorders>
              <w:right w:val="single" w:color="auto" w:sz="4" w:space="0"/>
            </w:tcBorders>
            <w:vAlign w:val="center"/>
          </w:tcPr>
          <w:p w14:paraId="3D6C4F13">
            <w:pPr>
              <w:adjustRightInd w:val="0"/>
              <w:snapToGrid w:val="0"/>
              <w:spacing w:before="50" w:line="360" w:lineRule="auto"/>
              <w:jc w:val="center"/>
              <w:rPr>
                <w:rFonts w:ascii="宋体" w:hAnsi="宋体"/>
                <w:color w:val="auto"/>
                <w:szCs w:val="21"/>
                <w:highlight w:val="none"/>
              </w:rPr>
            </w:pPr>
            <w:r>
              <w:rPr>
                <w:rFonts w:hint="eastAsia" w:ascii="宋体" w:hAnsi="宋体"/>
                <w:color w:val="auto"/>
                <w:highlight w:val="none"/>
              </w:rPr>
              <w:t>投标文件的应答</w:t>
            </w:r>
          </w:p>
        </w:tc>
        <w:tc>
          <w:tcPr>
            <w:tcW w:w="1569" w:type="dxa"/>
            <w:tcBorders>
              <w:left w:val="single" w:color="auto" w:sz="4" w:space="0"/>
            </w:tcBorders>
            <w:vAlign w:val="center"/>
          </w:tcPr>
          <w:p w14:paraId="3AA17804">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61A793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36C959A">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14C09F4">
            <w:pPr>
              <w:adjustRightInd w:val="0"/>
              <w:snapToGrid w:val="0"/>
              <w:spacing w:before="50" w:line="360" w:lineRule="auto"/>
              <w:ind w:left="-88" w:leftChars="-42"/>
              <w:jc w:val="center"/>
              <w:rPr>
                <w:rFonts w:ascii="宋体" w:hAnsi="宋体"/>
                <w:color w:val="auto"/>
                <w:szCs w:val="21"/>
                <w:highlight w:val="none"/>
              </w:rPr>
            </w:pPr>
          </w:p>
        </w:tc>
        <w:tc>
          <w:tcPr>
            <w:tcW w:w="1985" w:type="dxa"/>
          </w:tcPr>
          <w:p w14:paraId="4B898B39">
            <w:pPr>
              <w:adjustRightInd w:val="0"/>
              <w:snapToGrid w:val="0"/>
              <w:spacing w:before="50" w:line="360" w:lineRule="auto"/>
              <w:rPr>
                <w:rFonts w:ascii="宋体" w:hAnsi="宋体"/>
                <w:color w:val="auto"/>
                <w:highlight w:val="none"/>
              </w:rPr>
            </w:pPr>
          </w:p>
        </w:tc>
        <w:tc>
          <w:tcPr>
            <w:tcW w:w="2082" w:type="dxa"/>
            <w:tcBorders>
              <w:right w:val="single" w:color="auto" w:sz="4" w:space="0"/>
            </w:tcBorders>
          </w:tcPr>
          <w:p w14:paraId="3CC34399">
            <w:pPr>
              <w:adjustRightInd w:val="0"/>
              <w:snapToGrid w:val="0"/>
              <w:spacing w:before="50" w:line="360" w:lineRule="auto"/>
              <w:rPr>
                <w:rFonts w:ascii="宋体" w:hAnsi="宋体"/>
                <w:color w:val="auto"/>
                <w:highlight w:val="none"/>
              </w:rPr>
            </w:pPr>
          </w:p>
        </w:tc>
        <w:tc>
          <w:tcPr>
            <w:tcW w:w="1569" w:type="dxa"/>
            <w:tcBorders>
              <w:left w:val="single" w:color="auto" w:sz="4" w:space="0"/>
            </w:tcBorders>
          </w:tcPr>
          <w:p w14:paraId="12FCA982">
            <w:pPr>
              <w:adjustRightInd w:val="0"/>
              <w:snapToGrid w:val="0"/>
              <w:spacing w:before="50" w:line="360" w:lineRule="auto"/>
              <w:ind w:left="-88" w:leftChars="-42"/>
              <w:jc w:val="center"/>
              <w:rPr>
                <w:rFonts w:ascii="宋体" w:hAnsi="宋体"/>
                <w:color w:val="auto"/>
                <w:szCs w:val="21"/>
                <w:highlight w:val="none"/>
              </w:rPr>
            </w:pPr>
          </w:p>
        </w:tc>
      </w:tr>
      <w:tr w14:paraId="671BB4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25FF387">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AE5488F">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3096451C">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2A061D61">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42B5F89F">
            <w:pPr>
              <w:adjustRightInd w:val="0"/>
              <w:snapToGrid w:val="0"/>
              <w:spacing w:before="50" w:line="360" w:lineRule="auto"/>
              <w:ind w:left="-88" w:leftChars="-42"/>
              <w:jc w:val="center"/>
              <w:rPr>
                <w:rFonts w:ascii="宋体" w:hAnsi="宋体"/>
                <w:color w:val="auto"/>
                <w:szCs w:val="21"/>
                <w:highlight w:val="none"/>
              </w:rPr>
            </w:pPr>
          </w:p>
        </w:tc>
      </w:tr>
      <w:tr w14:paraId="3B9AB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63257B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FC0F196">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5F7D1624">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63AAD3CF">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3EEF4974">
            <w:pPr>
              <w:adjustRightInd w:val="0"/>
              <w:snapToGrid w:val="0"/>
              <w:spacing w:before="50" w:line="360" w:lineRule="auto"/>
              <w:ind w:left="-88" w:leftChars="-42"/>
              <w:jc w:val="center"/>
              <w:rPr>
                <w:rFonts w:ascii="宋体" w:hAnsi="宋体"/>
                <w:color w:val="auto"/>
                <w:szCs w:val="21"/>
                <w:highlight w:val="none"/>
              </w:rPr>
            </w:pPr>
          </w:p>
        </w:tc>
      </w:tr>
      <w:tr w14:paraId="74D7B0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4DF5A2F">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8F750D0">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19C96454">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135C42EA">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76A1B6EE">
            <w:pPr>
              <w:adjustRightInd w:val="0"/>
              <w:snapToGrid w:val="0"/>
              <w:spacing w:before="50" w:line="360" w:lineRule="auto"/>
              <w:ind w:left="-88" w:leftChars="-42"/>
              <w:jc w:val="center"/>
              <w:rPr>
                <w:rFonts w:ascii="宋体" w:hAnsi="宋体"/>
                <w:color w:val="auto"/>
                <w:szCs w:val="21"/>
                <w:highlight w:val="none"/>
              </w:rPr>
            </w:pPr>
          </w:p>
        </w:tc>
      </w:tr>
      <w:tr w14:paraId="5FF97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3A820DE">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F076F4B">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5D4CDC82">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79153CD3">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754763B8">
            <w:pPr>
              <w:adjustRightInd w:val="0"/>
              <w:snapToGrid w:val="0"/>
              <w:spacing w:before="50" w:line="360" w:lineRule="auto"/>
              <w:ind w:left="-88" w:leftChars="-42"/>
              <w:jc w:val="center"/>
              <w:rPr>
                <w:rFonts w:ascii="宋体" w:hAnsi="宋体"/>
                <w:color w:val="auto"/>
                <w:szCs w:val="21"/>
                <w:highlight w:val="none"/>
              </w:rPr>
            </w:pPr>
          </w:p>
        </w:tc>
      </w:tr>
      <w:tr w14:paraId="777E22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D39B69A">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C95A3CD">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31510824">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711C029A">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3CC11B29">
            <w:pPr>
              <w:adjustRightInd w:val="0"/>
              <w:snapToGrid w:val="0"/>
              <w:spacing w:before="50" w:line="360" w:lineRule="auto"/>
              <w:ind w:left="-88" w:leftChars="-42"/>
              <w:jc w:val="center"/>
              <w:rPr>
                <w:rFonts w:ascii="宋体" w:hAnsi="宋体"/>
                <w:color w:val="auto"/>
                <w:szCs w:val="21"/>
                <w:highlight w:val="none"/>
              </w:rPr>
            </w:pPr>
          </w:p>
        </w:tc>
      </w:tr>
      <w:tr w14:paraId="6893A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EEF66B">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FDACA60">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E948445">
            <w:pPr>
              <w:adjustRightInd w:val="0"/>
              <w:snapToGrid w:val="0"/>
              <w:spacing w:before="50" w:line="360" w:lineRule="auto"/>
              <w:ind w:left="-88" w:leftChars="-42"/>
              <w:jc w:val="center"/>
              <w:rPr>
                <w:rFonts w:ascii="宋体" w:hAnsi="宋体"/>
                <w:color w:val="auto"/>
                <w:szCs w:val="21"/>
                <w:highlight w:val="none"/>
              </w:rPr>
            </w:pPr>
          </w:p>
        </w:tc>
        <w:tc>
          <w:tcPr>
            <w:tcW w:w="3651" w:type="dxa"/>
            <w:gridSpan w:val="2"/>
            <w:vAlign w:val="center"/>
          </w:tcPr>
          <w:p w14:paraId="05FF0FE7">
            <w:pPr>
              <w:adjustRightInd w:val="0"/>
              <w:snapToGrid w:val="0"/>
              <w:spacing w:before="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投标人保证：除本合同条款偏离表列出的偏离外，我单位对招标文件的其他商务、合同条款完全响应，无偏离。</w:t>
            </w:r>
          </w:p>
        </w:tc>
      </w:tr>
    </w:tbl>
    <w:p w14:paraId="26A9E277">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：（1）投标人应根据招标文件第六章“政府采购合同”填写本表；</w:t>
      </w:r>
    </w:p>
    <w:p w14:paraId="01D7CBF3">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投标人如果对招标文件第六章“政府采购合同”的响应有偏离，应将偏离条款逐条如实应答，并作出说明；如没有偏离，则注明无偏离即可；</w:t>
      </w:r>
    </w:p>
    <w:p w14:paraId="7D9C525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（3）如不提供此表，则视为投标人不满足招标文件第六章的所有条款要求，其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143D02A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7F5F19F2">
      <w:pPr>
        <w:adjustRightInd w:val="0"/>
        <w:snapToGrid w:val="0"/>
        <w:spacing w:before="50" w:line="360" w:lineRule="auto"/>
        <w:rPr>
          <w:rFonts w:ascii="宋体" w:hAnsi="宋体"/>
          <w:color w:val="auto"/>
          <w:szCs w:val="21"/>
          <w:highlight w:val="none"/>
        </w:rPr>
      </w:pPr>
    </w:p>
    <w:p w14:paraId="427B1B26">
      <w:pPr>
        <w:adjustRightInd w:val="0"/>
        <w:snapToGrid w:val="0"/>
        <w:spacing w:before="50" w:line="360" w:lineRule="auto"/>
        <w:rPr>
          <w:rFonts w:ascii="宋体" w:hAnsi="宋体"/>
          <w:color w:val="auto"/>
          <w:szCs w:val="21"/>
          <w:highlight w:val="none"/>
        </w:rPr>
      </w:pPr>
    </w:p>
    <w:p w14:paraId="0F10E6E9">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532F0C54">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5293B97B">
      <w:pPr>
        <w:adjustRightInd w:val="0"/>
        <w:snapToGrid w:val="0"/>
        <w:rPr>
          <w:rFonts w:ascii="宋体" w:hAnsi="宋体"/>
          <w:color w:val="auto"/>
          <w:szCs w:val="21"/>
          <w:highlight w:val="none"/>
        </w:rPr>
      </w:pPr>
      <w:r>
        <w:rPr>
          <w:rFonts w:hint="eastAsia" w:ascii="宋体" w:hAnsi="宋体"/>
          <w:color w:val="auto"/>
          <w:szCs w:val="21"/>
          <w:highlight w:val="none"/>
        </w:rPr>
        <w:t>日       期：年月_日</w:t>
      </w:r>
      <w:r>
        <w:rPr>
          <w:rFonts w:ascii="宋体" w:hAnsi="宋体"/>
          <w:color w:val="auto"/>
          <w:sz w:val="28"/>
          <w:szCs w:val="28"/>
          <w:highlight w:val="none"/>
        </w:rPr>
        <w:br w:type="page"/>
      </w:r>
    </w:p>
    <w:p w14:paraId="4A9B271D">
      <w:pPr>
        <w:adjustRightInd w:val="0"/>
        <w:snapToGrid w:val="0"/>
        <w:spacing w:beforeLines="50" w:line="360" w:lineRule="auto"/>
        <w:jc w:val="center"/>
        <w:outlineLvl w:val="1"/>
        <w:rPr>
          <w:rFonts w:ascii="宋体" w:hAnsi="宋体"/>
          <w:color w:val="auto"/>
          <w:sz w:val="28"/>
          <w:szCs w:val="28"/>
          <w:highlight w:val="none"/>
        </w:rPr>
      </w:pPr>
      <w:bookmarkStart w:id="1842" w:name="_Toc137408771"/>
      <w:bookmarkStart w:id="1843" w:name="_Toc23311"/>
      <w:bookmarkStart w:id="1844" w:name="_Toc118209480"/>
      <w:bookmarkStart w:id="1845" w:name="_Toc22481"/>
      <w:bookmarkStart w:id="1846" w:name="_Toc189905413"/>
      <w:bookmarkStart w:id="1847" w:name="_Toc111543613"/>
      <w:bookmarkStart w:id="1848" w:name="_Toc109656635"/>
      <w:bookmarkStart w:id="1849" w:name="_Toc99299783"/>
      <w:bookmarkStart w:id="1850" w:name="_Toc9121"/>
      <w:bookmarkStart w:id="1851" w:name="_Toc79093731"/>
      <w:bookmarkStart w:id="1852" w:name="_Toc8003"/>
      <w:bookmarkStart w:id="1853" w:name="_Toc16829"/>
      <w:bookmarkStart w:id="1854" w:name="_Toc108483453"/>
      <w:bookmarkStart w:id="1855" w:name="_Toc15742"/>
      <w:bookmarkStart w:id="1856" w:name="_Toc31741"/>
      <w:bookmarkStart w:id="1857" w:name="_Toc1877"/>
      <w:bookmarkStart w:id="1858" w:name="_Toc30602"/>
      <w:bookmarkStart w:id="1859" w:name="_Toc103979636"/>
      <w:bookmarkStart w:id="1860" w:name="_Toc14192"/>
      <w:bookmarkStart w:id="1861" w:name="_Toc140957923"/>
      <w:bookmarkStart w:id="1862" w:name="_Toc16231"/>
      <w:bookmarkStart w:id="1863" w:name="_Toc31825"/>
      <w:bookmarkStart w:id="1864" w:name="_Toc3250"/>
      <w:bookmarkStart w:id="1865" w:name="_Toc193053759"/>
      <w:bookmarkStart w:id="1866" w:name="_Toc171282456"/>
      <w:bookmarkStart w:id="1867" w:name="_Toc14870"/>
      <w:bookmarkStart w:id="1868" w:name="_Toc113350989"/>
      <w:bookmarkStart w:id="1869" w:name="_Toc166778386"/>
      <w:bookmarkStart w:id="1870" w:name="_Toc4990"/>
      <w:r>
        <w:rPr>
          <w:rFonts w:hint="eastAsia" w:ascii="宋体" w:hAnsi="宋体"/>
          <w:color w:val="auto"/>
          <w:sz w:val="28"/>
          <w:szCs w:val="28"/>
          <w:highlight w:val="none"/>
        </w:rPr>
        <w:t>九、采购需求偏离表</w:t>
      </w:r>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p>
    <w:p w14:paraId="2A91FEEA">
      <w:pPr>
        <w:adjustRightInd w:val="0"/>
        <w:snapToGrid w:val="0"/>
        <w:spacing w:line="360" w:lineRule="auto"/>
        <w:rPr>
          <w:rFonts w:ascii="宋体" w:hAnsi="宋体"/>
          <w:color w:val="auto"/>
          <w:szCs w:val="21"/>
          <w:highlight w:val="none"/>
        </w:rPr>
      </w:pPr>
    </w:p>
    <w:p w14:paraId="1B7F79F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3E548CE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包号：                                   包名称： </w:t>
      </w: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312"/>
      </w:tblGrid>
      <w:tr w14:paraId="155A9F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1A74448">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05740F36">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139D8E7A">
            <w:pPr>
              <w:adjustRightInd w:val="0"/>
              <w:snapToGrid w:val="0"/>
              <w:spacing w:before="50" w:line="360" w:lineRule="auto"/>
              <w:jc w:val="center"/>
              <w:rPr>
                <w:rFonts w:ascii="宋体" w:hAnsi="宋体"/>
                <w:color w:val="auto"/>
                <w:highlight w:val="none"/>
              </w:rPr>
            </w:pPr>
            <w:r>
              <w:rPr>
                <w:rFonts w:hint="eastAsia" w:ascii="宋体" w:hAnsi="宋体"/>
                <w:color w:val="auto"/>
                <w:highlight w:val="none"/>
              </w:rPr>
              <w:t>招标文件要求</w:t>
            </w:r>
          </w:p>
        </w:tc>
        <w:tc>
          <w:tcPr>
            <w:tcW w:w="2126" w:type="dxa"/>
            <w:tcBorders>
              <w:left w:val="single" w:color="auto" w:sz="4" w:space="0"/>
            </w:tcBorders>
          </w:tcPr>
          <w:p w14:paraId="7ABF60E7">
            <w:pPr>
              <w:adjustRightInd w:val="0"/>
              <w:snapToGrid w:val="0"/>
              <w:spacing w:before="50" w:line="360" w:lineRule="auto"/>
              <w:jc w:val="center"/>
              <w:rPr>
                <w:rFonts w:ascii="宋体" w:hAnsi="宋体"/>
                <w:color w:val="auto"/>
                <w:highlight w:val="none"/>
              </w:rPr>
            </w:pPr>
            <w:r>
              <w:rPr>
                <w:rFonts w:hint="eastAsia" w:ascii="宋体" w:hAnsi="宋体"/>
                <w:color w:val="auto"/>
                <w:highlight w:val="none"/>
              </w:rPr>
              <w:t>投标文件应答</w:t>
            </w:r>
          </w:p>
        </w:tc>
        <w:tc>
          <w:tcPr>
            <w:tcW w:w="1312" w:type="dxa"/>
            <w:vAlign w:val="center"/>
          </w:tcPr>
          <w:p w14:paraId="7A2D3134">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7410AC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2BA69A5">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2527363">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CC53383">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6D5C9E11">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090C94FE">
            <w:pPr>
              <w:adjustRightInd w:val="0"/>
              <w:snapToGrid w:val="0"/>
              <w:spacing w:before="50" w:line="360" w:lineRule="auto"/>
              <w:ind w:left="-88" w:leftChars="-42"/>
              <w:jc w:val="center"/>
              <w:rPr>
                <w:rFonts w:ascii="宋体" w:hAnsi="宋体"/>
                <w:color w:val="auto"/>
                <w:szCs w:val="21"/>
                <w:highlight w:val="none"/>
              </w:rPr>
            </w:pPr>
          </w:p>
        </w:tc>
      </w:tr>
      <w:tr w14:paraId="415372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AD17BD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5C58C1E">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0BBCB3BA">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691BC283">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7649D9AC">
            <w:pPr>
              <w:adjustRightInd w:val="0"/>
              <w:snapToGrid w:val="0"/>
              <w:spacing w:before="50" w:line="360" w:lineRule="auto"/>
              <w:ind w:left="-88" w:leftChars="-42"/>
              <w:jc w:val="center"/>
              <w:rPr>
                <w:rFonts w:ascii="宋体" w:hAnsi="宋体"/>
                <w:color w:val="auto"/>
                <w:szCs w:val="21"/>
                <w:highlight w:val="none"/>
              </w:rPr>
            </w:pPr>
          </w:p>
        </w:tc>
      </w:tr>
      <w:tr w14:paraId="50292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1BC1F1">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28217AF">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016577D0">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D1564DE">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49852465">
            <w:pPr>
              <w:adjustRightInd w:val="0"/>
              <w:snapToGrid w:val="0"/>
              <w:spacing w:before="50" w:line="360" w:lineRule="auto"/>
              <w:ind w:left="-88" w:leftChars="-42"/>
              <w:jc w:val="center"/>
              <w:rPr>
                <w:rFonts w:ascii="宋体" w:hAnsi="宋体"/>
                <w:color w:val="auto"/>
                <w:szCs w:val="21"/>
                <w:highlight w:val="none"/>
              </w:rPr>
            </w:pPr>
          </w:p>
        </w:tc>
      </w:tr>
      <w:tr w14:paraId="32BEEF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A64FE4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892D3C7">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0F065FB6">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CA74EB6">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2FC21B67">
            <w:pPr>
              <w:adjustRightInd w:val="0"/>
              <w:snapToGrid w:val="0"/>
              <w:spacing w:before="50" w:line="360" w:lineRule="auto"/>
              <w:ind w:left="-88" w:leftChars="-42"/>
              <w:jc w:val="center"/>
              <w:rPr>
                <w:rFonts w:ascii="宋体" w:hAnsi="宋体"/>
                <w:color w:val="auto"/>
                <w:szCs w:val="21"/>
                <w:highlight w:val="none"/>
              </w:rPr>
            </w:pPr>
          </w:p>
        </w:tc>
      </w:tr>
      <w:tr w14:paraId="4B05F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F79865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FE13110">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510D0C8C">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7F2D9C5D">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2BC90736">
            <w:pPr>
              <w:adjustRightInd w:val="0"/>
              <w:snapToGrid w:val="0"/>
              <w:spacing w:before="50" w:line="360" w:lineRule="auto"/>
              <w:ind w:left="-88" w:leftChars="-42"/>
              <w:jc w:val="center"/>
              <w:rPr>
                <w:rFonts w:ascii="宋体" w:hAnsi="宋体"/>
                <w:color w:val="auto"/>
                <w:szCs w:val="21"/>
                <w:highlight w:val="none"/>
              </w:rPr>
            </w:pPr>
          </w:p>
        </w:tc>
      </w:tr>
      <w:tr w14:paraId="125194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100AB9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8145C2E">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0BB50408">
            <w:pPr>
              <w:adjustRightInd w:val="0"/>
              <w:snapToGrid w:val="0"/>
              <w:spacing w:before="50" w:line="360" w:lineRule="auto"/>
              <w:ind w:left="-88" w:leftChars="-42"/>
              <w:jc w:val="center"/>
              <w:rPr>
                <w:rFonts w:ascii="宋体" w:hAnsi="宋体"/>
                <w:color w:val="auto"/>
                <w:szCs w:val="21"/>
                <w:highlight w:val="none"/>
              </w:rPr>
            </w:pPr>
          </w:p>
        </w:tc>
        <w:tc>
          <w:tcPr>
            <w:tcW w:w="3438" w:type="dxa"/>
            <w:gridSpan w:val="2"/>
            <w:tcBorders>
              <w:left w:val="single" w:color="auto" w:sz="4" w:space="0"/>
            </w:tcBorders>
            <w:vAlign w:val="center"/>
          </w:tcPr>
          <w:p w14:paraId="74A0C038">
            <w:pPr>
              <w:adjustRightInd w:val="0"/>
              <w:snapToGrid w:val="0"/>
              <w:spacing w:before="50" w:line="360" w:lineRule="auto"/>
              <w:ind w:firstLine="422" w:firstLineChars="200"/>
              <w:rPr>
                <w:rFonts w:ascii="宋体" w:hAnsi="宋体"/>
                <w:color w:val="auto"/>
                <w:szCs w:val="21"/>
                <w:highlight w:val="none"/>
              </w:rPr>
            </w:pPr>
            <w:r>
              <w:rPr>
                <w:rFonts w:hint="eastAsia" w:ascii="宋体" w:hAnsi="宋体"/>
                <w:b/>
                <w:color w:val="auto"/>
                <w:szCs w:val="21"/>
                <w:highlight w:val="none"/>
              </w:rPr>
              <w:t>投标人保证：除本采购需求偏离表列出的偏离外，我单位对招标文件的其他采购需求条款完全响应，无偏离。</w:t>
            </w:r>
          </w:p>
        </w:tc>
      </w:tr>
    </w:tbl>
    <w:p w14:paraId="4F17A487">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：（1）投标人应根据招标文件第五章“采购需求”填写本表；</w:t>
      </w:r>
    </w:p>
    <w:p w14:paraId="2F932A32">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投标人如果对招标文件第五章“采购需求”的响应有偏离，应将偏离条款逐条如实应答，并作出说明；如没有偏离，则注明无偏离即可；</w:t>
      </w:r>
    </w:p>
    <w:p w14:paraId="0DC02F9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（3）如不提供此表，则视为投标人不满足招标文件第五章的所有条款要求，其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467F8BE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78E612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（5）本表偏离表与本章第七节“采购需求响应”不一致时，以“采购需求响应”为准。</w:t>
      </w:r>
    </w:p>
    <w:p w14:paraId="24DC2A12">
      <w:pPr>
        <w:adjustRightInd w:val="0"/>
        <w:snapToGrid w:val="0"/>
        <w:spacing w:before="50" w:line="360" w:lineRule="auto"/>
        <w:rPr>
          <w:rFonts w:ascii="宋体" w:hAnsi="宋体"/>
          <w:color w:val="auto"/>
          <w:szCs w:val="21"/>
          <w:highlight w:val="none"/>
        </w:rPr>
      </w:pPr>
    </w:p>
    <w:p w14:paraId="79A9C934">
      <w:pPr>
        <w:adjustRightInd w:val="0"/>
        <w:snapToGrid w:val="0"/>
        <w:spacing w:before="50" w:line="360" w:lineRule="auto"/>
        <w:rPr>
          <w:rFonts w:ascii="宋体" w:hAnsi="宋体"/>
          <w:color w:val="auto"/>
          <w:szCs w:val="21"/>
          <w:highlight w:val="none"/>
        </w:rPr>
      </w:pPr>
    </w:p>
    <w:p w14:paraId="6E9D1346">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351EF95">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64C74FC0">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期：年月_日</w:t>
      </w:r>
    </w:p>
    <w:p w14:paraId="6443172C">
      <w:pPr>
        <w:pStyle w:val="4"/>
        <w:adjustRightInd w:val="0"/>
        <w:snapToGrid w:val="0"/>
        <w:spacing w:before="0" w:after="0" w:line="240" w:lineRule="auto"/>
        <w:jc w:val="center"/>
        <w:rPr>
          <w:rFonts w:ascii="宋体" w:hAnsi="宋体"/>
          <w:color w:val="auto"/>
          <w:sz w:val="28"/>
          <w:szCs w:val="28"/>
          <w:highlight w:val="none"/>
        </w:rPr>
      </w:pPr>
      <w:r>
        <w:rPr>
          <w:rFonts w:ascii="宋体" w:hAnsi="宋体"/>
          <w:color w:val="auto"/>
          <w:szCs w:val="21"/>
          <w:highlight w:val="none"/>
        </w:rPr>
        <w:br w:type="page"/>
      </w:r>
      <w:bookmarkStart w:id="1871" w:name="_Toc17281"/>
      <w:bookmarkStart w:id="1872" w:name="_Toc113350990"/>
      <w:bookmarkStart w:id="1873" w:name="_Toc108483454"/>
      <w:bookmarkStart w:id="1874" w:name="_Toc32545"/>
      <w:bookmarkStart w:id="1875" w:name="_Toc171282457"/>
      <w:bookmarkStart w:id="1876" w:name="_Toc9238"/>
      <w:bookmarkStart w:id="1877" w:name="_Toc22144"/>
      <w:bookmarkStart w:id="1878" w:name="_Toc7414"/>
      <w:bookmarkStart w:id="1879" w:name="_Toc3315"/>
      <w:bookmarkStart w:id="1880" w:name="_Toc5274"/>
      <w:bookmarkStart w:id="1881" w:name="_Toc118209481"/>
      <w:bookmarkStart w:id="1882" w:name="_Toc13811"/>
      <w:bookmarkStart w:id="1883" w:name="_Toc9500"/>
      <w:bookmarkStart w:id="1884" w:name="_Toc16411"/>
      <w:bookmarkStart w:id="1885" w:name="_Toc193053760"/>
      <w:bookmarkStart w:id="1886" w:name="_Toc111543614"/>
      <w:bookmarkStart w:id="1887" w:name="_Toc79093732"/>
      <w:bookmarkStart w:id="1888" w:name="_Toc166778387"/>
      <w:bookmarkStart w:id="1889" w:name="_Toc137408772"/>
      <w:bookmarkStart w:id="1890" w:name="_Toc6387"/>
      <w:bookmarkStart w:id="1891" w:name="_Toc11045"/>
      <w:bookmarkStart w:id="1892" w:name="_Toc109656636"/>
      <w:bookmarkStart w:id="1893" w:name="_Toc103979637"/>
      <w:bookmarkStart w:id="1894" w:name="_Toc99299784"/>
      <w:bookmarkStart w:id="1895" w:name="_Toc31042"/>
      <w:bookmarkStart w:id="1896" w:name="_Toc9966"/>
      <w:bookmarkStart w:id="1897" w:name="_Toc140957924"/>
      <w:bookmarkStart w:id="1898" w:name="_Toc4461"/>
      <w:bookmarkStart w:id="1899" w:name="_Toc15081"/>
      <w:bookmarkStart w:id="1900" w:name="_Toc189905414"/>
      <w:r>
        <w:rPr>
          <w:rFonts w:hint="eastAsia" w:ascii="宋体" w:hAnsi="宋体"/>
          <w:color w:val="auto"/>
          <w:szCs w:val="21"/>
          <w:highlight w:val="none"/>
        </w:rPr>
        <w:t>十</w:t>
      </w:r>
      <w:r>
        <w:rPr>
          <w:rFonts w:hint="eastAsia" w:ascii="宋体" w:hAnsi="宋体"/>
          <w:color w:val="auto"/>
          <w:sz w:val="28"/>
          <w:szCs w:val="28"/>
          <w:highlight w:val="none"/>
        </w:rPr>
        <w:t>、享受政府采购政策优惠的证明资料</w:t>
      </w:r>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p w14:paraId="0CEC24FB">
      <w:pPr>
        <w:adjustRightInd w:val="0"/>
        <w:snapToGrid w:val="0"/>
        <w:spacing w:line="360" w:lineRule="auto"/>
        <w:rPr>
          <w:rFonts w:ascii="宋体" w:hAnsi="宋体" w:cs="宋体"/>
          <w:bCs/>
          <w:color w:val="auto"/>
          <w:spacing w:val="6"/>
          <w:kern w:val="0"/>
          <w:szCs w:val="21"/>
          <w:highlight w:val="none"/>
        </w:rPr>
      </w:pPr>
    </w:p>
    <w:p w14:paraId="282B1B71">
      <w:pPr>
        <w:adjustRightInd w:val="0"/>
        <w:snapToGrid w:val="0"/>
        <w:spacing w:line="360" w:lineRule="auto"/>
        <w:ind w:firstLine="444" w:firstLineChars="200"/>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投标人符合第二章第33.6条要求的，应提供下列证明资料，并填写相关数据。否则，评审时不予以考虑。</w:t>
      </w:r>
    </w:p>
    <w:p w14:paraId="728B5E79">
      <w:pPr>
        <w:pStyle w:val="134"/>
        <w:ind w:firstLine="414"/>
        <w:rPr>
          <w:rFonts w:ascii="宋体" w:hAnsi="宋体"/>
          <w:color w:val="auto"/>
          <w:highlight w:val="none"/>
        </w:rPr>
      </w:pPr>
    </w:p>
    <w:p w14:paraId="25224D3E">
      <w:pPr>
        <w:pStyle w:val="5"/>
        <w:rPr>
          <w:rFonts w:ascii="宋体" w:hAnsi="宋体" w:eastAsia="宋体" w:cs="宋体"/>
          <w:b w:val="0"/>
          <w:bCs w:val="0"/>
          <w:color w:val="auto"/>
          <w:spacing w:val="6"/>
          <w:sz w:val="21"/>
          <w:szCs w:val="21"/>
          <w:highlight w:val="none"/>
        </w:rPr>
      </w:pPr>
      <w:bookmarkStart w:id="1901" w:name="_Toc12397"/>
      <w:r>
        <w:rPr>
          <w:rFonts w:hint="eastAsia" w:ascii="宋体" w:hAnsi="宋体" w:eastAsia="宋体" w:cs="宋体"/>
          <w:b w:val="0"/>
          <w:bCs w:val="0"/>
          <w:color w:val="auto"/>
          <w:spacing w:val="6"/>
          <w:sz w:val="21"/>
          <w:szCs w:val="21"/>
          <w:highlight w:val="none"/>
        </w:rPr>
        <w:t>附件10-1中小企业声明函</w:t>
      </w:r>
      <w:bookmarkEnd w:id="1901"/>
    </w:p>
    <w:p w14:paraId="0820DAC1">
      <w:pPr>
        <w:widowControl/>
        <w:adjustRightInd w:val="0"/>
        <w:snapToGrid w:val="0"/>
        <w:spacing w:before="159" w:beforeLines="50" w:line="360" w:lineRule="auto"/>
        <w:jc w:val="center"/>
        <w:outlineLvl w:val="2"/>
        <w:rPr>
          <w:rFonts w:ascii="宋体" w:hAnsi="宋体" w:cs="宋体"/>
          <w:color w:val="auto"/>
          <w:szCs w:val="21"/>
          <w:highlight w:val="none"/>
        </w:rPr>
      </w:pPr>
      <w:bookmarkStart w:id="1902" w:name="_Toc27739"/>
      <w:bookmarkStart w:id="1903" w:name="_Toc31707"/>
      <w:bookmarkStart w:id="1904" w:name="_Toc171282458"/>
      <w:bookmarkStart w:id="1905" w:name="_Toc5575"/>
      <w:bookmarkStart w:id="1906" w:name="_Toc189905415"/>
      <w:r>
        <w:rPr>
          <w:rFonts w:hint="eastAsia" w:ascii="黑体" w:hAnsi="仿宋" w:eastAsia="黑体" w:cs="宋体"/>
          <w:b/>
          <w:color w:val="auto"/>
          <w:sz w:val="28"/>
          <w:szCs w:val="28"/>
          <w:highlight w:val="none"/>
        </w:rPr>
        <w:t>湖南省政府采购供应商资格承诺函(格式)</w:t>
      </w:r>
      <w:bookmarkEnd w:id="1902"/>
      <w:bookmarkEnd w:id="1903"/>
      <w:bookmarkEnd w:id="1904"/>
      <w:bookmarkEnd w:id="1905"/>
      <w:bookmarkEnd w:id="1906"/>
    </w:p>
    <w:p w14:paraId="667B20E5">
      <w:pPr>
        <w:widowControl/>
        <w:spacing w:before="159"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D2A0BB4">
      <w:pPr>
        <w:widowControl/>
        <w:spacing w:before="159"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53B46DBA">
      <w:pPr>
        <w:widowControl/>
        <w:spacing w:before="159"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288A3F3D">
      <w:pPr>
        <w:widowControl/>
        <w:spacing w:before="159" w:beforeLines="50" w:line="360" w:lineRule="auto"/>
        <w:ind w:firstLine="420" w:firstLineChars="200"/>
        <w:jc w:val="left"/>
        <w:rPr>
          <w:rFonts w:ascii="宋体" w:hAnsi="宋体" w:cs="宋体"/>
          <w:color w:val="auto"/>
          <w:szCs w:val="21"/>
          <w:highlight w:val="none"/>
        </w:rPr>
      </w:pPr>
    </w:p>
    <w:p w14:paraId="5F374F5F">
      <w:pPr>
        <w:widowControl/>
        <w:spacing w:before="159"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13D3F4C8">
      <w:pPr>
        <w:widowControl/>
        <w:spacing w:before="159"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50785997">
      <w:pPr>
        <w:widowControl/>
        <w:spacing w:before="159"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477F43C9">
      <w:pPr>
        <w:widowControl/>
        <w:spacing w:beforeLines="50" w:line="360" w:lineRule="auto"/>
        <w:ind w:firstLine="420" w:firstLineChars="200"/>
        <w:jc w:val="left"/>
        <w:rPr>
          <w:rFonts w:hint="eastAsia" w:ascii="宋体" w:hAnsi="宋体" w:eastAsia="宋体"/>
          <w:color w:val="auto"/>
          <w:highlight w:val="none"/>
          <w:lang w:eastAsia="zh-CN"/>
        </w:rPr>
      </w:pPr>
      <w:r>
        <w:rPr>
          <w:rFonts w:hint="eastAsia" w:ascii="宋体" w:hAnsi="宋体" w:cs="宋体"/>
          <w:color w:val="auto"/>
          <w:szCs w:val="21"/>
          <w:highlight w:val="none"/>
        </w:rPr>
        <w:t>授权代表人姓名(签字)、身份证号、手机号</w:t>
      </w:r>
      <w:r>
        <w:rPr>
          <w:rFonts w:hint="eastAsia" w:ascii="宋体" w:hAnsi="宋体" w:cs="宋体"/>
          <w:color w:val="auto"/>
          <w:szCs w:val="21"/>
          <w:highlight w:val="none"/>
          <w:lang w:eastAsia="zh-CN"/>
        </w:rPr>
        <w:t>：</w:t>
      </w:r>
    </w:p>
    <w:p w14:paraId="49F79159">
      <w:pPr>
        <w:widowControl/>
        <w:spacing w:beforeLines="50" w:line="360" w:lineRule="auto"/>
        <w:ind w:firstLine="420" w:firstLineChars="200"/>
        <w:jc w:val="left"/>
        <w:rPr>
          <w:rFonts w:ascii="宋体" w:hAnsi="宋体"/>
          <w:color w:val="auto"/>
          <w:highlight w:val="none"/>
        </w:rPr>
      </w:pPr>
    </w:p>
    <w:p w14:paraId="55884BA1">
      <w:pPr>
        <w:rPr>
          <w:rFonts w:hint="eastAsia" w:ascii="宋体" w:hAnsi="宋体"/>
          <w:color w:val="auto"/>
          <w:sz w:val="28"/>
          <w:szCs w:val="28"/>
          <w:highlight w:val="none"/>
        </w:rPr>
      </w:pPr>
      <w:bookmarkStart w:id="1907" w:name="_Toc30657"/>
      <w:bookmarkStart w:id="1908" w:name="_Toc14897"/>
      <w:bookmarkStart w:id="1909" w:name="_Toc3653"/>
      <w:bookmarkStart w:id="1910" w:name="_Toc140957925"/>
      <w:bookmarkStart w:id="1911" w:name="_Toc24449"/>
      <w:bookmarkStart w:id="1912" w:name="_Toc166778388"/>
      <w:bookmarkStart w:id="1913" w:name="_Toc193053762"/>
      <w:bookmarkStart w:id="1914" w:name="_Toc9071"/>
      <w:bookmarkStart w:id="1915" w:name="_Toc189905416"/>
      <w:bookmarkStart w:id="1916" w:name="_Toc171282459"/>
      <w:bookmarkStart w:id="1917" w:name="_Toc25046"/>
      <w:bookmarkStart w:id="1918" w:name="_Toc208"/>
      <w:bookmarkStart w:id="1919" w:name="_Toc137408773"/>
      <w:bookmarkStart w:id="1920" w:name="_Toc21156"/>
      <w:bookmarkStart w:id="1921" w:name="_Toc27966"/>
      <w:bookmarkStart w:id="1922" w:name="_Toc99299786"/>
      <w:bookmarkStart w:id="1923" w:name="_Toc108483456"/>
      <w:bookmarkStart w:id="1924" w:name="_Toc118209482"/>
      <w:bookmarkStart w:id="1925" w:name="_Toc20386"/>
      <w:bookmarkStart w:id="1926" w:name="_Toc5491"/>
      <w:bookmarkStart w:id="1927" w:name="_Toc18940"/>
      <w:bookmarkStart w:id="1928" w:name="_Toc20230"/>
      <w:bookmarkStart w:id="1929" w:name="_Toc103979639"/>
      <w:bookmarkStart w:id="1930" w:name="_Toc24241"/>
      <w:bookmarkStart w:id="1931" w:name="_Toc32287"/>
      <w:bookmarkStart w:id="1932" w:name="_Toc113350991"/>
      <w:bookmarkStart w:id="1933" w:name="_Toc109656638"/>
      <w:bookmarkStart w:id="1934" w:name="_Toc111543615"/>
      <w:bookmarkStart w:id="1935" w:name="_Toc79093734"/>
      <w:r>
        <w:rPr>
          <w:rFonts w:hint="eastAsia" w:ascii="宋体" w:hAnsi="宋体"/>
          <w:color w:val="auto"/>
          <w:sz w:val="28"/>
          <w:szCs w:val="28"/>
          <w:highlight w:val="none"/>
        </w:rPr>
        <w:br w:type="page"/>
      </w:r>
    </w:p>
    <w:p w14:paraId="20F07BAF">
      <w:pPr>
        <w:pStyle w:val="3"/>
        <w:adjustRightInd w:val="0"/>
        <w:snapToGrid w:val="0"/>
        <w:jc w:val="center"/>
        <w:rPr>
          <w:rFonts w:ascii="宋体" w:hAnsi="宋体"/>
          <w:color w:val="auto"/>
          <w:sz w:val="28"/>
          <w:szCs w:val="28"/>
          <w:highlight w:val="none"/>
        </w:rPr>
      </w:pPr>
      <w:bookmarkStart w:id="1936" w:name="_Toc27950"/>
      <w:r>
        <w:rPr>
          <w:rFonts w:hint="eastAsia" w:ascii="宋体" w:hAnsi="宋体"/>
          <w:color w:val="auto"/>
          <w:sz w:val="28"/>
          <w:szCs w:val="28"/>
          <w:highlight w:val="none"/>
        </w:rPr>
        <w:t>十一、投标货物符合招标文件规定的证明文件</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14:paraId="70C0D934">
      <w:pPr>
        <w:adjustRightInd w:val="0"/>
        <w:snapToGrid w:val="0"/>
        <w:spacing w:line="360" w:lineRule="auto"/>
        <w:rPr>
          <w:rFonts w:ascii="宋体" w:hAnsi="宋体"/>
          <w:color w:val="auto"/>
          <w:szCs w:val="21"/>
          <w:highlight w:val="none"/>
        </w:rPr>
      </w:pPr>
    </w:p>
    <w:p w14:paraId="1F8D1CF4">
      <w:pPr>
        <w:adjustRightInd w:val="0"/>
        <w:snapToGrid w:val="0"/>
        <w:spacing w:line="360" w:lineRule="auto"/>
        <w:rPr>
          <w:rFonts w:ascii="宋体" w:hAnsi="宋体"/>
          <w:color w:val="auto"/>
          <w:highlight w:val="none"/>
        </w:rPr>
      </w:pPr>
      <w:r>
        <w:rPr>
          <w:rFonts w:hint="eastAsia" w:ascii="宋体" w:hAnsi="宋体"/>
          <w:color w:val="auto"/>
          <w:szCs w:val="21"/>
          <w:highlight w:val="none"/>
        </w:rPr>
        <w:t>备注：提供第五章规定的证明材料复印件。</w:t>
      </w:r>
    </w:p>
    <w:p w14:paraId="7C0C3B7D">
      <w:pPr>
        <w:widowControl/>
        <w:ind w:firstLine="562" w:firstLineChars="200"/>
        <w:jc w:val="left"/>
        <w:rPr>
          <w:rFonts w:ascii="宋体" w:hAnsi="宋体"/>
          <w:color w:val="auto"/>
          <w:szCs w:val="21"/>
          <w:highlight w:val="none"/>
        </w:rPr>
      </w:pPr>
      <w:r>
        <w:rPr>
          <w:rFonts w:ascii="宋体" w:hAnsi="宋体"/>
          <w:b/>
          <w:bCs/>
          <w:color w:val="auto"/>
          <w:sz w:val="28"/>
          <w:szCs w:val="28"/>
          <w:highlight w:val="none"/>
        </w:rPr>
        <w:br w:type="page"/>
      </w:r>
    </w:p>
    <w:p w14:paraId="0DD555D0">
      <w:pPr>
        <w:pStyle w:val="3"/>
        <w:adjustRightInd w:val="0"/>
        <w:snapToGrid w:val="0"/>
        <w:jc w:val="center"/>
        <w:rPr>
          <w:rFonts w:ascii="宋体" w:hAnsi="宋体"/>
          <w:color w:val="auto"/>
          <w:sz w:val="28"/>
          <w:szCs w:val="28"/>
          <w:highlight w:val="none"/>
        </w:rPr>
      </w:pPr>
      <w:bookmarkStart w:id="1937" w:name="_Toc29217"/>
      <w:bookmarkStart w:id="1938" w:name="_Toc3656"/>
      <w:bookmarkStart w:id="1939" w:name="_Toc2156"/>
      <w:bookmarkStart w:id="1940" w:name="_Toc113350992"/>
      <w:bookmarkStart w:id="1941" w:name="_Toc16623"/>
      <w:bookmarkStart w:id="1942" w:name="_Toc6473"/>
      <w:bookmarkStart w:id="1943" w:name="_Toc15535"/>
      <w:bookmarkStart w:id="1944" w:name="_Toc103979640"/>
      <w:bookmarkStart w:id="1945" w:name="_Toc18591"/>
      <w:bookmarkStart w:id="1946" w:name="_Toc99299787"/>
      <w:bookmarkStart w:id="1947" w:name="_Toc111543616"/>
      <w:bookmarkStart w:id="1948" w:name="_Toc14729"/>
      <w:bookmarkStart w:id="1949" w:name="_Toc18744"/>
      <w:bookmarkStart w:id="1950" w:name="_Toc9477"/>
      <w:bookmarkStart w:id="1951" w:name="_Toc31430"/>
      <w:bookmarkStart w:id="1952" w:name="_Toc137408774"/>
      <w:bookmarkStart w:id="1953" w:name="_Toc15950"/>
      <w:bookmarkStart w:id="1954" w:name="_Toc108483457"/>
      <w:bookmarkStart w:id="1955" w:name="_Toc79093735"/>
      <w:bookmarkStart w:id="1956" w:name="_Toc166778389"/>
      <w:bookmarkStart w:id="1957" w:name="_Toc4438"/>
      <w:bookmarkStart w:id="1958" w:name="_Toc189905417"/>
      <w:bookmarkStart w:id="1959" w:name="_Toc193053763"/>
      <w:bookmarkStart w:id="1960" w:name="_Toc171282460"/>
      <w:bookmarkStart w:id="1961" w:name="_Toc2755"/>
      <w:bookmarkStart w:id="1962" w:name="_Toc140957926"/>
      <w:bookmarkStart w:id="1963" w:name="_Toc109656639"/>
      <w:bookmarkStart w:id="1964" w:name="_Toc2517"/>
      <w:bookmarkStart w:id="1965" w:name="_Toc2185"/>
      <w:bookmarkStart w:id="1966" w:name="_Toc118209483"/>
      <w:r>
        <w:rPr>
          <w:rFonts w:hint="eastAsia" w:ascii="宋体" w:hAnsi="宋体"/>
          <w:color w:val="auto"/>
          <w:sz w:val="28"/>
          <w:szCs w:val="28"/>
          <w:highlight w:val="none"/>
        </w:rPr>
        <w:t>十二、投标人认为需提供的其他资料</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14:paraId="6818FA88">
      <w:pPr>
        <w:adjustRightInd w:val="0"/>
        <w:snapToGrid w:val="0"/>
        <w:spacing w:beforeLines="50" w:line="360" w:lineRule="auto"/>
        <w:rPr>
          <w:rFonts w:ascii="宋体" w:hAnsi="宋体"/>
          <w:color w:val="auto"/>
          <w:highlight w:val="none"/>
        </w:rPr>
      </w:pPr>
    </w:p>
    <w:p w14:paraId="30F991F7">
      <w:pPr>
        <w:adjustRightInd w:val="0"/>
        <w:snapToGrid w:val="0"/>
        <w:spacing w:beforeLines="50" w:line="360" w:lineRule="auto"/>
        <w:rPr>
          <w:rFonts w:ascii="宋体" w:hAnsi="宋体"/>
          <w:color w:val="auto"/>
          <w:highlight w:val="none"/>
        </w:rPr>
      </w:pPr>
      <w:r>
        <w:rPr>
          <w:rFonts w:hint="eastAsia" w:ascii="宋体" w:hAnsi="宋体"/>
          <w:color w:val="auto"/>
          <w:highlight w:val="none"/>
        </w:rPr>
        <w:t>备注：投标人认为需提供的其他资料包括：</w:t>
      </w:r>
    </w:p>
    <w:p w14:paraId="45F56B78">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（1）招标文件第四章评标方法及标准要求的其他相关资料；</w:t>
      </w:r>
    </w:p>
    <w:p w14:paraId="2C42F5E7">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（2）招标文件第五章采购需求要求的其他资料。</w:t>
      </w:r>
    </w:p>
    <w:p w14:paraId="0AA0B8EC">
      <w:pPr>
        <w:pStyle w:val="134"/>
        <w:spacing w:after="0" w:line="360" w:lineRule="auto"/>
        <w:ind w:left="0" w:leftChars="0" w:firstLine="420"/>
        <w:rPr>
          <w:rFonts w:ascii="宋体" w:hAnsi="宋体"/>
          <w:b w:val="0"/>
          <w:color w:val="auto"/>
          <w:spacing w:val="0"/>
          <w:highlight w:val="none"/>
        </w:rPr>
      </w:pPr>
    </w:p>
    <w:p w14:paraId="21DD9997">
      <w:pPr>
        <w:adjustRightInd w:val="0"/>
        <w:snapToGrid w:val="0"/>
        <w:spacing w:beforeLines="50" w:line="360" w:lineRule="auto"/>
        <w:rPr>
          <w:rFonts w:ascii="宋体" w:hAnsi="宋体"/>
          <w:color w:val="auto"/>
          <w:highlight w:val="none"/>
        </w:rPr>
      </w:pPr>
    </w:p>
    <w:p w14:paraId="2042A911">
      <w:pPr>
        <w:rPr>
          <w:rFonts w:ascii="宋体" w:hAnsi="宋体"/>
          <w:color w:val="auto"/>
          <w:highlight w:val="none"/>
        </w:rPr>
      </w:pPr>
    </w:p>
    <w:p w14:paraId="5420C28A">
      <w:pPr>
        <w:widowControl/>
        <w:jc w:val="left"/>
        <w:rPr>
          <w:rFonts w:ascii="宋体" w:hAnsi="宋体"/>
          <w:color w:val="auto"/>
          <w:szCs w:val="21"/>
          <w:highlight w:val="none"/>
        </w:rPr>
      </w:pPr>
    </w:p>
    <w:sectPr>
      <w:headerReference r:id="rId11" w:type="default"/>
      <w:footerReference r:id="rId12" w:type="default"/>
      <w:pgSz w:w="11906" w:h="16838"/>
      <w:pgMar w:top="1440" w:right="1800" w:bottom="1440" w:left="180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588A2D9-E2CA-4B30-8ED3-22B0127F19A8}"/>
  </w:font>
  <w:font w:name="Arial">
    <w:panose1 w:val="020B0604020202020204"/>
    <w:charset w:val="01"/>
    <w:family w:val="swiss"/>
    <w:pitch w:val="default"/>
    <w:sig w:usb0="E0002EFF" w:usb1="C000785B" w:usb2="00000009" w:usb3="00000000" w:csb0="400001FF" w:csb1="FFFF0000"/>
    <w:embedRegular r:id="rId2" w:fontKey="{90E89593-01D3-401B-9D34-F379DF6C0EA8}"/>
  </w:font>
  <w:font w:name="黑体">
    <w:panose1 w:val="02010609060101010101"/>
    <w:charset w:val="86"/>
    <w:family w:val="auto"/>
    <w:pitch w:val="default"/>
    <w:sig w:usb0="800002BF" w:usb1="38CF7CFA" w:usb2="00000016" w:usb3="00000000" w:csb0="00040001" w:csb1="00000000"/>
    <w:embedRegular r:id="rId3" w:fontKey="{B8A957E8-7BE3-4B80-82B3-7CD2F9BF02F5}"/>
  </w:font>
  <w:font w:name="Courier New">
    <w:panose1 w:val="02070309020205020404"/>
    <w:charset w:val="01"/>
    <w:family w:val="modern"/>
    <w:pitch w:val="default"/>
    <w:sig w:usb0="E0002EFF" w:usb1="C0007843" w:usb2="00000009" w:usb3="00000000" w:csb0="400001FF" w:csb1="FFFF0000"/>
    <w:embedRegular r:id="rId4" w:fontKey="{5799EEE6-4BDC-4F3D-A645-0AA0D84100A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C5195A59-74A5-4FCB-AD8A-AE70F25BE912}"/>
  </w:font>
  <w:font w:name="仿宋_GB2312">
    <w:altName w:val="仿宋"/>
    <w:panose1 w:val="02010609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6" w:fontKey="{EB1F1D3C-F482-4BD5-81CF-B63A792E62A9}"/>
  </w:font>
  <w:font w:name="Consolas">
    <w:panose1 w:val="020B0609020204030204"/>
    <w:charset w:val="00"/>
    <w:family w:val="modern"/>
    <w:pitch w:val="default"/>
    <w:sig w:usb0="E00006FF" w:usb1="0000FCFF" w:usb2="00000001" w:usb3="00000000" w:csb0="6000019F" w:csb1="DFD7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embedRegular r:id="rId7" w:fontKey="{8DC3D705-8445-4C77-89B0-77B55D9CD6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Noto Sans Mono CJK HK">
    <w:altName w:val="Arial"/>
    <w:panose1 w:val="00000000000000000000"/>
    <w:charset w:val="00"/>
    <w:family w:val="swiss"/>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embedRegular r:id="rId8" w:fontKey="{91198963-9CBC-4FB1-A700-70142959DC8B}"/>
  </w:font>
  <w:font w:name="宋体fal">
    <w:altName w:val="宋体"/>
    <w:panose1 w:val="00000000000000000000"/>
    <w:charset w:val="86"/>
    <w:family w:val="auto"/>
    <w:pitch w:val="default"/>
    <w:sig w:usb0="00000000" w:usb1="00000000" w:usb2="00000010" w:usb3="00000000" w:csb0="00040000" w:csb1="00000000"/>
    <w:embedRegular r:id="rId9" w:fontKey="{85303861-24B9-4ECE-8114-07B245B9ED7D}"/>
  </w:font>
  <w:font w:name="楷体">
    <w:panose1 w:val="02010609060101010101"/>
    <w:charset w:val="86"/>
    <w:family w:val="modern"/>
    <w:pitch w:val="default"/>
    <w:sig w:usb0="800002BF" w:usb1="38CF7CFA" w:usb2="00000016" w:usb3="00000000" w:csb0="00040001" w:csb1="00000000"/>
    <w:embedRegular r:id="rId10" w:fontKey="{63CB3B17-7D1B-43E0-9C8E-4B9CB285FC94}"/>
  </w:font>
  <w:font w:name="WPSEMBED3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7EB1E">
    <w:pPr>
      <w:pStyle w:val="3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9E7C77">
                          <w:pPr>
                            <w:pStyle w:val="3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7XGAssBAACc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iy&#10;Wr3O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e1xgLLAQAAnAMAAA4AAAAAAAAAAQAgAAAAHgEAAGRycy9lMm9E&#10;b2MueG1sUEsFBgAAAAAGAAYAWQEAAFsFAAAAAA==&#10;">
              <v:fill on="f" focussize="0,0"/>
              <v:stroke on="f"/>
              <v:imagedata o:title=""/>
              <o:lock v:ext="edit" aspectratio="f"/>
              <v:textbox inset="0mm,0mm,0mm,0mm" style="mso-fit-shape-to-text:t;">
                <w:txbxContent>
                  <w:p w14:paraId="5A9E7C77">
                    <w:pPr>
                      <w:pStyle w:val="3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761E07"/>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14:paraId="17761E07"/>
                </w:txbxContent>
              </v:textbox>
            </v:shape>
          </w:pict>
        </mc:Fallback>
      </mc:AlternateContent>
    </w:r>
  </w:p>
  <w:p w14:paraId="7BB3D7C7">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54B0">
    <w:pPr>
      <w:pStyle w:val="30"/>
      <w:ind w:right="900"/>
      <w:rPr>
        <w:rFonts w:eastAsia="楷体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FA45A6">
                          <w:pPr>
                            <w:pStyle w:val="30"/>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eomcsBAACc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2RZ&#10;rW5yh/oANSbeB0xNw1s/4N7MfkBnFj6oaPMXJRGMY3/P1/7KIRGRH61X63WFIYGx+YL47OF5iJDe&#10;SW9JNhoacYClr/z0AdKYOqfkas7faWPKEI37y4GY2cMy95FjttKwHyZBe9+eUU+Ps2+ow1WnxLx3&#10;2Nq8JrMRZ2M/G8cQ9aFDasvCC8KbY0IShVuuMMJOhXFoRd20YHkrHt9L1sNPtf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53qJnLAQAAnAMAAA4AAAAAAAAAAQAgAAAAHgEAAGRycy9lMm9E&#10;b2MueG1sUEsFBgAAAAAGAAYAWQEAAFsFAAAAAA==&#10;">
              <v:fill on="f" focussize="0,0"/>
              <v:stroke on="f"/>
              <v:imagedata o:title=""/>
              <o:lock v:ext="edit" aspectratio="f"/>
              <v:textbox inset="0mm,0mm,0mm,0mm" style="mso-fit-shape-to-text:t;">
                <w:txbxContent>
                  <w:p w14:paraId="6EFA45A6">
                    <w:pPr>
                      <w:pStyle w:val="3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F7BCB3">
                          <w:pPr>
                            <w:pStyle w:val="30"/>
                          </w:pP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042cwBAACcAwAADgAAAGRycy9lMm9Eb2MueG1srVNLbtswEN0XyB0I&#10;7mPKLlA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WRarMnWo91Bh4pPH1DjcuQH3ZvYDOpPwoQ0mfVESwTj293TprxwiEelRuSrL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urTjZzAEAAJwDAAAOAAAAAAAAAAEAIAAAAB4BAABkcnMvZTJv&#10;RG9jLnhtbFBLBQYAAAAABgAGAFkBAABcBQAAAAA=&#10;">
              <v:fill on="f" focussize="0,0"/>
              <v:stroke on="f"/>
              <v:imagedata o:title=""/>
              <o:lock v:ext="edit" aspectratio="f"/>
              <v:textbox inset="0mm,0mm,0mm,0mm" style="mso-fit-shape-to-text:t;">
                <w:txbxContent>
                  <w:p w14:paraId="73F7BCB3">
                    <w:pPr>
                      <w:pStyle w:val="3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262A6">
    <w:pPr>
      <w:spacing w:line="172" w:lineRule="auto"/>
      <w:rPr>
        <w:rFonts w:ascii="Times New Roman" w:hAnsi="Times New Roman" w:eastAsia="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71ECEF">
                          <w:pPr>
                            <w:pStyle w:val="30"/>
                          </w:pPr>
                          <w:r>
                            <w:fldChar w:fldCharType="begin"/>
                          </w:r>
                          <w:r>
                            <w:instrText xml:space="preserve"> PAGE  \* MERGEFORMAT </w:instrText>
                          </w:r>
                          <w:r>
                            <w:fldChar w:fldCharType="separate"/>
                          </w:r>
                          <w:r>
                            <w:t>20</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1uJ6sg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KI7dcYsDv/z8cfn15/L7O1ku&#10;sz59gBrT7gMmpuGdH3BrZj+gM9MeVLT5i4QIxlHd81VdOSQi8qP1ar2uMCQwNl8Qnz08DxHSe+kt&#10;yUZDI46vqMpPHyGNqXNKrub8nTamjNC4fxyImT0s9z72mK007IeJ0N63Z+TT4+Qb6nDRKTEfHAqb&#10;l2Q24mzsZ+MYoj50ZYtyPQi3x4RNlN5yhRF2KowjK+ym9co78fhesh5+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9bierIAQAAmgMAAA4AAAAAAAAAAQAgAAAAHgEAAGRycy9lMm9Eb2Mu&#10;eG1sUEsFBgAAAAAGAAYAWQEAAFgFAAAAAA==&#10;">
              <v:fill on="f" focussize="0,0"/>
              <v:stroke on="f"/>
              <v:imagedata o:title=""/>
              <o:lock v:ext="edit" aspectratio="f"/>
              <v:textbox inset="0mm,0mm,0mm,0mm" style="mso-fit-shape-to-text:t;">
                <w:txbxContent>
                  <w:p w14:paraId="7971ECEF">
                    <w:pPr>
                      <w:pStyle w:val="3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1062A">
    <w:pPr>
      <w:pStyle w:val="30"/>
      <w:ind w:right="96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37185" cy="175895"/>
              <wp:effectExtent l="0" t="0" r="0" b="0"/>
              <wp:wrapNone/>
              <wp:docPr id="5" name="文本框 1031"/>
              <wp:cNvGraphicFramePr/>
              <a:graphic xmlns:a="http://schemas.openxmlformats.org/drawingml/2006/main">
                <a:graphicData uri="http://schemas.microsoft.com/office/word/2010/wordprocessingShape">
                  <wps:wsp>
                    <wps:cNvSpPr txBox="1"/>
                    <wps:spPr>
                      <a:xfrm>
                        <a:off x="0" y="0"/>
                        <a:ext cx="337185" cy="175895"/>
                      </a:xfrm>
                      <a:prstGeom prst="rect">
                        <a:avLst/>
                      </a:prstGeom>
                      <a:noFill/>
                      <a:ln>
                        <a:noFill/>
                      </a:ln>
                    </wps:spPr>
                    <wps:txbx>
                      <w:txbxContent>
                        <w:p w14:paraId="1A54A19D">
                          <w:pPr>
                            <w:pStyle w:val="30"/>
                          </w:pPr>
                          <w:r>
                            <w:fldChar w:fldCharType="begin"/>
                          </w:r>
                          <w:r>
                            <w:instrText xml:space="preserve"> PAGE  \* MERGEFORMAT </w:instrText>
                          </w:r>
                          <w:r>
                            <w:fldChar w:fldCharType="separate"/>
                          </w:r>
                          <w:r>
                            <w:t>74</w:t>
                          </w:r>
                          <w:r>
                            <w:fldChar w:fldCharType="end"/>
                          </w:r>
                        </w:p>
                      </w:txbxContent>
                    </wps:txbx>
                    <wps:bodyPr lIns="0" tIns="0" rIns="0" bIns="0" upright="1"/>
                  </wps:wsp>
                </a:graphicData>
              </a:graphic>
            </wp:anchor>
          </w:drawing>
        </mc:Choice>
        <mc:Fallback>
          <w:pict>
            <v:shape id="文本框 1031" o:spid="_x0000_s1026" o:spt="202" type="#_x0000_t202" style="position:absolute;left:0pt;margin-top:0pt;height:13.85pt;width:26.55pt;mso-position-horizontal:center;mso-position-horizontal-relative:margin;z-index:251661312;mso-width-relative:page;mso-height-relative:page;" filled="f" stroked="f" coordsize="21600,21600" o:gfxdata="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KSXIdQAAAADAQAADwAAAAAAAAABACAAAAAiAAAAZHJzL2Rvd25yZXYueG1sUEsBAhQA&#10;FAAAAAgAh07iQCDhC569AQAAdAMAAA4AAAAAAAAAAQAgAAAAIwEAAGRycy9lMm9Eb2MueG1sUEsF&#10;BgAAAAAGAAYAWQEAAFIFAAAAAA==&#10;">
              <v:fill on="f" focussize="0,0"/>
              <v:stroke on="f"/>
              <v:imagedata o:title=""/>
              <o:lock v:ext="edit" aspectratio="f"/>
              <v:textbox inset="0mm,0mm,0mm,0mm">
                <w:txbxContent>
                  <w:p w14:paraId="1A54A19D">
                    <w:pPr>
                      <w:pStyle w:val="3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DE468">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1D47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C291F">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86040">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AFE08">
    <w:pPr>
      <w:spacing w:before="48" w:line="221" w:lineRule="auto"/>
      <w:ind w:left="48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A789C">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B9F3107"/>
    <w:multiLevelType w:val="singleLevel"/>
    <w:tmpl w:val="0B9F3107"/>
    <w:lvl w:ilvl="0" w:tentative="0">
      <w:start w:val="1"/>
      <w:numFmt w:val="decimal"/>
      <w:lvlText w:val="%1."/>
      <w:lvlJc w:val="left"/>
      <w:pPr>
        <w:tabs>
          <w:tab w:val="left" w:pos="312"/>
        </w:tabs>
      </w:pPr>
    </w:lvl>
  </w:abstractNum>
  <w:abstractNum w:abstractNumId="2">
    <w:nsid w:val="2B1461AD"/>
    <w:multiLevelType w:val="multilevel"/>
    <w:tmpl w:val="2B1461AD"/>
    <w:lvl w:ilvl="0" w:tentative="0">
      <w:start w:val="4"/>
      <w:numFmt w:val="japaneseCounting"/>
      <w:lvlText w:val="%1、"/>
      <w:lvlJc w:val="left"/>
      <w:pPr>
        <w:ind w:left="135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mMDY2ZDg2YTg3ZjY2NDBlOTg3NDM2MDgxMWIxMWYifQ=="/>
  </w:docVars>
  <w:rsids>
    <w:rsidRoot w:val="00172A27"/>
    <w:rsid w:val="0000000C"/>
    <w:rsid w:val="00001DFB"/>
    <w:rsid w:val="0000208C"/>
    <w:rsid w:val="0000301F"/>
    <w:rsid w:val="00003F39"/>
    <w:rsid w:val="00010750"/>
    <w:rsid w:val="0001148D"/>
    <w:rsid w:val="00013A69"/>
    <w:rsid w:val="000232F3"/>
    <w:rsid w:val="00025E45"/>
    <w:rsid w:val="00035961"/>
    <w:rsid w:val="00035990"/>
    <w:rsid w:val="00037393"/>
    <w:rsid w:val="000401C7"/>
    <w:rsid w:val="00041843"/>
    <w:rsid w:val="00046CA0"/>
    <w:rsid w:val="00050EEC"/>
    <w:rsid w:val="00057222"/>
    <w:rsid w:val="00057984"/>
    <w:rsid w:val="000619DE"/>
    <w:rsid w:val="00061DC6"/>
    <w:rsid w:val="00063961"/>
    <w:rsid w:val="00066565"/>
    <w:rsid w:val="00066734"/>
    <w:rsid w:val="000707BD"/>
    <w:rsid w:val="00070847"/>
    <w:rsid w:val="00070A36"/>
    <w:rsid w:val="000717AF"/>
    <w:rsid w:val="000731BE"/>
    <w:rsid w:val="00076DFF"/>
    <w:rsid w:val="000801C7"/>
    <w:rsid w:val="00081183"/>
    <w:rsid w:val="00081B0D"/>
    <w:rsid w:val="00082971"/>
    <w:rsid w:val="000842B8"/>
    <w:rsid w:val="00085B1B"/>
    <w:rsid w:val="00087601"/>
    <w:rsid w:val="00093DED"/>
    <w:rsid w:val="00096117"/>
    <w:rsid w:val="000961D1"/>
    <w:rsid w:val="000969AD"/>
    <w:rsid w:val="00096EAD"/>
    <w:rsid w:val="00097089"/>
    <w:rsid w:val="0009771B"/>
    <w:rsid w:val="000A0237"/>
    <w:rsid w:val="000A2325"/>
    <w:rsid w:val="000A43F6"/>
    <w:rsid w:val="000B1532"/>
    <w:rsid w:val="000B373A"/>
    <w:rsid w:val="000C228C"/>
    <w:rsid w:val="000C51B5"/>
    <w:rsid w:val="000C620C"/>
    <w:rsid w:val="000D1830"/>
    <w:rsid w:val="000D38A7"/>
    <w:rsid w:val="000D4459"/>
    <w:rsid w:val="000D6C22"/>
    <w:rsid w:val="000E29C4"/>
    <w:rsid w:val="000E2A6B"/>
    <w:rsid w:val="000E6035"/>
    <w:rsid w:val="000F01B1"/>
    <w:rsid w:val="000F3140"/>
    <w:rsid w:val="000F6532"/>
    <w:rsid w:val="00101CEC"/>
    <w:rsid w:val="00105B2A"/>
    <w:rsid w:val="00107187"/>
    <w:rsid w:val="00113E79"/>
    <w:rsid w:val="00115978"/>
    <w:rsid w:val="0012076C"/>
    <w:rsid w:val="00122417"/>
    <w:rsid w:val="001231BA"/>
    <w:rsid w:val="00123EEF"/>
    <w:rsid w:val="0012463C"/>
    <w:rsid w:val="00125070"/>
    <w:rsid w:val="00125EF3"/>
    <w:rsid w:val="001272D0"/>
    <w:rsid w:val="00127D48"/>
    <w:rsid w:val="00130C26"/>
    <w:rsid w:val="00131B89"/>
    <w:rsid w:val="00141FFD"/>
    <w:rsid w:val="00142277"/>
    <w:rsid w:val="00144067"/>
    <w:rsid w:val="0015519B"/>
    <w:rsid w:val="00161561"/>
    <w:rsid w:val="00161A8B"/>
    <w:rsid w:val="00161EA5"/>
    <w:rsid w:val="0016229B"/>
    <w:rsid w:val="0016283A"/>
    <w:rsid w:val="001656DA"/>
    <w:rsid w:val="00170ECC"/>
    <w:rsid w:val="00172A27"/>
    <w:rsid w:val="00173B7C"/>
    <w:rsid w:val="0017525D"/>
    <w:rsid w:val="001760FC"/>
    <w:rsid w:val="00176F5F"/>
    <w:rsid w:val="00182B69"/>
    <w:rsid w:val="00184A15"/>
    <w:rsid w:val="00186352"/>
    <w:rsid w:val="00187838"/>
    <w:rsid w:val="0019624A"/>
    <w:rsid w:val="0019686F"/>
    <w:rsid w:val="001A24A8"/>
    <w:rsid w:val="001A35EA"/>
    <w:rsid w:val="001A5707"/>
    <w:rsid w:val="001A6B25"/>
    <w:rsid w:val="001B0D45"/>
    <w:rsid w:val="001B7912"/>
    <w:rsid w:val="001C6974"/>
    <w:rsid w:val="001D0B14"/>
    <w:rsid w:val="001D1EEC"/>
    <w:rsid w:val="001D2332"/>
    <w:rsid w:val="001D408D"/>
    <w:rsid w:val="001D4F8A"/>
    <w:rsid w:val="001D5943"/>
    <w:rsid w:val="001D7370"/>
    <w:rsid w:val="001D77F8"/>
    <w:rsid w:val="001E04BA"/>
    <w:rsid w:val="001E6075"/>
    <w:rsid w:val="001E68DA"/>
    <w:rsid w:val="001E7C7D"/>
    <w:rsid w:val="001F0129"/>
    <w:rsid w:val="0020733D"/>
    <w:rsid w:val="00210685"/>
    <w:rsid w:val="0021146A"/>
    <w:rsid w:val="00212E28"/>
    <w:rsid w:val="002137D8"/>
    <w:rsid w:val="00215037"/>
    <w:rsid w:val="00222469"/>
    <w:rsid w:val="0023286F"/>
    <w:rsid w:val="002338FF"/>
    <w:rsid w:val="00234171"/>
    <w:rsid w:val="00236C4F"/>
    <w:rsid w:val="00242889"/>
    <w:rsid w:val="00244AA0"/>
    <w:rsid w:val="00246F98"/>
    <w:rsid w:val="00251EC4"/>
    <w:rsid w:val="00254FAC"/>
    <w:rsid w:val="0025600F"/>
    <w:rsid w:val="00257812"/>
    <w:rsid w:val="0026026F"/>
    <w:rsid w:val="002609C3"/>
    <w:rsid w:val="002630F4"/>
    <w:rsid w:val="002640C4"/>
    <w:rsid w:val="00264897"/>
    <w:rsid w:val="00266AD0"/>
    <w:rsid w:val="00270F8F"/>
    <w:rsid w:val="00272B0D"/>
    <w:rsid w:val="00274771"/>
    <w:rsid w:val="00274F2A"/>
    <w:rsid w:val="00276CF1"/>
    <w:rsid w:val="002802EB"/>
    <w:rsid w:val="00282DE4"/>
    <w:rsid w:val="00283753"/>
    <w:rsid w:val="00297004"/>
    <w:rsid w:val="002A6176"/>
    <w:rsid w:val="002A66CE"/>
    <w:rsid w:val="002B1D9F"/>
    <w:rsid w:val="002B2981"/>
    <w:rsid w:val="002B452B"/>
    <w:rsid w:val="002C1E44"/>
    <w:rsid w:val="002C22ED"/>
    <w:rsid w:val="002C2E26"/>
    <w:rsid w:val="002C381A"/>
    <w:rsid w:val="002C4CB2"/>
    <w:rsid w:val="002D02D8"/>
    <w:rsid w:val="002D4A22"/>
    <w:rsid w:val="002D53FE"/>
    <w:rsid w:val="002D68B1"/>
    <w:rsid w:val="002D72F9"/>
    <w:rsid w:val="002D774D"/>
    <w:rsid w:val="002E0363"/>
    <w:rsid w:val="002E3B3B"/>
    <w:rsid w:val="002E4CF9"/>
    <w:rsid w:val="002E7BEB"/>
    <w:rsid w:val="002F07F2"/>
    <w:rsid w:val="002F1320"/>
    <w:rsid w:val="002F7F91"/>
    <w:rsid w:val="0030216E"/>
    <w:rsid w:val="00303064"/>
    <w:rsid w:val="00303A05"/>
    <w:rsid w:val="00307EB9"/>
    <w:rsid w:val="00310D97"/>
    <w:rsid w:val="00312EE6"/>
    <w:rsid w:val="00331647"/>
    <w:rsid w:val="003334ED"/>
    <w:rsid w:val="00335023"/>
    <w:rsid w:val="003354D7"/>
    <w:rsid w:val="00335773"/>
    <w:rsid w:val="0033593A"/>
    <w:rsid w:val="00335C59"/>
    <w:rsid w:val="00336804"/>
    <w:rsid w:val="00337745"/>
    <w:rsid w:val="00337BD7"/>
    <w:rsid w:val="00341094"/>
    <w:rsid w:val="003462CA"/>
    <w:rsid w:val="00350864"/>
    <w:rsid w:val="00351820"/>
    <w:rsid w:val="003551D0"/>
    <w:rsid w:val="0035568C"/>
    <w:rsid w:val="003579EF"/>
    <w:rsid w:val="00360387"/>
    <w:rsid w:val="00360977"/>
    <w:rsid w:val="00362C04"/>
    <w:rsid w:val="00364662"/>
    <w:rsid w:val="003669F6"/>
    <w:rsid w:val="00366DB1"/>
    <w:rsid w:val="00372965"/>
    <w:rsid w:val="003809BB"/>
    <w:rsid w:val="00380F84"/>
    <w:rsid w:val="003860E6"/>
    <w:rsid w:val="00387DA5"/>
    <w:rsid w:val="00390D56"/>
    <w:rsid w:val="00394F78"/>
    <w:rsid w:val="00396797"/>
    <w:rsid w:val="00396840"/>
    <w:rsid w:val="003A643A"/>
    <w:rsid w:val="003B0AED"/>
    <w:rsid w:val="003B0CFC"/>
    <w:rsid w:val="003B2981"/>
    <w:rsid w:val="003B7BD1"/>
    <w:rsid w:val="003C6106"/>
    <w:rsid w:val="003C656F"/>
    <w:rsid w:val="003C76BA"/>
    <w:rsid w:val="003D5945"/>
    <w:rsid w:val="003D5A18"/>
    <w:rsid w:val="003D6F34"/>
    <w:rsid w:val="003D78D3"/>
    <w:rsid w:val="003E1539"/>
    <w:rsid w:val="003E2B97"/>
    <w:rsid w:val="003E3912"/>
    <w:rsid w:val="003E599D"/>
    <w:rsid w:val="003E716B"/>
    <w:rsid w:val="003F1710"/>
    <w:rsid w:val="003F19FC"/>
    <w:rsid w:val="003F2FEA"/>
    <w:rsid w:val="003F5635"/>
    <w:rsid w:val="003F6930"/>
    <w:rsid w:val="00403CF8"/>
    <w:rsid w:val="00404C82"/>
    <w:rsid w:val="004075B2"/>
    <w:rsid w:val="00413290"/>
    <w:rsid w:val="004171EB"/>
    <w:rsid w:val="00426035"/>
    <w:rsid w:val="004305AD"/>
    <w:rsid w:val="00431DB8"/>
    <w:rsid w:val="004371B6"/>
    <w:rsid w:val="00437E96"/>
    <w:rsid w:val="00444E1E"/>
    <w:rsid w:val="00451D93"/>
    <w:rsid w:val="00452000"/>
    <w:rsid w:val="0045201E"/>
    <w:rsid w:val="00454353"/>
    <w:rsid w:val="004572C9"/>
    <w:rsid w:val="0045794F"/>
    <w:rsid w:val="00457C63"/>
    <w:rsid w:val="00463690"/>
    <w:rsid w:val="004677F1"/>
    <w:rsid w:val="004700BB"/>
    <w:rsid w:val="004710BA"/>
    <w:rsid w:val="00471513"/>
    <w:rsid w:val="0047263B"/>
    <w:rsid w:val="00473824"/>
    <w:rsid w:val="00473E26"/>
    <w:rsid w:val="00477D63"/>
    <w:rsid w:val="00480583"/>
    <w:rsid w:val="00480E3F"/>
    <w:rsid w:val="00481C86"/>
    <w:rsid w:val="00485F05"/>
    <w:rsid w:val="004875D9"/>
    <w:rsid w:val="00491BDE"/>
    <w:rsid w:val="0049392E"/>
    <w:rsid w:val="004A3180"/>
    <w:rsid w:val="004A5264"/>
    <w:rsid w:val="004A5295"/>
    <w:rsid w:val="004A72E5"/>
    <w:rsid w:val="004B1729"/>
    <w:rsid w:val="004B1E6A"/>
    <w:rsid w:val="004B28C9"/>
    <w:rsid w:val="004B4550"/>
    <w:rsid w:val="004B461E"/>
    <w:rsid w:val="004B66ED"/>
    <w:rsid w:val="004B7006"/>
    <w:rsid w:val="004D2938"/>
    <w:rsid w:val="004D3465"/>
    <w:rsid w:val="004D415F"/>
    <w:rsid w:val="004D5B53"/>
    <w:rsid w:val="004E04CE"/>
    <w:rsid w:val="004E05D6"/>
    <w:rsid w:val="004E08D2"/>
    <w:rsid w:val="004E4D48"/>
    <w:rsid w:val="004E583F"/>
    <w:rsid w:val="004E6BBE"/>
    <w:rsid w:val="004F0F04"/>
    <w:rsid w:val="004F20AB"/>
    <w:rsid w:val="004F6C35"/>
    <w:rsid w:val="004F7A9D"/>
    <w:rsid w:val="00500B3E"/>
    <w:rsid w:val="00501457"/>
    <w:rsid w:val="0050153F"/>
    <w:rsid w:val="005020E2"/>
    <w:rsid w:val="00502838"/>
    <w:rsid w:val="00503FA5"/>
    <w:rsid w:val="00505182"/>
    <w:rsid w:val="005062A7"/>
    <w:rsid w:val="00506D59"/>
    <w:rsid w:val="005125FB"/>
    <w:rsid w:val="005157CE"/>
    <w:rsid w:val="0051766F"/>
    <w:rsid w:val="00517EE3"/>
    <w:rsid w:val="00521496"/>
    <w:rsid w:val="0052155E"/>
    <w:rsid w:val="005254CA"/>
    <w:rsid w:val="005324F4"/>
    <w:rsid w:val="005327D1"/>
    <w:rsid w:val="00537D1A"/>
    <w:rsid w:val="005429F1"/>
    <w:rsid w:val="005466AA"/>
    <w:rsid w:val="00551936"/>
    <w:rsid w:val="00551DEA"/>
    <w:rsid w:val="00552E7C"/>
    <w:rsid w:val="00554C90"/>
    <w:rsid w:val="00556020"/>
    <w:rsid w:val="005578AD"/>
    <w:rsid w:val="00565714"/>
    <w:rsid w:val="00566664"/>
    <w:rsid w:val="00571B63"/>
    <w:rsid w:val="00577863"/>
    <w:rsid w:val="00577E0E"/>
    <w:rsid w:val="00584DB0"/>
    <w:rsid w:val="00586587"/>
    <w:rsid w:val="005915F6"/>
    <w:rsid w:val="00592256"/>
    <w:rsid w:val="00595C11"/>
    <w:rsid w:val="005971B3"/>
    <w:rsid w:val="00597AD8"/>
    <w:rsid w:val="005A4373"/>
    <w:rsid w:val="005A5268"/>
    <w:rsid w:val="005A5EEA"/>
    <w:rsid w:val="005A6323"/>
    <w:rsid w:val="005B1DC3"/>
    <w:rsid w:val="005B2EEE"/>
    <w:rsid w:val="005B48A5"/>
    <w:rsid w:val="005B4EC4"/>
    <w:rsid w:val="005C1B93"/>
    <w:rsid w:val="005C1CFB"/>
    <w:rsid w:val="005C1D41"/>
    <w:rsid w:val="005C32DF"/>
    <w:rsid w:val="005D2CA0"/>
    <w:rsid w:val="005D3597"/>
    <w:rsid w:val="005D6125"/>
    <w:rsid w:val="005D6D3F"/>
    <w:rsid w:val="005E0D35"/>
    <w:rsid w:val="005E3755"/>
    <w:rsid w:val="005E4D29"/>
    <w:rsid w:val="005E7CA5"/>
    <w:rsid w:val="005F3E3E"/>
    <w:rsid w:val="00603E74"/>
    <w:rsid w:val="0060438D"/>
    <w:rsid w:val="00607EFB"/>
    <w:rsid w:val="006118F9"/>
    <w:rsid w:val="00613055"/>
    <w:rsid w:val="00616187"/>
    <w:rsid w:val="00617BF3"/>
    <w:rsid w:val="00622D2B"/>
    <w:rsid w:val="00622E9E"/>
    <w:rsid w:val="0062368B"/>
    <w:rsid w:val="006248C2"/>
    <w:rsid w:val="00634B21"/>
    <w:rsid w:val="0064071B"/>
    <w:rsid w:val="00641F78"/>
    <w:rsid w:val="00643290"/>
    <w:rsid w:val="00643C89"/>
    <w:rsid w:val="00652E9C"/>
    <w:rsid w:val="00652F8B"/>
    <w:rsid w:val="006532CE"/>
    <w:rsid w:val="00654413"/>
    <w:rsid w:val="00654C1A"/>
    <w:rsid w:val="0065583B"/>
    <w:rsid w:val="00660524"/>
    <w:rsid w:val="006613F3"/>
    <w:rsid w:val="00662A99"/>
    <w:rsid w:val="006648A2"/>
    <w:rsid w:val="00671DF7"/>
    <w:rsid w:val="00672A8F"/>
    <w:rsid w:val="00681169"/>
    <w:rsid w:val="00683BA4"/>
    <w:rsid w:val="0068416D"/>
    <w:rsid w:val="00684C44"/>
    <w:rsid w:val="006875D3"/>
    <w:rsid w:val="00687D01"/>
    <w:rsid w:val="006975BA"/>
    <w:rsid w:val="006A0A3E"/>
    <w:rsid w:val="006A5912"/>
    <w:rsid w:val="006B2691"/>
    <w:rsid w:val="006B4C01"/>
    <w:rsid w:val="006C1CE3"/>
    <w:rsid w:val="006C2BD9"/>
    <w:rsid w:val="006D1075"/>
    <w:rsid w:val="006D2F2D"/>
    <w:rsid w:val="006D42F1"/>
    <w:rsid w:val="006D6BC4"/>
    <w:rsid w:val="006D72B9"/>
    <w:rsid w:val="006E2192"/>
    <w:rsid w:val="006E3091"/>
    <w:rsid w:val="006E5DD3"/>
    <w:rsid w:val="006F258F"/>
    <w:rsid w:val="006F2707"/>
    <w:rsid w:val="006F3FDF"/>
    <w:rsid w:val="006F4000"/>
    <w:rsid w:val="006F7E45"/>
    <w:rsid w:val="007004EE"/>
    <w:rsid w:val="00706925"/>
    <w:rsid w:val="00706B06"/>
    <w:rsid w:val="00710EFE"/>
    <w:rsid w:val="007148B4"/>
    <w:rsid w:val="00714E51"/>
    <w:rsid w:val="00717262"/>
    <w:rsid w:val="00721A59"/>
    <w:rsid w:val="00722976"/>
    <w:rsid w:val="0072737A"/>
    <w:rsid w:val="00730CE0"/>
    <w:rsid w:val="0073129A"/>
    <w:rsid w:val="00731EBE"/>
    <w:rsid w:val="00732E79"/>
    <w:rsid w:val="0073432F"/>
    <w:rsid w:val="00734D97"/>
    <w:rsid w:val="00735F6C"/>
    <w:rsid w:val="007367D8"/>
    <w:rsid w:val="0074112B"/>
    <w:rsid w:val="0074353F"/>
    <w:rsid w:val="00743683"/>
    <w:rsid w:val="007443CC"/>
    <w:rsid w:val="0074611A"/>
    <w:rsid w:val="0074673E"/>
    <w:rsid w:val="00747244"/>
    <w:rsid w:val="00750624"/>
    <w:rsid w:val="00750EBA"/>
    <w:rsid w:val="00753470"/>
    <w:rsid w:val="00753F54"/>
    <w:rsid w:val="007541EF"/>
    <w:rsid w:val="007554A0"/>
    <w:rsid w:val="00756DFC"/>
    <w:rsid w:val="007606CB"/>
    <w:rsid w:val="00762981"/>
    <w:rsid w:val="0076328B"/>
    <w:rsid w:val="00763A73"/>
    <w:rsid w:val="007640DA"/>
    <w:rsid w:val="00773EA7"/>
    <w:rsid w:val="00781A22"/>
    <w:rsid w:val="00784C19"/>
    <w:rsid w:val="00785319"/>
    <w:rsid w:val="007864B4"/>
    <w:rsid w:val="00787D2A"/>
    <w:rsid w:val="00792C79"/>
    <w:rsid w:val="007938E7"/>
    <w:rsid w:val="00794504"/>
    <w:rsid w:val="007965CD"/>
    <w:rsid w:val="007967B5"/>
    <w:rsid w:val="007B726C"/>
    <w:rsid w:val="007B7850"/>
    <w:rsid w:val="007C0773"/>
    <w:rsid w:val="007C321C"/>
    <w:rsid w:val="007C43ED"/>
    <w:rsid w:val="007C4D1C"/>
    <w:rsid w:val="007C6E5E"/>
    <w:rsid w:val="007C7051"/>
    <w:rsid w:val="007D092C"/>
    <w:rsid w:val="007D192A"/>
    <w:rsid w:val="007D1AB2"/>
    <w:rsid w:val="007D41BF"/>
    <w:rsid w:val="007D49A9"/>
    <w:rsid w:val="007D52B8"/>
    <w:rsid w:val="007D65C7"/>
    <w:rsid w:val="007E5791"/>
    <w:rsid w:val="007E615D"/>
    <w:rsid w:val="007F3FB9"/>
    <w:rsid w:val="007F4198"/>
    <w:rsid w:val="007F42CB"/>
    <w:rsid w:val="007F55B8"/>
    <w:rsid w:val="007F5690"/>
    <w:rsid w:val="0080006F"/>
    <w:rsid w:val="008016FC"/>
    <w:rsid w:val="008028C2"/>
    <w:rsid w:val="00805137"/>
    <w:rsid w:val="00805D50"/>
    <w:rsid w:val="0080749C"/>
    <w:rsid w:val="00811D18"/>
    <w:rsid w:val="008151D5"/>
    <w:rsid w:val="00816AA9"/>
    <w:rsid w:val="00816BCE"/>
    <w:rsid w:val="0082166B"/>
    <w:rsid w:val="00823CF7"/>
    <w:rsid w:val="008252C7"/>
    <w:rsid w:val="00825520"/>
    <w:rsid w:val="008321D7"/>
    <w:rsid w:val="008334EF"/>
    <w:rsid w:val="00835FC8"/>
    <w:rsid w:val="0083685D"/>
    <w:rsid w:val="00836BDC"/>
    <w:rsid w:val="008403A7"/>
    <w:rsid w:val="00844285"/>
    <w:rsid w:val="008479B0"/>
    <w:rsid w:val="008544A2"/>
    <w:rsid w:val="0086059C"/>
    <w:rsid w:val="00860BCE"/>
    <w:rsid w:val="00860CA6"/>
    <w:rsid w:val="00862D6D"/>
    <w:rsid w:val="008669CF"/>
    <w:rsid w:val="00871AD9"/>
    <w:rsid w:val="00872378"/>
    <w:rsid w:val="0087547E"/>
    <w:rsid w:val="008755BD"/>
    <w:rsid w:val="00876E1F"/>
    <w:rsid w:val="00880A0A"/>
    <w:rsid w:val="0088794D"/>
    <w:rsid w:val="00891EF5"/>
    <w:rsid w:val="00892267"/>
    <w:rsid w:val="008A0115"/>
    <w:rsid w:val="008A18BA"/>
    <w:rsid w:val="008A1C7C"/>
    <w:rsid w:val="008A1E1D"/>
    <w:rsid w:val="008A1F6A"/>
    <w:rsid w:val="008B0361"/>
    <w:rsid w:val="008B0E7D"/>
    <w:rsid w:val="008B1B44"/>
    <w:rsid w:val="008B1F6C"/>
    <w:rsid w:val="008B3FCB"/>
    <w:rsid w:val="008B776E"/>
    <w:rsid w:val="008C1F83"/>
    <w:rsid w:val="008C44EF"/>
    <w:rsid w:val="008D104E"/>
    <w:rsid w:val="008D14A8"/>
    <w:rsid w:val="008D65E3"/>
    <w:rsid w:val="008E321A"/>
    <w:rsid w:val="008E4927"/>
    <w:rsid w:val="008E52CF"/>
    <w:rsid w:val="008E6280"/>
    <w:rsid w:val="008F02DF"/>
    <w:rsid w:val="008F0D91"/>
    <w:rsid w:val="008F14CE"/>
    <w:rsid w:val="00903367"/>
    <w:rsid w:val="00904D23"/>
    <w:rsid w:val="009057F5"/>
    <w:rsid w:val="00905F37"/>
    <w:rsid w:val="009070A7"/>
    <w:rsid w:val="0090745E"/>
    <w:rsid w:val="0091169B"/>
    <w:rsid w:val="00912181"/>
    <w:rsid w:val="0091740E"/>
    <w:rsid w:val="0092598A"/>
    <w:rsid w:val="009275BE"/>
    <w:rsid w:val="00927BE3"/>
    <w:rsid w:val="00931E47"/>
    <w:rsid w:val="00932D82"/>
    <w:rsid w:val="009330F1"/>
    <w:rsid w:val="00935EF6"/>
    <w:rsid w:val="009360F6"/>
    <w:rsid w:val="009365E0"/>
    <w:rsid w:val="00936B34"/>
    <w:rsid w:val="00937E36"/>
    <w:rsid w:val="00942F8D"/>
    <w:rsid w:val="00946D8A"/>
    <w:rsid w:val="00950B55"/>
    <w:rsid w:val="009536BD"/>
    <w:rsid w:val="0095400B"/>
    <w:rsid w:val="00954C2A"/>
    <w:rsid w:val="00962A70"/>
    <w:rsid w:val="009654D8"/>
    <w:rsid w:val="009714DE"/>
    <w:rsid w:val="0097476A"/>
    <w:rsid w:val="00975BDE"/>
    <w:rsid w:val="00976311"/>
    <w:rsid w:val="00976894"/>
    <w:rsid w:val="00985449"/>
    <w:rsid w:val="00987EE7"/>
    <w:rsid w:val="009954CA"/>
    <w:rsid w:val="00996503"/>
    <w:rsid w:val="0099730D"/>
    <w:rsid w:val="009975A7"/>
    <w:rsid w:val="00997BFC"/>
    <w:rsid w:val="009A07B3"/>
    <w:rsid w:val="009A343C"/>
    <w:rsid w:val="009A4487"/>
    <w:rsid w:val="009A464E"/>
    <w:rsid w:val="009A49AB"/>
    <w:rsid w:val="009A6748"/>
    <w:rsid w:val="009B261F"/>
    <w:rsid w:val="009C6F6F"/>
    <w:rsid w:val="009D1105"/>
    <w:rsid w:val="009D1E71"/>
    <w:rsid w:val="009D350C"/>
    <w:rsid w:val="009E006F"/>
    <w:rsid w:val="009E2DBF"/>
    <w:rsid w:val="009E2FCC"/>
    <w:rsid w:val="009E460F"/>
    <w:rsid w:val="009E552A"/>
    <w:rsid w:val="009F0F99"/>
    <w:rsid w:val="009F138A"/>
    <w:rsid w:val="009F56BE"/>
    <w:rsid w:val="009F656E"/>
    <w:rsid w:val="00A018B2"/>
    <w:rsid w:val="00A03D69"/>
    <w:rsid w:val="00A04A7E"/>
    <w:rsid w:val="00A1725D"/>
    <w:rsid w:val="00A173E0"/>
    <w:rsid w:val="00A23715"/>
    <w:rsid w:val="00A265D1"/>
    <w:rsid w:val="00A276A7"/>
    <w:rsid w:val="00A35C6F"/>
    <w:rsid w:val="00A40CDF"/>
    <w:rsid w:val="00A41A61"/>
    <w:rsid w:val="00A42294"/>
    <w:rsid w:val="00A42956"/>
    <w:rsid w:val="00A439E2"/>
    <w:rsid w:val="00A43C26"/>
    <w:rsid w:val="00A46173"/>
    <w:rsid w:val="00A51177"/>
    <w:rsid w:val="00A53E7F"/>
    <w:rsid w:val="00A548E5"/>
    <w:rsid w:val="00A57BA6"/>
    <w:rsid w:val="00A57ED8"/>
    <w:rsid w:val="00A60505"/>
    <w:rsid w:val="00A6270D"/>
    <w:rsid w:val="00A62F40"/>
    <w:rsid w:val="00A63081"/>
    <w:rsid w:val="00A64A15"/>
    <w:rsid w:val="00A706DC"/>
    <w:rsid w:val="00A70CEE"/>
    <w:rsid w:val="00A7328D"/>
    <w:rsid w:val="00A73664"/>
    <w:rsid w:val="00A76F52"/>
    <w:rsid w:val="00A8022F"/>
    <w:rsid w:val="00A84DB9"/>
    <w:rsid w:val="00A86975"/>
    <w:rsid w:val="00A92C73"/>
    <w:rsid w:val="00A92F04"/>
    <w:rsid w:val="00A9585F"/>
    <w:rsid w:val="00A978B3"/>
    <w:rsid w:val="00AA174A"/>
    <w:rsid w:val="00AA4FA1"/>
    <w:rsid w:val="00AA5D2A"/>
    <w:rsid w:val="00AB24F2"/>
    <w:rsid w:val="00AB4604"/>
    <w:rsid w:val="00AB5500"/>
    <w:rsid w:val="00AC7036"/>
    <w:rsid w:val="00AD1922"/>
    <w:rsid w:val="00AE6204"/>
    <w:rsid w:val="00AF23C8"/>
    <w:rsid w:val="00AF3310"/>
    <w:rsid w:val="00AF58F7"/>
    <w:rsid w:val="00B0403A"/>
    <w:rsid w:val="00B11B11"/>
    <w:rsid w:val="00B1317F"/>
    <w:rsid w:val="00B20685"/>
    <w:rsid w:val="00B27CAA"/>
    <w:rsid w:val="00B31EC6"/>
    <w:rsid w:val="00B354FA"/>
    <w:rsid w:val="00B4510A"/>
    <w:rsid w:val="00B4614D"/>
    <w:rsid w:val="00B5159B"/>
    <w:rsid w:val="00B54DA8"/>
    <w:rsid w:val="00B55535"/>
    <w:rsid w:val="00B56201"/>
    <w:rsid w:val="00B574B9"/>
    <w:rsid w:val="00B61C30"/>
    <w:rsid w:val="00B621D3"/>
    <w:rsid w:val="00B62BFD"/>
    <w:rsid w:val="00B63F2F"/>
    <w:rsid w:val="00B64C8A"/>
    <w:rsid w:val="00B7171F"/>
    <w:rsid w:val="00B72399"/>
    <w:rsid w:val="00B72604"/>
    <w:rsid w:val="00B728F5"/>
    <w:rsid w:val="00B74A84"/>
    <w:rsid w:val="00B7713F"/>
    <w:rsid w:val="00B77C5B"/>
    <w:rsid w:val="00B77DE2"/>
    <w:rsid w:val="00B837C0"/>
    <w:rsid w:val="00B84A4B"/>
    <w:rsid w:val="00B85C3A"/>
    <w:rsid w:val="00B937F5"/>
    <w:rsid w:val="00B93F5B"/>
    <w:rsid w:val="00B942BE"/>
    <w:rsid w:val="00B94A0A"/>
    <w:rsid w:val="00B96761"/>
    <w:rsid w:val="00B96A8D"/>
    <w:rsid w:val="00B96F5E"/>
    <w:rsid w:val="00BA3DB9"/>
    <w:rsid w:val="00BB4598"/>
    <w:rsid w:val="00BB6A99"/>
    <w:rsid w:val="00BC1207"/>
    <w:rsid w:val="00BC184D"/>
    <w:rsid w:val="00BD3409"/>
    <w:rsid w:val="00BD4068"/>
    <w:rsid w:val="00BD74C2"/>
    <w:rsid w:val="00BE0536"/>
    <w:rsid w:val="00BE056D"/>
    <w:rsid w:val="00BE086F"/>
    <w:rsid w:val="00BE3775"/>
    <w:rsid w:val="00BE51B1"/>
    <w:rsid w:val="00BE581A"/>
    <w:rsid w:val="00BF1E9C"/>
    <w:rsid w:val="00BF7B5C"/>
    <w:rsid w:val="00C01F60"/>
    <w:rsid w:val="00C020C9"/>
    <w:rsid w:val="00C026CB"/>
    <w:rsid w:val="00C035FA"/>
    <w:rsid w:val="00C0419D"/>
    <w:rsid w:val="00C13269"/>
    <w:rsid w:val="00C1355C"/>
    <w:rsid w:val="00C160A6"/>
    <w:rsid w:val="00C21D77"/>
    <w:rsid w:val="00C225A4"/>
    <w:rsid w:val="00C233E3"/>
    <w:rsid w:val="00C25DBA"/>
    <w:rsid w:val="00C27FD4"/>
    <w:rsid w:val="00C31E4D"/>
    <w:rsid w:val="00C34732"/>
    <w:rsid w:val="00C37233"/>
    <w:rsid w:val="00C4174F"/>
    <w:rsid w:val="00C423F8"/>
    <w:rsid w:val="00C42DB3"/>
    <w:rsid w:val="00C4487A"/>
    <w:rsid w:val="00C46749"/>
    <w:rsid w:val="00C46814"/>
    <w:rsid w:val="00C46D1E"/>
    <w:rsid w:val="00C4721C"/>
    <w:rsid w:val="00C50DD5"/>
    <w:rsid w:val="00C57EC3"/>
    <w:rsid w:val="00C663D8"/>
    <w:rsid w:val="00C73DF2"/>
    <w:rsid w:val="00C820C7"/>
    <w:rsid w:val="00C82CC5"/>
    <w:rsid w:val="00C86317"/>
    <w:rsid w:val="00C86BEE"/>
    <w:rsid w:val="00C90446"/>
    <w:rsid w:val="00C905E6"/>
    <w:rsid w:val="00C95339"/>
    <w:rsid w:val="00C96474"/>
    <w:rsid w:val="00CA10BF"/>
    <w:rsid w:val="00CA140A"/>
    <w:rsid w:val="00CA288C"/>
    <w:rsid w:val="00CA2A1E"/>
    <w:rsid w:val="00CA472D"/>
    <w:rsid w:val="00CB2494"/>
    <w:rsid w:val="00CB4847"/>
    <w:rsid w:val="00CC134E"/>
    <w:rsid w:val="00CC2573"/>
    <w:rsid w:val="00CC50B5"/>
    <w:rsid w:val="00CC5CB2"/>
    <w:rsid w:val="00CD3A1D"/>
    <w:rsid w:val="00CD4E8E"/>
    <w:rsid w:val="00CE036A"/>
    <w:rsid w:val="00CE4FB0"/>
    <w:rsid w:val="00CE5BD8"/>
    <w:rsid w:val="00CE78E3"/>
    <w:rsid w:val="00CF306F"/>
    <w:rsid w:val="00CF7C85"/>
    <w:rsid w:val="00CF7CC2"/>
    <w:rsid w:val="00D0637A"/>
    <w:rsid w:val="00D1088B"/>
    <w:rsid w:val="00D11115"/>
    <w:rsid w:val="00D126E8"/>
    <w:rsid w:val="00D129BA"/>
    <w:rsid w:val="00D16B49"/>
    <w:rsid w:val="00D201EF"/>
    <w:rsid w:val="00D20DB9"/>
    <w:rsid w:val="00D20FC9"/>
    <w:rsid w:val="00D21D3D"/>
    <w:rsid w:val="00D22C4A"/>
    <w:rsid w:val="00D23242"/>
    <w:rsid w:val="00D34453"/>
    <w:rsid w:val="00D3451C"/>
    <w:rsid w:val="00D34629"/>
    <w:rsid w:val="00D3701A"/>
    <w:rsid w:val="00D3784B"/>
    <w:rsid w:val="00D44D67"/>
    <w:rsid w:val="00D46638"/>
    <w:rsid w:val="00D52D3A"/>
    <w:rsid w:val="00D534B4"/>
    <w:rsid w:val="00D54F0F"/>
    <w:rsid w:val="00D716B1"/>
    <w:rsid w:val="00D73AE1"/>
    <w:rsid w:val="00D754FA"/>
    <w:rsid w:val="00D82B29"/>
    <w:rsid w:val="00D83673"/>
    <w:rsid w:val="00D83EC1"/>
    <w:rsid w:val="00D905A3"/>
    <w:rsid w:val="00D9245B"/>
    <w:rsid w:val="00DA023E"/>
    <w:rsid w:val="00DA05E6"/>
    <w:rsid w:val="00DA0933"/>
    <w:rsid w:val="00DA4FA1"/>
    <w:rsid w:val="00DA64B9"/>
    <w:rsid w:val="00DB2681"/>
    <w:rsid w:val="00DB30DF"/>
    <w:rsid w:val="00DB4792"/>
    <w:rsid w:val="00DB5B77"/>
    <w:rsid w:val="00DC1217"/>
    <w:rsid w:val="00DC17E5"/>
    <w:rsid w:val="00DC1F5D"/>
    <w:rsid w:val="00DC2CC3"/>
    <w:rsid w:val="00DC341C"/>
    <w:rsid w:val="00DC7248"/>
    <w:rsid w:val="00DD0722"/>
    <w:rsid w:val="00DD177A"/>
    <w:rsid w:val="00DD3FC9"/>
    <w:rsid w:val="00DD4D58"/>
    <w:rsid w:val="00DD518A"/>
    <w:rsid w:val="00DD6CCF"/>
    <w:rsid w:val="00DD7F49"/>
    <w:rsid w:val="00DE09F6"/>
    <w:rsid w:val="00DF1C52"/>
    <w:rsid w:val="00DF1D75"/>
    <w:rsid w:val="00DF1DF6"/>
    <w:rsid w:val="00DF7447"/>
    <w:rsid w:val="00DF7EFA"/>
    <w:rsid w:val="00E00D67"/>
    <w:rsid w:val="00E016F1"/>
    <w:rsid w:val="00E02800"/>
    <w:rsid w:val="00E03C23"/>
    <w:rsid w:val="00E05618"/>
    <w:rsid w:val="00E10BB5"/>
    <w:rsid w:val="00E1169F"/>
    <w:rsid w:val="00E12223"/>
    <w:rsid w:val="00E166C0"/>
    <w:rsid w:val="00E17AF4"/>
    <w:rsid w:val="00E23194"/>
    <w:rsid w:val="00E23C01"/>
    <w:rsid w:val="00E27566"/>
    <w:rsid w:val="00E27F19"/>
    <w:rsid w:val="00E31759"/>
    <w:rsid w:val="00E31CAC"/>
    <w:rsid w:val="00E325FA"/>
    <w:rsid w:val="00E327D8"/>
    <w:rsid w:val="00E32984"/>
    <w:rsid w:val="00E329CE"/>
    <w:rsid w:val="00E33F44"/>
    <w:rsid w:val="00E345C7"/>
    <w:rsid w:val="00E40D56"/>
    <w:rsid w:val="00E41244"/>
    <w:rsid w:val="00E50075"/>
    <w:rsid w:val="00E50335"/>
    <w:rsid w:val="00E52392"/>
    <w:rsid w:val="00E60B43"/>
    <w:rsid w:val="00E62404"/>
    <w:rsid w:val="00E626D4"/>
    <w:rsid w:val="00E62889"/>
    <w:rsid w:val="00E62EC4"/>
    <w:rsid w:val="00E64E85"/>
    <w:rsid w:val="00E65D4C"/>
    <w:rsid w:val="00E754B5"/>
    <w:rsid w:val="00E8085E"/>
    <w:rsid w:val="00E82C77"/>
    <w:rsid w:val="00E927AA"/>
    <w:rsid w:val="00E96BBD"/>
    <w:rsid w:val="00EA72F3"/>
    <w:rsid w:val="00EB08D8"/>
    <w:rsid w:val="00EB6794"/>
    <w:rsid w:val="00EB794C"/>
    <w:rsid w:val="00EC2641"/>
    <w:rsid w:val="00EC2B77"/>
    <w:rsid w:val="00ED2BBB"/>
    <w:rsid w:val="00ED72E0"/>
    <w:rsid w:val="00EE0B1B"/>
    <w:rsid w:val="00EF3BC3"/>
    <w:rsid w:val="00EF3C01"/>
    <w:rsid w:val="00F01958"/>
    <w:rsid w:val="00F11820"/>
    <w:rsid w:val="00F1191B"/>
    <w:rsid w:val="00F12C27"/>
    <w:rsid w:val="00F12F57"/>
    <w:rsid w:val="00F14E3C"/>
    <w:rsid w:val="00F15F4A"/>
    <w:rsid w:val="00F16956"/>
    <w:rsid w:val="00F259DE"/>
    <w:rsid w:val="00F27738"/>
    <w:rsid w:val="00F30793"/>
    <w:rsid w:val="00F33943"/>
    <w:rsid w:val="00F37D0E"/>
    <w:rsid w:val="00F410B1"/>
    <w:rsid w:val="00F454B7"/>
    <w:rsid w:val="00F61554"/>
    <w:rsid w:val="00F621CC"/>
    <w:rsid w:val="00F645EE"/>
    <w:rsid w:val="00F64C4A"/>
    <w:rsid w:val="00F714C5"/>
    <w:rsid w:val="00F87E3A"/>
    <w:rsid w:val="00F93FE2"/>
    <w:rsid w:val="00F964FF"/>
    <w:rsid w:val="00FA1C91"/>
    <w:rsid w:val="00FA6549"/>
    <w:rsid w:val="00FA7386"/>
    <w:rsid w:val="00FB32D2"/>
    <w:rsid w:val="00FB76EF"/>
    <w:rsid w:val="00FC2985"/>
    <w:rsid w:val="00FC38C3"/>
    <w:rsid w:val="00FD1D1F"/>
    <w:rsid w:val="00FD34C9"/>
    <w:rsid w:val="00FE00F6"/>
    <w:rsid w:val="00FE3909"/>
    <w:rsid w:val="00FE5F7F"/>
    <w:rsid w:val="00FF1686"/>
    <w:rsid w:val="00FF203C"/>
    <w:rsid w:val="00FF4053"/>
    <w:rsid w:val="00FF460F"/>
    <w:rsid w:val="00FF645C"/>
    <w:rsid w:val="010D7DD7"/>
    <w:rsid w:val="015974C0"/>
    <w:rsid w:val="01695955"/>
    <w:rsid w:val="01710365"/>
    <w:rsid w:val="018C1643"/>
    <w:rsid w:val="019F4E64"/>
    <w:rsid w:val="01B34E22"/>
    <w:rsid w:val="01DE5F18"/>
    <w:rsid w:val="01E70533"/>
    <w:rsid w:val="02664AA4"/>
    <w:rsid w:val="03192A63"/>
    <w:rsid w:val="0346428E"/>
    <w:rsid w:val="03475E56"/>
    <w:rsid w:val="034938A8"/>
    <w:rsid w:val="038025B3"/>
    <w:rsid w:val="03990047"/>
    <w:rsid w:val="03A07B05"/>
    <w:rsid w:val="03AA5DB1"/>
    <w:rsid w:val="03D472D2"/>
    <w:rsid w:val="03D6740D"/>
    <w:rsid w:val="04477AA3"/>
    <w:rsid w:val="04656DEC"/>
    <w:rsid w:val="04950B5A"/>
    <w:rsid w:val="04EE6309"/>
    <w:rsid w:val="052D4EF4"/>
    <w:rsid w:val="05453FE3"/>
    <w:rsid w:val="05614B95"/>
    <w:rsid w:val="057235EC"/>
    <w:rsid w:val="05D709B3"/>
    <w:rsid w:val="05DF7D69"/>
    <w:rsid w:val="05EC445F"/>
    <w:rsid w:val="063E118E"/>
    <w:rsid w:val="064237A7"/>
    <w:rsid w:val="066B5CCB"/>
    <w:rsid w:val="067745FE"/>
    <w:rsid w:val="068B46ED"/>
    <w:rsid w:val="07464042"/>
    <w:rsid w:val="07612A84"/>
    <w:rsid w:val="078F4FC4"/>
    <w:rsid w:val="07914150"/>
    <w:rsid w:val="079E79DA"/>
    <w:rsid w:val="07BF7A34"/>
    <w:rsid w:val="07CC39F4"/>
    <w:rsid w:val="07DE427B"/>
    <w:rsid w:val="084E7652"/>
    <w:rsid w:val="086A79A2"/>
    <w:rsid w:val="087105C1"/>
    <w:rsid w:val="08842C00"/>
    <w:rsid w:val="08A7157D"/>
    <w:rsid w:val="08AA23AF"/>
    <w:rsid w:val="08F04266"/>
    <w:rsid w:val="08F4189D"/>
    <w:rsid w:val="090E6DE2"/>
    <w:rsid w:val="094E5251"/>
    <w:rsid w:val="095011A8"/>
    <w:rsid w:val="095C7B4D"/>
    <w:rsid w:val="09622E82"/>
    <w:rsid w:val="09732F58"/>
    <w:rsid w:val="09D94626"/>
    <w:rsid w:val="0A187F18"/>
    <w:rsid w:val="0A255CC4"/>
    <w:rsid w:val="0A781607"/>
    <w:rsid w:val="0A9357F1"/>
    <w:rsid w:val="0A9D03F6"/>
    <w:rsid w:val="0AB771C3"/>
    <w:rsid w:val="0ABA23A2"/>
    <w:rsid w:val="0ADC2637"/>
    <w:rsid w:val="0ADF4C24"/>
    <w:rsid w:val="0AE2298C"/>
    <w:rsid w:val="0B112BB9"/>
    <w:rsid w:val="0B8165D9"/>
    <w:rsid w:val="0B9C07E4"/>
    <w:rsid w:val="0BB51137"/>
    <w:rsid w:val="0BC47C2C"/>
    <w:rsid w:val="0BC83278"/>
    <w:rsid w:val="0BD4422D"/>
    <w:rsid w:val="0BFA6CCB"/>
    <w:rsid w:val="0C065DC3"/>
    <w:rsid w:val="0C3A18AE"/>
    <w:rsid w:val="0C58239B"/>
    <w:rsid w:val="0C5E30EA"/>
    <w:rsid w:val="0C727688"/>
    <w:rsid w:val="0C871385"/>
    <w:rsid w:val="0D587116"/>
    <w:rsid w:val="0D984DF0"/>
    <w:rsid w:val="0D9B3E2D"/>
    <w:rsid w:val="0DBC0BBA"/>
    <w:rsid w:val="0DBF6178"/>
    <w:rsid w:val="0DC7731B"/>
    <w:rsid w:val="0E061B04"/>
    <w:rsid w:val="0E163D64"/>
    <w:rsid w:val="0E85644A"/>
    <w:rsid w:val="0EB8244E"/>
    <w:rsid w:val="0EFB1BB6"/>
    <w:rsid w:val="0F3F7763"/>
    <w:rsid w:val="0F4E1CE6"/>
    <w:rsid w:val="0F5B2655"/>
    <w:rsid w:val="0F66158F"/>
    <w:rsid w:val="0F766D71"/>
    <w:rsid w:val="0F854936"/>
    <w:rsid w:val="0FC151E5"/>
    <w:rsid w:val="10036F74"/>
    <w:rsid w:val="10196798"/>
    <w:rsid w:val="10645539"/>
    <w:rsid w:val="106F147B"/>
    <w:rsid w:val="10DD5A17"/>
    <w:rsid w:val="10E36DA6"/>
    <w:rsid w:val="116243C5"/>
    <w:rsid w:val="118063A3"/>
    <w:rsid w:val="11936FD1"/>
    <w:rsid w:val="11A97279"/>
    <w:rsid w:val="12673EBC"/>
    <w:rsid w:val="12A831E7"/>
    <w:rsid w:val="12B81780"/>
    <w:rsid w:val="12BB1017"/>
    <w:rsid w:val="12C50511"/>
    <w:rsid w:val="12EF1689"/>
    <w:rsid w:val="12F206F6"/>
    <w:rsid w:val="130F48A2"/>
    <w:rsid w:val="13255D62"/>
    <w:rsid w:val="133A789D"/>
    <w:rsid w:val="13B80669"/>
    <w:rsid w:val="13C0517C"/>
    <w:rsid w:val="13C833DE"/>
    <w:rsid w:val="13DD140C"/>
    <w:rsid w:val="13E21DE7"/>
    <w:rsid w:val="141C7B32"/>
    <w:rsid w:val="145E48FC"/>
    <w:rsid w:val="146B020F"/>
    <w:rsid w:val="146B6E96"/>
    <w:rsid w:val="14942349"/>
    <w:rsid w:val="14A448DD"/>
    <w:rsid w:val="14A979BF"/>
    <w:rsid w:val="14AB1B49"/>
    <w:rsid w:val="14B164ED"/>
    <w:rsid w:val="154D47EE"/>
    <w:rsid w:val="15631108"/>
    <w:rsid w:val="157F6B8A"/>
    <w:rsid w:val="15842905"/>
    <w:rsid w:val="158E10A8"/>
    <w:rsid w:val="15D74B6F"/>
    <w:rsid w:val="15F15AC1"/>
    <w:rsid w:val="15F5735F"/>
    <w:rsid w:val="16123749"/>
    <w:rsid w:val="163A6DE3"/>
    <w:rsid w:val="164979B3"/>
    <w:rsid w:val="167673BD"/>
    <w:rsid w:val="16B04D8F"/>
    <w:rsid w:val="16C15493"/>
    <w:rsid w:val="174C1B02"/>
    <w:rsid w:val="176B15B5"/>
    <w:rsid w:val="176D5F0F"/>
    <w:rsid w:val="178D5C56"/>
    <w:rsid w:val="179000DC"/>
    <w:rsid w:val="17902F36"/>
    <w:rsid w:val="179249C9"/>
    <w:rsid w:val="17BA2A25"/>
    <w:rsid w:val="17C5096F"/>
    <w:rsid w:val="17E24A3E"/>
    <w:rsid w:val="17E551B2"/>
    <w:rsid w:val="17ED5276"/>
    <w:rsid w:val="17F65AD7"/>
    <w:rsid w:val="186935AD"/>
    <w:rsid w:val="18BF02E9"/>
    <w:rsid w:val="18D45FD9"/>
    <w:rsid w:val="18DE232D"/>
    <w:rsid w:val="1947297F"/>
    <w:rsid w:val="19C032EE"/>
    <w:rsid w:val="19D24ED9"/>
    <w:rsid w:val="19F14713"/>
    <w:rsid w:val="1A390616"/>
    <w:rsid w:val="1A4E34E2"/>
    <w:rsid w:val="1ABB7950"/>
    <w:rsid w:val="1B0063C0"/>
    <w:rsid w:val="1B1417D7"/>
    <w:rsid w:val="1B273276"/>
    <w:rsid w:val="1B414DF5"/>
    <w:rsid w:val="1B7477DC"/>
    <w:rsid w:val="1B947E23"/>
    <w:rsid w:val="1BA3160C"/>
    <w:rsid w:val="1C2269D4"/>
    <w:rsid w:val="1C566F53"/>
    <w:rsid w:val="1CF00444"/>
    <w:rsid w:val="1D335585"/>
    <w:rsid w:val="1D3D339A"/>
    <w:rsid w:val="1D462446"/>
    <w:rsid w:val="1D4B6EC8"/>
    <w:rsid w:val="1D707C3B"/>
    <w:rsid w:val="1D7B44B1"/>
    <w:rsid w:val="1D7B74B9"/>
    <w:rsid w:val="1E131243"/>
    <w:rsid w:val="1E205195"/>
    <w:rsid w:val="1E5D600F"/>
    <w:rsid w:val="1E7055E1"/>
    <w:rsid w:val="1E7718F6"/>
    <w:rsid w:val="1E851F2F"/>
    <w:rsid w:val="1E950D72"/>
    <w:rsid w:val="1EA51DEC"/>
    <w:rsid w:val="1EAF2075"/>
    <w:rsid w:val="1EC71AB5"/>
    <w:rsid w:val="1EF1119A"/>
    <w:rsid w:val="1F3709E9"/>
    <w:rsid w:val="1F5B27CF"/>
    <w:rsid w:val="1F9572C5"/>
    <w:rsid w:val="1FEB532F"/>
    <w:rsid w:val="1FF2320C"/>
    <w:rsid w:val="1FF468DA"/>
    <w:rsid w:val="20146634"/>
    <w:rsid w:val="20166850"/>
    <w:rsid w:val="204C4020"/>
    <w:rsid w:val="204D1B46"/>
    <w:rsid w:val="205E4DE9"/>
    <w:rsid w:val="21154D5A"/>
    <w:rsid w:val="215C64E4"/>
    <w:rsid w:val="21747CD2"/>
    <w:rsid w:val="21BA02A4"/>
    <w:rsid w:val="21D841C9"/>
    <w:rsid w:val="22087A8C"/>
    <w:rsid w:val="22137BA5"/>
    <w:rsid w:val="228D26CE"/>
    <w:rsid w:val="22AB4DEF"/>
    <w:rsid w:val="22D22940"/>
    <w:rsid w:val="22D85F5F"/>
    <w:rsid w:val="22F15352"/>
    <w:rsid w:val="23137CB2"/>
    <w:rsid w:val="23571659"/>
    <w:rsid w:val="237817AE"/>
    <w:rsid w:val="23922691"/>
    <w:rsid w:val="23ED3D6C"/>
    <w:rsid w:val="2412694B"/>
    <w:rsid w:val="242F7EE0"/>
    <w:rsid w:val="245142FB"/>
    <w:rsid w:val="24914929"/>
    <w:rsid w:val="249D7540"/>
    <w:rsid w:val="24BB1774"/>
    <w:rsid w:val="24D67C0B"/>
    <w:rsid w:val="24D97E4C"/>
    <w:rsid w:val="24E328D6"/>
    <w:rsid w:val="2515317F"/>
    <w:rsid w:val="253E5CA2"/>
    <w:rsid w:val="25511A8E"/>
    <w:rsid w:val="256242E5"/>
    <w:rsid w:val="25C74149"/>
    <w:rsid w:val="25DA347D"/>
    <w:rsid w:val="25FF7D86"/>
    <w:rsid w:val="26034493"/>
    <w:rsid w:val="2620272E"/>
    <w:rsid w:val="26336F25"/>
    <w:rsid w:val="26B65C7E"/>
    <w:rsid w:val="26D9078F"/>
    <w:rsid w:val="26E730C6"/>
    <w:rsid w:val="26E8081A"/>
    <w:rsid w:val="27084A19"/>
    <w:rsid w:val="271E5FE8"/>
    <w:rsid w:val="27463AD2"/>
    <w:rsid w:val="27A21FBD"/>
    <w:rsid w:val="27DB0122"/>
    <w:rsid w:val="28693BE5"/>
    <w:rsid w:val="28C11DAA"/>
    <w:rsid w:val="28C1759B"/>
    <w:rsid w:val="290541A2"/>
    <w:rsid w:val="29096D87"/>
    <w:rsid w:val="29104BDF"/>
    <w:rsid w:val="293B10D5"/>
    <w:rsid w:val="295C19C0"/>
    <w:rsid w:val="297E41CC"/>
    <w:rsid w:val="299C3779"/>
    <w:rsid w:val="29A21154"/>
    <w:rsid w:val="29F13CE2"/>
    <w:rsid w:val="29FD38F5"/>
    <w:rsid w:val="2A314286"/>
    <w:rsid w:val="2A3547E2"/>
    <w:rsid w:val="2A4443CB"/>
    <w:rsid w:val="2A5A37DD"/>
    <w:rsid w:val="2A7665EC"/>
    <w:rsid w:val="2A9115AB"/>
    <w:rsid w:val="2AC375D4"/>
    <w:rsid w:val="2AE65071"/>
    <w:rsid w:val="2AEA6FF8"/>
    <w:rsid w:val="2AF27C42"/>
    <w:rsid w:val="2BA50A88"/>
    <w:rsid w:val="2BC10DEE"/>
    <w:rsid w:val="2BFB2206"/>
    <w:rsid w:val="2C3A325C"/>
    <w:rsid w:val="2C743DDE"/>
    <w:rsid w:val="2CBF5B79"/>
    <w:rsid w:val="2D4D257A"/>
    <w:rsid w:val="2D6B2D40"/>
    <w:rsid w:val="2DE006D0"/>
    <w:rsid w:val="2DE42B57"/>
    <w:rsid w:val="2E0423DE"/>
    <w:rsid w:val="2E3B7DDD"/>
    <w:rsid w:val="2E9D6707"/>
    <w:rsid w:val="2EBC4A66"/>
    <w:rsid w:val="2EC83FA4"/>
    <w:rsid w:val="2ED20D19"/>
    <w:rsid w:val="2EED18C2"/>
    <w:rsid w:val="2EF1054D"/>
    <w:rsid w:val="2EF375E8"/>
    <w:rsid w:val="2F0A3A24"/>
    <w:rsid w:val="2F2E09CB"/>
    <w:rsid w:val="2F713AA3"/>
    <w:rsid w:val="2F837332"/>
    <w:rsid w:val="2F893255"/>
    <w:rsid w:val="30275F10"/>
    <w:rsid w:val="308C6001"/>
    <w:rsid w:val="30CB2CA5"/>
    <w:rsid w:val="30E3277E"/>
    <w:rsid w:val="30F312A6"/>
    <w:rsid w:val="310E0E7D"/>
    <w:rsid w:val="31266EA7"/>
    <w:rsid w:val="3140437B"/>
    <w:rsid w:val="31441F89"/>
    <w:rsid w:val="314618B9"/>
    <w:rsid w:val="31464F1C"/>
    <w:rsid w:val="315B3A2B"/>
    <w:rsid w:val="31801028"/>
    <w:rsid w:val="319142F1"/>
    <w:rsid w:val="31DD5420"/>
    <w:rsid w:val="31F07456"/>
    <w:rsid w:val="31F82F20"/>
    <w:rsid w:val="320C5CBB"/>
    <w:rsid w:val="321444C7"/>
    <w:rsid w:val="321F2C5E"/>
    <w:rsid w:val="32485353"/>
    <w:rsid w:val="32617BB0"/>
    <w:rsid w:val="32B819E9"/>
    <w:rsid w:val="32BD53EF"/>
    <w:rsid w:val="32C7388D"/>
    <w:rsid w:val="33C9718C"/>
    <w:rsid w:val="33E67E90"/>
    <w:rsid w:val="347D5423"/>
    <w:rsid w:val="34BB2515"/>
    <w:rsid w:val="34BC1539"/>
    <w:rsid w:val="34F96F68"/>
    <w:rsid w:val="351078BA"/>
    <w:rsid w:val="3524723A"/>
    <w:rsid w:val="35586C97"/>
    <w:rsid w:val="356149EA"/>
    <w:rsid w:val="357065AB"/>
    <w:rsid w:val="357C6CFE"/>
    <w:rsid w:val="358E6A43"/>
    <w:rsid w:val="35AF5C6F"/>
    <w:rsid w:val="35B13DBF"/>
    <w:rsid w:val="35BA15D4"/>
    <w:rsid w:val="35D95EFE"/>
    <w:rsid w:val="35EF127D"/>
    <w:rsid w:val="36140CE4"/>
    <w:rsid w:val="36201D7F"/>
    <w:rsid w:val="3659694A"/>
    <w:rsid w:val="36E6103A"/>
    <w:rsid w:val="36EE3C2B"/>
    <w:rsid w:val="370B2517"/>
    <w:rsid w:val="37172E09"/>
    <w:rsid w:val="37292272"/>
    <w:rsid w:val="372B09DB"/>
    <w:rsid w:val="373E3013"/>
    <w:rsid w:val="374D6BA3"/>
    <w:rsid w:val="37517319"/>
    <w:rsid w:val="376B1E9F"/>
    <w:rsid w:val="377063EE"/>
    <w:rsid w:val="37812674"/>
    <w:rsid w:val="378C0630"/>
    <w:rsid w:val="37B22EAA"/>
    <w:rsid w:val="38073496"/>
    <w:rsid w:val="38237904"/>
    <w:rsid w:val="38276E1B"/>
    <w:rsid w:val="38352865"/>
    <w:rsid w:val="385348AF"/>
    <w:rsid w:val="385E26EA"/>
    <w:rsid w:val="388713CB"/>
    <w:rsid w:val="38A36D2D"/>
    <w:rsid w:val="38D64977"/>
    <w:rsid w:val="38D76A59"/>
    <w:rsid w:val="393135DA"/>
    <w:rsid w:val="3A1268ED"/>
    <w:rsid w:val="3A2E46AB"/>
    <w:rsid w:val="3A396F6B"/>
    <w:rsid w:val="3A637A19"/>
    <w:rsid w:val="3AE454A2"/>
    <w:rsid w:val="3AEF7F72"/>
    <w:rsid w:val="3AF27EBD"/>
    <w:rsid w:val="3B3737DA"/>
    <w:rsid w:val="3B386CC7"/>
    <w:rsid w:val="3B6F4C0F"/>
    <w:rsid w:val="3C2F0D84"/>
    <w:rsid w:val="3C404B8B"/>
    <w:rsid w:val="3C50507C"/>
    <w:rsid w:val="3CA31014"/>
    <w:rsid w:val="3CB749A8"/>
    <w:rsid w:val="3CF967CC"/>
    <w:rsid w:val="3D1D0DC6"/>
    <w:rsid w:val="3D4F6AA6"/>
    <w:rsid w:val="3D887FA6"/>
    <w:rsid w:val="3D9D237D"/>
    <w:rsid w:val="3E05361E"/>
    <w:rsid w:val="3E307D17"/>
    <w:rsid w:val="3E3E55C1"/>
    <w:rsid w:val="3E715A3C"/>
    <w:rsid w:val="3E854F1E"/>
    <w:rsid w:val="3E9B4698"/>
    <w:rsid w:val="3EDA4893"/>
    <w:rsid w:val="3EFB7757"/>
    <w:rsid w:val="3EFE4FA9"/>
    <w:rsid w:val="3F28741A"/>
    <w:rsid w:val="3F390C93"/>
    <w:rsid w:val="3F4168C2"/>
    <w:rsid w:val="3F5E65E7"/>
    <w:rsid w:val="3F696545"/>
    <w:rsid w:val="3FD562ED"/>
    <w:rsid w:val="401069C0"/>
    <w:rsid w:val="40835C11"/>
    <w:rsid w:val="4093314D"/>
    <w:rsid w:val="409A77E4"/>
    <w:rsid w:val="409B0C37"/>
    <w:rsid w:val="409D6081"/>
    <w:rsid w:val="40D668C2"/>
    <w:rsid w:val="40F262E9"/>
    <w:rsid w:val="412070D7"/>
    <w:rsid w:val="41A82C28"/>
    <w:rsid w:val="41AA2E44"/>
    <w:rsid w:val="41E8488F"/>
    <w:rsid w:val="41EC68FD"/>
    <w:rsid w:val="42470693"/>
    <w:rsid w:val="425E4754"/>
    <w:rsid w:val="429239A8"/>
    <w:rsid w:val="429513FF"/>
    <w:rsid w:val="429531AD"/>
    <w:rsid w:val="42A36130"/>
    <w:rsid w:val="42F06635"/>
    <w:rsid w:val="42FC322C"/>
    <w:rsid w:val="430D1DCC"/>
    <w:rsid w:val="431C352D"/>
    <w:rsid w:val="43315D19"/>
    <w:rsid w:val="437A1711"/>
    <w:rsid w:val="43BA2247"/>
    <w:rsid w:val="43E72261"/>
    <w:rsid w:val="44050DB2"/>
    <w:rsid w:val="44172659"/>
    <w:rsid w:val="442C3BB8"/>
    <w:rsid w:val="443469F5"/>
    <w:rsid w:val="446906D7"/>
    <w:rsid w:val="44B71E8B"/>
    <w:rsid w:val="44BC0EC5"/>
    <w:rsid w:val="44DD155D"/>
    <w:rsid w:val="45153DF9"/>
    <w:rsid w:val="454D01C7"/>
    <w:rsid w:val="4585074F"/>
    <w:rsid w:val="45B20178"/>
    <w:rsid w:val="46314434"/>
    <w:rsid w:val="46780E1B"/>
    <w:rsid w:val="47170634"/>
    <w:rsid w:val="47413903"/>
    <w:rsid w:val="47694C08"/>
    <w:rsid w:val="4777325F"/>
    <w:rsid w:val="47DE55F6"/>
    <w:rsid w:val="47FC782A"/>
    <w:rsid w:val="48384D06"/>
    <w:rsid w:val="48881C23"/>
    <w:rsid w:val="489F436E"/>
    <w:rsid w:val="48C97EF9"/>
    <w:rsid w:val="48CE3221"/>
    <w:rsid w:val="490715C7"/>
    <w:rsid w:val="491D5CAA"/>
    <w:rsid w:val="49285E0F"/>
    <w:rsid w:val="49300BA2"/>
    <w:rsid w:val="496B2EB9"/>
    <w:rsid w:val="49C25EAC"/>
    <w:rsid w:val="49FF2440"/>
    <w:rsid w:val="4A021DA3"/>
    <w:rsid w:val="4A08512B"/>
    <w:rsid w:val="4A0B1FA6"/>
    <w:rsid w:val="4A111CB3"/>
    <w:rsid w:val="4A443E36"/>
    <w:rsid w:val="4A8C3F46"/>
    <w:rsid w:val="4AB95164"/>
    <w:rsid w:val="4AFA74D5"/>
    <w:rsid w:val="4B773B46"/>
    <w:rsid w:val="4B7E6135"/>
    <w:rsid w:val="4B873F51"/>
    <w:rsid w:val="4B8777FF"/>
    <w:rsid w:val="4B9009B5"/>
    <w:rsid w:val="4BBF3268"/>
    <w:rsid w:val="4BD425A0"/>
    <w:rsid w:val="4C2A117B"/>
    <w:rsid w:val="4C4C1C0D"/>
    <w:rsid w:val="4C5145E8"/>
    <w:rsid w:val="4C820C46"/>
    <w:rsid w:val="4C9B4CE9"/>
    <w:rsid w:val="4D35333C"/>
    <w:rsid w:val="4D53256B"/>
    <w:rsid w:val="4DB90697"/>
    <w:rsid w:val="4E1048AA"/>
    <w:rsid w:val="4E284ADA"/>
    <w:rsid w:val="4E2C36D6"/>
    <w:rsid w:val="4E543A85"/>
    <w:rsid w:val="4E9904C8"/>
    <w:rsid w:val="4EA529C9"/>
    <w:rsid w:val="4EAC1FAA"/>
    <w:rsid w:val="4EC1755F"/>
    <w:rsid w:val="4EDB262B"/>
    <w:rsid w:val="4EEC17EF"/>
    <w:rsid w:val="4EF07817"/>
    <w:rsid w:val="4F0600F4"/>
    <w:rsid w:val="4F3241C2"/>
    <w:rsid w:val="4F68029B"/>
    <w:rsid w:val="4F895E47"/>
    <w:rsid w:val="4F8E493C"/>
    <w:rsid w:val="4F9B4257"/>
    <w:rsid w:val="4F9D18F3"/>
    <w:rsid w:val="4FBA39FD"/>
    <w:rsid w:val="4FD23C92"/>
    <w:rsid w:val="4FDE2637"/>
    <w:rsid w:val="4FE237A9"/>
    <w:rsid w:val="4FF0236A"/>
    <w:rsid w:val="50CF3D2E"/>
    <w:rsid w:val="50DE6667"/>
    <w:rsid w:val="50EF731A"/>
    <w:rsid w:val="50FA0EA6"/>
    <w:rsid w:val="50FD2021"/>
    <w:rsid w:val="51022A31"/>
    <w:rsid w:val="51200A2D"/>
    <w:rsid w:val="51497F84"/>
    <w:rsid w:val="51606891"/>
    <w:rsid w:val="518745CF"/>
    <w:rsid w:val="5196484B"/>
    <w:rsid w:val="520A30CD"/>
    <w:rsid w:val="526037D7"/>
    <w:rsid w:val="527F4484"/>
    <w:rsid w:val="528214FE"/>
    <w:rsid w:val="5379225F"/>
    <w:rsid w:val="53B549B1"/>
    <w:rsid w:val="53CE651E"/>
    <w:rsid w:val="54225064"/>
    <w:rsid w:val="54232D0E"/>
    <w:rsid w:val="54696247"/>
    <w:rsid w:val="5474356A"/>
    <w:rsid w:val="54A8352F"/>
    <w:rsid w:val="54DF6509"/>
    <w:rsid w:val="54E31282"/>
    <w:rsid w:val="54EF2BF0"/>
    <w:rsid w:val="5539315B"/>
    <w:rsid w:val="553B1CCF"/>
    <w:rsid w:val="553D4B2B"/>
    <w:rsid w:val="5545234B"/>
    <w:rsid w:val="55482300"/>
    <w:rsid w:val="556233C2"/>
    <w:rsid w:val="55690BF5"/>
    <w:rsid w:val="55E90969"/>
    <w:rsid w:val="55EC1FE4"/>
    <w:rsid w:val="567A298E"/>
    <w:rsid w:val="56C65BD3"/>
    <w:rsid w:val="56ED7603"/>
    <w:rsid w:val="570707F2"/>
    <w:rsid w:val="571E156B"/>
    <w:rsid w:val="57210F11"/>
    <w:rsid w:val="573436AF"/>
    <w:rsid w:val="57480A98"/>
    <w:rsid w:val="576F0018"/>
    <w:rsid w:val="57727B09"/>
    <w:rsid w:val="57BF0D10"/>
    <w:rsid w:val="57EF3BD4"/>
    <w:rsid w:val="57FB1233"/>
    <w:rsid w:val="582B01B6"/>
    <w:rsid w:val="5889510A"/>
    <w:rsid w:val="59375164"/>
    <w:rsid w:val="596661E1"/>
    <w:rsid w:val="59BF1DC7"/>
    <w:rsid w:val="59EC76FE"/>
    <w:rsid w:val="59F44805"/>
    <w:rsid w:val="59FE7AFF"/>
    <w:rsid w:val="5A2A45CE"/>
    <w:rsid w:val="5A441899"/>
    <w:rsid w:val="5A61633E"/>
    <w:rsid w:val="5A7B71DC"/>
    <w:rsid w:val="5AA35019"/>
    <w:rsid w:val="5AC703E5"/>
    <w:rsid w:val="5AE20B01"/>
    <w:rsid w:val="5AE31D84"/>
    <w:rsid w:val="5B136F0D"/>
    <w:rsid w:val="5B721297"/>
    <w:rsid w:val="5BAC35E9"/>
    <w:rsid w:val="5BB22BCA"/>
    <w:rsid w:val="5BB71679"/>
    <w:rsid w:val="5C0C052C"/>
    <w:rsid w:val="5CB07652"/>
    <w:rsid w:val="5CFD0A1E"/>
    <w:rsid w:val="5D5E4DB7"/>
    <w:rsid w:val="5DAB2E09"/>
    <w:rsid w:val="5DC9637B"/>
    <w:rsid w:val="5DEE322E"/>
    <w:rsid w:val="5E14191A"/>
    <w:rsid w:val="5E3D4631"/>
    <w:rsid w:val="5E6F048B"/>
    <w:rsid w:val="5F061262"/>
    <w:rsid w:val="5F166FCB"/>
    <w:rsid w:val="5F191971"/>
    <w:rsid w:val="5F724B4A"/>
    <w:rsid w:val="5F9F5213"/>
    <w:rsid w:val="5FA03CFD"/>
    <w:rsid w:val="5FA40241"/>
    <w:rsid w:val="5FBC4017"/>
    <w:rsid w:val="5FC4513D"/>
    <w:rsid w:val="5FCA6734"/>
    <w:rsid w:val="604858AA"/>
    <w:rsid w:val="60804763"/>
    <w:rsid w:val="60A15F5C"/>
    <w:rsid w:val="60BB607C"/>
    <w:rsid w:val="60C008BB"/>
    <w:rsid w:val="60C21F44"/>
    <w:rsid w:val="60D158A0"/>
    <w:rsid w:val="61252DAF"/>
    <w:rsid w:val="615179ED"/>
    <w:rsid w:val="6158685F"/>
    <w:rsid w:val="617B7A74"/>
    <w:rsid w:val="617C1CB0"/>
    <w:rsid w:val="61891CD7"/>
    <w:rsid w:val="61C05A85"/>
    <w:rsid w:val="61C231AB"/>
    <w:rsid w:val="61C947C9"/>
    <w:rsid w:val="61D07906"/>
    <w:rsid w:val="61D7005B"/>
    <w:rsid w:val="62195750"/>
    <w:rsid w:val="622740D7"/>
    <w:rsid w:val="62B41814"/>
    <w:rsid w:val="62FF5B68"/>
    <w:rsid w:val="632B573B"/>
    <w:rsid w:val="638906B4"/>
    <w:rsid w:val="639405A8"/>
    <w:rsid w:val="63AC2D44"/>
    <w:rsid w:val="63F773CC"/>
    <w:rsid w:val="64117A06"/>
    <w:rsid w:val="64835103"/>
    <w:rsid w:val="64855063"/>
    <w:rsid w:val="64872E45"/>
    <w:rsid w:val="648B3FB8"/>
    <w:rsid w:val="64B33C3A"/>
    <w:rsid w:val="64DE2339"/>
    <w:rsid w:val="65031DA0"/>
    <w:rsid w:val="65341A31"/>
    <w:rsid w:val="65363F24"/>
    <w:rsid w:val="65494739"/>
    <w:rsid w:val="6582081C"/>
    <w:rsid w:val="65B15D2A"/>
    <w:rsid w:val="65C92FEA"/>
    <w:rsid w:val="65D75478"/>
    <w:rsid w:val="65F8742B"/>
    <w:rsid w:val="660432F0"/>
    <w:rsid w:val="665B144F"/>
    <w:rsid w:val="66D9725C"/>
    <w:rsid w:val="66E16111"/>
    <w:rsid w:val="66F422E8"/>
    <w:rsid w:val="674912D0"/>
    <w:rsid w:val="67C938CC"/>
    <w:rsid w:val="67D65298"/>
    <w:rsid w:val="67D67CBE"/>
    <w:rsid w:val="67EB36EB"/>
    <w:rsid w:val="68275DC9"/>
    <w:rsid w:val="68815DFE"/>
    <w:rsid w:val="689478DF"/>
    <w:rsid w:val="68C229BD"/>
    <w:rsid w:val="68C32814"/>
    <w:rsid w:val="68C73398"/>
    <w:rsid w:val="690600B1"/>
    <w:rsid w:val="695D66EF"/>
    <w:rsid w:val="69881B48"/>
    <w:rsid w:val="6988602B"/>
    <w:rsid w:val="69AB0181"/>
    <w:rsid w:val="69B37266"/>
    <w:rsid w:val="69CC4E56"/>
    <w:rsid w:val="69D33990"/>
    <w:rsid w:val="69EC61E7"/>
    <w:rsid w:val="69F326F3"/>
    <w:rsid w:val="69F53FB0"/>
    <w:rsid w:val="6A1C4030"/>
    <w:rsid w:val="6A6B28C1"/>
    <w:rsid w:val="6A8C4DB6"/>
    <w:rsid w:val="6A930946"/>
    <w:rsid w:val="6A9C009D"/>
    <w:rsid w:val="6B804BCD"/>
    <w:rsid w:val="6B992D86"/>
    <w:rsid w:val="6B9D6AAA"/>
    <w:rsid w:val="6BA733DE"/>
    <w:rsid w:val="6BE94C15"/>
    <w:rsid w:val="6BF37226"/>
    <w:rsid w:val="6C456256"/>
    <w:rsid w:val="6CA469EF"/>
    <w:rsid w:val="6CC07F24"/>
    <w:rsid w:val="6CD275D6"/>
    <w:rsid w:val="6CFC1EF7"/>
    <w:rsid w:val="6CFD7CAA"/>
    <w:rsid w:val="6D157166"/>
    <w:rsid w:val="6D2075F4"/>
    <w:rsid w:val="6D463866"/>
    <w:rsid w:val="6D57712D"/>
    <w:rsid w:val="6D60076F"/>
    <w:rsid w:val="6D6441C2"/>
    <w:rsid w:val="6D6D44EB"/>
    <w:rsid w:val="6D9602F6"/>
    <w:rsid w:val="6DB87176"/>
    <w:rsid w:val="6DB97DE8"/>
    <w:rsid w:val="6E02423D"/>
    <w:rsid w:val="6E292877"/>
    <w:rsid w:val="6E3D27C7"/>
    <w:rsid w:val="6E922B12"/>
    <w:rsid w:val="6E9B13CA"/>
    <w:rsid w:val="6EB643DC"/>
    <w:rsid w:val="6EBF142E"/>
    <w:rsid w:val="6F0830DB"/>
    <w:rsid w:val="6F646BC8"/>
    <w:rsid w:val="6F69067C"/>
    <w:rsid w:val="6FAD3C38"/>
    <w:rsid w:val="6FE42753"/>
    <w:rsid w:val="6FF11ABB"/>
    <w:rsid w:val="70072395"/>
    <w:rsid w:val="701900CD"/>
    <w:rsid w:val="705A6236"/>
    <w:rsid w:val="708244C1"/>
    <w:rsid w:val="70C5576E"/>
    <w:rsid w:val="70D66204"/>
    <w:rsid w:val="70E923A1"/>
    <w:rsid w:val="7150636D"/>
    <w:rsid w:val="715C7408"/>
    <w:rsid w:val="71924BD7"/>
    <w:rsid w:val="71AA5D93"/>
    <w:rsid w:val="71F57794"/>
    <w:rsid w:val="72217B85"/>
    <w:rsid w:val="72A252EE"/>
    <w:rsid w:val="72A73776"/>
    <w:rsid w:val="72E15E16"/>
    <w:rsid w:val="72E27499"/>
    <w:rsid w:val="72F53670"/>
    <w:rsid w:val="73005B71"/>
    <w:rsid w:val="730B0F8E"/>
    <w:rsid w:val="730B2E93"/>
    <w:rsid w:val="73435273"/>
    <w:rsid w:val="73A475FC"/>
    <w:rsid w:val="73B02970"/>
    <w:rsid w:val="73D96AEE"/>
    <w:rsid w:val="740D6797"/>
    <w:rsid w:val="74121C76"/>
    <w:rsid w:val="74B90D4E"/>
    <w:rsid w:val="74F6722B"/>
    <w:rsid w:val="74F84532"/>
    <w:rsid w:val="751E27E1"/>
    <w:rsid w:val="754B57C9"/>
    <w:rsid w:val="755A5A0C"/>
    <w:rsid w:val="75792163"/>
    <w:rsid w:val="759848F7"/>
    <w:rsid w:val="75C127BF"/>
    <w:rsid w:val="75CE30D2"/>
    <w:rsid w:val="75CE7D56"/>
    <w:rsid w:val="75E06541"/>
    <w:rsid w:val="75EA4801"/>
    <w:rsid w:val="76165DD7"/>
    <w:rsid w:val="7621477C"/>
    <w:rsid w:val="76483F0F"/>
    <w:rsid w:val="767D5CFE"/>
    <w:rsid w:val="77032FE2"/>
    <w:rsid w:val="770B4242"/>
    <w:rsid w:val="770F43DD"/>
    <w:rsid w:val="771F6BDC"/>
    <w:rsid w:val="77510E81"/>
    <w:rsid w:val="775546DD"/>
    <w:rsid w:val="7762586D"/>
    <w:rsid w:val="777F5BFE"/>
    <w:rsid w:val="77AD62C7"/>
    <w:rsid w:val="77B147D4"/>
    <w:rsid w:val="77BB3D79"/>
    <w:rsid w:val="77EF3F12"/>
    <w:rsid w:val="78153E6C"/>
    <w:rsid w:val="7827149A"/>
    <w:rsid w:val="7890573D"/>
    <w:rsid w:val="78D877F5"/>
    <w:rsid w:val="78DB1CC3"/>
    <w:rsid w:val="798F01A7"/>
    <w:rsid w:val="79AF1377"/>
    <w:rsid w:val="79C83D34"/>
    <w:rsid w:val="79EA4190"/>
    <w:rsid w:val="7A571783"/>
    <w:rsid w:val="7AA03EC1"/>
    <w:rsid w:val="7AAB023A"/>
    <w:rsid w:val="7AC71BE0"/>
    <w:rsid w:val="7ACF47A6"/>
    <w:rsid w:val="7B2274AD"/>
    <w:rsid w:val="7B2F4C29"/>
    <w:rsid w:val="7B31627C"/>
    <w:rsid w:val="7B690757"/>
    <w:rsid w:val="7B743161"/>
    <w:rsid w:val="7B8C08E9"/>
    <w:rsid w:val="7B937ECA"/>
    <w:rsid w:val="7B945FC9"/>
    <w:rsid w:val="7BE129F0"/>
    <w:rsid w:val="7BE75B20"/>
    <w:rsid w:val="7BEB5610"/>
    <w:rsid w:val="7C4D1E27"/>
    <w:rsid w:val="7CEB2801"/>
    <w:rsid w:val="7D3C46D8"/>
    <w:rsid w:val="7D4A0A5C"/>
    <w:rsid w:val="7D702AFF"/>
    <w:rsid w:val="7DBF3345"/>
    <w:rsid w:val="7DF176B0"/>
    <w:rsid w:val="7E002EC9"/>
    <w:rsid w:val="7E307C52"/>
    <w:rsid w:val="7E4B4A8C"/>
    <w:rsid w:val="7E683C3A"/>
    <w:rsid w:val="7E8F0BC3"/>
    <w:rsid w:val="7E917F8A"/>
    <w:rsid w:val="7E96489B"/>
    <w:rsid w:val="7EB72EE7"/>
    <w:rsid w:val="7F4A6AF1"/>
    <w:rsid w:val="7F6027EB"/>
    <w:rsid w:val="7F6F0306"/>
    <w:rsid w:val="7FA12DB2"/>
    <w:rsid w:val="7FBC4D3E"/>
    <w:rsid w:val="7FC5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keepNext/>
      <w:jc w:val="center"/>
      <w:outlineLvl w:val="0"/>
    </w:pPr>
    <w:rPr>
      <w:b/>
      <w:bCs/>
      <w:kern w:val="0"/>
      <w:sz w:val="24"/>
      <w:szCs w:val="20"/>
    </w:rPr>
  </w:style>
  <w:style w:type="paragraph" w:styleId="3">
    <w:name w:val="heading 2"/>
    <w:basedOn w:val="1"/>
    <w:next w:val="1"/>
    <w:link w:val="62"/>
    <w:qFormat/>
    <w:uiPriority w:val="99"/>
    <w:pPr>
      <w:keepNext/>
      <w:keepLines/>
      <w:spacing w:line="360" w:lineRule="auto"/>
      <w:outlineLvl w:val="1"/>
    </w:pPr>
    <w:rPr>
      <w:rFonts w:ascii="Arial" w:hAnsi="Arial"/>
      <w:b/>
      <w:bCs/>
      <w:kern w:val="0"/>
      <w:sz w:val="24"/>
      <w:szCs w:val="32"/>
    </w:rPr>
  </w:style>
  <w:style w:type="paragraph" w:styleId="4">
    <w:name w:val="heading 3"/>
    <w:basedOn w:val="1"/>
    <w:next w:val="1"/>
    <w:link w:val="61"/>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4"/>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66"/>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7"/>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8"/>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9"/>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0"/>
    <w:qFormat/>
    <w:uiPriority w:val="0"/>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cs="黑体"/>
      <w:szCs w:val="22"/>
    </w:rPr>
  </w:style>
  <w:style w:type="paragraph" w:styleId="12">
    <w:name w:val="Normal Indent"/>
    <w:basedOn w:val="1"/>
    <w:next w:val="13"/>
    <w:qFormat/>
    <w:uiPriority w:val="99"/>
    <w:pPr>
      <w:widowControl/>
      <w:ind w:firstLine="420"/>
      <w:jc w:val="left"/>
    </w:pPr>
    <w:rPr>
      <w:kern w:val="0"/>
      <w:sz w:val="20"/>
      <w:szCs w:val="20"/>
    </w:rPr>
  </w:style>
  <w:style w:type="paragraph" w:customStyle="1" w:styleId="13">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paragraph" w:styleId="14">
    <w:name w:val="caption"/>
    <w:basedOn w:val="1"/>
    <w:next w:val="1"/>
    <w:qFormat/>
    <w:uiPriority w:val="99"/>
    <w:pPr>
      <w:spacing w:line="360" w:lineRule="auto"/>
      <w:jc w:val="center"/>
    </w:pPr>
    <w:rPr>
      <w:rFonts w:ascii="Calibri" w:hAnsi="Calibri" w:eastAsia="黑体"/>
    </w:rPr>
  </w:style>
  <w:style w:type="paragraph" w:styleId="15">
    <w:name w:val="Document Map"/>
    <w:basedOn w:val="1"/>
    <w:link w:val="71"/>
    <w:qFormat/>
    <w:uiPriority w:val="99"/>
    <w:pPr>
      <w:shd w:val="clear" w:color="auto" w:fill="000080"/>
    </w:pPr>
    <w:rPr>
      <w:kern w:val="0"/>
      <w:sz w:val="20"/>
    </w:rPr>
  </w:style>
  <w:style w:type="paragraph" w:styleId="16">
    <w:name w:val="toa heading"/>
    <w:basedOn w:val="1"/>
    <w:next w:val="1"/>
    <w:qFormat/>
    <w:uiPriority w:val="0"/>
    <w:rPr>
      <w:rFonts w:ascii="Arial" w:hAnsi="Arial"/>
      <w:sz w:val="24"/>
    </w:rPr>
  </w:style>
  <w:style w:type="paragraph" w:styleId="17">
    <w:name w:val="annotation text"/>
    <w:basedOn w:val="1"/>
    <w:link w:val="72"/>
    <w:qFormat/>
    <w:uiPriority w:val="0"/>
    <w:pPr>
      <w:jc w:val="left"/>
    </w:pPr>
    <w:rPr>
      <w:kern w:val="0"/>
      <w:sz w:val="20"/>
    </w:rPr>
  </w:style>
  <w:style w:type="paragraph" w:styleId="18">
    <w:name w:val="Salutation"/>
    <w:basedOn w:val="1"/>
    <w:next w:val="1"/>
    <w:link w:val="73"/>
    <w:qFormat/>
    <w:uiPriority w:val="0"/>
    <w:rPr>
      <w:rFonts w:ascii="仿宋_GB2312" w:eastAsia="仿宋_GB2312"/>
      <w:kern w:val="0"/>
      <w:sz w:val="24"/>
    </w:rPr>
  </w:style>
  <w:style w:type="paragraph" w:styleId="19">
    <w:name w:val="Body Text"/>
    <w:basedOn w:val="1"/>
    <w:link w:val="65"/>
    <w:qFormat/>
    <w:uiPriority w:val="99"/>
    <w:pPr>
      <w:spacing w:after="120"/>
    </w:pPr>
    <w:rPr>
      <w:kern w:val="0"/>
      <w:sz w:val="20"/>
    </w:rPr>
  </w:style>
  <w:style w:type="paragraph" w:styleId="20">
    <w:name w:val="Body Text Indent"/>
    <w:basedOn w:val="1"/>
    <w:next w:val="21"/>
    <w:link w:val="74"/>
    <w:qFormat/>
    <w:uiPriority w:val="99"/>
    <w:pPr>
      <w:spacing w:after="120"/>
      <w:ind w:left="420" w:leftChars="200"/>
    </w:pPr>
    <w:rPr>
      <w:kern w:val="0"/>
      <w:sz w:val="20"/>
    </w:rPr>
  </w:style>
  <w:style w:type="paragraph" w:styleId="21">
    <w:name w:val="Body Text First Indent 2"/>
    <w:basedOn w:val="20"/>
    <w:link w:val="87"/>
    <w:qFormat/>
    <w:uiPriority w:val="0"/>
    <w:pPr>
      <w:ind w:firstLine="420" w:firstLineChars="200"/>
    </w:p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0"/>
    <w:pPr>
      <w:ind w:left="1680" w:leftChars="800"/>
    </w:pPr>
    <w:rPr>
      <w:rFonts w:ascii="Calibri" w:hAnsi="Calibri" w:cs="黑体"/>
      <w:szCs w:val="22"/>
    </w:rPr>
  </w:style>
  <w:style w:type="paragraph" w:styleId="24">
    <w:name w:val="toc 3"/>
    <w:basedOn w:val="1"/>
    <w:next w:val="1"/>
    <w:qFormat/>
    <w:uiPriority w:val="39"/>
    <w:pPr>
      <w:adjustRightInd w:val="0"/>
      <w:snapToGrid w:val="0"/>
      <w:spacing w:line="360" w:lineRule="auto"/>
      <w:ind w:left="400" w:leftChars="400"/>
    </w:pPr>
    <w:rPr>
      <w:b/>
    </w:rPr>
  </w:style>
  <w:style w:type="paragraph" w:styleId="25">
    <w:name w:val="Plain Text"/>
    <w:basedOn w:val="1"/>
    <w:link w:val="75"/>
    <w:qFormat/>
    <w:uiPriority w:val="0"/>
    <w:rPr>
      <w:rFonts w:ascii="宋体" w:hAnsi="Courier New"/>
      <w:kern w:val="0"/>
      <w:sz w:val="20"/>
      <w:szCs w:val="21"/>
    </w:rPr>
  </w:style>
  <w:style w:type="paragraph" w:styleId="26">
    <w:name w:val="toc 8"/>
    <w:basedOn w:val="1"/>
    <w:next w:val="1"/>
    <w:qFormat/>
    <w:uiPriority w:val="0"/>
    <w:pPr>
      <w:ind w:left="2940" w:leftChars="1400"/>
    </w:pPr>
    <w:rPr>
      <w:rFonts w:ascii="Calibri" w:hAnsi="Calibri" w:cs="黑体"/>
      <w:szCs w:val="22"/>
    </w:rPr>
  </w:style>
  <w:style w:type="paragraph" w:styleId="27">
    <w:name w:val="Date"/>
    <w:basedOn w:val="1"/>
    <w:next w:val="1"/>
    <w:link w:val="76"/>
    <w:qFormat/>
    <w:uiPriority w:val="0"/>
    <w:rPr>
      <w:kern w:val="0"/>
      <w:sz w:val="24"/>
      <w:szCs w:val="20"/>
    </w:rPr>
  </w:style>
  <w:style w:type="paragraph" w:styleId="28">
    <w:name w:val="Body Text Indent 2"/>
    <w:basedOn w:val="1"/>
    <w:link w:val="77"/>
    <w:qFormat/>
    <w:uiPriority w:val="0"/>
    <w:pPr>
      <w:spacing w:after="120" w:line="480" w:lineRule="auto"/>
      <w:ind w:left="420" w:leftChars="200"/>
    </w:pPr>
    <w:rPr>
      <w:kern w:val="0"/>
      <w:sz w:val="20"/>
    </w:rPr>
  </w:style>
  <w:style w:type="paragraph" w:styleId="29">
    <w:name w:val="Balloon Text"/>
    <w:basedOn w:val="1"/>
    <w:link w:val="78"/>
    <w:qFormat/>
    <w:uiPriority w:val="0"/>
    <w:rPr>
      <w:kern w:val="0"/>
      <w:sz w:val="18"/>
      <w:szCs w:val="18"/>
    </w:rPr>
  </w:style>
  <w:style w:type="paragraph" w:styleId="30">
    <w:name w:val="footer"/>
    <w:basedOn w:val="1"/>
    <w:link w:val="79"/>
    <w:qFormat/>
    <w:uiPriority w:val="0"/>
    <w:pPr>
      <w:tabs>
        <w:tab w:val="center" w:pos="4153"/>
        <w:tab w:val="right" w:pos="8306"/>
      </w:tabs>
      <w:snapToGrid w:val="0"/>
      <w:jc w:val="left"/>
    </w:pPr>
    <w:rPr>
      <w:kern w:val="0"/>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qFormat/>
    <w:uiPriority w:val="39"/>
    <w:pPr>
      <w:spacing w:line="360" w:lineRule="auto"/>
    </w:pPr>
    <w:rPr>
      <w:rFonts w:ascii="宋体" w:hAnsi="宋体"/>
      <w:b/>
      <w:sz w:val="24"/>
      <w:szCs w:val="21"/>
    </w:rPr>
  </w:style>
  <w:style w:type="paragraph" w:styleId="33">
    <w:name w:val="toc 4"/>
    <w:basedOn w:val="1"/>
    <w:next w:val="1"/>
    <w:qFormat/>
    <w:uiPriority w:val="0"/>
    <w:pPr>
      <w:adjustRightInd w:val="0"/>
      <w:snapToGrid w:val="0"/>
      <w:spacing w:line="360" w:lineRule="auto"/>
      <w:ind w:left="600" w:leftChars="600"/>
    </w:pPr>
    <w:rPr>
      <w:rFonts w:ascii="Calibri" w:hAnsi="Calibri" w:cs="黑体"/>
      <w:b/>
      <w:szCs w:val="22"/>
    </w:rPr>
  </w:style>
  <w:style w:type="paragraph" w:styleId="34">
    <w:name w:val="toc 6"/>
    <w:basedOn w:val="1"/>
    <w:next w:val="1"/>
    <w:qFormat/>
    <w:uiPriority w:val="0"/>
    <w:pPr>
      <w:ind w:left="2100"/>
    </w:pPr>
    <w:rPr>
      <w:szCs w:val="20"/>
    </w:rPr>
  </w:style>
  <w:style w:type="paragraph" w:styleId="35">
    <w:name w:val="Body Text Indent 3"/>
    <w:basedOn w:val="1"/>
    <w:next w:val="1"/>
    <w:link w:val="81"/>
    <w:qFormat/>
    <w:uiPriority w:val="0"/>
    <w:pPr>
      <w:spacing w:after="120"/>
      <w:ind w:left="420" w:leftChars="200"/>
    </w:pPr>
    <w:rPr>
      <w:kern w:val="0"/>
      <w:sz w:val="16"/>
      <w:szCs w:val="16"/>
    </w:rPr>
  </w:style>
  <w:style w:type="paragraph" w:styleId="36">
    <w:name w:val="table of figures"/>
    <w:basedOn w:val="1"/>
    <w:next w:val="1"/>
    <w:qFormat/>
    <w:uiPriority w:val="0"/>
    <w:pPr>
      <w:ind w:left="200" w:leftChars="200" w:hanging="200" w:hangingChars="200"/>
    </w:pPr>
  </w:style>
  <w:style w:type="paragraph" w:styleId="37">
    <w:name w:val="toc 2"/>
    <w:basedOn w:val="1"/>
    <w:next w:val="1"/>
    <w:qFormat/>
    <w:uiPriority w:val="39"/>
    <w:pPr>
      <w:spacing w:line="360" w:lineRule="auto"/>
      <w:ind w:left="200" w:leftChars="200"/>
    </w:pPr>
    <w:rPr>
      <w:b/>
    </w:rPr>
  </w:style>
  <w:style w:type="paragraph" w:styleId="38">
    <w:name w:val="toc 9"/>
    <w:basedOn w:val="1"/>
    <w:next w:val="1"/>
    <w:qFormat/>
    <w:uiPriority w:val="0"/>
    <w:pPr>
      <w:ind w:left="3360" w:leftChars="1600"/>
    </w:pPr>
    <w:rPr>
      <w:rFonts w:ascii="Calibri" w:hAnsi="Calibri" w:cs="黑体"/>
      <w:szCs w:val="22"/>
    </w:rPr>
  </w:style>
  <w:style w:type="paragraph" w:styleId="39">
    <w:name w:val="Body Text 2"/>
    <w:basedOn w:val="1"/>
    <w:link w:val="82"/>
    <w:qFormat/>
    <w:uiPriority w:val="0"/>
    <w:pPr>
      <w:spacing w:after="120" w:line="480" w:lineRule="auto"/>
    </w:pPr>
    <w:rPr>
      <w:kern w:val="0"/>
      <w:sz w:val="20"/>
    </w:rPr>
  </w:style>
  <w:style w:type="paragraph" w:styleId="40">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0"/>
    </w:rPr>
  </w:style>
  <w:style w:type="paragraph" w:styleId="43">
    <w:name w:val="Title"/>
    <w:basedOn w:val="1"/>
    <w:link w:val="84"/>
    <w:qFormat/>
    <w:uiPriority w:val="0"/>
    <w:pPr>
      <w:jc w:val="center"/>
      <w:outlineLvl w:val="0"/>
    </w:pPr>
    <w:rPr>
      <w:b/>
      <w:kern w:val="0"/>
      <w:sz w:val="32"/>
      <w:szCs w:val="20"/>
    </w:rPr>
  </w:style>
  <w:style w:type="paragraph" w:styleId="44">
    <w:name w:val="annotation subject"/>
    <w:basedOn w:val="17"/>
    <w:next w:val="17"/>
    <w:link w:val="85"/>
    <w:qFormat/>
    <w:uiPriority w:val="0"/>
    <w:rPr>
      <w:b/>
      <w:bCs/>
    </w:rPr>
  </w:style>
  <w:style w:type="paragraph" w:styleId="45">
    <w:name w:val="Body Text First Indent"/>
    <w:basedOn w:val="19"/>
    <w:link w:val="86"/>
    <w:qFormat/>
    <w:uiPriority w:val="0"/>
    <w:pPr>
      <w:ind w:firstLine="420" w:firstLineChars="100"/>
    </w:pPr>
    <w:rPr>
      <w:kern w:val="2"/>
      <w:sz w:val="21"/>
      <w:szCs w:val="20"/>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0"/>
    <w:rPr>
      <w:rFonts w:ascii="Times New Roman" w:hAnsi="Times New Roman" w:eastAsia="宋体" w:cs="Times New Roman"/>
      <w:b/>
      <w:bCs/>
    </w:rPr>
  </w:style>
  <w:style w:type="character" w:styleId="50">
    <w:name w:val="page number"/>
    <w:qFormat/>
    <w:uiPriority w:val="0"/>
    <w:rPr>
      <w:rFonts w:ascii="Times New Roman" w:hAnsi="Times New Roman" w:eastAsia="宋体" w:cs="Times New Roman"/>
    </w:rPr>
  </w:style>
  <w:style w:type="character" w:styleId="51">
    <w:name w:val="FollowedHyperlink"/>
    <w:qFormat/>
    <w:uiPriority w:val="0"/>
    <w:rPr>
      <w:rFonts w:ascii="Times New Roman" w:hAnsi="Times New Roman" w:eastAsia="宋体" w:cs="Times New Roman"/>
      <w:color w:val="333333"/>
      <w:u w:val="none"/>
    </w:rPr>
  </w:style>
  <w:style w:type="character" w:styleId="52">
    <w:name w:val="Emphasis"/>
    <w:basedOn w:val="48"/>
    <w:link w:val="1"/>
    <w:qFormat/>
    <w:uiPriority w:val="0"/>
    <w:rPr>
      <w:rFonts w:ascii="Times New Roman" w:hAnsi="Times New Roman" w:eastAsia="宋体" w:cs="Times New Roman"/>
      <w:kern w:val="2"/>
      <w:sz w:val="21"/>
      <w:szCs w:val="24"/>
      <w:lang w:val="en-US" w:eastAsia="zh-CN" w:bidi="ar-SA"/>
    </w:rPr>
  </w:style>
  <w:style w:type="character" w:styleId="53">
    <w:name w:val="HTML Definition"/>
    <w:qFormat/>
    <w:uiPriority w:val="0"/>
    <w:rPr>
      <w:rFonts w:ascii="Times New Roman" w:hAnsi="Times New Roman" w:eastAsia="宋体" w:cs="Times New Roman"/>
    </w:rPr>
  </w:style>
  <w:style w:type="character" w:styleId="54">
    <w:name w:val="HTML Variable"/>
    <w:qFormat/>
    <w:uiPriority w:val="0"/>
    <w:rPr>
      <w:rFonts w:ascii="Times New Roman" w:hAnsi="Times New Roman" w:eastAsia="宋体" w:cs="Times New Roman"/>
      <w:sz w:val="19"/>
      <w:szCs w:val="19"/>
    </w:rPr>
  </w:style>
  <w:style w:type="character" w:styleId="55">
    <w:name w:val="Hyperlink"/>
    <w:qFormat/>
    <w:uiPriority w:val="99"/>
    <w:rPr>
      <w:rFonts w:ascii="Times New Roman" w:hAnsi="Times New Roman" w:eastAsia="宋体" w:cs="Times New Roman"/>
      <w:color w:val="136EC2"/>
      <w:u w:val="single"/>
    </w:rPr>
  </w:style>
  <w:style w:type="character" w:styleId="56">
    <w:name w:val="HTML Code"/>
    <w:qFormat/>
    <w:uiPriority w:val="0"/>
    <w:rPr>
      <w:rFonts w:hint="default" w:ascii="Consolas" w:hAnsi="Consolas" w:eastAsia="Consolas" w:cs="Consolas"/>
      <w:color w:val="C7254E"/>
      <w:sz w:val="21"/>
      <w:szCs w:val="21"/>
      <w:shd w:val="clear" w:color="auto" w:fill="F9F2F4"/>
    </w:rPr>
  </w:style>
  <w:style w:type="character" w:styleId="57">
    <w:name w:val="annotation reference"/>
    <w:qFormat/>
    <w:uiPriority w:val="0"/>
    <w:rPr>
      <w:rFonts w:ascii="Times New Roman" w:hAnsi="Times New Roman" w:eastAsia="宋体" w:cs="Times New Roman"/>
      <w:sz w:val="21"/>
      <w:szCs w:val="21"/>
    </w:rPr>
  </w:style>
  <w:style w:type="character" w:styleId="58">
    <w:name w:val="HTML Cite"/>
    <w:qFormat/>
    <w:uiPriority w:val="0"/>
    <w:rPr>
      <w:rFonts w:ascii="Times New Roman" w:hAnsi="Times New Roman" w:eastAsia="宋体" w:cs="Times New Roman"/>
    </w:rPr>
  </w:style>
  <w:style w:type="character" w:styleId="59">
    <w:name w:val="HTML Keyboard"/>
    <w:qFormat/>
    <w:uiPriority w:val="0"/>
    <w:rPr>
      <w:rFonts w:ascii="Consolas" w:hAnsi="Consolas" w:eastAsia="Consolas" w:cs="Consolas"/>
      <w:color w:val="FFFFFF"/>
      <w:sz w:val="21"/>
      <w:szCs w:val="21"/>
      <w:shd w:val="clear" w:color="auto" w:fill="333333"/>
    </w:rPr>
  </w:style>
  <w:style w:type="character" w:styleId="60">
    <w:name w:val="HTML Sample"/>
    <w:qFormat/>
    <w:uiPriority w:val="0"/>
    <w:rPr>
      <w:rFonts w:hint="default" w:ascii="Consolas" w:hAnsi="Consolas" w:eastAsia="Consolas" w:cs="Consolas"/>
      <w:sz w:val="21"/>
      <w:szCs w:val="21"/>
    </w:rPr>
  </w:style>
  <w:style w:type="character" w:customStyle="1" w:styleId="61">
    <w:name w:val="标题 3 Char"/>
    <w:link w:val="4"/>
    <w:qFormat/>
    <w:uiPriority w:val="9"/>
    <w:rPr>
      <w:rFonts w:ascii="Times New Roman" w:hAnsi="Times New Roman" w:eastAsia="宋体" w:cs="Times New Roman"/>
      <w:b/>
      <w:bCs/>
      <w:sz w:val="32"/>
      <w:szCs w:val="32"/>
    </w:rPr>
  </w:style>
  <w:style w:type="character" w:customStyle="1" w:styleId="62">
    <w:name w:val="标题 2 Char"/>
    <w:link w:val="3"/>
    <w:qFormat/>
    <w:uiPriority w:val="99"/>
    <w:rPr>
      <w:rFonts w:ascii="Arial" w:hAnsi="Arial" w:eastAsia="宋体" w:cs="Times New Roman"/>
      <w:b/>
      <w:bCs/>
      <w:sz w:val="24"/>
      <w:szCs w:val="32"/>
    </w:rPr>
  </w:style>
  <w:style w:type="character" w:customStyle="1" w:styleId="63">
    <w:name w:val="标题 1 Char"/>
    <w:link w:val="2"/>
    <w:qFormat/>
    <w:uiPriority w:val="0"/>
    <w:rPr>
      <w:rFonts w:ascii="Times New Roman" w:hAnsi="Times New Roman" w:eastAsia="宋体" w:cs="Times New Roman"/>
      <w:b/>
      <w:bCs/>
      <w:sz w:val="24"/>
      <w:szCs w:val="20"/>
    </w:rPr>
  </w:style>
  <w:style w:type="character" w:customStyle="1" w:styleId="64">
    <w:name w:val="标题 4 Char"/>
    <w:link w:val="5"/>
    <w:qFormat/>
    <w:uiPriority w:val="0"/>
    <w:rPr>
      <w:rFonts w:ascii="Arial" w:hAnsi="Arial" w:eastAsia="黑体" w:cs="Times New Roman"/>
      <w:b/>
      <w:bCs/>
      <w:sz w:val="28"/>
      <w:szCs w:val="28"/>
    </w:rPr>
  </w:style>
  <w:style w:type="character" w:customStyle="1" w:styleId="65">
    <w:name w:val="正文文本 Char"/>
    <w:link w:val="19"/>
    <w:qFormat/>
    <w:uiPriority w:val="99"/>
    <w:rPr>
      <w:rFonts w:ascii="Times New Roman" w:hAnsi="Times New Roman" w:eastAsia="宋体" w:cs="Times New Roman"/>
      <w:szCs w:val="24"/>
    </w:rPr>
  </w:style>
  <w:style w:type="character" w:customStyle="1" w:styleId="66">
    <w:name w:val="标题 5 Char"/>
    <w:link w:val="6"/>
    <w:qFormat/>
    <w:uiPriority w:val="0"/>
    <w:rPr>
      <w:rFonts w:ascii="Times New Roman" w:hAnsi="Times New Roman" w:eastAsia="宋体" w:cs="Times New Roman"/>
      <w:b/>
      <w:bCs/>
      <w:kern w:val="0"/>
      <w:sz w:val="28"/>
      <w:szCs w:val="28"/>
    </w:rPr>
  </w:style>
  <w:style w:type="character" w:customStyle="1" w:styleId="67">
    <w:name w:val="标题 6 Char"/>
    <w:link w:val="7"/>
    <w:qFormat/>
    <w:uiPriority w:val="0"/>
    <w:rPr>
      <w:rFonts w:ascii="Arial" w:hAnsi="Arial" w:eastAsia="黑体" w:cs="Times New Roman"/>
      <w:b/>
      <w:bCs/>
      <w:kern w:val="0"/>
      <w:sz w:val="24"/>
      <w:szCs w:val="24"/>
    </w:rPr>
  </w:style>
  <w:style w:type="character" w:customStyle="1" w:styleId="68">
    <w:name w:val="标题 7 Char"/>
    <w:link w:val="8"/>
    <w:qFormat/>
    <w:uiPriority w:val="0"/>
    <w:rPr>
      <w:rFonts w:ascii="Times New Roman" w:hAnsi="Times New Roman" w:eastAsia="宋体" w:cs="Times New Roman"/>
      <w:b/>
      <w:bCs/>
      <w:kern w:val="0"/>
      <w:sz w:val="24"/>
      <w:szCs w:val="24"/>
    </w:rPr>
  </w:style>
  <w:style w:type="character" w:customStyle="1" w:styleId="69">
    <w:name w:val="标题 8 Char"/>
    <w:link w:val="9"/>
    <w:qFormat/>
    <w:uiPriority w:val="0"/>
    <w:rPr>
      <w:rFonts w:ascii="Arial" w:hAnsi="Arial" w:eastAsia="黑体" w:cs="Times New Roman"/>
      <w:kern w:val="0"/>
      <w:sz w:val="24"/>
      <w:szCs w:val="24"/>
    </w:rPr>
  </w:style>
  <w:style w:type="character" w:customStyle="1" w:styleId="70">
    <w:name w:val="标题 9 Char"/>
    <w:link w:val="10"/>
    <w:qFormat/>
    <w:uiPriority w:val="0"/>
    <w:rPr>
      <w:rFonts w:ascii="Arial" w:hAnsi="Arial" w:eastAsia="黑体" w:cs="Times New Roman"/>
      <w:kern w:val="0"/>
      <w:szCs w:val="21"/>
    </w:rPr>
  </w:style>
  <w:style w:type="character" w:customStyle="1" w:styleId="71">
    <w:name w:val="文档结构图 Char"/>
    <w:link w:val="15"/>
    <w:qFormat/>
    <w:uiPriority w:val="99"/>
    <w:rPr>
      <w:rFonts w:ascii="Times New Roman" w:hAnsi="Times New Roman" w:eastAsia="宋体" w:cs="Times New Roman"/>
      <w:szCs w:val="24"/>
      <w:shd w:val="clear" w:color="auto" w:fill="000080"/>
    </w:rPr>
  </w:style>
  <w:style w:type="character" w:customStyle="1" w:styleId="72">
    <w:name w:val="批注文字 Char1"/>
    <w:link w:val="17"/>
    <w:qFormat/>
    <w:uiPriority w:val="0"/>
    <w:rPr>
      <w:rFonts w:ascii="Times New Roman" w:hAnsi="Times New Roman" w:eastAsia="宋体" w:cs="Times New Roman"/>
      <w:szCs w:val="24"/>
    </w:rPr>
  </w:style>
  <w:style w:type="character" w:customStyle="1" w:styleId="73">
    <w:name w:val="称呼 Char"/>
    <w:link w:val="18"/>
    <w:qFormat/>
    <w:uiPriority w:val="0"/>
    <w:rPr>
      <w:rFonts w:ascii="仿宋_GB2312" w:hAnsi="Times New Roman" w:eastAsia="仿宋_GB2312" w:cs="Times New Roman"/>
      <w:sz w:val="24"/>
      <w:szCs w:val="24"/>
    </w:rPr>
  </w:style>
  <w:style w:type="character" w:customStyle="1" w:styleId="74">
    <w:name w:val="正文文本缩进 Char"/>
    <w:link w:val="20"/>
    <w:qFormat/>
    <w:uiPriority w:val="99"/>
    <w:rPr>
      <w:rFonts w:ascii="Times New Roman" w:hAnsi="Times New Roman" w:eastAsia="宋体" w:cs="Times New Roman"/>
      <w:szCs w:val="24"/>
    </w:rPr>
  </w:style>
  <w:style w:type="character" w:customStyle="1" w:styleId="75">
    <w:name w:val="纯文本 Char"/>
    <w:link w:val="25"/>
    <w:qFormat/>
    <w:uiPriority w:val="0"/>
    <w:rPr>
      <w:rFonts w:ascii="宋体" w:hAnsi="Courier New" w:eastAsia="宋体" w:cs="Courier New"/>
      <w:szCs w:val="21"/>
    </w:rPr>
  </w:style>
  <w:style w:type="character" w:customStyle="1" w:styleId="76">
    <w:name w:val="日期 Char"/>
    <w:link w:val="27"/>
    <w:qFormat/>
    <w:uiPriority w:val="0"/>
    <w:rPr>
      <w:rFonts w:ascii="Times New Roman" w:hAnsi="Times New Roman" w:eastAsia="宋体" w:cs="Times New Roman"/>
      <w:sz w:val="24"/>
      <w:szCs w:val="20"/>
    </w:rPr>
  </w:style>
  <w:style w:type="character" w:customStyle="1" w:styleId="77">
    <w:name w:val="正文文本缩进 2 Char"/>
    <w:link w:val="28"/>
    <w:qFormat/>
    <w:uiPriority w:val="0"/>
    <w:rPr>
      <w:rFonts w:ascii="Times New Roman" w:hAnsi="Times New Roman" w:eastAsia="宋体" w:cs="Times New Roman"/>
      <w:szCs w:val="24"/>
    </w:rPr>
  </w:style>
  <w:style w:type="character" w:customStyle="1" w:styleId="78">
    <w:name w:val="批注框文本 Char"/>
    <w:link w:val="29"/>
    <w:qFormat/>
    <w:uiPriority w:val="0"/>
    <w:rPr>
      <w:rFonts w:ascii="Times New Roman" w:hAnsi="Times New Roman" w:eastAsia="宋体" w:cs="Times New Roman"/>
      <w:sz w:val="18"/>
      <w:szCs w:val="18"/>
    </w:rPr>
  </w:style>
  <w:style w:type="character" w:customStyle="1" w:styleId="79">
    <w:name w:val="页脚 Char"/>
    <w:link w:val="30"/>
    <w:qFormat/>
    <w:uiPriority w:val="0"/>
    <w:rPr>
      <w:rFonts w:ascii="Times New Roman" w:hAnsi="Times New Roman" w:eastAsia="宋体" w:cs="Times New Roman"/>
      <w:sz w:val="18"/>
      <w:szCs w:val="18"/>
    </w:rPr>
  </w:style>
  <w:style w:type="character" w:customStyle="1" w:styleId="80">
    <w:name w:val="页眉 Char"/>
    <w:link w:val="31"/>
    <w:qFormat/>
    <w:uiPriority w:val="0"/>
    <w:rPr>
      <w:rFonts w:ascii="Times New Roman" w:hAnsi="Times New Roman" w:eastAsia="宋体" w:cs="Times New Roman"/>
      <w:sz w:val="18"/>
      <w:szCs w:val="18"/>
    </w:rPr>
  </w:style>
  <w:style w:type="character" w:customStyle="1" w:styleId="81">
    <w:name w:val="正文文本缩进 3 Char"/>
    <w:link w:val="35"/>
    <w:qFormat/>
    <w:uiPriority w:val="0"/>
    <w:rPr>
      <w:rFonts w:ascii="Times New Roman" w:hAnsi="Times New Roman" w:eastAsia="宋体" w:cs="Times New Roman"/>
      <w:sz w:val="16"/>
      <w:szCs w:val="16"/>
    </w:rPr>
  </w:style>
  <w:style w:type="character" w:customStyle="1" w:styleId="82">
    <w:name w:val="正文文本 2 Char"/>
    <w:link w:val="39"/>
    <w:qFormat/>
    <w:uiPriority w:val="0"/>
    <w:rPr>
      <w:rFonts w:ascii="Times New Roman" w:hAnsi="Times New Roman" w:eastAsia="宋体" w:cs="Times New Roman"/>
      <w:szCs w:val="24"/>
    </w:rPr>
  </w:style>
  <w:style w:type="character" w:customStyle="1" w:styleId="83">
    <w:name w:val="HTML 预设格式 Char"/>
    <w:link w:val="40"/>
    <w:qFormat/>
    <w:uiPriority w:val="0"/>
    <w:rPr>
      <w:rFonts w:ascii="Arial" w:hAnsi="Arial" w:eastAsia="宋体" w:cs="Arial"/>
      <w:kern w:val="0"/>
      <w:sz w:val="24"/>
      <w:szCs w:val="24"/>
    </w:rPr>
  </w:style>
  <w:style w:type="character" w:customStyle="1" w:styleId="84">
    <w:name w:val="标题 Char"/>
    <w:link w:val="43"/>
    <w:qFormat/>
    <w:uiPriority w:val="0"/>
    <w:rPr>
      <w:rFonts w:ascii="Times New Roman" w:hAnsi="Times New Roman" w:eastAsia="宋体" w:cs="Times New Roman"/>
      <w:b/>
      <w:sz w:val="32"/>
    </w:rPr>
  </w:style>
  <w:style w:type="character" w:customStyle="1" w:styleId="85">
    <w:name w:val="批注主题 Char"/>
    <w:link w:val="44"/>
    <w:qFormat/>
    <w:uiPriority w:val="0"/>
    <w:rPr>
      <w:rFonts w:ascii="Times New Roman" w:hAnsi="Times New Roman" w:eastAsia="宋体" w:cs="Times New Roman"/>
      <w:b/>
      <w:bCs/>
      <w:szCs w:val="24"/>
    </w:rPr>
  </w:style>
  <w:style w:type="character" w:customStyle="1" w:styleId="86">
    <w:name w:val="正文首行缩进 Char"/>
    <w:link w:val="45"/>
    <w:qFormat/>
    <w:uiPriority w:val="0"/>
    <w:rPr>
      <w:rFonts w:ascii="Times New Roman" w:hAnsi="Times New Roman" w:eastAsia="宋体" w:cs="Times New Roman"/>
      <w:kern w:val="2"/>
      <w:sz w:val="21"/>
    </w:rPr>
  </w:style>
  <w:style w:type="character" w:customStyle="1" w:styleId="87">
    <w:name w:val="正文首行缩进 2 Char"/>
    <w:link w:val="21"/>
    <w:qFormat/>
    <w:uiPriority w:val="0"/>
  </w:style>
  <w:style w:type="paragraph" w:customStyle="1" w:styleId="88">
    <w:name w:val="_Style 4"/>
    <w:basedOn w:val="1"/>
    <w:next w:val="1"/>
    <w:qFormat/>
    <w:uiPriority w:val="99"/>
    <w:pPr>
      <w:widowControl/>
      <w:wordWrap w:val="0"/>
      <w:spacing w:before="200" w:after="160"/>
      <w:ind w:left="864" w:right="864"/>
      <w:jc w:val="center"/>
    </w:pPr>
    <w:rPr>
      <w:i/>
      <w:color w:val="404040"/>
    </w:rPr>
  </w:style>
  <w:style w:type="paragraph" w:customStyle="1" w:styleId="89">
    <w:name w:val="无间隔1"/>
    <w:qFormat/>
    <w:uiPriority w:val="1"/>
    <w:pPr>
      <w:widowControl w:val="0"/>
      <w:jc w:val="both"/>
    </w:pPr>
    <w:rPr>
      <w:rFonts w:ascii="Calibri" w:hAnsi="Calibri" w:eastAsia="宋体" w:cs="Calibri"/>
      <w:kern w:val="2"/>
      <w:sz w:val="21"/>
      <w:szCs w:val="21"/>
      <w:lang w:val="en-US" w:eastAsia="zh-CN" w:bidi="ar-SA"/>
    </w:rPr>
  </w:style>
  <w:style w:type="character" w:customStyle="1" w:styleId="90">
    <w:name w:val="font161"/>
    <w:qFormat/>
    <w:uiPriority w:val="0"/>
    <w:rPr>
      <w:rFonts w:hint="eastAsia" w:ascii="等线" w:hAnsi="等线" w:eastAsia="等线" w:cs="等线"/>
      <w:color w:val="000000"/>
      <w:sz w:val="24"/>
      <w:szCs w:val="24"/>
      <w:u w:val="none"/>
    </w:rPr>
  </w:style>
  <w:style w:type="character" w:customStyle="1" w:styleId="91">
    <w:name w:val="font21"/>
    <w:qFormat/>
    <w:uiPriority w:val="0"/>
    <w:rPr>
      <w:rFonts w:hint="eastAsia" w:ascii="宋体" w:hAnsi="宋体" w:eastAsia="宋体" w:cs="宋体"/>
      <w:color w:val="000000"/>
      <w:sz w:val="22"/>
      <w:szCs w:val="22"/>
      <w:u w:val="none"/>
    </w:rPr>
  </w:style>
  <w:style w:type="character" w:customStyle="1" w:styleId="92">
    <w:name w:val="font121"/>
    <w:qFormat/>
    <w:uiPriority w:val="0"/>
    <w:rPr>
      <w:rFonts w:hint="eastAsia" w:ascii="等线" w:hAnsi="等线" w:eastAsia="等线" w:cs="等线"/>
      <w:b/>
      <w:color w:val="000000"/>
      <w:sz w:val="24"/>
      <w:szCs w:val="24"/>
      <w:u w:val="none"/>
    </w:rPr>
  </w:style>
  <w:style w:type="character" w:customStyle="1" w:styleId="93">
    <w:name w:val="fontstyle01"/>
    <w:qFormat/>
    <w:uiPriority w:val="0"/>
    <w:rPr>
      <w:rFonts w:hint="eastAsia" w:ascii="宋体" w:hAnsi="宋体" w:eastAsia="宋体" w:cs="Times New Roman"/>
      <w:color w:val="000000"/>
      <w:sz w:val="24"/>
      <w:szCs w:val="24"/>
    </w:rPr>
  </w:style>
  <w:style w:type="character" w:customStyle="1" w:styleId="94">
    <w:name w:val="UserStyle_52"/>
    <w:qFormat/>
    <w:uiPriority w:val="0"/>
    <w:rPr>
      <w:rFonts w:ascii="Times New Roman" w:hAnsi="Times New Roman" w:eastAsia="宋体" w:cs="Times New Roman"/>
      <w:kern w:val="2"/>
      <w:sz w:val="21"/>
      <w:szCs w:val="24"/>
      <w:lang w:val="en-US" w:eastAsia="zh-CN" w:bidi="ar-SA"/>
    </w:rPr>
  </w:style>
  <w:style w:type="character" w:customStyle="1" w:styleId="95">
    <w:name w:val="页脚 字符"/>
    <w:qFormat/>
    <w:uiPriority w:val="0"/>
    <w:rPr>
      <w:rFonts w:ascii="Times New Roman" w:hAnsi="Times New Roman" w:eastAsia="宋体" w:cs="Times New Roman"/>
    </w:rPr>
  </w:style>
  <w:style w:type="character" w:customStyle="1" w:styleId="96">
    <w:name w:val="段 Char Char"/>
    <w:link w:val="97"/>
    <w:qFormat/>
    <w:uiPriority w:val="0"/>
    <w:rPr>
      <w:rFonts w:ascii="宋体"/>
      <w:sz w:val="21"/>
      <w:lang w:val="en-US" w:eastAsia="zh-CN" w:bidi="ar-SA"/>
    </w:rPr>
  </w:style>
  <w:style w:type="paragraph" w:customStyle="1" w:styleId="97">
    <w:name w:val="段"/>
    <w:next w:val="1"/>
    <w:link w:val="9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8">
    <w:name w:val="NormalCharacter"/>
    <w:qFormat/>
    <w:uiPriority w:val="0"/>
    <w:rPr>
      <w:rFonts w:ascii="Times New Roman" w:hAnsi="Times New Roman" w:eastAsia="宋体" w:cs="Times New Roman"/>
    </w:rPr>
  </w:style>
  <w:style w:type="character" w:customStyle="1" w:styleId="99">
    <w:name w:val="font131"/>
    <w:qFormat/>
    <w:uiPriority w:val="0"/>
    <w:rPr>
      <w:rFonts w:hint="eastAsia" w:ascii="宋体" w:hAnsi="宋体" w:eastAsia="宋体" w:cs="宋体"/>
      <w:b/>
      <w:color w:val="000000"/>
      <w:sz w:val="24"/>
      <w:szCs w:val="24"/>
      <w:u w:val="none"/>
    </w:rPr>
  </w:style>
  <w:style w:type="character" w:customStyle="1" w:styleId="100">
    <w:name w:val="font151"/>
    <w:qFormat/>
    <w:uiPriority w:val="0"/>
    <w:rPr>
      <w:rFonts w:hint="default" w:ascii="Times New Roman" w:hAnsi="Times New Roman" w:eastAsia="宋体" w:cs="Times New Roman"/>
      <w:color w:val="000000"/>
      <w:sz w:val="14"/>
      <w:szCs w:val="14"/>
      <w:u w:val="none"/>
    </w:rPr>
  </w:style>
  <w:style w:type="character" w:customStyle="1" w:styleId="101">
    <w:name w:val="列出段落 Char"/>
    <w:link w:val="102"/>
    <w:qFormat/>
    <w:uiPriority w:val="0"/>
    <w:rPr>
      <w:rFonts w:ascii="Times New Roman" w:hAnsi="Times New Roman" w:eastAsia="宋体" w:cs="Times New Roman"/>
      <w:szCs w:val="24"/>
    </w:rPr>
  </w:style>
  <w:style w:type="paragraph" w:customStyle="1" w:styleId="102">
    <w:name w:val="列出段落1"/>
    <w:basedOn w:val="1"/>
    <w:link w:val="101"/>
    <w:qFormat/>
    <w:uiPriority w:val="0"/>
    <w:pPr>
      <w:ind w:firstLine="420" w:firstLineChars="200"/>
    </w:pPr>
    <w:rPr>
      <w:kern w:val="0"/>
      <w:sz w:val="20"/>
    </w:rPr>
  </w:style>
  <w:style w:type="character" w:customStyle="1" w:styleId="103">
    <w:name w:val="fontstyle21"/>
    <w:qFormat/>
    <w:uiPriority w:val="0"/>
    <w:rPr>
      <w:rFonts w:hint="eastAsia" w:ascii="宋体" w:hAnsi="宋体" w:eastAsia="宋体" w:cs="Times New Roman"/>
      <w:color w:val="993300"/>
      <w:sz w:val="24"/>
      <w:szCs w:val="24"/>
    </w:rPr>
  </w:style>
  <w:style w:type="character" w:customStyle="1" w:styleId="104">
    <w:name w:val="标题 Char1"/>
    <w:qFormat/>
    <w:uiPriority w:val="0"/>
    <w:rPr>
      <w:rFonts w:ascii="Cambria" w:hAnsi="Cambria" w:eastAsia="宋体" w:cs="黑体"/>
      <w:b/>
      <w:bCs/>
      <w:sz w:val="32"/>
      <w:szCs w:val="32"/>
    </w:rPr>
  </w:style>
  <w:style w:type="character" w:customStyle="1" w:styleId="105">
    <w:name w:val="批注文字 Char"/>
    <w:qFormat/>
    <w:uiPriority w:val="0"/>
    <w:rPr>
      <w:rFonts w:ascii="Times New Roman" w:hAnsi="Times New Roman" w:eastAsia="宋体" w:cs="Times New Roman"/>
      <w:szCs w:val="24"/>
    </w:rPr>
  </w:style>
  <w:style w:type="character" w:customStyle="1" w:styleId="106">
    <w:name w:val="样式1 Char Char"/>
    <w:link w:val="107"/>
    <w:qFormat/>
    <w:uiPriority w:val="0"/>
    <w:rPr>
      <w:rFonts w:ascii="宋体" w:hAnsi="宋体" w:eastAsia="宋体" w:cs="Times New Roman"/>
      <w:kern w:val="0"/>
      <w:szCs w:val="21"/>
    </w:rPr>
  </w:style>
  <w:style w:type="paragraph" w:customStyle="1" w:styleId="107">
    <w:name w:val="样式1"/>
    <w:basedOn w:val="1"/>
    <w:link w:val="106"/>
    <w:qFormat/>
    <w:uiPriority w:val="0"/>
    <w:pPr>
      <w:tabs>
        <w:tab w:val="left" w:pos="360"/>
      </w:tabs>
      <w:adjustRightInd w:val="0"/>
      <w:ind w:left="360" w:hanging="360"/>
      <w:textAlignment w:val="baseline"/>
    </w:pPr>
    <w:rPr>
      <w:rFonts w:ascii="宋体" w:hAnsi="宋体"/>
      <w:kern w:val="0"/>
      <w:sz w:val="20"/>
      <w:szCs w:val="21"/>
    </w:rPr>
  </w:style>
  <w:style w:type="character" w:customStyle="1" w:styleId="108">
    <w:name w:val="fontstyle11"/>
    <w:qFormat/>
    <w:uiPriority w:val="0"/>
    <w:rPr>
      <w:rFonts w:hint="default" w:ascii="TimesNewRomanPSMT" w:hAnsi="TimesNewRomanPSMT" w:eastAsia="宋体" w:cs="Times New Roman"/>
      <w:color w:val="000000"/>
      <w:sz w:val="24"/>
      <w:szCs w:val="24"/>
    </w:rPr>
  </w:style>
  <w:style w:type="character" w:customStyle="1" w:styleId="109">
    <w:name w:val="font41"/>
    <w:qFormat/>
    <w:uiPriority w:val="0"/>
    <w:rPr>
      <w:rFonts w:hint="eastAsia" w:ascii="宋体" w:hAnsi="宋体" w:eastAsia="宋体" w:cs="宋体"/>
      <w:color w:val="000000"/>
      <w:sz w:val="24"/>
      <w:szCs w:val="24"/>
      <w:u w:val="none"/>
    </w:rPr>
  </w:style>
  <w:style w:type="character" w:customStyle="1" w:styleId="110">
    <w:name w:val="font01"/>
    <w:qFormat/>
    <w:uiPriority w:val="0"/>
    <w:rPr>
      <w:rFonts w:ascii="宋体" w:hAnsi="宋体" w:eastAsia="宋体" w:cs="宋体"/>
      <w:color w:val="000000"/>
      <w:sz w:val="20"/>
      <w:szCs w:val="20"/>
      <w:u w:val="none"/>
    </w:rPr>
  </w:style>
  <w:style w:type="character" w:customStyle="1" w:styleId="111">
    <w:name w:val="正文文本 宋体 四号 行距: 固定值 23 磅 Char"/>
    <w:link w:val="112"/>
    <w:qFormat/>
    <w:uiPriority w:val="0"/>
    <w:rPr>
      <w:rFonts w:ascii="宋体" w:hAnsi="宋体" w:eastAsia="宋体" w:cs="Times New Roman"/>
      <w:snapToGrid w:val="0"/>
    </w:rPr>
  </w:style>
  <w:style w:type="paragraph" w:customStyle="1" w:styleId="112">
    <w:name w:val="正文文本 宋体 四号 行距: 固定值 23 磅"/>
    <w:basedOn w:val="1"/>
    <w:link w:val="111"/>
    <w:qFormat/>
    <w:uiPriority w:val="0"/>
    <w:pPr>
      <w:spacing w:before="120" w:after="120" w:line="460" w:lineRule="exact"/>
      <w:ind w:firstLine="562" w:firstLineChars="200"/>
    </w:pPr>
    <w:rPr>
      <w:rFonts w:ascii="宋体" w:hAnsi="宋体"/>
      <w:snapToGrid w:val="0"/>
      <w:kern w:val="0"/>
      <w:sz w:val="20"/>
      <w:szCs w:val="20"/>
    </w:rPr>
  </w:style>
  <w:style w:type="character" w:customStyle="1" w:styleId="113">
    <w:name w:val="DMT-正文样式1 字符"/>
    <w:link w:val="114"/>
    <w:qFormat/>
    <w:uiPriority w:val="0"/>
    <w:rPr>
      <w:rFonts w:ascii="Times New Roman" w:hAnsi="Times New Roman" w:eastAsia="宋体" w:cs="Times New Roman"/>
      <w:sz w:val="28"/>
    </w:rPr>
  </w:style>
  <w:style w:type="paragraph" w:customStyle="1" w:styleId="114">
    <w:name w:val="DMT-正文样式1"/>
    <w:basedOn w:val="1"/>
    <w:link w:val="113"/>
    <w:qFormat/>
    <w:uiPriority w:val="0"/>
    <w:pPr>
      <w:spacing w:beforeLines="50" w:afterLines="50" w:line="360" w:lineRule="auto"/>
      <w:ind w:firstLine="200" w:firstLineChars="200"/>
    </w:pPr>
    <w:rPr>
      <w:kern w:val="0"/>
      <w:sz w:val="28"/>
      <w:szCs w:val="20"/>
    </w:rPr>
  </w:style>
  <w:style w:type="character" w:customStyle="1" w:styleId="115">
    <w:name w:val="p0 Char"/>
    <w:link w:val="116"/>
    <w:qFormat/>
    <w:uiPriority w:val="0"/>
    <w:rPr>
      <w:rFonts w:ascii="Times New Roman" w:hAnsi="Times New Roman" w:eastAsia="宋体" w:cs="Times New Roman"/>
      <w:szCs w:val="21"/>
    </w:rPr>
  </w:style>
  <w:style w:type="paragraph" w:customStyle="1" w:styleId="116">
    <w:name w:val="p0"/>
    <w:basedOn w:val="1"/>
    <w:link w:val="115"/>
    <w:qFormat/>
    <w:uiPriority w:val="0"/>
    <w:pPr>
      <w:widowControl/>
    </w:pPr>
    <w:rPr>
      <w:kern w:val="0"/>
      <w:sz w:val="20"/>
      <w:szCs w:val="21"/>
    </w:rPr>
  </w:style>
  <w:style w:type="character" w:customStyle="1" w:styleId="117">
    <w:name w:val="fontstyle31"/>
    <w:qFormat/>
    <w:uiPriority w:val="0"/>
    <w:rPr>
      <w:rFonts w:hint="default" w:ascii="Arial" w:hAnsi="Arial" w:eastAsia="宋体" w:cs="Arial"/>
      <w:color w:val="993300"/>
      <w:sz w:val="24"/>
      <w:szCs w:val="24"/>
    </w:rPr>
  </w:style>
  <w:style w:type="character" w:customStyle="1" w:styleId="118">
    <w:name w:val="btn-print1"/>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11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20">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21">
    <w:name w:val="xl86"/>
    <w:basedOn w:val="1"/>
    <w:qFormat/>
    <w:uiPriority w:val="0"/>
    <w:pPr>
      <w:widowControl/>
      <w:pBdr>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122">
    <w:name w:val="正文 A"/>
    <w:qFormat/>
    <w:uiPriority w:val="0"/>
    <w:pPr>
      <w:spacing w:after="200" w:line="251" w:lineRule="auto"/>
    </w:pPr>
    <w:rPr>
      <w:rFonts w:ascii="Cambria" w:hAnsi="Cambria" w:eastAsia="Cambria" w:cs="Cambria"/>
      <w:color w:val="000000"/>
      <w:sz w:val="22"/>
      <w:szCs w:val="22"/>
      <w:u w:color="000000"/>
      <w:lang w:val="en-US" w:eastAsia="zh-CN" w:bidi="ar-SA"/>
    </w:rPr>
  </w:style>
  <w:style w:type="paragraph" w:customStyle="1" w:styleId="123">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2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5">
    <w:name w:val="标题 1 +"/>
    <w:basedOn w:val="2"/>
    <w:next w:val="1"/>
    <w:qFormat/>
    <w:uiPriority w:val="0"/>
    <w:pPr>
      <w:keepLines/>
      <w:spacing w:line="600" w:lineRule="auto"/>
    </w:pPr>
    <w:rPr>
      <w:rFonts w:eastAsia="黑体"/>
      <w:sz w:val="32"/>
      <w:szCs w:val="32"/>
    </w:rPr>
  </w:style>
  <w:style w:type="paragraph" w:customStyle="1" w:styleId="12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7">
    <w:name w:val="正文无缩进"/>
    <w:basedOn w:val="1"/>
    <w:qFormat/>
    <w:uiPriority w:val="0"/>
    <w:pPr>
      <w:snapToGrid w:val="0"/>
      <w:spacing w:before="120" w:line="300" w:lineRule="auto"/>
    </w:pPr>
    <w:rPr>
      <w:sz w:val="24"/>
      <w:szCs w:val="20"/>
    </w:rPr>
  </w:style>
  <w:style w:type="paragraph" w:customStyle="1" w:styleId="12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29">
    <w:name w:val="xl8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30">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1">
    <w:name w:val="font8"/>
    <w:basedOn w:val="1"/>
    <w:qFormat/>
    <w:uiPriority w:val="0"/>
    <w:pPr>
      <w:widowControl/>
      <w:spacing w:before="100" w:beforeAutospacing="1" w:after="100" w:afterAutospacing="1"/>
      <w:jc w:val="left"/>
    </w:pPr>
    <w:rPr>
      <w:color w:val="000000"/>
      <w:kern w:val="0"/>
      <w:sz w:val="20"/>
      <w:szCs w:val="20"/>
    </w:rPr>
  </w:style>
  <w:style w:type="paragraph" w:customStyle="1" w:styleId="132">
    <w:name w:val="font10"/>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customStyle="1" w:styleId="133">
    <w:name w:val="p16"/>
    <w:basedOn w:val="1"/>
    <w:qFormat/>
    <w:uiPriority w:val="0"/>
    <w:pPr>
      <w:widowControl/>
      <w:jc w:val="left"/>
    </w:pPr>
    <w:rPr>
      <w:kern w:val="0"/>
      <w:szCs w:val="21"/>
    </w:rPr>
  </w:style>
  <w:style w:type="paragraph" w:customStyle="1" w:styleId="134">
    <w:name w:val="BodyText1I2"/>
    <w:basedOn w:val="135"/>
    <w:qFormat/>
    <w:uiPriority w:val="0"/>
    <w:pPr>
      <w:spacing w:after="120"/>
      <w:ind w:left="420" w:leftChars="200" w:firstLine="482" w:firstLineChars="200"/>
    </w:pPr>
    <w:rPr>
      <w:rFonts w:ascii="Calibri" w:hAnsi="Calibri"/>
      <w:b/>
    </w:rPr>
  </w:style>
  <w:style w:type="paragraph" w:customStyle="1" w:styleId="135">
    <w:name w:val="BodyTextIndent"/>
    <w:basedOn w:val="1"/>
    <w:next w:val="1"/>
    <w:qFormat/>
    <w:uiPriority w:val="0"/>
    <w:pPr>
      <w:spacing w:line="320" w:lineRule="exact"/>
      <w:ind w:firstLine="210"/>
    </w:pPr>
    <w:rPr>
      <w:rFonts w:ascii="宋体"/>
      <w:spacing w:val="-2"/>
    </w:rPr>
  </w:style>
  <w:style w:type="paragraph" w:customStyle="1" w:styleId="136">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xl90"/>
    <w:basedOn w:val="1"/>
    <w:qFormat/>
    <w:uiPriority w:val="0"/>
    <w:pPr>
      <w:widowControl/>
      <w:pBdr>
        <w:bottom w:val="single" w:color="auto" w:sz="4" w:space="0"/>
        <w:right w:val="single" w:color="auto"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38">
    <w:name w:val="font6"/>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39">
    <w:name w:val="xl85"/>
    <w:basedOn w:val="1"/>
    <w:qFormat/>
    <w:uiPriority w:val="0"/>
    <w:pPr>
      <w:widowControl/>
      <w:pBdr>
        <w:bottom w:val="single" w:color="auto" w:sz="4" w:space="0"/>
        <w:right w:val="single" w:color="auto" w:sz="4" w:space="0"/>
      </w:pBdr>
      <w:spacing w:before="100" w:beforeAutospacing="1" w:after="100" w:afterAutospacing="1"/>
    </w:pPr>
    <w:rPr>
      <w:rFonts w:ascii="宋体" w:hAnsi="宋体" w:cs="宋体"/>
      <w:color w:val="000000"/>
      <w:kern w:val="0"/>
      <w:sz w:val="18"/>
      <w:szCs w:val="18"/>
    </w:rPr>
  </w:style>
  <w:style w:type="paragraph" w:customStyle="1" w:styleId="140">
    <w:name w:val="xl9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2">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43">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44">
    <w:name w:val="Style68"/>
    <w:basedOn w:val="1"/>
    <w:qFormat/>
    <w:uiPriority w:val="0"/>
    <w:pPr>
      <w:spacing w:line="547" w:lineRule="exact"/>
    </w:pPr>
  </w:style>
  <w:style w:type="paragraph" w:customStyle="1" w:styleId="145">
    <w:name w:val="font11"/>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14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47">
    <w:name w:val="font7"/>
    <w:basedOn w:val="1"/>
    <w:qFormat/>
    <w:uiPriority w:val="0"/>
    <w:pPr>
      <w:widowControl/>
      <w:spacing w:before="100" w:beforeAutospacing="1" w:after="100" w:afterAutospacing="1"/>
      <w:jc w:val="left"/>
    </w:pPr>
    <w:rPr>
      <w:kern w:val="0"/>
      <w:sz w:val="20"/>
      <w:szCs w:val="20"/>
    </w:rPr>
  </w:style>
  <w:style w:type="paragraph" w:customStyle="1" w:styleId="148">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49">
    <w:name w:val="Char1 Char Char Char 字元 Char Char 字元 Char 字元 Char1 Char Char Char"/>
    <w:basedOn w:val="1"/>
    <w:qFormat/>
    <w:uiPriority w:val="0"/>
    <w:rPr>
      <w:szCs w:val="20"/>
    </w:rPr>
  </w:style>
  <w:style w:type="paragraph" w:customStyle="1" w:styleId="150">
    <w:name w:val="xl68"/>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5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53">
    <w:name w:val="Char Char Char"/>
    <w:basedOn w:val="1"/>
    <w:qFormat/>
    <w:uiPriority w:val="0"/>
    <w:rPr>
      <w:rFonts w:ascii="宋体" w:hAnsi="宋体"/>
      <w:b/>
      <w:sz w:val="28"/>
      <w:szCs w:val="28"/>
    </w:rPr>
  </w:style>
  <w:style w:type="paragraph" w:customStyle="1" w:styleId="154">
    <w:name w:val="xl8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55">
    <w:name w:val="font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6">
    <w:name w:val="Normal_8"/>
    <w:qFormat/>
    <w:uiPriority w:val="0"/>
    <w:rPr>
      <w:rFonts w:ascii="Times New Roman" w:hAnsi="Times New Roman" w:eastAsia="Times New Roman" w:cs="Times New Roman"/>
      <w:sz w:val="24"/>
      <w:szCs w:val="24"/>
      <w:lang w:val="en-US" w:eastAsia="zh-CN" w:bidi="ar-SA"/>
    </w:rPr>
  </w:style>
  <w:style w:type="paragraph" w:customStyle="1" w:styleId="157">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58">
    <w:name w:val="TOC 标题1"/>
    <w:basedOn w:val="2"/>
    <w:next w:val="1"/>
    <w:qFormat/>
    <w:uiPriority w:val="0"/>
    <w:pPr>
      <w:keepLines/>
      <w:widowControl/>
      <w:spacing w:before="480" w:line="276" w:lineRule="auto"/>
      <w:jc w:val="left"/>
      <w:outlineLvl w:val="9"/>
    </w:pPr>
    <w:rPr>
      <w:rFonts w:ascii="Cambria" w:hAnsi="Cambria" w:cs="黑体"/>
      <w:color w:val="365F90"/>
      <w:sz w:val="28"/>
      <w:szCs w:val="28"/>
    </w:rPr>
  </w:style>
  <w:style w:type="paragraph" w:customStyle="1" w:styleId="15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6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62">
    <w:name w:val="xl69"/>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6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64">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6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6">
    <w:name w:val="列表段落1"/>
    <w:basedOn w:val="1"/>
    <w:qFormat/>
    <w:uiPriority w:val="0"/>
    <w:pPr>
      <w:ind w:firstLine="420" w:firstLineChars="200"/>
    </w:pPr>
    <w:rPr>
      <w:rFonts w:ascii="Calibri" w:hAnsi="Calibri"/>
      <w:szCs w:val="21"/>
    </w:rPr>
  </w:style>
  <w:style w:type="paragraph" w:customStyle="1" w:styleId="167">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8">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9">
    <w:name w:val="xl8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7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1">
    <w:name w:val="xl9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72">
    <w:name w:val="xl87"/>
    <w:basedOn w:val="1"/>
    <w:qFormat/>
    <w:uiPriority w:val="0"/>
    <w:pPr>
      <w:widowControl/>
      <w:pBdr>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73">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66"/>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75">
    <w:name w:val="1"/>
    <w:basedOn w:val="1"/>
    <w:qFormat/>
    <w:uiPriority w:val="0"/>
    <w:pPr>
      <w:spacing w:afterLines="50" w:line="360" w:lineRule="auto"/>
    </w:pPr>
    <w:rPr>
      <w:rFonts w:ascii="宋体" w:hAnsi="宋体"/>
      <w:b/>
      <w:sz w:val="30"/>
      <w:szCs w:val="21"/>
    </w:rPr>
  </w:style>
  <w:style w:type="paragraph" w:customStyle="1" w:styleId="17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77">
    <w:name w:val="Normal_0_1"/>
    <w:qFormat/>
    <w:uiPriority w:val="0"/>
    <w:rPr>
      <w:rFonts w:ascii="Times New Roman" w:hAnsi="Times New Roman" w:eastAsia="Times New Roman" w:cs="Times New Roman"/>
      <w:sz w:val="24"/>
      <w:szCs w:val="24"/>
      <w:lang w:val="en-US" w:eastAsia="zh-CN" w:bidi="ar-SA"/>
    </w:rPr>
  </w:style>
  <w:style w:type="paragraph" w:styleId="178">
    <w:name w:val="List Paragraph"/>
    <w:basedOn w:val="1"/>
    <w:qFormat/>
    <w:uiPriority w:val="99"/>
    <w:pPr>
      <w:ind w:firstLine="420" w:firstLineChars="200"/>
    </w:pPr>
    <w:rPr>
      <w:rFonts w:ascii="Arial" w:hAnsi="Arial" w:eastAsia="微软雅黑"/>
      <w:szCs w:val="22"/>
    </w:rPr>
  </w:style>
  <w:style w:type="paragraph" w:customStyle="1" w:styleId="17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180">
    <w:name w:val="样式 标题 1正文一级标题H1L1 Heading 1h11st levelh111st level1headi..."/>
    <w:basedOn w:val="2"/>
    <w:qFormat/>
    <w:uiPriority w:val="0"/>
    <w:pPr>
      <w:keepLines/>
      <w:spacing w:before="340" w:after="330" w:line="360" w:lineRule="auto"/>
      <w:jc w:val="both"/>
    </w:pPr>
    <w:rPr>
      <w:rFonts w:eastAsia="黑体" w:cs="宋体"/>
      <w:kern w:val="44"/>
      <w:sz w:val="44"/>
    </w:rPr>
  </w:style>
  <w:style w:type="paragraph" w:customStyle="1" w:styleId="181">
    <w:name w:val="xl91"/>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182">
    <w:name w:val="Char"/>
    <w:basedOn w:val="1"/>
    <w:qFormat/>
    <w:uiPriority w:val="0"/>
    <w:pPr>
      <w:tabs>
        <w:tab w:val="left" w:pos="360"/>
      </w:tabs>
      <w:ind w:left="360" w:hanging="360" w:hangingChars="200"/>
    </w:pPr>
    <w:rPr>
      <w:sz w:val="24"/>
    </w:rPr>
  </w:style>
  <w:style w:type="paragraph" w:customStyle="1" w:styleId="18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4">
    <w:name w:val="Char Char1 Char Char Char Char Char1 Char Char Char Char"/>
    <w:basedOn w:val="15"/>
    <w:qFormat/>
    <w:uiPriority w:val="0"/>
    <w:rPr>
      <w:rFonts w:ascii="Tahoma" w:hAnsi="Tahoma"/>
    </w:rPr>
  </w:style>
  <w:style w:type="paragraph" w:customStyle="1" w:styleId="185">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86">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87">
    <w:name w:val="表格内容"/>
    <w:basedOn w:val="19"/>
    <w:qFormat/>
    <w:uiPriority w:val="0"/>
    <w:pPr>
      <w:suppressLineNumbers/>
      <w:suppressAutoHyphens/>
      <w:jc w:val="left"/>
    </w:pPr>
    <w:rPr>
      <w:rFonts w:cs="Tahoma"/>
      <w:sz w:val="24"/>
    </w:rPr>
  </w:style>
  <w:style w:type="paragraph" w:customStyle="1" w:styleId="188">
    <w:name w:val="xl6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character" w:customStyle="1" w:styleId="189">
    <w:name w:val="UserStyle_16"/>
    <w:semiHidden/>
    <w:qFormat/>
    <w:uiPriority w:val="0"/>
  </w:style>
  <w:style w:type="character" w:customStyle="1" w:styleId="190">
    <w:name w:val="btn-print"/>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191">
    <w:name w:val="2"/>
    <w:basedOn w:val="1"/>
    <w:qFormat/>
    <w:uiPriority w:val="0"/>
    <w:pPr>
      <w:ind w:firstLine="640" w:firstLineChars="200"/>
      <w:jc w:val="left"/>
    </w:pPr>
    <w:rPr>
      <w:rFonts w:eastAsia="仿宋_GB2312"/>
      <w:sz w:val="32"/>
      <w:szCs w:val="32"/>
    </w:rPr>
  </w:style>
  <w:style w:type="character" w:customStyle="1" w:styleId="192">
    <w:name w:val="UserStyle_48"/>
    <w:qFormat/>
    <w:uiPriority w:val="0"/>
    <w:rPr>
      <w:rFonts w:ascii="Times New Roman" w:hAnsi="Times New Roman" w:eastAsia="Times New Roman"/>
      <w:sz w:val="28"/>
    </w:rPr>
  </w:style>
  <w:style w:type="paragraph" w:customStyle="1" w:styleId="193">
    <w:name w:val="_正文"/>
    <w:basedOn w:val="1"/>
    <w:qFormat/>
    <w:uiPriority w:val="0"/>
    <w:pPr>
      <w:spacing w:line="360" w:lineRule="auto"/>
    </w:pPr>
    <w:rPr>
      <w:rFonts w:ascii="Calibri" w:hAnsi="Calibri" w:cs="Calibri"/>
      <w:bCs/>
      <w:sz w:val="28"/>
    </w:rPr>
  </w:style>
  <w:style w:type="paragraph" w:customStyle="1" w:styleId="194">
    <w:name w:val="样式 样式 左侧:  2 字符 + 左侧:  0.85 厘米 首行缩进:  2 字符1"/>
    <w:basedOn w:val="1"/>
    <w:qFormat/>
    <w:uiPriority w:val="0"/>
    <w:pPr>
      <w:ind w:left="482" w:firstLine="200" w:firstLineChars="200"/>
    </w:pPr>
    <w:rPr>
      <w:rFonts w:ascii="Calibri" w:hAnsi="Calibri"/>
    </w:rPr>
  </w:style>
  <w:style w:type="paragraph" w:customStyle="1" w:styleId="195">
    <w:name w:val="_Style 1"/>
    <w:basedOn w:val="1"/>
    <w:qFormat/>
    <w:uiPriority w:val="34"/>
    <w:pPr>
      <w:ind w:firstLine="420" w:firstLineChars="200"/>
    </w:pPr>
    <w:rPr>
      <w:rFonts w:ascii="Calibri" w:hAnsi="Calibri"/>
    </w:rPr>
  </w:style>
  <w:style w:type="paragraph" w:customStyle="1" w:styleId="196">
    <w:name w:val="正文_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正文_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
    <w:name w:val="正文_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正文_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正文_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正文_1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正文_1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正文_1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正文_1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正文_14"/>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正文_1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正文_1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正文_1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正文_1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正文_1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正文_2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正文_2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正文_2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正文_3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正文_4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
    <w:name w:val="正文_4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正文_4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
    <w:name w:val="正文_4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正文_4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正文_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Table Paragraph"/>
    <w:basedOn w:val="1"/>
    <w:qFormat/>
    <w:uiPriority w:val="1"/>
    <w:rPr>
      <w:rFonts w:ascii="Noto Sans Mono CJK HK" w:hAnsi="Noto Sans Mono CJK HK" w:eastAsia="Noto Sans Mono CJK HK" w:cs="Noto Sans Mono CJK HK"/>
    </w:rPr>
  </w:style>
  <w:style w:type="table" w:customStyle="1" w:styleId="222">
    <w:name w:val="Table Normal"/>
    <w:unhideWhenUsed/>
    <w:qFormat/>
    <w:uiPriority w:val="0"/>
    <w:tblPr>
      <w:tblCellMar>
        <w:top w:w="0" w:type="dxa"/>
        <w:left w:w="0" w:type="dxa"/>
        <w:bottom w:w="0" w:type="dxa"/>
        <w:right w:w="0" w:type="dxa"/>
      </w:tblCellMar>
    </w:tblPr>
  </w:style>
  <w:style w:type="paragraph" w:customStyle="1" w:styleId="223">
    <w:name w:val="Table Text"/>
    <w:basedOn w:val="1"/>
    <w:semiHidden/>
    <w:qFormat/>
    <w:uiPriority w:val="0"/>
    <w:rPr>
      <w:rFonts w:ascii="宋体" w:hAnsi="宋体" w:cs="宋体"/>
      <w:sz w:val="28"/>
      <w:szCs w:val="28"/>
      <w:lang w:eastAsia="en-US"/>
    </w:rPr>
  </w:style>
  <w:style w:type="character" w:customStyle="1" w:styleId="224">
    <w:name w:val="font51"/>
    <w:basedOn w:val="48"/>
    <w:qFormat/>
    <w:uiPriority w:val="0"/>
    <w:rPr>
      <w:rFonts w:hint="default" w:ascii="Times New Roman" w:hAnsi="Times New Roman" w:eastAsia="宋体" w:cs="Times New Roman"/>
      <w:color w:val="000000"/>
      <w:sz w:val="24"/>
      <w:szCs w:val="24"/>
      <w:u w:val="none"/>
    </w:rPr>
  </w:style>
  <w:style w:type="paragraph" w:customStyle="1" w:styleId="225">
    <w:name w:val="Char2"/>
    <w:basedOn w:val="1"/>
    <w:qFormat/>
    <w:uiPriority w:val="0"/>
    <w:pPr>
      <w:spacing w:after="160" w:line="240" w:lineRule="exact"/>
    </w:pPr>
  </w:style>
  <w:style w:type="character" w:customStyle="1" w:styleId="226">
    <w:name w:val="font31"/>
    <w:basedOn w:val="48"/>
    <w:qFormat/>
    <w:uiPriority w:val="0"/>
    <w:rPr>
      <w:rFonts w:hint="eastAsia" w:ascii="宋体" w:hAnsi="宋体" w:eastAsia="宋体" w:cs="宋体"/>
      <w:color w:val="000000"/>
      <w:sz w:val="24"/>
      <w:szCs w:val="24"/>
      <w:u w:val="none"/>
    </w:rPr>
  </w:style>
  <w:style w:type="paragraph" w:customStyle="1" w:styleId="227">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228">
    <w:name w:val="网格型1"/>
    <w:basedOn w:val="4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29">
    <w:name w:val="No Spacing"/>
    <w:qFormat/>
    <w:uiPriority w:val="1"/>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wmf"/><Relationship Id="rId16" Type="http://schemas.openxmlformats.org/officeDocument/2006/relationships/control" Target="activeX/activeX2.xml"/><Relationship Id="rId15" Type="http://schemas.openxmlformats.org/officeDocument/2006/relationships/image" Target="media/image1.wmf"/><Relationship Id="rId14" Type="http://schemas.openxmlformats.org/officeDocument/2006/relationships/control" Target="activeX/activeX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74</Pages>
  <Words>13499</Words>
  <Characters>14495</Characters>
  <Lines>88</Lines>
  <Paragraphs>92</Paragraphs>
  <TotalTime>261</TotalTime>
  <ScaleCrop>false</ScaleCrop>
  <LinksUpToDate>false</LinksUpToDate>
  <CharactersWithSpaces>14756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2025-03-16T02:29:00Z</dcterms:created>
  <dc:creator>微软用户</dc:creator>
  <cp:lastModifiedBy>LENOVO</cp:lastModifiedBy>
  <cp:lastPrinted>2026-05-18T00:27:00Z</cp:lastPrinted>
  <dcterms:modified xsi:type="dcterms:W3CDTF">2026-08-31T09:42:45Z</dcterms:modified>
  <dc:title>政府采购</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0CEBA5318D234D12AB26D88879A6318A_13</vt:lpwstr>
  </property>
  <property fmtid="{D5CDD505-2E9C-101B-9397-08002B2CF9AE}" pid="4" name="KSOTemplateDocerSaveRecord">
    <vt:lpwstr>eyJoZGlkIjoiZDM0NmZlNjczZmU2MWM0YmE0MzY1OTM4Njc3YWUwMTYiLCJ1c2VySWQiOiIzNDQwMTA1MDgifQ==</vt:lpwstr>
  </property>
</Properties>
</file>