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651AC">
      <w:pPr>
        <w:keepNext/>
        <w:jc w:val="center"/>
        <w:outlineLvl w:val="0"/>
        <w:rPr>
          <w:rFonts w:ascii="黑体" w:hAnsi="黑体" w:eastAsia="黑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/>
          <w:bCs/>
          <w:color w:val="auto"/>
          <w:sz w:val="32"/>
          <w:szCs w:val="32"/>
          <w:highlight w:val="none"/>
        </w:rPr>
        <w:t>采购需求</w:t>
      </w:r>
    </w:p>
    <w:p w14:paraId="4F1748EA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ind w:firstLine="562" w:firstLineChars="200"/>
        <w:jc w:val="center"/>
        <w:outlineLvl w:val="1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bookmarkStart w:id="0" w:name="_Toc17956"/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第一节  采购清单一览表</w:t>
      </w:r>
      <w:bookmarkEnd w:id="0"/>
    </w:p>
    <w:tbl>
      <w:tblPr>
        <w:tblStyle w:val="2"/>
        <w:tblpPr w:leftFromText="180" w:rightFromText="180" w:vertAnchor="text" w:horzAnchor="page" w:tblpX="1368" w:tblpY="337"/>
        <w:tblOverlap w:val="never"/>
        <w:tblW w:w="934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873"/>
        <w:gridCol w:w="1873"/>
        <w:gridCol w:w="828"/>
        <w:gridCol w:w="506"/>
        <w:gridCol w:w="1193"/>
        <w:gridCol w:w="1230"/>
        <w:gridCol w:w="700"/>
        <w:gridCol w:w="640"/>
      </w:tblGrid>
      <w:tr w14:paraId="35267A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0" w:type="auto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D2FE7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包号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D5EAE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包名称</w:t>
            </w:r>
          </w:p>
        </w:tc>
        <w:tc>
          <w:tcPr>
            <w:tcW w:w="0" w:type="auto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C417D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标的名称</w:t>
            </w:r>
          </w:p>
        </w:tc>
        <w:tc>
          <w:tcPr>
            <w:tcW w:w="0" w:type="auto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CA19E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简要技术要求</w:t>
            </w:r>
          </w:p>
        </w:tc>
        <w:tc>
          <w:tcPr>
            <w:tcW w:w="0" w:type="auto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D2FAD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1193" w:type="dxa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B94B9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标的预算</w:t>
            </w:r>
          </w:p>
        </w:tc>
        <w:tc>
          <w:tcPr>
            <w:tcW w:w="123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B78FE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采购项目最高限价</w:t>
            </w:r>
          </w:p>
        </w:tc>
        <w:tc>
          <w:tcPr>
            <w:tcW w:w="70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DFD3B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/>
              </w:rPr>
              <w:t>节能产品</w:t>
            </w:r>
          </w:p>
        </w:tc>
        <w:tc>
          <w:tcPr>
            <w:tcW w:w="640" w:type="dxa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6B229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进口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/>
              </w:rPr>
              <w:t>产品</w:t>
            </w:r>
          </w:p>
        </w:tc>
      </w:tr>
      <w:tr w14:paraId="23614F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0" w:type="auto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1D59B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7E1FBD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芷江侗族自治县秀水中学厨卫用具采购项目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4888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芷江侗族自治县秀水中学厨卫用具采购项目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1741E7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详见采购需求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7D154C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45E4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1100000元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5A14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1100000元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4A64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ascii="Wingdings 2" w:hAnsi="Wingdings 2" w:eastAsia="宋体" w:cs="Times New Roman"/>
                <w:b/>
                <w:color w:val="auto"/>
                <w:szCs w:val="21"/>
                <w:highlight w:val="none"/>
                <w:vertAlign w:val="baseline"/>
                <w:lang w:val="en-US" w:eastAsia="zh-CN"/>
              </w:rPr>
              <w:sym w:font="Wingdings 2" w:char="F0A3"/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7988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/>
              </w:rPr>
            </w:pPr>
            <w:r>
              <w:rPr>
                <w:rFonts w:ascii="Wingdings 2" w:hAnsi="Wingdings 2" w:eastAsia="宋体" w:cs="Times New Roman"/>
                <w:b/>
                <w:szCs w:val="21"/>
                <w:highlight w:val="none"/>
                <w:vertAlign w:val="baseline"/>
                <w:lang w:val="en-US" w:eastAsia="zh-CN"/>
              </w:rPr>
              <w:sym w:font="Wingdings 2" w:char="F0A3"/>
            </w:r>
          </w:p>
        </w:tc>
      </w:tr>
    </w:tbl>
    <w:p w14:paraId="116D3305"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 w:eastAsia="宋体" w:cs="Times New Roman"/>
          <w:color w:val="auto"/>
          <w:szCs w:val="21"/>
          <w:highlight w:val="none"/>
        </w:rPr>
      </w:pPr>
    </w:p>
    <w:p w14:paraId="672AF10E">
      <w:pPr>
        <w:adjustRightInd w:val="0"/>
        <w:snapToGrid w:val="0"/>
        <w:spacing w:before="156" w:beforeLines="50" w:line="360" w:lineRule="auto"/>
        <w:ind w:left="0" w:leftChars="0" w:firstLine="0" w:firstLineChars="0"/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</w:rPr>
        <w:t>注：1.“包”为最小合同单位。每“包”内容应细化到具体标的。</w:t>
      </w:r>
    </w:p>
    <w:p w14:paraId="1F1A5610">
      <w:pPr>
        <w:adjustRightInd w:val="0"/>
        <w:snapToGrid w:val="0"/>
        <w:spacing w:before="156" w:beforeLines="50" w:line="360" w:lineRule="auto"/>
        <w:ind w:firstLine="422" w:firstLineChars="200"/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</w:rPr>
        <w:t>2.</w:t>
      </w:r>
      <w:r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  <w:lang w:eastAsia="zh-CN"/>
        </w:rPr>
        <w:t>投标供应商</w:t>
      </w:r>
      <w:r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</w:rPr>
        <w:t>必须对一个完整、独立的包进行</w:t>
      </w:r>
      <w:r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  <w:lang w:eastAsia="zh-CN"/>
        </w:rPr>
        <w:t>响应</w:t>
      </w:r>
      <w:r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</w:rPr>
        <w:t>，不得仅对一个包中的部分标的</w:t>
      </w:r>
      <w:r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  <w:lang w:eastAsia="zh-CN"/>
        </w:rPr>
        <w:t>响应</w:t>
      </w:r>
      <w:r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</w:rPr>
        <w:t>，否则</w:t>
      </w:r>
      <w:r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  <w:lang w:eastAsia="zh-CN"/>
        </w:rPr>
        <w:t>响应</w:t>
      </w:r>
      <w:r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</w:rPr>
        <w:t>无效。</w:t>
      </w:r>
    </w:p>
    <w:p w14:paraId="50B2135B">
      <w:pPr>
        <w:adjustRightInd w:val="0"/>
        <w:snapToGrid w:val="0"/>
        <w:spacing w:before="156" w:beforeLines="50" w:line="360" w:lineRule="auto"/>
        <w:ind w:firstLine="422" w:firstLineChars="200"/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</w:rPr>
        <w:t>3.货物的主要技术参数或规格：详见“技术要求”中的具体技术参数。</w:t>
      </w:r>
    </w:p>
    <w:p w14:paraId="06966B47">
      <w:pPr>
        <w:adjustRightInd w:val="0"/>
        <w:snapToGrid w:val="0"/>
        <w:spacing w:before="156" w:beforeLines="50" w:line="360" w:lineRule="auto"/>
        <w:ind w:firstLine="422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</w:rPr>
        <w:t>4.</w:t>
      </w:r>
      <w:r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  <w:lang w:eastAsia="zh-CN"/>
        </w:rPr>
        <w:t>投标供应商</w:t>
      </w:r>
      <w:r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</w:rPr>
        <w:t>应在</w:t>
      </w:r>
      <w:r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  <w:lang w:val="en-US" w:eastAsia="zh-CN"/>
        </w:rPr>
        <w:t>响应</w:t>
      </w:r>
      <w:r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</w:rPr>
        <w:t>文件《分项报价明细表》中按标的名称顺序逐项填写，且每个标的中的条目均需按</w:t>
      </w:r>
      <w:r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  <w:lang w:eastAsia="zh-CN"/>
        </w:rPr>
        <w:t>谈判</w:t>
      </w:r>
      <w:r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</w:rPr>
        <w:t>文件规定报价。如有缺项、漏项，其</w:t>
      </w:r>
      <w:r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  <w:lang w:eastAsia="zh-CN"/>
        </w:rPr>
        <w:t>响应</w:t>
      </w:r>
      <w:r>
        <w:rPr>
          <w:rFonts w:hint="eastAsia" w:ascii="宋体" w:hAnsi="宋体" w:eastAsia="宋体" w:cs="Times New Roman"/>
          <w:b/>
          <w:bCs/>
          <w:color w:val="auto"/>
          <w:szCs w:val="21"/>
          <w:highlight w:val="none"/>
        </w:rPr>
        <w:t>无效。</w:t>
      </w:r>
    </w:p>
    <w:p w14:paraId="2AE7CB9F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</w:p>
    <w:p w14:paraId="7B5DED2F">
      <w:pP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br w:type="page"/>
      </w:r>
    </w:p>
    <w:p w14:paraId="450F5507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ind w:firstLine="562" w:firstLineChars="200"/>
        <w:jc w:val="center"/>
        <w:outlineLvl w:val="1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bookmarkStart w:id="1" w:name="_Toc6330"/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第二节 技术要求</w:t>
      </w:r>
      <w:bookmarkEnd w:id="1"/>
    </w:p>
    <w:tbl>
      <w:tblPr>
        <w:tblStyle w:val="2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683"/>
        <w:gridCol w:w="1935"/>
        <w:gridCol w:w="618"/>
        <w:gridCol w:w="618"/>
        <w:gridCol w:w="2879"/>
        <w:gridCol w:w="515"/>
      </w:tblGrid>
      <w:tr w14:paraId="54A65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tblHeader/>
        </w:trPr>
        <w:tc>
          <w:tcPr>
            <w:tcW w:w="89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3926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芷江侗族自治县秀水中学厨卫用具采购项目清单</w:t>
            </w:r>
          </w:p>
        </w:tc>
      </w:tr>
      <w:tr w14:paraId="0353C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06C9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编号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5D113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产品名称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27814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规格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3052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06C3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6BB6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技术参数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1387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7919C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965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A更衣/仓库</w:t>
            </w:r>
          </w:p>
        </w:tc>
      </w:tr>
      <w:tr w14:paraId="3D171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1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A01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A9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电子落地称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41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300KG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F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D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D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最大称重量：≥300kg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4B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02C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7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A02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DB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不锈钢平板车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63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850*600*800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0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1A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整体采用SUS304#不锈钢制作；</w:t>
            </w:r>
          </w:p>
          <w:p w14:paraId="614802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面板不锈钢厚≥1.2mm；</w:t>
            </w:r>
          </w:p>
          <w:p w14:paraId="7DA23F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扶手直径≥38*38*1.2mm圆管；</w:t>
            </w:r>
          </w:p>
          <w:p w14:paraId="40F828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配万向牛筋轮（带刹）。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EE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014E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F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A03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D8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粘捕式灭蚊蝇灯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7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9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E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1450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功率/电压： 2*10W/220V；</w:t>
            </w:r>
          </w:p>
          <w:p w14:paraId="392706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2、电网电压： 4500~5000V；</w:t>
            </w:r>
          </w:p>
          <w:p w14:paraId="07C719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3、诱虫灯管： W环形管；</w:t>
            </w:r>
          </w:p>
          <w:p w14:paraId="12DD7E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4、有效面积： 30-50m²。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42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CFC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F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A04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9F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不锈钢米面架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3B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1200*500*200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0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8DF2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支架≥50*50*1.2mm不锈钢方管；</w:t>
            </w:r>
          </w:p>
          <w:p w14:paraId="307BCE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2、配橡胶消声脚套。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A5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C2A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7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A05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7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4门更衣柜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8E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800*400*1800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4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F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F221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门板采用SUS304#≥1.0mm厚贴塑磨砂不锈钢板制作并用马仔加筋；</w:t>
            </w:r>
          </w:p>
          <w:p w14:paraId="2504736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柜体采用SUS304#≥1.0mm厚磨砂不锈钢板；</w:t>
            </w:r>
          </w:p>
          <w:p w14:paraId="4E61542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层板为≥1.0mm厚不锈钢板；</w:t>
            </w:r>
          </w:p>
          <w:p w14:paraId="01AA8F0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柜门开启方式为门轴结构。每个门配一把转舌锁带两把钥匙。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29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DB6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E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A06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D8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6门更衣柜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B6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900*400*1800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D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0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E0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1、门板采用SUS304#≥1.0mm厚贴塑磨砂不锈钢板制作并用马仔加筋；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2、柜体采用SUS304#≥1.0mm厚磨砂不锈钢板；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3、层板为≥1.0mm厚不锈钢板。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4、柜门开启方式为门轴结构。每个门配一把转舌锁带两把钥匙。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7C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C12B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2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A07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CE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四层冲孔货架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70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1000*500*1550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6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5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9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1、不锈钢板为SUS304#不锈钢板；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2、层板：采用SUS304#≥1.2mm不锈钢板激光切孔；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3、层板配U型加强力加强筋厚度≥1.0mm；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4、支架：采用SUS304#≥38*38mm优质不锈钢方管，厚度≥1.2mm；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5、配不锈钢可调节脚。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A0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20C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2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A08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BA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四层冲孔货架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D6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1200*500*1550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F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C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1F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1、不锈钢板为SUS304#不锈钢板；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2、层板：采用SUS304#≥1.2mm不锈钢板激光切孔；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3、层板配U型加强力加强筋厚度≥1.0mm；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4、支架：采用SUS304#≥38*38mm优质不锈钢方管，厚度≥1.2mm；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5、配不锈钢可调节脚。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88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317A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A04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B蔬菜/荤菜加工间</w:t>
            </w:r>
          </w:p>
        </w:tc>
      </w:tr>
      <w:tr w14:paraId="72495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B01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A6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粘捕式灭蚊蝇灯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19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4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4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83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1、功率/电压： 2*10W/220V；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2、电网电压： 4500~5000V；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3、诱虫灯管： W环形管；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4、有效面积： 30-50m²。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86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6175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7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B02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2E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四层冲孔货架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91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1500*500*1550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A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6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52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1、不锈钢板为SUS304#不锈钢板；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2、层板：采用SUS304#≥1.2mm不锈钢板激光切孔；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3、层板配U型加强力加强筋厚度≥1.0mm；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4、支架：采用SUS304#≥38*38mm优质不锈钢方管，厚度≥1.2mm；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5、配不锈钢可调节脚。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A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7EB0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C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B03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6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洗地龙头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3F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10米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E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A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7199C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碳钢静电喷涂圆形敞开式，采用钢丝液压管；</w:t>
            </w:r>
          </w:p>
          <w:p w14:paraId="54E6E460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304#旋转便捷拆卸更换的接头，水枪可360度手控制出水，按压渐变出水形状；</w:t>
            </w:r>
          </w:p>
          <w:p w14:paraId="01111890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提供有效的‌节能产品认证证书‌，并加盖投标供应商公章。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1B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5FC1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D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B04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96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刀具砧板组合消毒柜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A2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600*600*1800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6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C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E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1、采用全不锈钢材质，全钢结构制造，加粗无磁不锈钢钢筋设计，承重力强；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2、紫外线＋臭氧消毒，远红外线烘干，360°无死角，灭菌率高达99％以上；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3、消毒时间可随意调节，操作方便；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4、刀具可上锁，保证安全；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5、额定电压：220V。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AF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96B8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8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B05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0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双层工作台带靠背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6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1100*760*800+150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F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0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ED75A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不锈钢板为SUS304#不锈钢板；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2、台面不锈钢厚≥1.2mm；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3、下层板不锈钢厚≥1.0mm；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4、U 型加强力加强筋厚度≥1.0mm；</w:t>
            </w:r>
          </w:p>
          <w:p w14:paraId="750FF7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5、脚管为 ≥38*38*1.2mm厚不锈钢方管；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6、配不锈钢可调节脚。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8D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EF8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9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B06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C3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0C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2000*900*800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5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3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156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1、不锈钢板为SUS304#不锈钢板；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2、台面不锈钢厚≥1.2mm；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3、下层板不锈钢厚≥1.0mm；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4、U 型加强力加强筋厚度≥1.0mm；</w:t>
            </w:r>
          </w:p>
          <w:p w14:paraId="4C95E8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5、脚管为 ≥38*38*1.2mm厚不锈钢方管；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6、配不锈钢可调节脚。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4C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2EA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A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B07-1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CC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台式混水龙头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E7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双温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F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30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全铜阀体,陶瓷阀芯,开关次数达5万次以上，提供有效的‌节能产品认证证书‌，并加盖投标供应商公章。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D2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FA55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C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B07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6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不锈钢单星盆水池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70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1000*760*800+150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3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D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B7519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不锈钢板为SUS304#不锈钢板；</w:t>
            </w:r>
          </w:p>
          <w:p w14:paraId="2199AE37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台面及星斗不锈钢厚≥1.2mm；</w:t>
            </w:r>
          </w:p>
          <w:p w14:paraId="4EE7AB9E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U型加强力加强筋厚度≥1.0mm；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4、脚管为≥38*38*1.2mm厚不锈钢方管；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5、配不锈钢可调节脚；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6、横撑≥38*25*1.2mm厚不锈钢管。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4A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B94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7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B08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6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绞切肉机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91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600*400*800（±50）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B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57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1、电压:220V SPN：50Hz；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2、转速:≥1400r/min,；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3、功率：≥1.5kw；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4、绞切量(kg/h)：切肉（肉片：400/肉丝：200）；绞肉:150；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5、外壳为优质不锈钢。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3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9382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B09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C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双层工作台带靠背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86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1400*760*950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6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A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04FFE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不锈钢板为SUS304#不锈钢板；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2、台面不锈钢厚≥1.2mm；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3、下层板不锈钢厚≥1.0mm；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4、U型加强力加强筋厚度≥1.0mm；</w:t>
            </w:r>
          </w:p>
          <w:p w14:paraId="6B8054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5、脚管为≥38*38*1.2mm厚不锈钢方管；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6、配不锈钢可调节脚。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75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EBE1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5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B10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03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不锈钢双星盆水池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F9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1200*760*800+150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E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C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C5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1、不锈钢板为SUS304#不锈钢板；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2、台面及星斗不锈钢厚≥1.2mm；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3、U型加强力加强筋厚度≥1.0mm；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4、脚管为≥38*38*1.2mm厚不锈钢方管；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5、配不锈钢可调节脚；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6、横撑≥38*25*1.2mm厚不锈钢管。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E8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05DB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B10-1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1E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台式混水龙头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94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双温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7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F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48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全铜阀体,陶瓷阀芯,开关次数达5万次以上，提供有效的‌节能产品认证证书‌，并加盖投标供应商公章。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5F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E81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7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B11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76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单星工作台（左星）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9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1500*760*800+150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3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B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A6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1、不锈钢板为SUS304#不锈钢板；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2、台面及星斗不锈钢厚≥1.2mm；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3、U型加强力加强筋厚度≥1.0mm；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4、脚管为≥38*38*1.2mm厚不锈钢方管；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5、配不锈钢可调节脚；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6、横撑≥38*25*1.2mm厚不锈钢管。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C0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602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D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B11-1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EA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台式混水龙头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A7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双温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7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E6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全铜阀体,陶瓷阀芯,开关次数达5万次以上，提供有效的‌节能产品认证证书‌，并加盖投标供应商公章。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D2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33EF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5E9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C烹饪间</w:t>
            </w:r>
          </w:p>
        </w:tc>
      </w:tr>
      <w:tr w14:paraId="318BA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F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C01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F9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四层冲孔货架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9E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1200*500*1550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E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E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91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1、不锈钢板为SUS304#不锈钢板；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2、层板：采用SUS304#≥1.2mm不锈钢板激光切孔；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3、层板配U型加强力加强筋厚度≥1.0mm；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4、支架：采用SUS304#≥38*38mm优质不锈钢方管，厚度1.2mm；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5、配不锈钢可调节脚。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81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60D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8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C02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E5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洗地龙头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85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10米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C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9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DFE9C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碳钢静电喷涂圆形敞开式，采用钢丝液压管；</w:t>
            </w:r>
          </w:p>
          <w:p w14:paraId="58A85B1B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304#旋转便捷拆卸更换的接头，水枪可360度手控制出水，按压渐变出水形状；</w:t>
            </w:r>
          </w:p>
          <w:p w14:paraId="2EB255BE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提供有效的‌节能产品认证证书‌，并加盖投标供应商公章。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B6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021C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4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C03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0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厨房灭火系统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E0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双瓶组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C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C4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1、灭火装置采用CMJS机械式构造，在没有电源时也能正常工作；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2、驱动器由合金铸造，且氮气驱动瓶贮存压力不少于12Mpa；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3、箱体由优质不锈钢制作；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4、连接管道用Φ16不锈钢钢管；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5、药剂瓶由304不锈钢焊接打磨而成，且需贮存有不少于2*11.5L食用油专用灭火药剂，灭火剂有效使用期≥5年；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6、灭火装置根据现场烟罩长度、炉头数字配置多个雾化喷嘴。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EC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34B8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2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C04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AB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双门留样柜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46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1200*700*1950（±50）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A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86711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温度：6℃～ -5℃；输入功率:220V/400W；</w:t>
            </w:r>
          </w:p>
          <w:p w14:paraId="0E72E9C2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制冷方式：风冷；</w:t>
            </w:r>
          </w:p>
          <w:p w14:paraId="4B351BC2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物架层数：2层（不锈钢加厚方管层架）；</w:t>
            </w:r>
          </w:p>
          <w:p w14:paraId="55463D1F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控温类型：电子温控；柜脚类型：万向轮脚；</w:t>
            </w:r>
          </w:p>
          <w:p w14:paraId="6409119F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内外箱材料：优质不锈钢。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52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5E57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B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C05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4B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不锈钢智能UV烟罩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7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L*1300*600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5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9.4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B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EB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板采用SUS304#≥1.0mm不锈钢制作，采用全挡光功能的不锈钢油网，烟罩内配置有照明灯组。选用高性能C波段紫外线灯管，通过C波段紫外线光解油烟改变油脂的分子结构，同时C波段紫外线与空气中的氧反应发生成臭氧（臭氧对有机物、油脂、气味有极强的氧化能力），臭氧净已改变了的油烟分子进行氧化，冷燃烧生成水和二氧化碳，及微量的白色粉末，通过排烟管道排出达到油烟净化的目的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43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E2BD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0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C06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4A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不锈钢单星盆水池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5B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1000*700*800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6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B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79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1、不锈钢板为SUS304#不锈钢板；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2、台面及星斗不锈钢厚≥1.2mm；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3、U型加强力加强筋厚度≥1.0mm；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4、脚管为≥38*38*1.2mm厚不锈钢方管；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5、配不锈钢可调节脚；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6、横撑≥38*25*1.2mm厚不锈钢管。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E5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68E8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7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C06-1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5D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台式混水龙头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F4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双温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C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5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95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全铜阀体,陶瓷阀芯,开关次数达5万次以上，提供有效的‌节能产品认证证书‌，并加盖投标供应商公章。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2B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0694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C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C07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02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电蒸饭柜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17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24盘（竖盘）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6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6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B9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1、整机采用优质不锈钢制作；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2、柜体不锈钢厚≥1.0mm；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3、侧板、背板不锈钢厚≥0.8mm；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4、炉体骨架∠40x3mm厚国标镀锌角钢；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5、浮球水箱，自动进水，防干烧；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6、功率：380V/12KW*2；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7、四脚配万向轮。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35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1F7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8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C08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33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单星工作台（左星）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94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1800*700*800+150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4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A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AF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1、不锈钢板为SUS304#不锈钢板；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2、台面及星斗不锈钢厚≥1.2mm；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3、U型加强力加强筋厚度≥1.0mm；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4、脚管为≥38*38*1.2mm厚不锈钢方管；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5、配不锈钢可调节脚；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6、横撑≥38*25*1.2mm厚不锈钢管。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4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FE7C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9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C08-1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43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台式混水龙头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74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双温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B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A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4C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全铜阀体,陶瓷阀芯,开关次数达5万次以上，提供有效的‌节能产品认证证书‌，并加盖投标供应商公章。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F2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00AD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A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C09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E5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炉拼台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C3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400*1200*800+400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A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F1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1、采用304#不锈钢制作；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2、层板采用≥1.2mm厚不锈钢板。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E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9213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F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C10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52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炉拼台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50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600*800*800+400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A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2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DE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1、采用304#不锈钢制作；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2、层板采用≥1.2mm厚不锈钢板。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8E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C8DE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D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C11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45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双通移门荷台柜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C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1800*1000*800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E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C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68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1、不锈钢板为SUS304#不锈钢板；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2、台面不锈钢厚≥1.2mm；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3、下层板不锈钢厚≥1.0mm；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4、门板及侧板不锈钢厚≥1.0mm；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5、U型加强力加强筋厚度≥1.0mm；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6、配可调节重力脚；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7、趟门配滑轮。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08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61F1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6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C12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B3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电磁大炒炉（双头）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2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2200*1200*800+400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5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A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D766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额定功率/额定电压：2*25KW/380V ，采用优质磨砂不锈钢板制作，炉面板≥1.25mm 整体拉伸 ,副板及装饰≥1.2mm,独立三门设计，可分拆且密封性强 ,圆角设计、承重力强；</w:t>
            </w:r>
          </w:p>
          <w:p w14:paraId="21371CA6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使用360°旋转磁控模块化火力调节开关，使火力均匀控制，档位对应数字功率显示调节；</w:t>
            </w:r>
          </w:p>
          <w:p w14:paraId="2882E509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全密封铝材质机芯，模块化铜桥结构；</w:t>
            </w:r>
          </w:p>
          <w:p w14:paraId="32C13053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整机散热采用变频、防水风机，减低能耗；</w:t>
            </w:r>
          </w:p>
          <w:p w14:paraId="3B0EBAE9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采用蓝光防刺眼屏幕，带有功率、挡位、电度累计功能，厨师轻松掌握火力大小；</w:t>
            </w:r>
          </w:p>
          <w:p w14:paraId="6138562B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具有故障数字代码提醒保护功能：无桶、线盘超温、线盘NTC故障、IGBT超温、锅底超温、IGBT NTC 开路失效、锅底NTC失效、电压过低或缺相、电压过高；</w:t>
            </w:r>
          </w:p>
          <w:p w14:paraId="6A19306D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整机依据GB/T 2423.34-2024《环境试验 第2部分:试验方法 试验Z/AD:温度/湿度组合循环试验》标准，进行温度/湿度组合循环试验时间不小于480h，试验后外观无异常现象且能正常工作，并检验合格，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(提供国家认可的第三方机构出具的具有CMA标识的合格有效检测(检验)报告扫描件或复印件，并加盖投标供应商公章)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7C2020B6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整机达到QB/T 4499-2023《商用电磁灶》产品寿命测试要求，电磁灶在标准测试状态与最高功率调节挡位下，工作累计时间不小于480h，并检测合格，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(提供国家认可的第三方机构出具的具有CMA标识的合格有效检测(检验)报告扫描件或复印件，并加盖投标供应商公章)。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7A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7BA8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B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C13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A9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电蒸饭柜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08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48盘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6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6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1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1、整机采用优质不锈钢制作；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2、柜体不锈钢厚≥1.0mm；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3、侧板、背板不锈钢厚≥0.8mm；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4、炉体骨架∠40x3mm厚国标镀锌角钢；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5、浮球水箱，自动进水，防干烧；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6、功率：380V/24KW*2；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7、四脚配万向轮。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01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2534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2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C14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65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电磁双头平头炉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F7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1400*750*500+700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F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3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082A5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单桶≥500*500mm，额定功率/额定电压：2*15KW/380V ，采用优质磨砂不锈钢板制作，炉面板≥1.25mm 整体拉伸 ,副板及装饰≥1.2mm,独立三门设计，可分拆且密封性强 ,圆角设计、承重力强；</w:t>
            </w:r>
          </w:p>
          <w:p w14:paraId="735941F4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使用360°旋转磁控模块化火力调节开关，使火力均匀控制，档位对应数字功率显示调节；</w:t>
            </w:r>
          </w:p>
          <w:p w14:paraId="7A22DB07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全密封铝材质机芯，模块化铜桥结构；</w:t>
            </w:r>
          </w:p>
          <w:p w14:paraId="4295D967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整机散热采用变频、防水风机，减低能耗；</w:t>
            </w:r>
          </w:p>
          <w:p w14:paraId="61C46E1C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采用蓝光防刺眼屏幕，带有功率、挡位、电度累计功能，厨师轻松掌握火力大小；</w:t>
            </w:r>
          </w:p>
          <w:p w14:paraId="51D975B2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具有故障数字代码提醒保护功能：无桶、线盘超温、线盘NTC故障、IGBT超温、锅底超温、IGBT NTC 开路失效、锅底NTC失效、电压过低或缺相、电压过高；</w:t>
            </w:r>
          </w:p>
          <w:p w14:paraId="05A1F28B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整机依据GB/T2423.34-2024《环境试验第2部分:试验方法 试验Z/AD:温度/湿度组合循环试验》标准，进行温度/湿度组合循环试验时间不小于480h，试验后外观无异常现象且能正常工作，并检验合格，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(提供国家认可的第三方机构出具的具有CMA标识的合格有效检测(检验)报告扫描件或复印件，并加盖投标供应商公章)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40ECCDC2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整机达到QB/T 4499-2023《商用电磁灶》产品寿命测试要求，电磁灶在标准测试状态与最高功率调节挡位下，工作累计时间不小于480h，并检测合格，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(提供国家认可的第三方机构出具的具有CMA标识的合格有效检测(检验)报告扫描件或复印件，并加盖投标供应商公章)。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BE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3440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C15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9D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智能厨房冰箱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87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t>1200*700*1950（±100）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A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4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58DE6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制冷方式：风冷，冷藏室温度：2℃~8℃，冷冻室温度：-5℃~-18℃，有效容量≥900L。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2、内外箱材料：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优质不锈钢≥0.6mm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，箱体整体发泡，中梁配加热丝，可拆卸门封条，自动回归门设计；双压缩机，纯铜蒸发器，纯铜冷凝器，在最高42℃的极端环境温度下也能正常制冷；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3、采用智能微电脑触摸屏控制器，配置离子食物保鲜系统，通过释放活氧抑制细菌生长，通过释放负离子延缓食物氧化，延长食物保鲜时间；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4、冰箱具有智能触摸控制功能：①.节能功能、②.抑菌功能、③.离子保鲜功能、④.累计耗电量显示功能、⑤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.化霜功能、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⑥.中文故障显示功能、⑦.温度显示功能（根据需求调节冷藏/冷冻间室温度），符合GB/T25000.51-2016要求，并检验合格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(提供国家认可的第三方机构出具的具有CMA标识的合格有效检测(检验)报告扫描件或复印件，并加盖投标供应商公章)。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16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06F2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B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C16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7C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粘捕式灭蚊蝇灯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CB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B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E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06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1、功率/电压： 2*10W/220V；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2、电网电压： 4500~5000V；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3、诱虫灯管： W环形管；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4、有效面积： 30-50m²。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3F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473F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6D1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D售卖间</w:t>
            </w:r>
          </w:p>
        </w:tc>
      </w:tr>
      <w:tr w14:paraId="59210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3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D01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D0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油网烟罩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9E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L*800*500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5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7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1C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1、采用304#不锈钢制作；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2、采用≥1.2mm厚不锈钢板。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31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50A5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F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D02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E5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洗手星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12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500*450*550（±50）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1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3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63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1、不锈钢板为SUS304#不锈钢板；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2、台面及星斗不锈钢厚≥1.2mm；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3、U型加强力加强筋厚度≥1.0mm。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D9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C3B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D03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0D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高温智控消毒柜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2E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1300*700*1950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9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2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4AC8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电压/功率：220V/4.6KW,整机采用加厚优质不锈钢制作，B1级阻燃聚氨酯发泡保温；</w:t>
            </w:r>
          </w:p>
          <w:p w14:paraId="519C2478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拥有变频升温技术，可有效节能；</w:t>
            </w:r>
          </w:p>
          <w:p w14:paraId="40769A6E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配备304不锈钢发热管、叶轮防腐耐用；</w:t>
            </w:r>
          </w:p>
          <w:p w14:paraId="66992268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发热管依据GB/T 2423.34-2024《环境试验 第2部分:试验方法 试验Z/AD:温度/湿度组合循环试验》标准，进行温度/湿度组合循环试验时间不小于480h，试验后外观无异常现象且能正常工作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(提供国家认可的第三方机构出具的具有CMA标识的合格有效检测(检验)报告扫描件或复印件，并加盖投标供应商公章)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59F284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5、六面发泡保温；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6、智能触摸屏控制，拥有定时、定温、故障提示、双重超温保护；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7、可设置预约消毒时间、可设置24小时保温功能；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8、标配8个560*400*260mm加深不锈钢篮子。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67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E7C9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B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D04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ED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紫外线消毒灯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5F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F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5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额定功率：40W；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额定电压：AC 220~；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诱灭面积：20-50㎡；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铝合金结构外壳。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DC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262E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7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D05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CA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粘捕式灭蚊蝇灯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D5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B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5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62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1、功率/电压： 2*10W/220V；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2、电网电压： 4500~5000V；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3、诱虫灯管： W环形管；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4、有效面积： 30-50m²。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EF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212C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3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D06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2A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双层工作台带靠背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B4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1200*700*950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1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6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74058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不锈钢板为SUS304#不锈钢板；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2、台面不锈钢厚≥1.2mm；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3、下层板不锈钢厚≥1.0mm；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4、U 型加强力加强筋厚度≥1.0mm；</w:t>
            </w:r>
          </w:p>
          <w:p w14:paraId="79371E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5、脚管为≥38*38*1.2mm厚不锈钢方管；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6、配不锈钢可调节脚。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6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1E0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B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D07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3A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不锈钢单星盆水池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E6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700*700*800+150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0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8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32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1、不锈钢板为SUS304#不锈钢板；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2、台面及星斗不锈钢厚≥1.2mm；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3、U型加强力加强筋厚度≥1.0mm；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4、脚管为≥38*38*1.2mm厚不锈钢方管；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5、配不锈钢可调节脚；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6、横撑≥38*25*1.2mm厚不锈钢管。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B5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C2A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F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D07-1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FC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台式混水龙头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2B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双温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1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A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E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全铜阀体,陶瓷阀芯,开关次数达5万次以上，提供有效的‌节能产品认证证书‌，并加盖投标供应商公章。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FB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7D0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8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D08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B3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电磁煮面炉（双头）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4C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1200*700*800+150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7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5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B7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1、电压/功率：380V/2*12kW；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2、采用304不锈钢制作，炉面板≥1.2mm，其余≥1.0mm，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3、电磁感应加热；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4、旋钮式档位火力调节；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5、数码火力显示；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6、一体成型台面；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7、搭载磁电引擎；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8、耐高温齿形线盘组件，搭配高效聚能磁条；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9、产品外壳不锈钢板依据GB/T 2423.34-2024《环境试验 第2部分:试验方法 试验Z/AD:温度/湿度组合循环试验》标准，进行温度/湿度组合循环试验时间不小于480h，试验后外观无异常现象且能正常工作并检验合格，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(提供国家认可的第三方机构出具的具有CMA标识的合格有效检测(检验)报告扫描件或复印件，并加盖投标供应商公章)。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C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A48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C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D09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4B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CF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900*700*800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6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88E15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不锈钢板为SUS304#不锈钢板；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2、台面不锈钢厚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≥1.2mm；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3、下层板不锈钢厚≥1.0mm；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4、U 型加强力加强筋厚度≥1.0mm；</w:t>
            </w:r>
          </w:p>
          <w:p w14:paraId="2C7309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5、脚管为≥38*38*1.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2mm厚不锈钢方管；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6、配不锈钢可调节脚。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E0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993C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A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D10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F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五格保温台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3A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1800*700*810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6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D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4C9AB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整体采用SUS304#不锈钢制作；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2、台面不锈钢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3、侧板、内胆及围板不锈钢≥1.0mm；</w:t>
            </w:r>
          </w:p>
          <w:p w14:paraId="7EF687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4、配不锈钢调节脚，脚管为≥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38*38*1.0mm厚不锈钢方管。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87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6CBA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D83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E洗碗间</w:t>
            </w:r>
          </w:p>
        </w:tc>
      </w:tr>
      <w:tr w14:paraId="55A87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D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E01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6B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洗地龙头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9C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10米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1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18EC0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碳钢静电喷涂圆形敞开式，采用钢丝液压管；</w:t>
            </w:r>
          </w:p>
          <w:p w14:paraId="083F1392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304#旋转便捷拆卸更换的接头，水枪可360度手控制出水，按压渐变出水形状</w:t>
            </w:r>
          </w:p>
          <w:p w14:paraId="352770EC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提供有效的‌节能产品认证证书‌，并加盖投标供应商公章。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E3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234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6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E02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60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粘捕式灭蚊蝇灯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76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4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3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3F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1、功率/电压： 2*10W/220V；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2、电网电压： 4500~5000V；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3、诱虫灯管： W环形管；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4、有效面积： 30-50m²。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39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349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B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E03-1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4B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台式混水龙头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8C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双温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9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D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D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全铜阀体,陶瓷阀芯,开关次数达5万次以上，提供有效的‌节能产品认证证书‌，并加盖投标供应商公章。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8A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5CD2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8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E03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C3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不锈钢单星盆水池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9B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900*760*800+150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8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F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D6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1、不锈钢板为SUS304#不锈钢板；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2、台面及星斗不锈钢厚≥1.2mm；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3、U型加强力加强筋厚度≥1.0mm；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4、脚管为≥38*38*1.2mm厚不锈钢方管；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5、配不锈钢可调节脚；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6、横撑≥38*25*1.2mm厚不锈钢管。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D7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F32E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2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E04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5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长龙式洗碗机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0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t>3600*1000*2050（±100）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2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9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5E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1、机器入口宽度≥600mm；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2、最大洗涤高度≥420mm；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3、最大洗涤量≥3000碟/小时；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4、电源要求：380V/50Hz/3N；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5、电加热型功率≤62kw；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6、洗涤缸数≥2个、洗涤程序≥3个、烘干≥1个；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7、机器传送带速度无极变速可调，最大速度：≥2.75米/分钟；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8、由入口区、主洗区、高温漂洗消毒区、烘干区、出口区5个部分组成 ，要求洗碗机总长度≥3600mm；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、主洗区由≥4根下洗涤臂和≥4根上洗涤臂组成，使用50—55℃的循环水在高压下清洗污渍；高温漂洗区由上下各≥2根漂洗臂组成，使用80—85℃的高温清水进行消毒；洗涤臂采用内凹8字形喷嘴，避免残渣堵住喷嘴，提高餐具跟水流的接触面积，保证喷淋无死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10、出口区末端配置自动急停开关，当洗涤完毕的餐具触碰急停开关后，机器传送带和漂洗停止运行；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、设备配备高压烘干模块，确保餐具快速烘干无水滴附着，机外工作环境温度应舒适宜人，能防止残留水渍滋生细菌繁殖，模块内的烘干加热管、内壁、格栅网、螺旋叶片、加热块配件依据GB/T2423.16-2022也均经权威微生物检测机构实测证明上述部件满足严酷等级≥2级，长霉等级为0级（不长霉），确保从设备源头杜绝有害菌体生物对人体的伤害，并检验合格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(提供国家认可的第三方机构出具的具有CMA标识的合格有效检测(检验)报告扫描件或复印件，并加盖投标供应商公章)同时提供产品抗霉菌性能认证证书佐证扫描件或复印件，并加盖投标供应商公章；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12、需配置智能PLC控制系统，能显示机器运行数据,触摸控制板依据GB/T2423.2-2008经检测机构检测可耐受水汽温度≥70°以上的不低于20天的高温工况中连续无故障运行、且稳定可靠，检验合格，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(提供国家认可的第三方机构出具的具有CMA标识的合格有效检测(检验)报告扫描件或复印件，并加盖投标供应商公章)。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4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05B7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051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F餐厅</w:t>
            </w:r>
          </w:p>
        </w:tc>
      </w:tr>
      <w:tr w14:paraId="1395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B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F01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57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双层工作台带靠背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EE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1800*800*950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C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7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58C1C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不锈钢板为SUS304#不锈钢板；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2、台面不锈钢厚≥1.2mm；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3、下层板不锈钢厚≥1.0mm；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4、U 型加强力加强筋厚度≥1.0mm；</w:t>
            </w:r>
          </w:p>
          <w:p w14:paraId="1B20DD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5、脚管为≥38*38*1.2mm厚不锈钢方管；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6、配不锈钢可调节脚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9F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DD88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B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F02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9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收餐柜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2F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1800*800*800+150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C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8C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、整体采用SUS304#不锈钢制作；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2、台面不锈钢厚≥1.2mm；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3、U型加强力加强筋厚度≥1.0mm；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4、脚管为≥38*38*1.2mm厚不锈钢方管；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5、配不锈钢可调节脚；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6、台面开圆/方斗下渣口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16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C0E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F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F03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10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不锈钢八人桌椅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3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2200*1450*750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D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2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2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台面采用SUS304#≥1.0mm磨砂条纹板，特殊材料处理；面板底垫防潮板，配加强筋；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2、底架采用≥50*50mmSUS304#1.2mm不锈钢方管；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3、所有棱边、尖角需翻边压实,去毛刺，抛光打磨，无焊痕。脚配橡胶垫；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4、椅子采用连体的不锈钢长条凳。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AC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0A45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452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排烟系统</w:t>
            </w:r>
          </w:p>
        </w:tc>
      </w:tr>
      <w:tr w14:paraId="39A0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2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6E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双进风柜式离心风机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0C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11KW/380V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4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F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79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1、采用多翼式叶轮结构；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蜗舌采用消声结构，从而降低了整机噪声；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3、轴承全部采用外球面滚动轴承；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4、侧、底、后、顶均采用实厚≥2.0mm镀锌蓝色覆膜无花板；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5、受厨房湿热环境影响双进风柜式离心风机(风轮)依据GB/T 2423.34-2024《环境试验 第2部分:试验方法 试验Z/AD:温度/湿度组合循环试验》标准，进行温度/湿度组合循环试验时间不小于480h，试验后外观无异常现象且能正常工作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(提供国家认可的第三方机构出具的具有CMA标识的合格有效检测(检验)报告扫描件或复印件，并加盖投标供应商公章)。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6D1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0BF4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D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4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9A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11KW/380V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B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4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02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1、全封自扇冷式鼠笼型三相异步电动机。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2E4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824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3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92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静电油烟净化器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FE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30000立方/h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D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8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4A30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采用静电净化处理,箱板材料采用≥1.2mm优质不锈钢钢板焊接而成，内芯为≥2.0mm优质铝合金材质；</w:t>
            </w:r>
          </w:p>
          <w:p w14:paraId="33A33E7E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净化原理：电场为板式结构，内分为两级，第一级为电离器，强电场使微粒荷电，成为带电颗粒，这些带电微颗粒到达第二级集成器后立刻被收集电吸附，且部分碳化，同时，高压静电场有效的降解有害成分达到消毒、除味作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3、受厨房湿热环境影响静电油烟净化器(导电弹簧)依据GB/T 2423.34-2024《环境试验 第2部分:试验方法 试验Z/AD:温度/湿度组合循环试验》标准，进行温度/湿度组合循环试验时间不小于480h，试验后外观无异常现象且能正常工作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(提供国家认可的第三方机构出具的具有CMA标识的合格有效检测(检验)报告扫描件或复印件，并加盖投标供应商公章)。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456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CE84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B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59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净化器支架连减震装置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3D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与现场配套产品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4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5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BD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1、采用国标镀锌角铁及槽钢。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E96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613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D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FD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风柜支架连减震装置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9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与现场配套产品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6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9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E3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1、采用国标镀锌角铁及槽钢。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E00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A1E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F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A1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排烟风管连降噪辅件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62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8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5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46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1、采用优质不锈钢板；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2、面板不锈钢厚≥1.0mm。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697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2B47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5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77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81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与风管配套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6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8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7E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通体采用≥1.0MM厚铁板制作。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FF8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057D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C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FE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防火阀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CF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与风管配套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D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4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4C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1、常开型排烟防火阀，150度熔断关闭，常开，输出电讯号；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2、温度超过150度时自动熔断关闭，可联动关闭排烟风机。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AAF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E4D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A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86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C1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与现场配套产品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A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4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58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1、采用优质不锈钢板；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2、面板不锈钢厚≥1.0mm。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94A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D03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B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77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不锈钢变径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9C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与现场配套产品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1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9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F1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1、采用优质不锈钢板；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2、面板不锈钢厚≥1.0mm。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E0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8588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A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43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法兰、紧固螺丝及密封胶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AE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与现场配套产品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3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E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D3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管道连接法兰采用30*3mm（螺栓M8）的国标镀锌角铁制作。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8EC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536D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4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42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风管支架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6E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与风管配置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1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3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F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1、采用国标镀锌角铁。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86B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4006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1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16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风机变频启动控制箱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76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与风柜匹配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3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6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EB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变频器启动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EB1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D81A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1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3B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消声减震帆布软接连法兰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7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阻然帆布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4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D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65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帆布皮革加钢丝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23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C11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A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41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不锈钢封墙板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3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L*800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F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9.4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4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F7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1、不锈钢板为SUS304不锈钢板；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2、面板不锈钢厚≥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1.0mm。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316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093A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D75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补风系统</w:t>
            </w:r>
          </w:p>
        </w:tc>
      </w:tr>
      <w:tr w14:paraId="025ED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F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BA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双进风风柜（鲜风柜）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05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7.5KW/380V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F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F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12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1、采用多翼式叶轮结构；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2、蜗舌采用消声结构；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3、轴承全部采用外球面滚动轴承；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4、侧、底、后、顶均采用实厚≥2.0mm镀锌蓝色覆膜无花板。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10B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</w:p>
        </w:tc>
      </w:tr>
      <w:tr w14:paraId="10D40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1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C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6D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7.5KW/380V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8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F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13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1、全封自扇冷式鼠笼型三相异步电动机。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3D4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47A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3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FE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风柜吊装连减震装置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45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与现场配套产品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D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9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DF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1、采用国标镀锌角铁及槽钢。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171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4DD6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2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D3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风机变频启动控制箱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FC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与风柜匹配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F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1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57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变频器启动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D0E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76F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4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93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E0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与现场配套产品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C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E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D6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1、采用优质不锈钢板；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2、面板不锈钢厚≥1.0mm。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799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812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C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B3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变径/三通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1F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与现场配套产品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F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1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ED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、采用优质不锈钢板；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2、面板不锈钢厚≥1.0mm。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E8F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D94F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D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A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防火阀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48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与风管配套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9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1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51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1、常开型排烟防火阀，150度熔断关闭，常开，输出电讯号；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2、温度超过150度时自动熔断关闭，可联动关闭排烟风机。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204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D8A7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3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EC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法兰、紧固螺丝及密封胶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11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与现场配套产品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6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6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F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管道连接法兰采用30*3mm（螺栓M8）的国标镀锌角铁制作。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F09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8E50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B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B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消声减震帆布软接连法兰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BD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阻然帆布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7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D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6F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帆布皮革加钢丝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5EE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5A08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1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8D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风管吊架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DD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与风管配置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9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1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24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1、采用国标镀锌角铁及槽钢。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185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6C6A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C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A1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排烟风管连降噪辅件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66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与现场配套产品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3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6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74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1、采用优质不锈钢板；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2、面板不锈钢厚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1.0mm。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177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DED3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96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鲜风咀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87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与现场配套产品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8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B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0D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铝合金/不锈钢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83B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C04D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581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厨房杂件</w:t>
            </w:r>
          </w:p>
        </w:tc>
      </w:tr>
      <w:tr w14:paraId="2A83A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E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C0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不锈钢汤碗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7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直径Φ125mm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9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7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BC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1.规格：直径Φ≥125mm；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2.采用304不锈钢板冲压成型，料厚≥1.0mm，双层；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3.净重≥85g。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5E5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799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2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6E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不锈钢勺子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5D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长205mm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7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E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38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1.规格：长205mm（±5mm）；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2.采用304不锈钢板冲压成型，料厚≥1.2mm；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3.净重≥48g。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5E2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2D79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C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E2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筷子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E7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长230mm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1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8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C2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1.规格：长230mm（±5mm）；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2.采用木材材质制作。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D1F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0408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3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4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不锈钢餐盘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15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长宽355×265mm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D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33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1.规格：长宽≥355×265mm；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2.采用304不锈钢加工成型，料厚≥1.0mm；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3.净重≥400g。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ADA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1316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B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8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不锈钢汤桶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A4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直径高Φ500mm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9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D6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1.规格：直径高Φ≥500mm；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2.采用304不锈钢加工成型，料厚≥1.0mm；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3.净重≥2600g，带盖。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A21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482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55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砧板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D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直径高Φ400×80mm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4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3B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1.规格：直径高Φ≥400×80mm；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2.采用PE材料制作，厚≥80mm；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3.净重≥8000g。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E00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EE2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B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8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不锈钢面盆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AF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直径高Φ500×130mm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A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3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F4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1.规格：直径高Φ≥500×130mm；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2.采用304不锈钢冲压成型，料厚≥1.0mm；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3.净重≥720g。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3AD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E39D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6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50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不锈钢面盆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C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直径高Φ600×170mm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2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C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4E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1.规格：直径高Φ≥600×170mm；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2.采用304不锈钢冲压成型，料厚≥1.0mm；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3.净重≥1600g。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558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87C4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2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29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不锈钢面盆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0F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直径高Φ800×185mm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7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9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41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1.规格：直径高Φ≥800×185mm；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2.采用304不锈钢冲压成型，料厚≥1.0mm；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3.净重≥2700g。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C1E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691F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1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6A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不锈钢油缸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0B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直径高Φ300×160mm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D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49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1.规格：直径高Φ≥300×160mm；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2.采用304不锈钢冲压成型，料厚≥1.0mm。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60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4EF2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3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0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不锈钢味盅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78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直径高Φ200×80mm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8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5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72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1.规格：直径高Φ≥200×80mm；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2.采用304不锈钢冲压成型，料厚≥1.0mm。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BA4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FF07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6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02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不锈钢份数盘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E1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一分之一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2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76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1.规格：一分之一；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2.采用304不锈钢冲压成型，料厚≥0.7mm。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80C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B42F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A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5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蒸饭盘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55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600*400mm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E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A1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1.规格：≥600*400mm；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2.采用304不锈钢冲压成型，料厚≥0.7mm。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893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E82D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C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E3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炒勺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24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长500mm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C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D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E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1.总长度≥500mm；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2.勺头直径≥140mm，厚度≥1.5mm；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3.材质304不锈钢板。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DEE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E627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1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D1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锅铲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13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长1400mm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7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8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C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1.总长度≥1400mm；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2.勺头直径≥140mm，厚度≥1.5mm；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3.材质304不锈钢板。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2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941F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E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E7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不锈钢打菜勺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B9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长350mm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4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E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93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1.规格：长≥350mm；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2.采用304不锈钢板冲压成型，料厚≥1.0mm；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3.净重≥200g。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1A5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D924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3A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斩切刀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DD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长330mm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D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E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DE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1.规格：≥330mm；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2.刃长≥150；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3.厚度：≥3mm；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4.材质：铁制。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CEE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25F9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C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32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砍刀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72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长280mm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B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2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C2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1.规格：≥280mm；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2.刃长≥150；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3.厚度：≥5mm；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4.材质：铁制。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847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F4B3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9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11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粗石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1E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(长宽高)200×50×25mm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3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A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B2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1.规格：(长宽高)≥200×50×25mm；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2.双面 材质：棕刚玉+陶瓷纤维。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3EA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F5B7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C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94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油石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E4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(长宽高)180×60×128mm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3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3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7F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1.规格：(长宽高)≥180×60×128mm；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2.双面 材质：白刚玉。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4B2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548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1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18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大号加厚菜框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1C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(长宽高）540×360×290mm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0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5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D9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1.规格：(长宽高）≥540×360×290mm；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2.采用无毒塑料制作，加厚，防摔。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DA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669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2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AE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中号加厚菜框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7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(长宽高）500×330×290mm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1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C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A2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1.规格：(长宽高）≥500×330×290mm；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2.采用无毒塑料制作，加厚，防摔。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75A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1A8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C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46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金属软管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9B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100CM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6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B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F8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1.优质金属制造。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53A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BA17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C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F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大炒锅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23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直径900mm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5B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规格：直径 900mm；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材质：304不锈钢，厚度2mm。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52D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04B9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E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F5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挂墙热水器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1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100L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3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9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0A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规格：≥100升；提供有效的中国强制性产品认证证书并加盖投标供应商公章。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54B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029689DE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ind w:firstLine="562" w:firstLineChars="200"/>
        <w:jc w:val="center"/>
        <w:outlineLvl w:val="1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br w:type="page"/>
      </w:r>
      <w:bookmarkStart w:id="2" w:name="_Toc25708"/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第三节 商务要求</w:t>
      </w:r>
      <w:bookmarkEnd w:id="2"/>
    </w:p>
    <w:p w14:paraId="41A0F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一、采购标的的数量、采购项目交付或者实施的时间和地点</w:t>
      </w:r>
    </w:p>
    <w:p w14:paraId="5EE7C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1.1采购项目交付：芷江侗族自治县秀水中学</w:t>
      </w:r>
    </w:p>
    <w:p w14:paraId="788A1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1.2交货地点：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指定地点。</w:t>
      </w:r>
    </w:p>
    <w:p w14:paraId="72719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1.3供货及安装期限：在接收到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订货通知后30日内；供应商应保证在要求时间内完成全部货物的供货、安装、调试和培训工作。</w:t>
      </w:r>
    </w:p>
    <w:p w14:paraId="18C49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二、采购标的的安装调试及验收</w:t>
      </w:r>
    </w:p>
    <w:p w14:paraId="27D4A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2.1包装：原厂原包装送货，货到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指定地点，经采购人指定人员验证后方可开箱。</w:t>
      </w:r>
    </w:p>
    <w:p w14:paraId="50872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2.2安装：成交供应商负责现场安装、调试，成交供应商应对产品和安装提供全面的技术服务与支持，为顺利安装运行提供完全技术保证；成交供应商负责其派出的工作人员的人身意外保险，在项目实施过程中出现的安全、人身等意外事故全部自行负责，均与采购人无关。</w:t>
      </w:r>
    </w:p>
    <w:p w14:paraId="1FA86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2.3调试：调试由成交供应商负责，成交供应商为运行调试提供技术和产品的必要条件。并应向采购人有关人员讲解产品和产品结构与计划调试方法，包括的性能、技术特点、调试技巧等有关技术原理、方法，指导解决调试过程中出现的技术问题。</w:t>
      </w:r>
    </w:p>
    <w:p w14:paraId="216C9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2.4验收：</w:t>
      </w:r>
    </w:p>
    <w:p w14:paraId="4863F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2.4.1货物运抵采购人指定地点后，成交供应商提供齐全的随货商品合格证明资料，采购人方可开箱验收。由采购人对到货产品的数量、型号、外观质量、随机备品备件、技术资料等进行检查，采购人可要求成交供应商提供验收方案，双方共同协商后确定。验收过程中如发现产品存在数量短缺、型号不符、外观破损或技术资料不全等问题，成交供应商须在24小时内响应并及时补足、更换或完善；验收合格后，双方签署《货物验收单》，作为付款及质保期起算依据。</w:t>
      </w:r>
    </w:p>
    <w:p w14:paraId="58F3E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2.4.2验收地点：设备安装地（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指定）。</w:t>
      </w:r>
    </w:p>
    <w:p w14:paraId="71B97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2.4.3严格按照国家及行业相关标准进行验收。对未达到技术要求的不合格产品，一律拒收；并可终止合同执行。</w:t>
      </w:r>
    </w:p>
    <w:p w14:paraId="4E805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2.4.4因成交供应商所提供的产品出现质量问题而引起纠纷，成交供应商提供国家认可的检验报告。</w:t>
      </w:r>
    </w:p>
    <w:p w14:paraId="72DBF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2.4.5采购人验收时，若发现货物中存在技术指标与采购文件要求不符，存在弄虚作假等的，有权拒绝支付合同货款，并上报湖南省政府采购管理部门根据政府采购法相关条例处罚，将其列入政府采购不良记录名单。</w:t>
      </w:r>
    </w:p>
    <w:p w14:paraId="37918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2.4.6 验收结果以采购人认可的验收单据为准。</w:t>
      </w:r>
    </w:p>
    <w:p w14:paraId="003F0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三、采购标的需满足的服务标准、期限、效率等要求</w:t>
      </w:r>
    </w:p>
    <w:p w14:paraId="0E387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3.1质保要求：</w:t>
      </w:r>
    </w:p>
    <w:p w14:paraId="4C2B2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3.1.1设备质量保证期为验收合格之日起≥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年。</w:t>
      </w:r>
    </w:p>
    <w:p w14:paraId="77E60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3.1.2质量保证：成交供应商需保证所提供货物是用全新的、未使用过的，并且各方面与合同规定的质量，规格和性能相一致。在使用过程中，如最终用户发现中标供应商提供的货物属于翻新的货物或假货、技术指标未达标，最终用户拥有不受时限的追索权，有权要求中标供应商赔偿其所有损失。</w:t>
      </w:r>
    </w:p>
    <w:p w14:paraId="29D67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3.2售后服务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提供至少 1 年原厂保修和上门服务，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产生的费用由供应商承担，供应商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提供承诺函。</w:t>
      </w:r>
    </w:p>
    <w:p w14:paraId="60AD0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3.3质保期内，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负责产品的维修，出现严重质量问题，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应负责包换、包退，并承担全部费用。质保期满后，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必须继续向采购人提供本项目终身的维修、技术支持等服务和必须能供应本次采购产品所需的备、配件，其发生的费用供应商只收取破损组件的成本费，人工及其他费用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由供应商承担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6E41B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3.4响应时间：接采购人通知后 2 小时内响应，12 小时内到达现场，24 小时内解决问题。</w:t>
      </w:r>
    </w:p>
    <w:p w14:paraId="77B36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3.5开学时，应配置足够维修人员在场进行应急维修。</w:t>
      </w:r>
    </w:p>
    <w:p w14:paraId="24027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四、结算方式：</w:t>
      </w:r>
    </w:p>
    <w:p w14:paraId="1B4AC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付款条件 :货物安装调试培训完毕，验收合格后，根据成交供应商开具合同价款的正规发票及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验收证明单支付合同款的100%，同时成交供应商向采购人提供结算总价5%的质量保证金银行保函，待质保期满（无质量问题、售后服务纠纷，以及其他经济法律纠纷等）后退还。</w:t>
      </w:r>
    </w:p>
    <w:p w14:paraId="004C5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8905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注：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须对本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谈判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文件货物技术、配置、参数、质保、售后等要求全部需求条款逐条顺序响应，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否则视为不满足实质性条款响应要求；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按需求编号一一对应，禁止整段概括、合并条目、省略应答。</w:t>
      </w:r>
    </w:p>
    <w:p w14:paraId="3277FABE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C45B68"/>
    <w:multiLevelType w:val="singleLevel"/>
    <w:tmpl w:val="8CC45B6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EDFE9B0"/>
    <w:multiLevelType w:val="singleLevel"/>
    <w:tmpl w:val="9EDFE9B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7719A54"/>
    <w:multiLevelType w:val="singleLevel"/>
    <w:tmpl w:val="B7719A5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C16E5F81"/>
    <w:multiLevelType w:val="singleLevel"/>
    <w:tmpl w:val="C16E5F81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C8AE157E"/>
    <w:multiLevelType w:val="singleLevel"/>
    <w:tmpl w:val="C8AE157E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D472145D"/>
    <w:multiLevelType w:val="singleLevel"/>
    <w:tmpl w:val="D472145D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EF396F44"/>
    <w:multiLevelType w:val="singleLevel"/>
    <w:tmpl w:val="EF396F44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FBF106EB"/>
    <w:multiLevelType w:val="singleLevel"/>
    <w:tmpl w:val="FBF106EB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1C4F6571"/>
    <w:multiLevelType w:val="singleLevel"/>
    <w:tmpl w:val="1C4F6571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1D2EAD50"/>
    <w:multiLevelType w:val="singleLevel"/>
    <w:tmpl w:val="1D2EAD50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3143D4D9"/>
    <w:multiLevelType w:val="singleLevel"/>
    <w:tmpl w:val="3143D4D9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38A7FE94"/>
    <w:multiLevelType w:val="singleLevel"/>
    <w:tmpl w:val="38A7FE94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3CD5FA89"/>
    <w:multiLevelType w:val="singleLevel"/>
    <w:tmpl w:val="3CD5FA89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4C6EA045"/>
    <w:multiLevelType w:val="singleLevel"/>
    <w:tmpl w:val="4C6EA045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51D0B9B5"/>
    <w:multiLevelType w:val="singleLevel"/>
    <w:tmpl w:val="51D0B9B5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5CBAFCAE"/>
    <w:multiLevelType w:val="singleLevel"/>
    <w:tmpl w:val="5CBAFCAE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6BF5D583"/>
    <w:multiLevelType w:val="singleLevel"/>
    <w:tmpl w:val="6BF5D583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6FBF2AB9"/>
    <w:multiLevelType w:val="singleLevel"/>
    <w:tmpl w:val="6FBF2AB9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7A762342"/>
    <w:multiLevelType w:val="singleLevel"/>
    <w:tmpl w:val="7A762342"/>
    <w:lvl w:ilvl="0" w:tentative="0">
      <w:start w:val="1"/>
      <w:numFmt w:val="decimal"/>
      <w:suff w:val="nothing"/>
      <w:lvlText w:val="%1、"/>
      <w:lvlJc w:val="left"/>
    </w:lvl>
  </w:abstractNum>
  <w:abstractNum w:abstractNumId="19">
    <w:nsid w:val="7B196FF3"/>
    <w:multiLevelType w:val="singleLevel"/>
    <w:tmpl w:val="7B196FF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1"/>
  </w:num>
  <w:num w:numId="5">
    <w:abstractNumId w:val="18"/>
  </w:num>
  <w:num w:numId="6">
    <w:abstractNumId w:val="11"/>
  </w:num>
  <w:num w:numId="7">
    <w:abstractNumId w:val="8"/>
  </w:num>
  <w:num w:numId="8">
    <w:abstractNumId w:val="2"/>
  </w:num>
  <w:num w:numId="9">
    <w:abstractNumId w:val="3"/>
  </w:num>
  <w:num w:numId="10">
    <w:abstractNumId w:val="17"/>
  </w:num>
  <w:num w:numId="11">
    <w:abstractNumId w:val="9"/>
  </w:num>
  <w:num w:numId="12">
    <w:abstractNumId w:val="0"/>
  </w:num>
  <w:num w:numId="13">
    <w:abstractNumId w:val="7"/>
  </w:num>
  <w:num w:numId="14">
    <w:abstractNumId w:val="16"/>
  </w:num>
  <w:num w:numId="15">
    <w:abstractNumId w:val="14"/>
  </w:num>
  <w:num w:numId="16">
    <w:abstractNumId w:val="12"/>
  </w:num>
  <w:num w:numId="17">
    <w:abstractNumId w:val="10"/>
  </w:num>
  <w:num w:numId="18">
    <w:abstractNumId w:val="19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2026-07-05T08:02:41Z</dcterms:created>
  <dc:creator>W10</dc:creator>
  <cp:lastModifiedBy>W10</cp:lastModifiedBy>
  <dcterms:modified xsi:type="dcterms:W3CDTF">2026-07-05T08:03:09Z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eyJoZGlkIjoiMDdhZGZiZWJiMDdhY2IxZjdmNzRkODI4MWQwZmYzODgiLCJ1c2VySWQiOiIyNjY1MTk5NDcifQ==</vt:lpwstr>
  </property>
  <property fmtid="{D5CDD505-2E9C-101B-9397-08002B2CF9AE}" pid="4" name="ICV">
    <vt:lpwstr>58ED40B466CA46DDACFA8A54150737D4_12</vt:lpwstr>
  </property>
</Properties>
</file>