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51410">
      <w:pPr>
        <w:pStyle w:val="22"/>
        <w:adjustRightInd w:val="0"/>
        <w:snapToGrid w:val="0"/>
        <w:spacing w:line="240" w:lineRule="atLeast"/>
        <w:rPr>
          <w:rFonts w:hAnsi="宋体"/>
          <w:color w:val="auto"/>
          <w:sz w:val="44"/>
        </w:rPr>
      </w:pPr>
    </w:p>
    <w:p w14:paraId="7EF8A0C7">
      <w:pPr>
        <w:pStyle w:val="22"/>
        <w:adjustRightInd w:val="0"/>
        <w:snapToGrid w:val="0"/>
        <w:spacing w:line="240" w:lineRule="atLeast"/>
        <w:rPr>
          <w:rFonts w:hAnsi="宋体"/>
          <w:color w:val="auto"/>
          <w:sz w:val="44"/>
        </w:rPr>
      </w:pPr>
    </w:p>
    <w:p w14:paraId="47411A0B">
      <w:pPr>
        <w:pStyle w:val="22"/>
        <w:adjustRightInd w:val="0"/>
        <w:snapToGrid w:val="0"/>
        <w:spacing w:line="240" w:lineRule="atLeast"/>
        <w:rPr>
          <w:rFonts w:hAnsi="宋体"/>
          <w:color w:val="auto"/>
          <w:sz w:val="44"/>
        </w:rPr>
      </w:pPr>
    </w:p>
    <w:p w14:paraId="485891D8">
      <w:pPr>
        <w:pStyle w:val="22"/>
        <w:adjustRightInd w:val="0"/>
        <w:snapToGrid w:val="0"/>
        <w:spacing w:line="240" w:lineRule="atLeast"/>
        <w:jc w:val="center"/>
        <w:rPr>
          <w:rFonts w:ascii="华文中宋" w:hAnsi="华文中宋" w:eastAsia="华文中宋"/>
          <w:b/>
          <w:bCs/>
          <w:color w:val="auto"/>
          <w:sz w:val="84"/>
          <w:szCs w:val="84"/>
        </w:rPr>
      </w:pPr>
      <w:r>
        <w:rPr>
          <w:rFonts w:hint="eastAsia" w:ascii="华文中宋" w:hAnsi="华文中宋" w:eastAsia="华文中宋"/>
          <w:b/>
          <w:bCs/>
          <w:color w:val="auto"/>
          <w:sz w:val="84"/>
          <w:szCs w:val="84"/>
        </w:rPr>
        <w:t>政府采购</w:t>
      </w:r>
    </w:p>
    <w:p w14:paraId="4BD58BD1">
      <w:pPr>
        <w:pStyle w:val="22"/>
        <w:adjustRightInd w:val="0"/>
        <w:snapToGrid w:val="0"/>
        <w:spacing w:line="240" w:lineRule="atLeast"/>
        <w:jc w:val="center"/>
        <w:rPr>
          <w:rFonts w:ascii="华文中宋" w:hAnsi="华文中宋" w:eastAsia="华文中宋"/>
          <w:b/>
          <w:bCs/>
          <w:color w:val="auto"/>
          <w:sz w:val="84"/>
          <w:szCs w:val="84"/>
        </w:rPr>
      </w:pPr>
      <w:r>
        <w:rPr>
          <w:rFonts w:hint="eastAsia" w:ascii="华文中宋" w:hAnsi="华文中宋" w:eastAsia="华文中宋"/>
          <w:b/>
          <w:bCs/>
          <w:color w:val="auto"/>
          <w:sz w:val="84"/>
          <w:szCs w:val="84"/>
        </w:rPr>
        <w:t>货物项目招标文件</w:t>
      </w:r>
    </w:p>
    <w:p w14:paraId="680164B6">
      <w:pPr>
        <w:pStyle w:val="22"/>
        <w:adjustRightInd w:val="0"/>
        <w:snapToGrid w:val="0"/>
        <w:spacing w:line="240" w:lineRule="atLeast"/>
        <w:jc w:val="center"/>
        <w:rPr>
          <w:rFonts w:ascii="华文中宋" w:hAnsi="华文中宋" w:eastAsia="华文中宋"/>
          <w:b/>
          <w:bCs/>
          <w:color w:val="auto"/>
          <w:sz w:val="44"/>
          <w:szCs w:val="44"/>
        </w:rPr>
      </w:pPr>
    </w:p>
    <w:p w14:paraId="0B519CCD">
      <w:pPr>
        <w:pStyle w:val="22"/>
        <w:adjustRightInd w:val="0"/>
        <w:snapToGrid w:val="0"/>
        <w:spacing w:line="240" w:lineRule="atLeast"/>
        <w:rPr>
          <w:rFonts w:ascii="华文中宋" w:hAnsi="华文中宋" w:eastAsia="华文中宋"/>
          <w:b/>
          <w:bCs/>
          <w:color w:val="auto"/>
          <w:sz w:val="21"/>
        </w:rPr>
      </w:pPr>
    </w:p>
    <w:p w14:paraId="7217E1A3">
      <w:pPr>
        <w:pStyle w:val="22"/>
        <w:adjustRightInd w:val="0"/>
        <w:snapToGrid w:val="0"/>
        <w:spacing w:line="240" w:lineRule="atLeast"/>
        <w:jc w:val="center"/>
        <w:rPr>
          <w:rFonts w:ascii="华文中宋" w:hAnsi="华文中宋" w:eastAsia="华文中宋"/>
          <w:b/>
          <w:bCs/>
          <w:color w:val="auto"/>
          <w:sz w:val="44"/>
          <w:szCs w:val="44"/>
        </w:rPr>
      </w:pPr>
    </w:p>
    <w:p w14:paraId="623944D6">
      <w:pPr>
        <w:pStyle w:val="22"/>
        <w:adjustRightInd w:val="0"/>
        <w:snapToGrid w:val="0"/>
        <w:spacing w:line="240" w:lineRule="atLeast"/>
        <w:jc w:val="center"/>
        <w:rPr>
          <w:rFonts w:ascii="华文中宋" w:hAnsi="华文中宋" w:eastAsia="华文中宋"/>
          <w:b/>
          <w:bCs/>
          <w:color w:val="auto"/>
          <w:sz w:val="44"/>
          <w:szCs w:val="44"/>
        </w:rPr>
      </w:pPr>
    </w:p>
    <w:p w14:paraId="417360DC">
      <w:pPr>
        <w:pStyle w:val="22"/>
        <w:adjustRightInd w:val="0"/>
        <w:snapToGrid w:val="0"/>
        <w:spacing w:line="240" w:lineRule="atLeast"/>
        <w:jc w:val="center"/>
        <w:rPr>
          <w:rFonts w:ascii="华文中宋" w:hAnsi="华文中宋" w:eastAsia="华文中宋"/>
          <w:b/>
          <w:bCs/>
          <w:color w:val="auto"/>
          <w:sz w:val="44"/>
          <w:szCs w:val="44"/>
        </w:rPr>
      </w:pPr>
    </w:p>
    <w:p w14:paraId="2FB8BDD5">
      <w:pPr>
        <w:pStyle w:val="22"/>
        <w:adjustRightInd w:val="0"/>
        <w:snapToGrid w:val="0"/>
        <w:spacing w:line="240" w:lineRule="atLeast"/>
        <w:jc w:val="center"/>
        <w:rPr>
          <w:rFonts w:ascii="华文中宋" w:hAnsi="华文中宋" w:eastAsia="华文中宋"/>
          <w:bCs/>
          <w:color w:val="auto"/>
        </w:rPr>
      </w:pPr>
    </w:p>
    <w:p w14:paraId="2BB50CA5">
      <w:pPr>
        <w:adjustRightInd w:val="0"/>
        <w:snapToGrid w:val="0"/>
        <w:spacing w:line="360" w:lineRule="auto"/>
        <w:ind w:left="3207" w:leftChars="456" w:hanging="2249" w:hangingChars="700"/>
        <w:rPr>
          <w:rFonts w:hint="eastAsia" w:hAnsi="宋体" w:eastAsia="宋体"/>
          <w:b/>
          <w:color w:val="auto"/>
          <w:sz w:val="32"/>
          <w:szCs w:val="32"/>
          <w:lang w:eastAsia="zh-CN"/>
        </w:rPr>
      </w:pPr>
      <w:r>
        <w:rPr>
          <w:rFonts w:hint="eastAsia" w:hAnsi="宋体"/>
          <w:b/>
          <w:color w:val="auto"/>
          <w:sz w:val="32"/>
          <w:szCs w:val="32"/>
        </w:rPr>
        <w:t>采购项目名称：</w:t>
      </w:r>
      <w:r>
        <w:rPr>
          <w:rFonts w:hint="eastAsia" w:hAnsi="宋体"/>
          <w:b/>
          <w:color w:val="auto"/>
          <w:sz w:val="32"/>
          <w:szCs w:val="32"/>
          <w:u w:val="single"/>
          <w:lang w:val="en-US" w:eastAsia="zh-CN"/>
        </w:rPr>
        <w:t>新化县紧密型县域医共体医疗卫生强基工程建设项目医疗设备采购</w:t>
      </w:r>
    </w:p>
    <w:p w14:paraId="4B2AFF31">
      <w:pPr>
        <w:adjustRightInd w:val="0"/>
        <w:snapToGrid w:val="0"/>
        <w:spacing w:line="360" w:lineRule="auto"/>
        <w:ind w:firstLine="1124" w:firstLineChars="350"/>
        <w:rPr>
          <w:rFonts w:hint="eastAsia" w:hAnsi="宋体"/>
          <w:b/>
          <w:color w:val="auto"/>
          <w:sz w:val="32"/>
          <w:szCs w:val="32"/>
          <w:u w:val="single"/>
          <w:lang w:val="en-US" w:eastAsia="zh-CN"/>
        </w:rPr>
      </w:pPr>
      <w:r>
        <w:rPr>
          <w:rFonts w:hint="eastAsia" w:hAnsi="宋体"/>
          <w:b/>
          <w:color w:val="auto"/>
          <w:sz w:val="32"/>
          <w:szCs w:val="32"/>
        </w:rPr>
        <w:t>政府采购计划编号</w:t>
      </w:r>
      <w:r>
        <w:rPr>
          <w:rFonts w:hint="eastAsia" w:hAnsi="宋体"/>
          <w:b/>
          <w:color w:val="auto"/>
          <w:sz w:val="32"/>
          <w:szCs w:val="32"/>
          <w:lang w:eastAsia="zh-CN"/>
        </w:rPr>
        <w:t>：（</w:t>
      </w:r>
      <w:r>
        <w:rPr>
          <w:rFonts w:hint="eastAsia" w:hAnsi="宋体"/>
          <w:b/>
          <w:color w:val="auto"/>
          <w:sz w:val="32"/>
          <w:szCs w:val="32"/>
          <w:u w:val="single"/>
          <w:lang w:val="en-US" w:eastAsia="zh-CN"/>
        </w:rPr>
        <w:t>2026）431322000014-1</w:t>
      </w:r>
    </w:p>
    <w:p w14:paraId="0D49ABA3">
      <w:pPr>
        <w:adjustRightInd w:val="0"/>
        <w:snapToGrid w:val="0"/>
        <w:spacing w:line="360" w:lineRule="auto"/>
        <w:ind w:firstLine="1124" w:firstLineChars="350"/>
        <w:rPr>
          <w:rFonts w:hint="default" w:hAnsi="宋体" w:eastAsia="宋体"/>
          <w:bCs/>
          <w:color w:val="auto"/>
          <w:sz w:val="32"/>
          <w:szCs w:val="32"/>
          <w:u w:val="single"/>
          <w:lang w:val="en-US" w:eastAsia="zh-CN"/>
        </w:rPr>
      </w:pPr>
      <w:r>
        <w:rPr>
          <w:rFonts w:hint="eastAsia" w:hAnsi="宋体"/>
          <w:b/>
          <w:color w:val="auto"/>
          <w:sz w:val="32"/>
          <w:szCs w:val="32"/>
        </w:rPr>
        <w:t>委托代理编号：</w:t>
      </w:r>
      <w:r>
        <w:rPr>
          <w:rFonts w:hint="eastAsia" w:hAnsi="宋体"/>
          <w:bCs/>
          <w:color w:val="auto"/>
          <w:sz w:val="32"/>
          <w:szCs w:val="32"/>
          <w:u w:val="single"/>
          <w:lang w:eastAsia="zh-CN"/>
        </w:rPr>
        <w:t>LDZC-202</w:t>
      </w:r>
      <w:r>
        <w:rPr>
          <w:rFonts w:hint="eastAsia" w:hAnsi="宋体"/>
          <w:bCs/>
          <w:color w:val="auto"/>
          <w:sz w:val="32"/>
          <w:szCs w:val="32"/>
          <w:u w:val="single"/>
          <w:lang w:val="en-US" w:eastAsia="zh-CN"/>
        </w:rPr>
        <w:t>6</w:t>
      </w:r>
      <w:r>
        <w:rPr>
          <w:rFonts w:hint="eastAsia" w:hAnsi="宋体"/>
          <w:bCs/>
          <w:color w:val="auto"/>
          <w:sz w:val="32"/>
          <w:szCs w:val="32"/>
          <w:u w:val="single"/>
          <w:lang w:eastAsia="zh-CN"/>
        </w:rPr>
        <w:t>GK00</w:t>
      </w:r>
      <w:r>
        <w:rPr>
          <w:rFonts w:hint="eastAsia" w:hAnsi="宋体"/>
          <w:bCs/>
          <w:color w:val="auto"/>
          <w:sz w:val="32"/>
          <w:szCs w:val="32"/>
          <w:u w:val="single"/>
          <w:lang w:val="en-US" w:eastAsia="zh-CN"/>
        </w:rPr>
        <w:t xml:space="preserve">62   </w:t>
      </w:r>
      <w:r>
        <w:rPr>
          <w:rFonts w:hint="eastAsia" w:hAnsi="宋体"/>
          <w:bCs/>
          <w:color w:val="auto"/>
          <w:sz w:val="32"/>
          <w:szCs w:val="32"/>
          <w:u w:val="single"/>
          <w:lang w:eastAsia="zh-CN"/>
        </w:rPr>
        <w:t xml:space="preserve"> </w:t>
      </w:r>
      <w:r>
        <w:rPr>
          <w:rFonts w:hint="eastAsia" w:hAnsi="宋体"/>
          <w:bCs/>
          <w:color w:val="auto"/>
          <w:sz w:val="32"/>
          <w:szCs w:val="32"/>
          <w:u w:val="single"/>
          <w:lang w:val="en-US" w:eastAsia="zh-CN"/>
        </w:rPr>
        <w:t xml:space="preserve">    </w:t>
      </w:r>
    </w:p>
    <w:p w14:paraId="7FD2C147">
      <w:pPr>
        <w:adjustRightInd w:val="0"/>
        <w:snapToGrid w:val="0"/>
        <w:spacing w:line="360" w:lineRule="auto"/>
        <w:ind w:firstLine="1124" w:firstLineChars="350"/>
        <w:rPr>
          <w:rFonts w:hint="eastAsia" w:hAnsi="宋体"/>
          <w:b/>
          <w:color w:val="auto"/>
          <w:sz w:val="32"/>
          <w:szCs w:val="32"/>
          <w:u w:val="single"/>
          <w:lang w:eastAsia="zh-CN"/>
        </w:rPr>
      </w:pPr>
      <w:r>
        <w:rPr>
          <w:rFonts w:hint="eastAsia" w:hAnsi="宋体"/>
          <w:b/>
          <w:color w:val="auto"/>
          <w:sz w:val="32"/>
          <w:szCs w:val="32"/>
        </w:rPr>
        <w:t>采   购   人：</w:t>
      </w:r>
      <w:r>
        <w:rPr>
          <w:rFonts w:hint="eastAsia" w:hAnsi="宋体"/>
          <w:b/>
          <w:color w:val="auto"/>
          <w:sz w:val="32"/>
          <w:szCs w:val="32"/>
          <w:u w:val="single"/>
          <w:lang w:eastAsia="zh-CN"/>
        </w:rPr>
        <w:t>新化县卫生健康局</w:t>
      </w:r>
    </w:p>
    <w:p w14:paraId="5161E2BD">
      <w:pPr>
        <w:adjustRightInd w:val="0"/>
        <w:snapToGrid w:val="0"/>
        <w:spacing w:line="360" w:lineRule="auto"/>
        <w:ind w:firstLine="1124" w:firstLineChars="350"/>
        <w:rPr>
          <w:rFonts w:ascii="宋体"/>
          <w:b/>
          <w:color w:val="auto"/>
          <w:sz w:val="32"/>
          <w:szCs w:val="21"/>
        </w:rPr>
      </w:pPr>
      <w:r>
        <w:rPr>
          <w:rFonts w:hint="eastAsia" w:ascii="宋体"/>
          <w:b/>
          <w:color w:val="auto"/>
          <w:sz w:val="32"/>
          <w:szCs w:val="21"/>
        </w:rPr>
        <w:t>采购代理机构：</w:t>
      </w:r>
      <w:r>
        <w:rPr>
          <w:rFonts w:hint="eastAsia" w:ascii="宋体"/>
          <w:b/>
          <w:color w:val="auto"/>
          <w:sz w:val="32"/>
          <w:szCs w:val="21"/>
          <w:u w:val="single"/>
        </w:rPr>
        <w:t>娄底市政府采购中心</w:t>
      </w:r>
    </w:p>
    <w:p w14:paraId="34711B38">
      <w:pPr>
        <w:pStyle w:val="22"/>
        <w:adjustRightInd w:val="0"/>
        <w:snapToGrid w:val="0"/>
        <w:spacing w:line="360" w:lineRule="auto"/>
        <w:jc w:val="center"/>
        <w:rPr>
          <w:rFonts w:hAnsi="宋体"/>
          <w:bCs/>
          <w:color w:val="auto"/>
          <w:sz w:val="32"/>
          <w:szCs w:val="32"/>
        </w:rPr>
      </w:pPr>
    </w:p>
    <w:p w14:paraId="7D451DF5">
      <w:pPr>
        <w:pStyle w:val="22"/>
        <w:adjustRightInd w:val="0"/>
        <w:snapToGrid w:val="0"/>
        <w:spacing w:line="240" w:lineRule="atLeast"/>
        <w:jc w:val="center"/>
        <w:rPr>
          <w:rFonts w:hAnsi="宋体"/>
          <w:bCs/>
          <w:color w:val="auto"/>
          <w:sz w:val="32"/>
          <w:szCs w:val="32"/>
        </w:rPr>
      </w:pPr>
    </w:p>
    <w:p w14:paraId="246662FA">
      <w:pPr>
        <w:pStyle w:val="22"/>
        <w:adjustRightInd w:val="0"/>
        <w:snapToGrid w:val="0"/>
        <w:spacing w:line="240" w:lineRule="atLeast"/>
        <w:jc w:val="center"/>
        <w:rPr>
          <w:rFonts w:hAnsi="宋体"/>
          <w:bCs/>
          <w:color w:val="auto"/>
          <w:sz w:val="30"/>
          <w:szCs w:val="30"/>
        </w:rPr>
      </w:pPr>
    </w:p>
    <w:p w14:paraId="5ACCDDDF">
      <w:pPr>
        <w:pStyle w:val="22"/>
        <w:adjustRightInd w:val="0"/>
        <w:snapToGrid w:val="0"/>
        <w:spacing w:line="240" w:lineRule="atLeast"/>
        <w:ind w:firstLine="3534" w:firstLineChars="1100"/>
        <w:jc w:val="both"/>
        <w:rPr>
          <w:rFonts w:ascii="华文中宋" w:hAnsi="华文中宋" w:eastAsia="华文中宋"/>
          <w:b/>
          <w:color w:val="auto"/>
          <w:spacing w:val="160"/>
          <w:sz w:val="36"/>
          <w:szCs w:val="36"/>
        </w:rPr>
      </w:pPr>
      <w:r>
        <w:rPr>
          <w:rFonts w:hint="eastAsia" w:hAnsi="宋体"/>
          <w:b/>
          <w:color w:val="auto"/>
          <w:sz w:val="32"/>
        </w:rPr>
        <w:t>202</w:t>
      </w:r>
      <w:r>
        <w:rPr>
          <w:rFonts w:hint="eastAsia" w:hAnsi="宋体"/>
          <w:b/>
          <w:color w:val="auto"/>
          <w:sz w:val="32"/>
          <w:lang w:val="en-US" w:eastAsia="zh-CN"/>
        </w:rPr>
        <w:t>6</w:t>
      </w:r>
      <w:r>
        <w:rPr>
          <w:rFonts w:hint="eastAsia" w:hAnsi="宋体"/>
          <w:b/>
          <w:color w:val="auto"/>
          <w:sz w:val="32"/>
        </w:rPr>
        <w:t>年</w:t>
      </w:r>
      <w:r>
        <w:rPr>
          <w:rFonts w:hint="eastAsia" w:hAnsi="宋体"/>
          <w:b/>
          <w:color w:val="auto"/>
          <w:sz w:val="32"/>
          <w:lang w:val="en-US" w:eastAsia="zh-CN"/>
        </w:rPr>
        <w:t>9</w:t>
      </w:r>
      <w:r>
        <w:rPr>
          <w:rFonts w:hint="eastAsia" w:hAnsi="宋体"/>
          <w:b/>
          <w:color w:val="auto"/>
          <w:sz w:val="32"/>
        </w:rPr>
        <w:t>月</w:t>
      </w:r>
      <w:r>
        <w:rPr>
          <w:rFonts w:hint="eastAsia" w:ascii="华文中宋" w:hAnsi="华文中宋" w:eastAsia="华文中宋"/>
          <w:b/>
          <w:color w:val="auto"/>
          <w:spacing w:val="160"/>
          <w:sz w:val="36"/>
          <w:szCs w:val="36"/>
        </w:rPr>
        <w:br w:type="page"/>
      </w:r>
    </w:p>
    <w:p w14:paraId="77C4DC7C">
      <w:pPr>
        <w:pStyle w:val="22"/>
        <w:adjustRightInd w:val="0"/>
        <w:snapToGrid w:val="0"/>
        <w:spacing w:line="360" w:lineRule="auto"/>
        <w:jc w:val="center"/>
        <w:rPr>
          <w:rFonts w:ascii="华文中宋" w:hAnsi="华文中宋" w:eastAsia="华文中宋"/>
          <w:b/>
          <w:color w:val="auto"/>
          <w:spacing w:val="160"/>
          <w:sz w:val="36"/>
          <w:szCs w:val="36"/>
        </w:rPr>
      </w:pPr>
      <w:r>
        <w:rPr>
          <w:rFonts w:hint="eastAsia" w:ascii="华文中宋" w:hAnsi="华文中宋" w:eastAsia="华文中宋"/>
          <w:b/>
          <w:color w:val="auto"/>
          <w:spacing w:val="160"/>
          <w:sz w:val="36"/>
          <w:szCs w:val="36"/>
        </w:rPr>
        <w:t>目录</w:t>
      </w:r>
    </w:p>
    <w:p w14:paraId="501DB073">
      <w:pPr>
        <w:pStyle w:val="30"/>
        <w:tabs>
          <w:tab w:val="right" w:leader="dot" w:pos="8844"/>
          <w:tab w:val="clear" w:pos="1680"/>
          <w:tab w:val="clear" w:pos="8834"/>
        </w:tabs>
        <w:rPr>
          <w:color w:val="auto"/>
        </w:rPr>
      </w:pPr>
      <w:bookmarkStart w:id="0" w:name="_Toc21001314"/>
      <w:bookmarkStart w:id="1" w:name="_Toc35421027"/>
      <w:bookmarkStart w:id="2" w:name="_Toc20988241"/>
      <w:bookmarkStart w:id="3" w:name="_Toc21000471"/>
      <w:bookmarkStart w:id="4" w:name="_Toc20642243"/>
      <w:bookmarkStart w:id="5" w:name="_Toc20816073"/>
      <w:bookmarkStart w:id="6" w:name="_Toc34720698"/>
      <w:bookmarkStart w:id="7" w:name="_Toc53472201"/>
      <w:r>
        <w:rPr>
          <w:color w:val="auto"/>
        </w:rPr>
        <w:fldChar w:fldCharType="begin"/>
      </w:r>
      <w:r>
        <w:rPr>
          <w:color w:val="auto"/>
        </w:rPr>
        <w:instrText xml:space="preserve">TOC \o "1-3" \h \u </w:instrText>
      </w:r>
      <w:r>
        <w:rPr>
          <w:color w:val="auto"/>
        </w:rPr>
        <w:fldChar w:fldCharType="separate"/>
      </w:r>
      <w:r>
        <w:rPr>
          <w:color w:val="auto"/>
        </w:rPr>
        <w:fldChar w:fldCharType="begin"/>
      </w:r>
      <w:r>
        <w:rPr>
          <w:color w:val="auto"/>
        </w:rPr>
        <w:instrText xml:space="preserve"> HYPERLINK \l "_Toc13226" </w:instrText>
      </w:r>
      <w:r>
        <w:rPr>
          <w:color w:val="auto"/>
        </w:rPr>
        <w:fldChar w:fldCharType="separate"/>
      </w:r>
      <w:r>
        <w:rPr>
          <w:rFonts w:hint="eastAsia" w:ascii="黑体" w:hAnsi="华文中宋" w:eastAsia="黑体"/>
          <w:color w:val="auto"/>
          <w:szCs w:val="32"/>
        </w:rPr>
        <w:t>第一章</w:t>
      </w:r>
      <w:r>
        <w:rPr>
          <w:rFonts w:hint="eastAsia" w:ascii="黑体" w:hAnsi="华文中宋" w:eastAsia="黑体"/>
          <w:color w:val="auto"/>
          <w:szCs w:val="32"/>
          <w:lang w:eastAsia="zh-CN"/>
        </w:rPr>
        <w:t>新化县紧密型县域医共体医疗卫生强基工程建设项目医疗设备采购</w:t>
      </w:r>
      <w:r>
        <w:rPr>
          <w:rFonts w:hint="eastAsia" w:ascii="黑体" w:hAnsi="华文中宋" w:eastAsia="黑体"/>
          <w:color w:val="auto"/>
          <w:szCs w:val="32"/>
        </w:rPr>
        <w:t>公开招标</w:t>
      </w:r>
      <w:r>
        <w:rPr>
          <w:rFonts w:hint="eastAsia" w:ascii="黑体" w:hAnsi="华文中宋" w:eastAsia="黑体"/>
          <w:color w:val="auto"/>
          <w:szCs w:val="32"/>
        </w:rPr>
        <w:fldChar w:fldCharType="end"/>
      </w:r>
    </w:p>
    <w:p w14:paraId="5A750755">
      <w:pPr>
        <w:pStyle w:val="30"/>
        <w:tabs>
          <w:tab w:val="right" w:leader="dot" w:pos="8844"/>
          <w:tab w:val="clear" w:pos="1680"/>
          <w:tab w:val="clear" w:pos="8834"/>
        </w:tabs>
        <w:rPr>
          <w:color w:val="auto"/>
        </w:rPr>
      </w:pPr>
      <w:r>
        <w:rPr>
          <w:color w:val="auto"/>
        </w:rPr>
        <w:fldChar w:fldCharType="begin"/>
      </w:r>
      <w:r>
        <w:rPr>
          <w:color w:val="auto"/>
        </w:rPr>
        <w:instrText xml:space="preserve"> HYPERLINK \l "_Toc6830" </w:instrText>
      </w:r>
      <w:r>
        <w:rPr>
          <w:color w:val="auto"/>
        </w:rPr>
        <w:fldChar w:fldCharType="separate"/>
      </w:r>
      <w:r>
        <w:rPr>
          <w:rFonts w:hint="eastAsia" w:ascii="黑体" w:hAnsi="华文中宋" w:eastAsia="黑体"/>
          <w:color w:val="auto"/>
          <w:szCs w:val="32"/>
        </w:rPr>
        <w:t>第二章 投标须知</w:t>
      </w:r>
      <w:r>
        <w:rPr>
          <w:color w:val="auto"/>
        </w:rPr>
        <w:tab/>
      </w:r>
      <w:r>
        <w:rPr>
          <w:color w:val="auto"/>
        </w:rPr>
        <w:fldChar w:fldCharType="begin"/>
      </w:r>
      <w:r>
        <w:rPr>
          <w:color w:val="auto"/>
        </w:rPr>
        <w:instrText xml:space="preserve"> PAGEREF _Toc6830 \h </w:instrText>
      </w:r>
      <w:r>
        <w:rPr>
          <w:color w:val="auto"/>
        </w:rPr>
        <w:fldChar w:fldCharType="separate"/>
      </w:r>
      <w:r>
        <w:rPr>
          <w:color w:val="auto"/>
        </w:rPr>
        <w:t>8</w:t>
      </w:r>
      <w:r>
        <w:rPr>
          <w:color w:val="auto"/>
        </w:rPr>
        <w:fldChar w:fldCharType="end"/>
      </w:r>
      <w:r>
        <w:rPr>
          <w:color w:val="auto"/>
        </w:rPr>
        <w:fldChar w:fldCharType="end"/>
      </w:r>
    </w:p>
    <w:p w14:paraId="67BBDB20">
      <w:pPr>
        <w:pStyle w:val="36"/>
        <w:tabs>
          <w:tab w:val="right" w:leader="dot" w:pos="8844"/>
        </w:tabs>
        <w:ind w:left="420"/>
        <w:rPr>
          <w:color w:val="auto"/>
        </w:rPr>
      </w:pPr>
      <w:r>
        <w:rPr>
          <w:color w:val="auto"/>
        </w:rPr>
        <w:fldChar w:fldCharType="begin"/>
      </w:r>
      <w:r>
        <w:rPr>
          <w:color w:val="auto"/>
        </w:rPr>
        <w:instrText xml:space="preserve"> HYPERLINK \l "_Toc28661" </w:instrText>
      </w:r>
      <w:r>
        <w:rPr>
          <w:color w:val="auto"/>
        </w:rPr>
        <w:fldChar w:fldCharType="separate"/>
      </w:r>
      <w:r>
        <w:rPr>
          <w:rFonts w:hint="eastAsia" w:ascii="黑体" w:hAnsi="华文中宋" w:eastAsia="黑体"/>
          <w:color w:val="auto"/>
          <w:szCs w:val="28"/>
        </w:rPr>
        <w:t>第一节  投标须知前附表</w:t>
      </w:r>
      <w:r>
        <w:rPr>
          <w:color w:val="auto"/>
        </w:rPr>
        <w:tab/>
      </w:r>
      <w:r>
        <w:rPr>
          <w:color w:val="auto"/>
        </w:rPr>
        <w:fldChar w:fldCharType="begin"/>
      </w:r>
      <w:r>
        <w:rPr>
          <w:color w:val="auto"/>
        </w:rPr>
        <w:instrText xml:space="preserve"> PAGEREF _Toc28661 \h </w:instrText>
      </w:r>
      <w:r>
        <w:rPr>
          <w:color w:val="auto"/>
        </w:rPr>
        <w:fldChar w:fldCharType="separate"/>
      </w:r>
      <w:r>
        <w:rPr>
          <w:color w:val="auto"/>
        </w:rPr>
        <w:t>8</w:t>
      </w:r>
      <w:r>
        <w:rPr>
          <w:color w:val="auto"/>
        </w:rPr>
        <w:fldChar w:fldCharType="end"/>
      </w:r>
      <w:r>
        <w:rPr>
          <w:color w:val="auto"/>
        </w:rPr>
        <w:fldChar w:fldCharType="end"/>
      </w:r>
    </w:p>
    <w:p w14:paraId="0F5BD7AA">
      <w:pPr>
        <w:pStyle w:val="36"/>
        <w:tabs>
          <w:tab w:val="right" w:leader="dot" w:pos="8844"/>
        </w:tabs>
        <w:ind w:left="420"/>
        <w:rPr>
          <w:color w:val="auto"/>
        </w:rPr>
      </w:pPr>
      <w:r>
        <w:rPr>
          <w:color w:val="auto"/>
        </w:rPr>
        <w:fldChar w:fldCharType="begin"/>
      </w:r>
      <w:r>
        <w:rPr>
          <w:color w:val="auto"/>
        </w:rPr>
        <w:instrText xml:space="preserve"> HYPERLINK \l "_Toc13144" </w:instrText>
      </w:r>
      <w:r>
        <w:rPr>
          <w:color w:val="auto"/>
        </w:rPr>
        <w:fldChar w:fldCharType="separate"/>
      </w:r>
      <w:r>
        <w:rPr>
          <w:rFonts w:hint="eastAsia" w:ascii="黑体" w:hAnsi="黑体" w:eastAsia="黑体"/>
          <w:color w:val="auto"/>
          <w:szCs w:val="28"/>
        </w:rPr>
        <w:t>第二节投标须知正文</w:t>
      </w:r>
      <w:r>
        <w:rPr>
          <w:color w:val="auto"/>
        </w:rPr>
        <w:tab/>
      </w:r>
      <w:r>
        <w:rPr>
          <w:color w:val="auto"/>
        </w:rPr>
        <w:fldChar w:fldCharType="begin"/>
      </w:r>
      <w:r>
        <w:rPr>
          <w:color w:val="auto"/>
        </w:rPr>
        <w:instrText xml:space="preserve"> PAGEREF _Toc13144 \h </w:instrText>
      </w:r>
      <w:r>
        <w:rPr>
          <w:color w:val="auto"/>
        </w:rPr>
        <w:fldChar w:fldCharType="separate"/>
      </w:r>
      <w:r>
        <w:rPr>
          <w:color w:val="auto"/>
        </w:rPr>
        <w:t>12</w:t>
      </w:r>
      <w:r>
        <w:rPr>
          <w:color w:val="auto"/>
        </w:rPr>
        <w:fldChar w:fldCharType="end"/>
      </w:r>
      <w:r>
        <w:rPr>
          <w:color w:val="auto"/>
        </w:rPr>
        <w:fldChar w:fldCharType="end"/>
      </w:r>
    </w:p>
    <w:p w14:paraId="2822D43E">
      <w:pPr>
        <w:pStyle w:val="21"/>
        <w:tabs>
          <w:tab w:val="right" w:leader="dot" w:pos="8844"/>
        </w:tabs>
        <w:ind w:left="840"/>
        <w:rPr>
          <w:color w:val="auto"/>
        </w:rPr>
      </w:pPr>
      <w:r>
        <w:rPr>
          <w:color w:val="auto"/>
        </w:rPr>
        <w:fldChar w:fldCharType="begin"/>
      </w:r>
      <w:r>
        <w:rPr>
          <w:color w:val="auto"/>
        </w:rPr>
        <w:instrText xml:space="preserve"> HYPERLINK \l "_Toc14584" </w:instrText>
      </w:r>
      <w:r>
        <w:rPr>
          <w:color w:val="auto"/>
        </w:rPr>
        <w:fldChar w:fldCharType="separate"/>
      </w:r>
      <w:r>
        <w:rPr>
          <w:rFonts w:hint="eastAsia" w:ascii="黑体" w:hAnsi="黑体" w:eastAsia="黑体"/>
          <w:color w:val="auto"/>
          <w:szCs w:val="28"/>
        </w:rPr>
        <w:t>一、总则</w:t>
      </w:r>
      <w:r>
        <w:rPr>
          <w:color w:val="auto"/>
        </w:rPr>
        <w:tab/>
      </w:r>
      <w:r>
        <w:rPr>
          <w:color w:val="auto"/>
        </w:rPr>
        <w:fldChar w:fldCharType="begin"/>
      </w:r>
      <w:r>
        <w:rPr>
          <w:color w:val="auto"/>
        </w:rPr>
        <w:instrText xml:space="preserve"> PAGEREF _Toc14584 \h </w:instrText>
      </w:r>
      <w:r>
        <w:rPr>
          <w:color w:val="auto"/>
        </w:rPr>
        <w:fldChar w:fldCharType="separate"/>
      </w:r>
      <w:r>
        <w:rPr>
          <w:color w:val="auto"/>
        </w:rPr>
        <w:t>12</w:t>
      </w:r>
      <w:r>
        <w:rPr>
          <w:color w:val="auto"/>
        </w:rPr>
        <w:fldChar w:fldCharType="end"/>
      </w:r>
      <w:r>
        <w:rPr>
          <w:color w:val="auto"/>
        </w:rPr>
        <w:fldChar w:fldCharType="end"/>
      </w:r>
    </w:p>
    <w:p w14:paraId="1B6A6D61">
      <w:pPr>
        <w:pStyle w:val="21"/>
        <w:tabs>
          <w:tab w:val="right" w:leader="dot" w:pos="8844"/>
        </w:tabs>
        <w:ind w:left="840"/>
        <w:rPr>
          <w:color w:val="auto"/>
        </w:rPr>
      </w:pPr>
      <w:r>
        <w:rPr>
          <w:color w:val="auto"/>
        </w:rPr>
        <w:fldChar w:fldCharType="begin"/>
      </w:r>
      <w:r>
        <w:rPr>
          <w:color w:val="auto"/>
        </w:rPr>
        <w:instrText xml:space="preserve"> HYPERLINK \l "_Toc11373" </w:instrText>
      </w:r>
      <w:r>
        <w:rPr>
          <w:color w:val="auto"/>
        </w:rPr>
        <w:fldChar w:fldCharType="separate"/>
      </w:r>
      <w:r>
        <w:rPr>
          <w:rFonts w:hint="eastAsia" w:ascii="黑体" w:hAnsi="黑体" w:eastAsia="黑体"/>
          <w:color w:val="auto"/>
          <w:szCs w:val="28"/>
        </w:rPr>
        <w:t>二、招标文件</w:t>
      </w:r>
      <w:r>
        <w:rPr>
          <w:color w:val="auto"/>
        </w:rPr>
        <w:tab/>
      </w:r>
      <w:r>
        <w:rPr>
          <w:color w:val="auto"/>
        </w:rPr>
        <w:fldChar w:fldCharType="begin"/>
      </w:r>
      <w:r>
        <w:rPr>
          <w:color w:val="auto"/>
        </w:rPr>
        <w:instrText xml:space="preserve"> PAGEREF _Toc11373 \h </w:instrText>
      </w:r>
      <w:r>
        <w:rPr>
          <w:color w:val="auto"/>
        </w:rPr>
        <w:fldChar w:fldCharType="separate"/>
      </w:r>
      <w:r>
        <w:rPr>
          <w:color w:val="auto"/>
        </w:rPr>
        <w:t>12</w:t>
      </w:r>
      <w:r>
        <w:rPr>
          <w:color w:val="auto"/>
        </w:rPr>
        <w:fldChar w:fldCharType="end"/>
      </w:r>
      <w:r>
        <w:rPr>
          <w:color w:val="auto"/>
        </w:rPr>
        <w:fldChar w:fldCharType="end"/>
      </w:r>
    </w:p>
    <w:p w14:paraId="68A58033">
      <w:pPr>
        <w:pStyle w:val="21"/>
        <w:tabs>
          <w:tab w:val="right" w:leader="dot" w:pos="8844"/>
        </w:tabs>
        <w:ind w:left="840"/>
        <w:rPr>
          <w:color w:val="auto"/>
        </w:rPr>
      </w:pPr>
      <w:r>
        <w:rPr>
          <w:color w:val="auto"/>
        </w:rPr>
        <w:fldChar w:fldCharType="begin"/>
      </w:r>
      <w:r>
        <w:rPr>
          <w:color w:val="auto"/>
        </w:rPr>
        <w:instrText xml:space="preserve"> HYPERLINK \l "_Toc10752" </w:instrText>
      </w:r>
      <w:r>
        <w:rPr>
          <w:color w:val="auto"/>
        </w:rPr>
        <w:fldChar w:fldCharType="separate"/>
      </w:r>
      <w:r>
        <w:rPr>
          <w:rFonts w:hint="eastAsia" w:ascii="黑体" w:hAnsi="黑体" w:eastAsia="黑体"/>
          <w:color w:val="auto"/>
          <w:szCs w:val="28"/>
        </w:rPr>
        <w:t>三、投标文件</w:t>
      </w:r>
      <w:r>
        <w:rPr>
          <w:color w:val="auto"/>
        </w:rPr>
        <w:tab/>
      </w:r>
      <w:r>
        <w:rPr>
          <w:color w:val="auto"/>
        </w:rPr>
        <w:fldChar w:fldCharType="begin"/>
      </w:r>
      <w:r>
        <w:rPr>
          <w:color w:val="auto"/>
        </w:rPr>
        <w:instrText xml:space="preserve"> PAGEREF _Toc10752 \h </w:instrText>
      </w:r>
      <w:r>
        <w:rPr>
          <w:color w:val="auto"/>
        </w:rPr>
        <w:fldChar w:fldCharType="separate"/>
      </w:r>
      <w:r>
        <w:rPr>
          <w:color w:val="auto"/>
        </w:rPr>
        <w:t>13</w:t>
      </w:r>
      <w:r>
        <w:rPr>
          <w:color w:val="auto"/>
        </w:rPr>
        <w:fldChar w:fldCharType="end"/>
      </w:r>
      <w:r>
        <w:rPr>
          <w:color w:val="auto"/>
        </w:rPr>
        <w:fldChar w:fldCharType="end"/>
      </w:r>
    </w:p>
    <w:p w14:paraId="3221CB24">
      <w:pPr>
        <w:pStyle w:val="21"/>
        <w:tabs>
          <w:tab w:val="right" w:leader="dot" w:pos="8844"/>
        </w:tabs>
        <w:ind w:left="840"/>
        <w:rPr>
          <w:color w:val="auto"/>
        </w:rPr>
      </w:pPr>
      <w:r>
        <w:rPr>
          <w:color w:val="auto"/>
        </w:rPr>
        <w:fldChar w:fldCharType="begin"/>
      </w:r>
      <w:r>
        <w:rPr>
          <w:color w:val="auto"/>
        </w:rPr>
        <w:instrText xml:space="preserve"> HYPERLINK \l "_Toc15009" </w:instrText>
      </w:r>
      <w:r>
        <w:rPr>
          <w:color w:val="auto"/>
        </w:rPr>
        <w:fldChar w:fldCharType="separate"/>
      </w:r>
      <w:r>
        <w:rPr>
          <w:rFonts w:hint="eastAsia" w:ascii="黑体" w:hAnsi="黑体" w:eastAsia="黑体"/>
          <w:color w:val="auto"/>
          <w:szCs w:val="28"/>
        </w:rPr>
        <w:t>四、投标</w:t>
      </w:r>
      <w:r>
        <w:rPr>
          <w:color w:val="auto"/>
        </w:rPr>
        <w:tab/>
      </w:r>
      <w:r>
        <w:rPr>
          <w:color w:val="auto"/>
        </w:rPr>
        <w:fldChar w:fldCharType="begin"/>
      </w:r>
      <w:r>
        <w:rPr>
          <w:color w:val="auto"/>
        </w:rPr>
        <w:instrText xml:space="preserve"> PAGEREF _Toc15009 \h </w:instrText>
      </w:r>
      <w:r>
        <w:rPr>
          <w:color w:val="auto"/>
        </w:rPr>
        <w:fldChar w:fldCharType="separate"/>
      </w:r>
      <w:r>
        <w:rPr>
          <w:color w:val="auto"/>
        </w:rPr>
        <w:t>16</w:t>
      </w:r>
      <w:r>
        <w:rPr>
          <w:color w:val="auto"/>
        </w:rPr>
        <w:fldChar w:fldCharType="end"/>
      </w:r>
      <w:r>
        <w:rPr>
          <w:color w:val="auto"/>
        </w:rPr>
        <w:fldChar w:fldCharType="end"/>
      </w:r>
    </w:p>
    <w:p w14:paraId="7A5C71C8">
      <w:pPr>
        <w:pStyle w:val="21"/>
        <w:tabs>
          <w:tab w:val="right" w:leader="dot" w:pos="8844"/>
        </w:tabs>
        <w:ind w:left="840"/>
        <w:rPr>
          <w:color w:val="auto"/>
        </w:rPr>
      </w:pPr>
      <w:r>
        <w:rPr>
          <w:color w:val="auto"/>
        </w:rPr>
        <w:fldChar w:fldCharType="begin"/>
      </w:r>
      <w:r>
        <w:rPr>
          <w:color w:val="auto"/>
        </w:rPr>
        <w:instrText xml:space="preserve"> HYPERLINK \l "_Toc31012" </w:instrText>
      </w:r>
      <w:r>
        <w:rPr>
          <w:color w:val="auto"/>
        </w:rPr>
        <w:fldChar w:fldCharType="separate"/>
      </w:r>
      <w:r>
        <w:rPr>
          <w:rFonts w:hint="eastAsia" w:ascii="黑体" w:hAnsi="黑体" w:eastAsia="黑体"/>
          <w:color w:val="auto"/>
          <w:szCs w:val="28"/>
        </w:rPr>
        <w:t>五、开标，资格审查和评标</w:t>
      </w:r>
      <w:r>
        <w:rPr>
          <w:color w:val="auto"/>
        </w:rPr>
        <w:tab/>
      </w:r>
      <w:r>
        <w:rPr>
          <w:color w:val="auto"/>
        </w:rPr>
        <w:fldChar w:fldCharType="begin"/>
      </w:r>
      <w:r>
        <w:rPr>
          <w:color w:val="auto"/>
        </w:rPr>
        <w:instrText xml:space="preserve"> PAGEREF _Toc31012 \h </w:instrText>
      </w:r>
      <w:r>
        <w:rPr>
          <w:color w:val="auto"/>
        </w:rPr>
        <w:fldChar w:fldCharType="separate"/>
      </w:r>
      <w:r>
        <w:rPr>
          <w:color w:val="auto"/>
        </w:rPr>
        <w:t>17</w:t>
      </w:r>
      <w:r>
        <w:rPr>
          <w:color w:val="auto"/>
        </w:rPr>
        <w:fldChar w:fldCharType="end"/>
      </w:r>
      <w:r>
        <w:rPr>
          <w:color w:val="auto"/>
        </w:rPr>
        <w:fldChar w:fldCharType="end"/>
      </w:r>
    </w:p>
    <w:p w14:paraId="05F56305">
      <w:pPr>
        <w:pStyle w:val="21"/>
        <w:tabs>
          <w:tab w:val="right" w:leader="dot" w:pos="8844"/>
        </w:tabs>
        <w:ind w:left="840"/>
        <w:rPr>
          <w:color w:val="auto"/>
        </w:rPr>
      </w:pPr>
      <w:r>
        <w:rPr>
          <w:color w:val="auto"/>
        </w:rPr>
        <w:fldChar w:fldCharType="begin"/>
      </w:r>
      <w:r>
        <w:rPr>
          <w:color w:val="auto"/>
        </w:rPr>
        <w:instrText xml:space="preserve"> HYPERLINK \l "_Toc1814" </w:instrText>
      </w:r>
      <w:r>
        <w:rPr>
          <w:color w:val="auto"/>
        </w:rPr>
        <w:fldChar w:fldCharType="separate"/>
      </w:r>
      <w:r>
        <w:rPr>
          <w:rFonts w:hint="eastAsia" w:ascii="黑体" w:hAnsi="黑体" w:eastAsia="黑体"/>
          <w:color w:val="auto"/>
          <w:szCs w:val="28"/>
        </w:rPr>
        <w:t>六、中标信息公布</w:t>
      </w:r>
      <w:r>
        <w:rPr>
          <w:color w:val="auto"/>
        </w:rPr>
        <w:tab/>
      </w:r>
      <w:r>
        <w:rPr>
          <w:color w:val="auto"/>
        </w:rPr>
        <w:fldChar w:fldCharType="begin"/>
      </w:r>
      <w:r>
        <w:rPr>
          <w:color w:val="auto"/>
        </w:rPr>
        <w:instrText xml:space="preserve"> PAGEREF _Toc1814 \h </w:instrText>
      </w:r>
      <w:r>
        <w:rPr>
          <w:color w:val="auto"/>
        </w:rPr>
        <w:fldChar w:fldCharType="separate"/>
      </w:r>
      <w:r>
        <w:rPr>
          <w:color w:val="auto"/>
        </w:rPr>
        <w:t>17</w:t>
      </w:r>
      <w:r>
        <w:rPr>
          <w:color w:val="auto"/>
        </w:rPr>
        <w:fldChar w:fldCharType="end"/>
      </w:r>
      <w:r>
        <w:rPr>
          <w:color w:val="auto"/>
        </w:rPr>
        <w:fldChar w:fldCharType="end"/>
      </w:r>
    </w:p>
    <w:p w14:paraId="276FE738">
      <w:pPr>
        <w:pStyle w:val="21"/>
        <w:tabs>
          <w:tab w:val="right" w:leader="dot" w:pos="8844"/>
        </w:tabs>
        <w:ind w:left="840"/>
        <w:rPr>
          <w:color w:val="auto"/>
        </w:rPr>
      </w:pPr>
      <w:r>
        <w:rPr>
          <w:color w:val="auto"/>
        </w:rPr>
        <w:fldChar w:fldCharType="begin"/>
      </w:r>
      <w:r>
        <w:rPr>
          <w:color w:val="auto"/>
        </w:rPr>
        <w:instrText xml:space="preserve"> HYPERLINK \l "_Toc28864" </w:instrText>
      </w:r>
      <w:r>
        <w:rPr>
          <w:color w:val="auto"/>
        </w:rPr>
        <w:fldChar w:fldCharType="separate"/>
      </w:r>
      <w:r>
        <w:rPr>
          <w:rFonts w:hint="eastAsia" w:ascii="黑体" w:hAnsi="黑体" w:eastAsia="黑体"/>
          <w:color w:val="auto"/>
          <w:szCs w:val="28"/>
        </w:rPr>
        <w:t>七、合同签订</w:t>
      </w:r>
      <w:r>
        <w:rPr>
          <w:color w:val="auto"/>
        </w:rPr>
        <w:tab/>
      </w:r>
      <w:r>
        <w:rPr>
          <w:color w:val="auto"/>
        </w:rPr>
        <w:fldChar w:fldCharType="begin"/>
      </w:r>
      <w:r>
        <w:rPr>
          <w:color w:val="auto"/>
        </w:rPr>
        <w:instrText xml:space="preserve"> PAGEREF _Toc28864 \h </w:instrText>
      </w:r>
      <w:r>
        <w:rPr>
          <w:color w:val="auto"/>
        </w:rPr>
        <w:fldChar w:fldCharType="separate"/>
      </w:r>
      <w:r>
        <w:rPr>
          <w:color w:val="auto"/>
        </w:rPr>
        <w:t>18</w:t>
      </w:r>
      <w:r>
        <w:rPr>
          <w:color w:val="auto"/>
        </w:rPr>
        <w:fldChar w:fldCharType="end"/>
      </w:r>
      <w:r>
        <w:rPr>
          <w:color w:val="auto"/>
        </w:rPr>
        <w:fldChar w:fldCharType="end"/>
      </w:r>
    </w:p>
    <w:p w14:paraId="31D5EBDD">
      <w:pPr>
        <w:pStyle w:val="21"/>
        <w:tabs>
          <w:tab w:val="right" w:leader="dot" w:pos="8844"/>
        </w:tabs>
        <w:ind w:left="840"/>
        <w:rPr>
          <w:color w:val="auto"/>
        </w:rPr>
      </w:pPr>
      <w:r>
        <w:rPr>
          <w:color w:val="auto"/>
        </w:rPr>
        <w:fldChar w:fldCharType="begin"/>
      </w:r>
      <w:r>
        <w:rPr>
          <w:color w:val="auto"/>
        </w:rPr>
        <w:instrText xml:space="preserve"> HYPERLINK \l "_Toc26998" </w:instrText>
      </w:r>
      <w:r>
        <w:rPr>
          <w:color w:val="auto"/>
        </w:rPr>
        <w:fldChar w:fldCharType="separate"/>
      </w:r>
      <w:r>
        <w:rPr>
          <w:rFonts w:hint="eastAsia" w:ascii="黑体" w:hAnsi="黑体" w:eastAsia="黑体"/>
          <w:color w:val="auto"/>
          <w:szCs w:val="28"/>
        </w:rPr>
        <w:t>八、政府采购政策</w:t>
      </w:r>
      <w:r>
        <w:rPr>
          <w:color w:val="auto"/>
        </w:rPr>
        <w:tab/>
      </w:r>
      <w:r>
        <w:rPr>
          <w:color w:val="auto"/>
        </w:rPr>
        <w:fldChar w:fldCharType="begin"/>
      </w:r>
      <w:r>
        <w:rPr>
          <w:color w:val="auto"/>
        </w:rPr>
        <w:instrText xml:space="preserve"> PAGEREF _Toc26998 \h </w:instrText>
      </w:r>
      <w:r>
        <w:rPr>
          <w:color w:val="auto"/>
        </w:rPr>
        <w:fldChar w:fldCharType="separate"/>
      </w:r>
      <w:r>
        <w:rPr>
          <w:color w:val="auto"/>
        </w:rPr>
        <w:t>19</w:t>
      </w:r>
      <w:r>
        <w:rPr>
          <w:color w:val="auto"/>
        </w:rPr>
        <w:fldChar w:fldCharType="end"/>
      </w:r>
      <w:r>
        <w:rPr>
          <w:color w:val="auto"/>
        </w:rPr>
        <w:fldChar w:fldCharType="end"/>
      </w:r>
    </w:p>
    <w:p w14:paraId="02CF3D59">
      <w:pPr>
        <w:pStyle w:val="21"/>
        <w:tabs>
          <w:tab w:val="right" w:leader="dot" w:pos="8844"/>
        </w:tabs>
        <w:ind w:left="840"/>
        <w:rPr>
          <w:color w:val="auto"/>
        </w:rPr>
      </w:pPr>
      <w:r>
        <w:rPr>
          <w:color w:val="auto"/>
        </w:rPr>
        <w:fldChar w:fldCharType="begin"/>
      </w:r>
      <w:r>
        <w:rPr>
          <w:color w:val="auto"/>
        </w:rPr>
        <w:instrText xml:space="preserve"> HYPERLINK \l "_Toc19876" </w:instrText>
      </w:r>
      <w:r>
        <w:rPr>
          <w:color w:val="auto"/>
        </w:rPr>
        <w:fldChar w:fldCharType="separate"/>
      </w:r>
      <w:r>
        <w:rPr>
          <w:rFonts w:hint="eastAsia" w:ascii="黑体" w:hAnsi="黑体" w:eastAsia="黑体"/>
          <w:color w:val="auto"/>
          <w:szCs w:val="28"/>
        </w:rPr>
        <w:t>九、其他规定</w:t>
      </w:r>
      <w:r>
        <w:rPr>
          <w:color w:val="auto"/>
        </w:rPr>
        <w:tab/>
      </w:r>
      <w:r>
        <w:rPr>
          <w:color w:val="auto"/>
        </w:rPr>
        <w:fldChar w:fldCharType="begin"/>
      </w:r>
      <w:r>
        <w:rPr>
          <w:color w:val="auto"/>
        </w:rPr>
        <w:instrText xml:space="preserve"> PAGEREF _Toc19876 \h </w:instrText>
      </w:r>
      <w:r>
        <w:rPr>
          <w:color w:val="auto"/>
        </w:rPr>
        <w:fldChar w:fldCharType="separate"/>
      </w:r>
      <w:r>
        <w:rPr>
          <w:color w:val="auto"/>
        </w:rPr>
        <w:t>20</w:t>
      </w:r>
      <w:r>
        <w:rPr>
          <w:color w:val="auto"/>
        </w:rPr>
        <w:fldChar w:fldCharType="end"/>
      </w:r>
      <w:r>
        <w:rPr>
          <w:color w:val="auto"/>
        </w:rPr>
        <w:fldChar w:fldCharType="end"/>
      </w:r>
    </w:p>
    <w:p w14:paraId="34851706">
      <w:pPr>
        <w:pStyle w:val="30"/>
        <w:tabs>
          <w:tab w:val="right" w:leader="dot" w:pos="8844"/>
          <w:tab w:val="clear" w:pos="1680"/>
          <w:tab w:val="clear" w:pos="8834"/>
        </w:tabs>
        <w:rPr>
          <w:color w:val="auto"/>
        </w:rPr>
      </w:pPr>
      <w:r>
        <w:rPr>
          <w:color w:val="auto"/>
        </w:rPr>
        <w:fldChar w:fldCharType="begin"/>
      </w:r>
      <w:r>
        <w:rPr>
          <w:color w:val="auto"/>
        </w:rPr>
        <w:instrText xml:space="preserve"> HYPERLINK \l "_Toc10200" </w:instrText>
      </w:r>
      <w:r>
        <w:rPr>
          <w:color w:val="auto"/>
        </w:rPr>
        <w:fldChar w:fldCharType="separate"/>
      </w:r>
      <w:r>
        <w:rPr>
          <w:rFonts w:hint="eastAsia" w:ascii="黑体" w:hAnsi="黑体" w:eastAsia="黑体"/>
          <w:color w:val="auto"/>
          <w:szCs w:val="32"/>
        </w:rPr>
        <w:t>第三章 资格审查</w:t>
      </w:r>
      <w:r>
        <w:rPr>
          <w:color w:val="auto"/>
        </w:rPr>
        <w:tab/>
      </w:r>
      <w:r>
        <w:rPr>
          <w:color w:val="auto"/>
        </w:rPr>
        <w:fldChar w:fldCharType="begin"/>
      </w:r>
      <w:r>
        <w:rPr>
          <w:color w:val="auto"/>
        </w:rPr>
        <w:instrText xml:space="preserve"> PAGEREF _Toc10200 \h </w:instrText>
      </w:r>
      <w:r>
        <w:rPr>
          <w:color w:val="auto"/>
        </w:rPr>
        <w:fldChar w:fldCharType="separate"/>
      </w:r>
      <w:r>
        <w:rPr>
          <w:color w:val="auto"/>
        </w:rPr>
        <w:t>22</w:t>
      </w:r>
      <w:r>
        <w:rPr>
          <w:color w:val="auto"/>
        </w:rPr>
        <w:fldChar w:fldCharType="end"/>
      </w:r>
      <w:r>
        <w:rPr>
          <w:color w:val="auto"/>
        </w:rPr>
        <w:fldChar w:fldCharType="end"/>
      </w:r>
    </w:p>
    <w:p w14:paraId="412E1135">
      <w:pPr>
        <w:pStyle w:val="21"/>
        <w:tabs>
          <w:tab w:val="right" w:leader="dot" w:pos="8844"/>
        </w:tabs>
        <w:ind w:left="840"/>
        <w:rPr>
          <w:color w:val="auto"/>
        </w:rPr>
      </w:pPr>
      <w:r>
        <w:rPr>
          <w:color w:val="auto"/>
        </w:rPr>
        <w:fldChar w:fldCharType="begin"/>
      </w:r>
      <w:r>
        <w:rPr>
          <w:color w:val="auto"/>
        </w:rPr>
        <w:instrText xml:space="preserve"> HYPERLINK \l "_Toc28660" </w:instrText>
      </w:r>
      <w:r>
        <w:rPr>
          <w:color w:val="auto"/>
        </w:rPr>
        <w:fldChar w:fldCharType="separate"/>
      </w:r>
      <w:r>
        <w:rPr>
          <w:rFonts w:hint="eastAsia" w:ascii="黑体" w:hAnsi="黑体" w:eastAsia="黑体"/>
          <w:color w:val="auto"/>
        </w:rPr>
        <w:t>1．</w:t>
      </w:r>
      <w:r>
        <w:rPr>
          <w:rFonts w:hint="eastAsia" w:ascii="宋体" w:hAnsi="宋体"/>
          <w:color w:val="auto"/>
        </w:rPr>
        <w:t>资格审查主体</w:t>
      </w:r>
      <w:r>
        <w:rPr>
          <w:color w:val="auto"/>
        </w:rPr>
        <w:tab/>
      </w:r>
      <w:r>
        <w:rPr>
          <w:color w:val="auto"/>
        </w:rPr>
        <w:fldChar w:fldCharType="begin"/>
      </w:r>
      <w:r>
        <w:rPr>
          <w:color w:val="auto"/>
        </w:rPr>
        <w:instrText xml:space="preserve"> PAGEREF _Toc28660 \h </w:instrText>
      </w:r>
      <w:r>
        <w:rPr>
          <w:color w:val="auto"/>
        </w:rPr>
        <w:fldChar w:fldCharType="separate"/>
      </w:r>
      <w:r>
        <w:rPr>
          <w:color w:val="auto"/>
        </w:rPr>
        <w:t>22</w:t>
      </w:r>
      <w:r>
        <w:rPr>
          <w:color w:val="auto"/>
        </w:rPr>
        <w:fldChar w:fldCharType="end"/>
      </w:r>
      <w:r>
        <w:rPr>
          <w:color w:val="auto"/>
        </w:rPr>
        <w:fldChar w:fldCharType="end"/>
      </w:r>
    </w:p>
    <w:p w14:paraId="2682E519">
      <w:pPr>
        <w:pStyle w:val="21"/>
        <w:tabs>
          <w:tab w:val="right" w:leader="dot" w:pos="8844"/>
        </w:tabs>
        <w:ind w:left="840"/>
        <w:rPr>
          <w:color w:val="auto"/>
        </w:rPr>
      </w:pPr>
      <w:r>
        <w:rPr>
          <w:color w:val="auto"/>
        </w:rPr>
        <w:fldChar w:fldCharType="begin"/>
      </w:r>
      <w:r>
        <w:rPr>
          <w:color w:val="auto"/>
        </w:rPr>
        <w:instrText xml:space="preserve"> HYPERLINK \l "_Toc4781" </w:instrText>
      </w:r>
      <w:r>
        <w:rPr>
          <w:color w:val="auto"/>
        </w:rPr>
        <w:fldChar w:fldCharType="separate"/>
      </w:r>
      <w:r>
        <w:rPr>
          <w:rFonts w:hint="eastAsia" w:ascii="宋体" w:hAnsi="宋体"/>
          <w:color w:val="auto"/>
        </w:rPr>
        <w:t>2．资格审查</w:t>
      </w:r>
      <w:r>
        <w:rPr>
          <w:color w:val="auto"/>
        </w:rPr>
        <w:tab/>
      </w:r>
      <w:r>
        <w:rPr>
          <w:color w:val="auto"/>
        </w:rPr>
        <w:fldChar w:fldCharType="begin"/>
      </w:r>
      <w:r>
        <w:rPr>
          <w:color w:val="auto"/>
        </w:rPr>
        <w:instrText xml:space="preserve"> PAGEREF _Toc4781 \h </w:instrText>
      </w:r>
      <w:r>
        <w:rPr>
          <w:color w:val="auto"/>
        </w:rPr>
        <w:fldChar w:fldCharType="separate"/>
      </w:r>
      <w:r>
        <w:rPr>
          <w:color w:val="auto"/>
        </w:rPr>
        <w:t>22</w:t>
      </w:r>
      <w:r>
        <w:rPr>
          <w:color w:val="auto"/>
        </w:rPr>
        <w:fldChar w:fldCharType="end"/>
      </w:r>
      <w:r>
        <w:rPr>
          <w:color w:val="auto"/>
        </w:rPr>
        <w:fldChar w:fldCharType="end"/>
      </w:r>
    </w:p>
    <w:p w14:paraId="1FDD137E">
      <w:pPr>
        <w:pStyle w:val="21"/>
        <w:tabs>
          <w:tab w:val="right" w:leader="dot" w:pos="8844"/>
        </w:tabs>
        <w:ind w:left="840"/>
        <w:rPr>
          <w:color w:val="auto"/>
        </w:rPr>
      </w:pPr>
      <w:r>
        <w:rPr>
          <w:color w:val="auto"/>
        </w:rPr>
        <w:fldChar w:fldCharType="begin"/>
      </w:r>
      <w:r>
        <w:rPr>
          <w:color w:val="auto"/>
        </w:rPr>
        <w:instrText xml:space="preserve"> HYPERLINK \l "_Toc31688" </w:instrText>
      </w:r>
      <w:r>
        <w:rPr>
          <w:color w:val="auto"/>
        </w:rPr>
        <w:fldChar w:fldCharType="separate"/>
      </w:r>
      <w:r>
        <w:rPr>
          <w:rFonts w:hint="eastAsia" w:ascii="宋体" w:hAnsi="宋体"/>
          <w:color w:val="auto"/>
        </w:rPr>
        <w:t>3．资格审查结果</w:t>
      </w:r>
      <w:r>
        <w:rPr>
          <w:color w:val="auto"/>
        </w:rPr>
        <w:tab/>
      </w:r>
      <w:r>
        <w:rPr>
          <w:color w:val="auto"/>
        </w:rPr>
        <w:fldChar w:fldCharType="begin"/>
      </w:r>
      <w:r>
        <w:rPr>
          <w:color w:val="auto"/>
        </w:rPr>
        <w:instrText xml:space="preserve"> PAGEREF _Toc31688 \h </w:instrText>
      </w:r>
      <w:r>
        <w:rPr>
          <w:color w:val="auto"/>
        </w:rPr>
        <w:fldChar w:fldCharType="separate"/>
      </w:r>
      <w:r>
        <w:rPr>
          <w:color w:val="auto"/>
        </w:rPr>
        <w:t>22</w:t>
      </w:r>
      <w:r>
        <w:rPr>
          <w:color w:val="auto"/>
        </w:rPr>
        <w:fldChar w:fldCharType="end"/>
      </w:r>
      <w:r>
        <w:rPr>
          <w:color w:val="auto"/>
        </w:rPr>
        <w:fldChar w:fldCharType="end"/>
      </w:r>
    </w:p>
    <w:p w14:paraId="6CA13773">
      <w:pPr>
        <w:pStyle w:val="36"/>
        <w:tabs>
          <w:tab w:val="right" w:leader="dot" w:pos="8844"/>
        </w:tabs>
        <w:ind w:left="420"/>
        <w:rPr>
          <w:color w:val="auto"/>
        </w:rPr>
      </w:pPr>
      <w:r>
        <w:rPr>
          <w:color w:val="auto"/>
        </w:rPr>
        <w:fldChar w:fldCharType="begin"/>
      </w:r>
      <w:r>
        <w:rPr>
          <w:color w:val="auto"/>
        </w:rPr>
        <w:instrText xml:space="preserve"> HYPERLINK \l "_Toc17746" </w:instrText>
      </w:r>
      <w:r>
        <w:rPr>
          <w:color w:val="auto"/>
        </w:rPr>
        <w:fldChar w:fldCharType="separate"/>
      </w:r>
      <w:r>
        <w:rPr>
          <w:rFonts w:ascii="黑体" w:hAnsi="黑体" w:eastAsia="黑体"/>
          <w:color w:val="auto"/>
          <w:szCs w:val="28"/>
        </w:rPr>
        <w:t>资格审查表</w:t>
      </w:r>
      <w:r>
        <w:rPr>
          <w:color w:val="auto"/>
        </w:rPr>
        <w:tab/>
      </w:r>
      <w:r>
        <w:rPr>
          <w:rFonts w:hint="eastAsia"/>
          <w:color w:val="auto"/>
          <w:lang w:val="en-US" w:eastAsia="zh-CN"/>
        </w:rPr>
        <w:t xml:space="preserve">23 </w:t>
      </w:r>
      <w:r>
        <w:rPr>
          <w:color w:val="auto"/>
        </w:rPr>
        <w:fldChar w:fldCharType="end"/>
      </w:r>
    </w:p>
    <w:p w14:paraId="3A65CF3B">
      <w:pPr>
        <w:pStyle w:val="36"/>
        <w:tabs>
          <w:tab w:val="right" w:leader="dot" w:pos="8844"/>
        </w:tabs>
        <w:ind w:left="420"/>
        <w:rPr>
          <w:color w:val="auto"/>
        </w:rPr>
      </w:pPr>
      <w:r>
        <w:rPr>
          <w:color w:val="auto"/>
        </w:rPr>
        <w:fldChar w:fldCharType="begin"/>
      </w:r>
      <w:r>
        <w:rPr>
          <w:color w:val="auto"/>
        </w:rPr>
        <w:instrText xml:space="preserve"> HYPERLINK \l "_Toc12303" </w:instrText>
      </w:r>
      <w:r>
        <w:rPr>
          <w:color w:val="auto"/>
        </w:rPr>
        <w:fldChar w:fldCharType="separate"/>
      </w:r>
      <w:r>
        <w:rPr>
          <w:rFonts w:hint="eastAsia" w:ascii="黑体" w:hAnsi="黑体" w:eastAsia="黑体"/>
          <w:color w:val="auto"/>
          <w:szCs w:val="28"/>
        </w:rPr>
        <w:t>资格审查结果一览表</w:t>
      </w:r>
      <w:r>
        <w:rPr>
          <w:color w:val="auto"/>
        </w:rPr>
        <w:tab/>
      </w:r>
      <w:r>
        <w:rPr>
          <w:color w:val="auto"/>
        </w:rPr>
        <w:fldChar w:fldCharType="begin"/>
      </w:r>
      <w:r>
        <w:rPr>
          <w:color w:val="auto"/>
        </w:rPr>
        <w:instrText xml:space="preserve"> PAGEREF _Toc12303 \h </w:instrText>
      </w:r>
      <w:r>
        <w:rPr>
          <w:color w:val="auto"/>
        </w:rPr>
        <w:fldChar w:fldCharType="separate"/>
      </w:r>
      <w:r>
        <w:rPr>
          <w:color w:val="auto"/>
        </w:rPr>
        <w:t>24</w:t>
      </w:r>
      <w:r>
        <w:rPr>
          <w:color w:val="auto"/>
        </w:rPr>
        <w:fldChar w:fldCharType="end"/>
      </w:r>
      <w:r>
        <w:rPr>
          <w:color w:val="auto"/>
        </w:rPr>
        <w:fldChar w:fldCharType="end"/>
      </w:r>
    </w:p>
    <w:p w14:paraId="6EACCCEC">
      <w:pPr>
        <w:pStyle w:val="36"/>
        <w:tabs>
          <w:tab w:val="right" w:leader="dot" w:pos="8844"/>
        </w:tabs>
        <w:ind w:left="420"/>
        <w:rPr>
          <w:color w:val="auto"/>
        </w:rPr>
      </w:pPr>
      <w:r>
        <w:rPr>
          <w:color w:val="auto"/>
        </w:rPr>
        <w:fldChar w:fldCharType="begin"/>
      </w:r>
      <w:r>
        <w:rPr>
          <w:color w:val="auto"/>
        </w:rPr>
        <w:instrText xml:space="preserve"> HYPERLINK \l "_Toc22523" </w:instrText>
      </w:r>
      <w:r>
        <w:rPr>
          <w:color w:val="auto"/>
        </w:rPr>
        <w:fldChar w:fldCharType="separate"/>
      </w:r>
      <w:r>
        <w:rPr>
          <w:rFonts w:hint="eastAsia" w:ascii="黑体" w:hAnsi="黑体" w:eastAsia="黑体"/>
          <w:color w:val="auto"/>
          <w:szCs w:val="28"/>
        </w:rPr>
        <w:t>资格审查合格投标人名单</w:t>
      </w:r>
      <w:r>
        <w:rPr>
          <w:color w:val="auto"/>
        </w:rPr>
        <w:tab/>
      </w:r>
      <w:r>
        <w:rPr>
          <w:color w:val="auto"/>
        </w:rPr>
        <w:fldChar w:fldCharType="begin"/>
      </w:r>
      <w:r>
        <w:rPr>
          <w:color w:val="auto"/>
        </w:rPr>
        <w:instrText xml:space="preserve"> PAGEREF _Toc22523 \h </w:instrText>
      </w:r>
      <w:r>
        <w:rPr>
          <w:color w:val="auto"/>
        </w:rPr>
        <w:fldChar w:fldCharType="separate"/>
      </w:r>
      <w:r>
        <w:rPr>
          <w:color w:val="auto"/>
        </w:rPr>
        <w:t>25</w:t>
      </w:r>
      <w:r>
        <w:rPr>
          <w:color w:val="auto"/>
        </w:rPr>
        <w:fldChar w:fldCharType="end"/>
      </w:r>
      <w:r>
        <w:rPr>
          <w:color w:val="auto"/>
        </w:rPr>
        <w:fldChar w:fldCharType="end"/>
      </w:r>
    </w:p>
    <w:p w14:paraId="666C80F8">
      <w:pPr>
        <w:pStyle w:val="30"/>
        <w:tabs>
          <w:tab w:val="right" w:leader="dot" w:pos="8844"/>
          <w:tab w:val="clear" w:pos="1680"/>
          <w:tab w:val="clear" w:pos="8834"/>
        </w:tabs>
        <w:rPr>
          <w:color w:val="auto"/>
        </w:rPr>
      </w:pPr>
      <w:r>
        <w:rPr>
          <w:color w:val="auto"/>
        </w:rPr>
        <w:fldChar w:fldCharType="begin"/>
      </w:r>
      <w:r>
        <w:rPr>
          <w:color w:val="auto"/>
        </w:rPr>
        <w:instrText xml:space="preserve"> HYPERLINK \l "_Toc11584" </w:instrText>
      </w:r>
      <w:r>
        <w:rPr>
          <w:color w:val="auto"/>
        </w:rPr>
        <w:fldChar w:fldCharType="separate"/>
      </w:r>
      <w:r>
        <w:rPr>
          <w:rFonts w:hint="eastAsia" w:ascii="黑体" w:hAnsi="华文中宋" w:eastAsia="黑体"/>
          <w:color w:val="auto"/>
          <w:szCs w:val="32"/>
        </w:rPr>
        <w:t>第四章  评标方法及标准</w:t>
      </w:r>
      <w:r>
        <w:rPr>
          <w:color w:val="auto"/>
        </w:rPr>
        <w:tab/>
      </w:r>
      <w:r>
        <w:rPr>
          <w:color w:val="auto"/>
        </w:rPr>
        <w:fldChar w:fldCharType="begin"/>
      </w:r>
      <w:r>
        <w:rPr>
          <w:color w:val="auto"/>
        </w:rPr>
        <w:instrText xml:space="preserve"> PAGEREF _Toc11584 \h </w:instrText>
      </w:r>
      <w:r>
        <w:rPr>
          <w:color w:val="auto"/>
        </w:rPr>
        <w:fldChar w:fldCharType="separate"/>
      </w:r>
      <w:r>
        <w:rPr>
          <w:color w:val="auto"/>
        </w:rPr>
        <w:t>26</w:t>
      </w:r>
      <w:r>
        <w:rPr>
          <w:color w:val="auto"/>
        </w:rPr>
        <w:fldChar w:fldCharType="end"/>
      </w:r>
      <w:r>
        <w:rPr>
          <w:color w:val="auto"/>
        </w:rPr>
        <w:fldChar w:fldCharType="end"/>
      </w:r>
    </w:p>
    <w:p w14:paraId="2A97D3EE">
      <w:pPr>
        <w:pStyle w:val="36"/>
        <w:tabs>
          <w:tab w:val="right" w:leader="dot" w:pos="8844"/>
        </w:tabs>
        <w:ind w:left="420"/>
        <w:rPr>
          <w:color w:val="auto"/>
        </w:rPr>
      </w:pPr>
      <w:r>
        <w:rPr>
          <w:color w:val="auto"/>
        </w:rPr>
        <w:fldChar w:fldCharType="begin"/>
      </w:r>
      <w:r>
        <w:rPr>
          <w:color w:val="auto"/>
        </w:rPr>
        <w:instrText xml:space="preserve"> HYPERLINK \l "_Toc30214" </w:instrText>
      </w:r>
      <w:r>
        <w:rPr>
          <w:color w:val="auto"/>
        </w:rPr>
        <w:fldChar w:fldCharType="separate"/>
      </w:r>
      <w:r>
        <w:rPr>
          <w:rFonts w:hint="eastAsia" w:ascii="黑体" w:hAnsi="华文中宋" w:eastAsia="黑体"/>
          <w:color w:val="auto"/>
          <w:szCs w:val="28"/>
        </w:rPr>
        <w:t>第一节  评标方法及标准前附表</w:t>
      </w:r>
      <w:r>
        <w:rPr>
          <w:color w:val="auto"/>
        </w:rPr>
        <w:tab/>
      </w:r>
      <w:r>
        <w:rPr>
          <w:color w:val="auto"/>
        </w:rPr>
        <w:fldChar w:fldCharType="begin"/>
      </w:r>
      <w:r>
        <w:rPr>
          <w:color w:val="auto"/>
        </w:rPr>
        <w:instrText xml:space="preserve"> PAGEREF _Toc30214 \h </w:instrText>
      </w:r>
      <w:r>
        <w:rPr>
          <w:color w:val="auto"/>
        </w:rPr>
        <w:fldChar w:fldCharType="separate"/>
      </w:r>
      <w:r>
        <w:rPr>
          <w:color w:val="auto"/>
        </w:rPr>
        <w:t>26</w:t>
      </w:r>
      <w:r>
        <w:rPr>
          <w:color w:val="auto"/>
        </w:rPr>
        <w:fldChar w:fldCharType="end"/>
      </w:r>
      <w:r>
        <w:rPr>
          <w:color w:val="auto"/>
        </w:rPr>
        <w:fldChar w:fldCharType="end"/>
      </w:r>
    </w:p>
    <w:p w14:paraId="6F3CCD48">
      <w:pPr>
        <w:pStyle w:val="36"/>
        <w:tabs>
          <w:tab w:val="right" w:leader="dot" w:pos="8844"/>
        </w:tabs>
        <w:ind w:left="420"/>
        <w:rPr>
          <w:color w:val="auto"/>
        </w:rPr>
      </w:pPr>
      <w:r>
        <w:rPr>
          <w:color w:val="auto"/>
        </w:rPr>
        <w:fldChar w:fldCharType="begin"/>
      </w:r>
      <w:r>
        <w:rPr>
          <w:color w:val="auto"/>
        </w:rPr>
        <w:instrText xml:space="preserve"> HYPERLINK \l "_Toc29406" </w:instrText>
      </w:r>
      <w:r>
        <w:rPr>
          <w:color w:val="auto"/>
        </w:rPr>
        <w:fldChar w:fldCharType="separate"/>
      </w:r>
      <w:r>
        <w:rPr>
          <w:rFonts w:hint="eastAsia" w:ascii="黑体" w:hAnsi="黑体" w:eastAsia="黑体"/>
          <w:color w:val="auto"/>
          <w:szCs w:val="28"/>
        </w:rPr>
        <w:t>第二节  评标方法及标准</w:t>
      </w:r>
      <w:r>
        <w:rPr>
          <w:color w:val="auto"/>
        </w:rPr>
        <w:tab/>
      </w:r>
      <w:r>
        <w:rPr>
          <w:color w:val="auto"/>
        </w:rPr>
        <w:fldChar w:fldCharType="begin"/>
      </w:r>
      <w:r>
        <w:rPr>
          <w:color w:val="auto"/>
        </w:rPr>
        <w:instrText xml:space="preserve"> PAGEREF _Toc29406 \h </w:instrText>
      </w:r>
      <w:r>
        <w:rPr>
          <w:color w:val="auto"/>
        </w:rPr>
        <w:fldChar w:fldCharType="separate"/>
      </w:r>
      <w:r>
        <w:rPr>
          <w:color w:val="auto"/>
        </w:rPr>
        <w:t>28</w:t>
      </w:r>
      <w:r>
        <w:rPr>
          <w:color w:val="auto"/>
        </w:rPr>
        <w:fldChar w:fldCharType="end"/>
      </w:r>
      <w:r>
        <w:rPr>
          <w:color w:val="auto"/>
        </w:rPr>
        <w:fldChar w:fldCharType="end"/>
      </w:r>
    </w:p>
    <w:p w14:paraId="6386C3F0">
      <w:pPr>
        <w:pStyle w:val="21"/>
        <w:tabs>
          <w:tab w:val="right" w:leader="dot" w:pos="8844"/>
        </w:tabs>
        <w:ind w:left="840"/>
        <w:rPr>
          <w:color w:val="auto"/>
        </w:rPr>
      </w:pPr>
      <w:r>
        <w:rPr>
          <w:color w:val="auto"/>
        </w:rPr>
        <w:fldChar w:fldCharType="begin"/>
      </w:r>
      <w:r>
        <w:rPr>
          <w:color w:val="auto"/>
        </w:rPr>
        <w:instrText xml:space="preserve"> HYPERLINK \l "_Toc9225" </w:instrText>
      </w:r>
      <w:r>
        <w:rPr>
          <w:color w:val="auto"/>
        </w:rPr>
        <w:fldChar w:fldCharType="separate"/>
      </w:r>
      <w:r>
        <w:rPr>
          <w:rFonts w:hint="eastAsia" w:ascii="宋体" w:hAnsi="宋体"/>
          <w:color w:val="auto"/>
        </w:rPr>
        <w:t>1．评标方法</w:t>
      </w:r>
      <w:r>
        <w:rPr>
          <w:color w:val="auto"/>
        </w:rPr>
        <w:tab/>
      </w:r>
      <w:r>
        <w:rPr>
          <w:color w:val="auto"/>
        </w:rPr>
        <w:fldChar w:fldCharType="begin"/>
      </w:r>
      <w:r>
        <w:rPr>
          <w:color w:val="auto"/>
        </w:rPr>
        <w:instrText xml:space="preserve"> PAGEREF _Toc9225 \h </w:instrText>
      </w:r>
      <w:r>
        <w:rPr>
          <w:color w:val="auto"/>
        </w:rPr>
        <w:fldChar w:fldCharType="separate"/>
      </w:r>
      <w:r>
        <w:rPr>
          <w:color w:val="auto"/>
        </w:rPr>
        <w:t>28</w:t>
      </w:r>
      <w:r>
        <w:rPr>
          <w:color w:val="auto"/>
        </w:rPr>
        <w:fldChar w:fldCharType="end"/>
      </w:r>
      <w:r>
        <w:rPr>
          <w:color w:val="auto"/>
        </w:rPr>
        <w:fldChar w:fldCharType="end"/>
      </w:r>
    </w:p>
    <w:p w14:paraId="782FD1B5">
      <w:pPr>
        <w:pStyle w:val="21"/>
        <w:tabs>
          <w:tab w:val="right" w:leader="dot" w:pos="8844"/>
        </w:tabs>
        <w:ind w:left="840"/>
        <w:rPr>
          <w:color w:val="auto"/>
        </w:rPr>
      </w:pPr>
      <w:r>
        <w:rPr>
          <w:color w:val="auto"/>
        </w:rPr>
        <w:fldChar w:fldCharType="begin"/>
      </w:r>
      <w:r>
        <w:rPr>
          <w:color w:val="auto"/>
        </w:rPr>
        <w:instrText xml:space="preserve"> HYPERLINK \l "_Toc20959" </w:instrText>
      </w:r>
      <w:r>
        <w:rPr>
          <w:color w:val="auto"/>
        </w:rPr>
        <w:fldChar w:fldCharType="separate"/>
      </w:r>
      <w:r>
        <w:rPr>
          <w:rFonts w:hint="eastAsia" w:ascii="宋体" w:hAnsi="宋体"/>
          <w:color w:val="auto"/>
        </w:rPr>
        <w:t>2．评标程序</w:t>
      </w:r>
      <w:r>
        <w:rPr>
          <w:color w:val="auto"/>
        </w:rPr>
        <w:tab/>
      </w:r>
      <w:r>
        <w:rPr>
          <w:color w:val="auto"/>
        </w:rPr>
        <w:fldChar w:fldCharType="begin"/>
      </w:r>
      <w:r>
        <w:rPr>
          <w:color w:val="auto"/>
        </w:rPr>
        <w:instrText xml:space="preserve"> PAGEREF _Toc20959 \h </w:instrText>
      </w:r>
      <w:r>
        <w:rPr>
          <w:color w:val="auto"/>
        </w:rPr>
        <w:fldChar w:fldCharType="separate"/>
      </w:r>
      <w:r>
        <w:rPr>
          <w:color w:val="auto"/>
        </w:rPr>
        <w:t>28</w:t>
      </w:r>
      <w:r>
        <w:rPr>
          <w:color w:val="auto"/>
        </w:rPr>
        <w:fldChar w:fldCharType="end"/>
      </w:r>
      <w:r>
        <w:rPr>
          <w:color w:val="auto"/>
        </w:rPr>
        <w:fldChar w:fldCharType="end"/>
      </w:r>
    </w:p>
    <w:p w14:paraId="214C1F63">
      <w:pPr>
        <w:pStyle w:val="21"/>
        <w:tabs>
          <w:tab w:val="right" w:leader="dot" w:pos="8844"/>
        </w:tabs>
        <w:ind w:left="840"/>
        <w:rPr>
          <w:color w:val="auto"/>
        </w:rPr>
      </w:pPr>
      <w:r>
        <w:rPr>
          <w:color w:val="auto"/>
        </w:rPr>
        <w:fldChar w:fldCharType="begin"/>
      </w:r>
      <w:r>
        <w:rPr>
          <w:color w:val="auto"/>
        </w:rPr>
        <w:instrText xml:space="preserve"> HYPERLINK \l "_Toc6923" </w:instrText>
      </w:r>
      <w:r>
        <w:rPr>
          <w:color w:val="auto"/>
        </w:rPr>
        <w:fldChar w:fldCharType="separate"/>
      </w:r>
      <w:r>
        <w:rPr>
          <w:rFonts w:hint="eastAsia" w:ascii="宋体" w:hAnsi="宋体"/>
          <w:color w:val="auto"/>
        </w:rPr>
        <w:t>3．投标文件符合性审查</w:t>
      </w:r>
      <w:r>
        <w:rPr>
          <w:color w:val="auto"/>
        </w:rPr>
        <w:tab/>
      </w:r>
      <w:r>
        <w:rPr>
          <w:color w:val="auto"/>
        </w:rPr>
        <w:fldChar w:fldCharType="begin"/>
      </w:r>
      <w:r>
        <w:rPr>
          <w:color w:val="auto"/>
        </w:rPr>
        <w:instrText xml:space="preserve"> PAGEREF _Toc6923 \h </w:instrText>
      </w:r>
      <w:r>
        <w:rPr>
          <w:color w:val="auto"/>
        </w:rPr>
        <w:fldChar w:fldCharType="separate"/>
      </w:r>
      <w:r>
        <w:rPr>
          <w:color w:val="auto"/>
        </w:rPr>
        <w:t>28</w:t>
      </w:r>
      <w:r>
        <w:rPr>
          <w:color w:val="auto"/>
        </w:rPr>
        <w:fldChar w:fldCharType="end"/>
      </w:r>
      <w:r>
        <w:rPr>
          <w:color w:val="auto"/>
        </w:rPr>
        <w:fldChar w:fldCharType="end"/>
      </w:r>
    </w:p>
    <w:p w14:paraId="6D65752E">
      <w:pPr>
        <w:pStyle w:val="21"/>
        <w:tabs>
          <w:tab w:val="right" w:leader="dot" w:pos="8844"/>
        </w:tabs>
        <w:ind w:left="840"/>
        <w:rPr>
          <w:color w:val="auto"/>
        </w:rPr>
      </w:pPr>
      <w:r>
        <w:rPr>
          <w:color w:val="auto"/>
        </w:rPr>
        <w:fldChar w:fldCharType="begin"/>
      </w:r>
      <w:r>
        <w:rPr>
          <w:color w:val="auto"/>
        </w:rPr>
        <w:instrText xml:space="preserve"> HYPERLINK \l "_Toc17260" </w:instrText>
      </w:r>
      <w:r>
        <w:rPr>
          <w:color w:val="auto"/>
        </w:rPr>
        <w:fldChar w:fldCharType="separate"/>
      </w:r>
      <w:r>
        <w:rPr>
          <w:rFonts w:hint="eastAsia" w:ascii="宋体" w:hAnsi="宋体"/>
          <w:color w:val="auto"/>
        </w:rPr>
        <w:t>4．投标文件的澄清</w:t>
      </w:r>
      <w:r>
        <w:rPr>
          <w:color w:val="auto"/>
        </w:rPr>
        <w:tab/>
      </w:r>
      <w:r>
        <w:rPr>
          <w:color w:val="auto"/>
        </w:rPr>
        <w:fldChar w:fldCharType="begin"/>
      </w:r>
      <w:r>
        <w:rPr>
          <w:color w:val="auto"/>
        </w:rPr>
        <w:instrText xml:space="preserve"> PAGEREF _Toc17260 \h </w:instrText>
      </w:r>
      <w:r>
        <w:rPr>
          <w:color w:val="auto"/>
        </w:rPr>
        <w:fldChar w:fldCharType="separate"/>
      </w:r>
      <w:r>
        <w:rPr>
          <w:color w:val="auto"/>
        </w:rPr>
        <w:t>28</w:t>
      </w:r>
      <w:r>
        <w:rPr>
          <w:color w:val="auto"/>
        </w:rPr>
        <w:fldChar w:fldCharType="end"/>
      </w:r>
      <w:r>
        <w:rPr>
          <w:color w:val="auto"/>
        </w:rPr>
        <w:fldChar w:fldCharType="end"/>
      </w:r>
    </w:p>
    <w:p w14:paraId="73BF8A4D">
      <w:pPr>
        <w:pStyle w:val="21"/>
        <w:tabs>
          <w:tab w:val="right" w:leader="dot" w:pos="8844"/>
        </w:tabs>
        <w:ind w:left="840"/>
        <w:rPr>
          <w:color w:val="auto"/>
        </w:rPr>
      </w:pPr>
      <w:r>
        <w:rPr>
          <w:color w:val="auto"/>
        </w:rPr>
        <w:fldChar w:fldCharType="begin"/>
      </w:r>
      <w:r>
        <w:rPr>
          <w:color w:val="auto"/>
        </w:rPr>
        <w:instrText xml:space="preserve"> HYPERLINK \l "_Toc2762" </w:instrText>
      </w:r>
      <w:r>
        <w:rPr>
          <w:color w:val="auto"/>
        </w:rPr>
        <w:fldChar w:fldCharType="separate"/>
      </w:r>
      <w:r>
        <w:rPr>
          <w:rFonts w:hint="eastAsia" w:ascii="宋体" w:hAnsi="宋体"/>
          <w:color w:val="auto"/>
        </w:rPr>
        <w:t>5．投标文件的比较与评价</w:t>
      </w:r>
      <w:r>
        <w:rPr>
          <w:color w:val="auto"/>
        </w:rPr>
        <w:tab/>
      </w:r>
      <w:r>
        <w:rPr>
          <w:color w:val="auto"/>
        </w:rPr>
        <w:fldChar w:fldCharType="begin"/>
      </w:r>
      <w:r>
        <w:rPr>
          <w:color w:val="auto"/>
        </w:rPr>
        <w:instrText xml:space="preserve"> PAGEREF _Toc2762 \h </w:instrText>
      </w:r>
      <w:r>
        <w:rPr>
          <w:color w:val="auto"/>
        </w:rPr>
        <w:fldChar w:fldCharType="separate"/>
      </w:r>
      <w:r>
        <w:rPr>
          <w:color w:val="auto"/>
        </w:rPr>
        <w:t>29</w:t>
      </w:r>
      <w:r>
        <w:rPr>
          <w:color w:val="auto"/>
        </w:rPr>
        <w:fldChar w:fldCharType="end"/>
      </w:r>
      <w:r>
        <w:rPr>
          <w:color w:val="auto"/>
        </w:rPr>
        <w:fldChar w:fldCharType="end"/>
      </w:r>
    </w:p>
    <w:p w14:paraId="715DD9C4">
      <w:pPr>
        <w:pStyle w:val="21"/>
        <w:tabs>
          <w:tab w:val="right" w:leader="dot" w:pos="8844"/>
        </w:tabs>
        <w:ind w:left="840"/>
        <w:rPr>
          <w:color w:val="auto"/>
        </w:rPr>
      </w:pPr>
      <w:r>
        <w:rPr>
          <w:color w:val="auto"/>
        </w:rPr>
        <w:fldChar w:fldCharType="begin"/>
      </w:r>
      <w:r>
        <w:rPr>
          <w:color w:val="auto"/>
        </w:rPr>
        <w:instrText xml:space="preserve"> HYPERLINK \l "_Toc20127" </w:instrText>
      </w:r>
      <w:r>
        <w:rPr>
          <w:color w:val="auto"/>
        </w:rPr>
        <w:fldChar w:fldCharType="separate"/>
      </w:r>
      <w:r>
        <w:rPr>
          <w:rFonts w:hint="eastAsia" w:ascii="宋体" w:hAnsi="宋体"/>
          <w:color w:val="auto"/>
        </w:rPr>
        <w:t>6．</w:t>
      </w:r>
      <w:r>
        <w:rPr>
          <w:rFonts w:hint="eastAsia" w:ascii="黑体" w:hAnsi="黑体" w:eastAsia="黑体"/>
          <w:color w:val="auto"/>
        </w:rPr>
        <w:t>推荐中标候选人</w:t>
      </w:r>
      <w:r>
        <w:rPr>
          <w:color w:val="auto"/>
        </w:rPr>
        <w:tab/>
      </w:r>
      <w:r>
        <w:rPr>
          <w:color w:val="auto"/>
        </w:rPr>
        <w:fldChar w:fldCharType="begin"/>
      </w:r>
      <w:r>
        <w:rPr>
          <w:color w:val="auto"/>
        </w:rPr>
        <w:instrText xml:space="preserve"> PAGEREF _Toc20127 \h </w:instrText>
      </w:r>
      <w:r>
        <w:rPr>
          <w:color w:val="auto"/>
        </w:rPr>
        <w:fldChar w:fldCharType="separate"/>
      </w:r>
      <w:r>
        <w:rPr>
          <w:color w:val="auto"/>
        </w:rPr>
        <w:t>29</w:t>
      </w:r>
      <w:r>
        <w:rPr>
          <w:color w:val="auto"/>
        </w:rPr>
        <w:fldChar w:fldCharType="end"/>
      </w:r>
      <w:r>
        <w:rPr>
          <w:color w:val="auto"/>
        </w:rPr>
        <w:fldChar w:fldCharType="end"/>
      </w:r>
    </w:p>
    <w:p w14:paraId="37730E0A">
      <w:pPr>
        <w:pStyle w:val="21"/>
        <w:tabs>
          <w:tab w:val="right" w:leader="dot" w:pos="8844"/>
        </w:tabs>
        <w:ind w:left="840"/>
        <w:rPr>
          <w:color w:val="auto"/>
        </w:rPr>
      </w:pPr>
      <w:r>
        <w:rPr>
          <w:color w:val="auto"/>
        </w:rPr>
        <w:fldChar w:fldCharType="begin"/>
      </w:r>
      <w:r>
        <w:rPr>
          <w:color w:val="auto"/>
        </w:rPr>
        <w:instrText xml:space="preserve"> HYPERLINK \l "_Toc25347" </w:instrText>
      </w:r>
      <w:r>
        <w:rPr>
          <w:color w:val="auto"/>
        </w:rPr>
        <w:fldChar w:fldCharType="separate"/>
      </w:r>
      <w:r>
        <w:rPr>
          <w:rFonts w:hint="eastAsia" w:ascii="宋体" w:hAnsi="宋体"/>
          <w:color w:val="auto"/>
        </w:rPr>
        <w:t>7．编写评标报告</w:t>
      </w:r>
      <w:r>
        <w:rPr>
          <w:color w:val="auto"/>
        </w:rPr>
        <w:tab/>
      </w:r>
      <w:r>
        <w:rPr>
          <w:color w:val="auto"/>
        </w:rPr>
        <w:fldChar w:fldCharType="begin"/>
      </w:r>
      <w:r>
        <w:rPr>
          <w:color w:val="auto"/>
        </w:rPr>
        <w:instrText xml:space="preserve"> PAGEREF _Toc25347 \h </w:instrText>
      </w:r>
      <w:r>
        <w:rPr>
          <w:color w:val="auto"/>
        </w:rPr>
        <w:fldChar w:fldCharType="separate"/>
      </w:r>
      <w:r>
        <w:rPr>
          <w:color w:val="auto"/>
        </w:rPr>
        <w:t>29</w:t>
      </w:r>
      <w:r>
        <w:rPr>
          <w:color w:val="auto"/>
        </w:rPr>
        <w:fldChar w:fldCharType="end"/>
      </w:r>
      <w:r>
        <w:rPr>
          <w:color w:val="auto"/>
        </w:rPr>
        <w:fldChar w:fldCharType="end"/>
      </w:r>
    </w:p>
    <w:p w14:paraId="32B3115B">
      <w:pPr>
        <w:pStyle w:val="21"/>
        <w:tabs>
          <w:tab w:val="right" w:leader="dot" w:pos="8844"/>
        </w:tabs>
        <w:ind w:left="840"/>
        <w:rPr>
          <w:color w:val="auto"/>
        </w:rPr>
      </w:pPr>
      <w:r>
        <w:rPr>
          <w:color w:val="auto"/>
        </w:rPr>
        <w:fldChar w:fldCharType="begin"/>
      </w:r>
      <w:r>
        <w:rPr>
          <w:color w:val="auto"/>
        </w:rPr>
        <w:instrText xml:space="preserve"> HYPERLINK \l "_Toc15651" </w:instrText>
      </w:r>
      <w:r>
        <w:rPr>
          <w:color w:val="auto"/>
        </w:rPr>
        <w:fldChar w:fldCharType="separate"/>
      </w:r>
      <w:r>
        <w:rPr>
          <w:rFonts w:hint="eastAsia" w:ascii="宋体" w:hAnsi="宋体"/>
          <w:color w:val="auto"/>
        </w:rPr>
        <w:t>8．评标报告复核</w:t>
      </w:r>
      <w:r>
        <w:rPr>
          <w:color w:val="auto"/>
        </w:rPr>
        <w:tab/>
      </w:r>
      <w:r>
        <w:rPr>
          <w:color w:val="auto"/>
        </w:rPr>
        <w:fldChar w:fldCharType="begin"/>
      </w:r>
      <w:r>
        <w:rPr>
          <w:color w:val="auto"/>
        </w:rPr>
        <w:instrText xml:space="preserve"> PAGEREF _Toc15651 \h </w:instrText>
      </w:r>
      <w:r>
        <w:rPr>
          <w:color w:val="auto"/>
        </w:rPr>
        <w:fldChar w:fldCharType="separate"/>
      </w:r>
      <w:r>
        <w:rPr>
          <w:color w:val="auto"/>
        </w:rPr>
        <w:t>29</w:t>
      </w:r>
      <w:r>
        <w:rPr>
          <w:color w:val="auto"/>
        </w:rPr>
        <w:fldChar w:fldCharType="end"/>
      </w:r>
      <w:r>
        <w:rPr>
          <w:color w:val="auto"/>
        </w:rPr>
        <w:fldChar w:fldCharType="end"/>
      </w:r>
    </w:p>
    <w:p w14:paraId="778E83C4">
      <w:pPr>
        <w:pStyle w:val="21"/>
        <w:tabs>
          <w:tab w:val="right" w:leader="dot" w:pos="8844"/>
        </w:tabs>
        <w:ind w:left="840"/>
        <w:rPr>
          <w:color w:val="auto"/>
        </w:rPr>
      </w:pPr>
      <w:r>
        <w:rPr>
          <w:color w:val="auto"/>
        </w:rPr>
        <w:fldChar w:fldCharType="begin"/>
      </w:r>
      <w:r>
        <w:rPr>
          <w:color w:val="auto"/>
        </w:rPr>
        <w:instrText xml:space="preserve"> HYPERLINK \l "_Toc1037" </w:instrText>
      </w:r>
      <w:r>
        <w:rPr>
          <w:color w:val="auto"/>
        </w:rPr>
        <w:fldChar w:fldCharType="separate"/>
      </w:r>
      <w:r>
        <w:rPr>
          <w:rFonts w:hint="eastAsia" w:ascii="宋体" w:hAnsi="宋体"/>
          <w:color w:val="auto"/>
        </w:rPr>
        <w:t>9．停止评标</w:t>
      </w:r>
      <w:r>
        <w:rPr>
          <w:color w:val="auto"/>
        </w:rPr>
        <w:tab/>
      </w:r>
      <w:r>
        <w:rPr>
          <w:color w:val="auto"/>
        </w:rPr>
        <w:fldChar w:fldCharType="begin"/>
      </w:r>
      <w:r>
        <w:rPr>
          <w:color w:val="auto"/>
        </w:rPr>
        <w:instrText xml:space="preserve"> PAGEREF _Toc1037 \h </w:instrText>
      </w:r>
      <w:r>
        <w:rPr>
          <w:color w:val="auto"/>
        </w:rPr>
        <w:fldChar w:fldCharType="separate"/>
      </w:r>
      <w:r>
        <w:rPr>
          <w:color w:val="auto"/>
        </w:rPr>
        <w:t>29</w:t>
      </w:r>
      <w:r>
        <w:rPr>
          <w:color w:val="auto"/>
        </w:rPr>
        <w:fldChar w:fldCharType="end"/>
      </w:r>
      <w:r>
        <w:rPr>
          <w:color w:val="auto"/>
        </w:rPr>
        <w:fldChar w:fldCharType="end"/>
      </w:r>
    </w:p>
    <w:p w14:paraId="6104B636">
      <w:pPr>
        <w:pStyle w:val="21"/>
        <w:tabs>
          <w:tab w:val="right" w:leader="dot" w:pos="8844"/>
        </w:tabs>
        <w:ind w:left="840"/>
        <w:rPr>
          <w:color w:val="auto"/>
        </w:rPr>
      </w:pPr>
      <w:r>
        <w:rPr>
          <w:color w:val="auto"/>
        </w:rPr>
        <w:fldChar w:fldCharType="begin"/>
      </w:r>
      <w:r>
        <w:rPr>
          <w:color w:val="auto"/>
        </w:rPr>
        <w:instrText xml:space="preserve"> HYPERLINK \l "_Toc7652" </w:instrText>
      </w:r>
      <w:r>
        <w:rPr>
          <w:color w:val="auto"/>
        </w:rPr>
        <w:fldChar w:fldCharType="separate"/>
      </w:r>
      <w:r>
        <w:rPr>
          <w:rFonts w:hint="eastAsia" w:ascii="宋体" w:hAnsi="宋体"/>
          <w:color w:val="auto"/>
        </w:rPr>
        <w:t>10.废标</w:t>
      </w:r>
      <w:r>
        <w:rPr>
          <w:color w:val="auto"/>
        </w:rPr>
        <w:tab/>
      </w:r>
      <w:r>
        <w:rPr>
          <w:color w:val="auto"/>
        </w:rPr>
        <w:fldChar w:fldCharType="begin"/>
      </w:r>
      <w:r>
        <w:rPr>
          <w:color w:val="auto"/>
        </w:rPr>
        <w:instrText xml:space="preserve"> PAGEREF _Toc7652 \h </w:instrText>
      </w:r>
      <w:r>
        <w:rPr>
          <w:color w:val="auto"/>
        </w:rPr>
        <w:fldChar w:fldCharType="separate"/>
      </w:r>
      <w:r>
        <w:rPr>
          <w:color w:val="auto"/>
        </w:rPr>
        <w:t>30</w:t>
      </w:r>
      <w:r>
        <w:rPr>
          <w:color w:val="auto"/>
        </w:rPr>
        <w:fldChar w:fldCharType="end"/>
      </w:r>
      <w:r>
        <w:rPr>
          <w:color w:val="auto"/>
        </w:rPr>
        <w:fldChar w:fldCharType="end"/>
      </w:r>
    </w:p>
    <w:p w14:paraId="3A51B9A2">
      <w:pPr>
        <w:pStyle w:val="21"/>
        <w:tabs>
          <w:tab w:val="right" w:leader="dot" w:pos="8844"/>
        </w:tabs>
        <w:ind w:left="840"/>
        <w:rPr>
          <w:color w:val="auto"/>
        </w:rPr>
      </w:pPr>
      <w:r>
        <w:rPr>
          <w:color w:val="auto"/>
        </w:rPr>
        <w:fldChar w:fldCharType="begin"/>
      </w:r>
      <w:r>
        <w:rPr>
          <w:color w:val="auto"/>
        </w:rPr>
        <w:instrText xml:space="preserve"> HYPERLINK \l "_Toc31053" </w:instrText>
      </w:r>
      <w:r>
        <w:rPr>
          <w:color w:val="auto"/>
        </w:rPr>
        <w:fldChar w:fldCharType="separate"/>
      </w:r>
      <w:r>
        <w:rPr>
          <w:rFonts w:hint="eastAsia" w:ascii="宋体" w:hAnsi="宋体" w:cs="宋体"/>
          <w:color w:val="auto"/>
        </w:rPr>
        <w:t>11．重新组建评标委员会进行评标</w:t>
      </w:r>
      <w:r>
        <w:rPr>
          <w:color w:val="auto"/>
        </w:rPr>
        <w:tab/>
      </w:r>
      <w:r>
        <w:rPr>
          <w:color w:val="auto"/>
        </w:rPr>
        <w:fldChar w:fldCharType="begin"/>
      </w:r>
      <w:r>
        <w:rPr>
          <w:color w:val="auto"/>
        </w:rPr>
        <w:instrText xml:space="preserve"> PAGEREF _Toc31053 \h </w:instrText>
      </w:r>
      <w:r>
        <w:rPr>
          <w:color w:val="auto"/>
        </w:rPr>
        <w:fldChar w:fldCharType="separate"/>
      </w:r>
      <w:r>
        <w:rPr>
          <w:color w:val="auto"/>
        </w:rPr>
        <w:t>30</w:t>
      </w:r>
      <w:r>
        <w:rPr>
          <w:color w:val="auto"/>
        </w:rPr>
        <w:fldChar w:fldCharType="end"/>
      </w:r>
      <w:r>
        <w:rPr>
          <w:color w:val="auto"/>
        </w:rPr>
        <w:fldChar w:fldCharType="end"/>
      </w:r>
    </w:p>
    <w:p w14:paraId="00ED2880">
      <w:pPr>
        <w:pStyle w:val="36"/>
        <w:tabs>
          <w:tab w:val="right" w:leader="dot" w:pos="8844"/>
        </w:tabs>
        <w:ind w:left="420"/>
        <w:rPr>
          <w:color w:val="auto"/>
        </w:rPr>
      </w:pPr>
      <w:r>
        <w:rPr>
          <w:color w:val="auto"/>
        </w:rPr>
        <w:fldChar w:fldCharType="begin"/>
      </w:r>
      <w:r>
        <w:rPr>
          <w:color w:val="auto"/>
        </w:rPr>
        <w:instrText xml:space="preserve"> HYPERLINK \l "_Toc20019" </w:instrText>
      </w:r>
      <w:r>
        <w:rPr>
          <w:color w:val="auto"/>
        </w:rPr>
        <w:fldChar w:fldCharType="separate"/>
      </w:r>
      <w:r>
        <w:rPr>
          <w:rFonts w:hint="eastAsia" w:ascii="黑体" w:hAnsi="华文中宋" w:eastAsia="黑体"/>
          <w:color w:val="auto"/>
          <w:szCs w:val="28"/>
        </w:rPr>
        <w:t>第三节 投标文件的符合性审查</w:t>
      </w:r>
      <w:r>
        <w:rPr>
          <w:color w:val="auto"/>
        </w:rPr>
        <w:tab/>
      </w:r>
      <w:r>
        <w:rPr>
          <w:color w:val="auto"/>
        </w:rPr>
        <w:fldChar w:fldCharType="begin"/>
      </w:r>
      <w:r>
        <w:rPr>
          <w:color w:val="auto"/>
        </w:rPr>
        <w:instrText xml:space="preserve"> PAGEREF _Toc20019 \h </w:instrText>
      </w:r>
      <w:r>
        <w:rPr>
          <w:color w:val="auto"/>
        </w:rPr>
        <w:fldChar w:fldCharType="separate"/>
      </w:r>
      <w:r>
        <w:rPr>
          <w:color w:val="auto"/>
        </w:rPr>
        <w:t>31</w:t>
      </w:r>
      <w:r>
        <w:rPr>
          <w:color w:val="auto"/>
        </w:rPr>
        <w:fldChar w:fldCharType="end"/>
      </w:r>
      <w:r>
        <w:rPr>
          <w:color w:val="auto"/>
        </w:rPr>
        <w:fldChar w:fldCharType="end"/>
      </w:r>
    </w:p>
    <w:p w14:paraId="27A2060B">
      <w:pPr>
        <w:pStyle w:val="21"/>
        <w:tabs>
          <w:tab w:val="right" w:leader="dot" w:pos="8844"/>
        </w:tabs>
        <w:ind w:left="840"/>
        <w:rPr>
          <w:color w:val="auto"/>
        </w:rPr>
      </w:pPr>
      <w:r>
        <w:rPr>
          <w:color w:val="auto"/>
        </w:rPr>
        <w:fldChar w:fldCharType="begin"/>
      </w:r>
      <w:r>
        <w:rPr>
          <w:color w:val="auto"/>
        </w:rPr>
        <w:instrText xml:space="preserve"> HYPERLINK \l "_Toc13390" </w:instrText>
      </w:r>
      <w:r>
        <w:rPr>
          <w:color w:val="auto"/>
        </w:rPr>
        <w:fldChar w:fldCharType="separate"/>
      </w:r>
      <w:r>
        <w:rPr>
          <w:rFonts w:hint="eastAsia"/>
          <w:color w:val="auto"/>
          <w:szCs w:val="21"/>
        </w:rPr>
        <w:t>附表1 符合性审查表</w:t>
      </w:r>
      <w:r>
        <w:rPr>
          <w:color w:val="auto"/>
        </w:rPr>
        <w:tab/>
      </w:r>
      <w:r>
        <w:rPr>
          <w:color w:val="auto"/>
        </w:rPr>
        <w:fldChar w:fldCharType="begin"/>
      </w:r>
      <w:r>
        <w:rPr>
          <w:color w:val="auto"/>
        </w:rPr>
        <w:instrText xml:space="preserve"> PAGEREF _Toc13390 \h </w:instrText>
      </w:r>
      <w:r>
        <w:rPr>
          <w:color w:val="auto"/>
        </w:rPr>
        <w:fldChar w:fldCharType="separate"/>
      </w:r>
      <w:r>
        <w:rPr>
          <w:color w:val="auto"/>
        </w:rPr>
        <w:t>32</w:t>
      </w:r>
      <w:r>
        <w:rPr>
          <w:color w:val="auto"/>
        </w:rPr>
        <w:fldChar w:fldCharType="end"/>
      </w:r>
      <w:r>
        <w:rPr>
          <w:color w:val="auto"/>
        </w:rPr>
        <w:fldChar w:fldCharType="end"/>
      </w:r>
    </w:p>
    <w:p w14:paraId="5706D4DA">
      <w:pPr>
        <w:pStyle w:val="21"/>
        <w:tabs>
          <w:tab w:val="right" w:leader="dot" w:pos="8844"/>
        </w:tabs>
        <w:ind w:left="840"/>
        <w:rPr>
          <w:color w:val="auto"/>
        </w:rPr>
      </w:pPr>
      <w:r>
        <w:rPr>
          <w:color w:val="auto"/>
        </w:rPr>
        <w:fldChar w:fldCharType="begin"/>
      </w:r>
      <w:r>
        <w:rPr>
          <w:color w:val="auto"/>
        </w:rPr>
        <w:instrText xml:space="preserve"> HYPERLINK \l "_Toc17669" </w:instrText>
      </w:r>
      <w:r>
        <w:rPr>
          <w:color w:val="auto"/>
        </w:rPr>
        <w:fldChar w:fldCharType="separate"/>
      </w:r>
      <w:r>
        <w:rPr>
          <w:rFonts w:hint="eastAsia" w:ascii="黑体" w:hAnsi="黑体" w:eastAsia="黑体"/>
          <w:color w:val="auto"/>
          <w:szCs w:val="28"/>
        </w:rPr>
        <w:t>符合性审查表</w:t>
      </w:r>
      <w:r>
        <w:rPr>
          <w:color w:val="auto"/>
        </w:rPr>
        <w:tab/>
      </w:r>
      <w:r>
        <w:rPr>
          <w:rFonts w:hint="eastAsia"/>
          <w:color w:val="auto"/>
          <w:lang w:val="en-US" w:eastAsia="zh-CN"/>
        </w:rPr>
        <w:t xml:space="preserve">32 </w:t>
      </w:r>
      <w:r>
        <w:rPr>
          <w:color w:val="auto"/>
        </w:rPr>
        <w:fldChar w:fldCharType="end"/>
      </w:r>
    </w:p>
    <w:p w14:paraId="4B0787D4">
      <w:pPr>
        <w:pStyle w:val="21"/>
        <w:tabs>
          <w:tab w:val="right" w:leader="dot" w:pos="8844"/>
        </w:tabs>
        <w:ind w:left="840"/>
        <w:rPr>
          <w:color w:val="auto"/>
        </w:rPr>
      </w:pPr>
      <w:r>
        <w:rPr>
          <w:color w:val="auto"/>
        </w:rPr>
        <w:fldChar w:fldCharType="begin"/>
      </w:r>
      <w:r>
        <w:rPr>
          <w:color w:val="auto"/>
        </w:rPr>
        <w:instrText xml:space="preserve"> HYPERLINK \l "_Toc13692" </w:instrText>
      </w:r>
      <w:r>
        <w:rPr>
          <w:color w:val="auto"/>
        </w:rPr>
        <w:fldChar w:fldCharType="separate"/>
      </w:r>
      <w:r>
        <w:rPr>
          <w:rFonts w:hint="eastAsia" w:ascii="黑体" w:hAnsi="黑体" w:eastAsia="黑体"/>
          <w:color w:val="auto"/>
          <w:szCs w:val="28"/>
        </w:rPr>
        <w:t>符合性审查结果一览表</w:t>
      </w:r>
      <w:r>
        <w:rPr>
          <w:color w:val="auto"/>
        </w:rPr>
        <w:tab/>
      </w:r>
      <w:r>
        <w:rPr>
          <w:color w:val="auto"/>
        </w:rPr>
        <w:fldChar w:fldCharType="begin"/>
      </w:r>
      <w:r>
        <w:rPr>
          <w:color w:val="auto"/>
        </w:rPr>
        <w:instrText xml:space="preserve"> PAGEREF _Toc13692 \h </w:instrText>
      </w:r>
      <w:r>
        <w:rPr>
          <w:color w:val="auto"/>
        </w:rPr>
        <w:fldChar w:fldCharType="separate"/>
      </w:r>
      <w:r>
        <w:rPr>
          <w:color w:val="auto"/>
        </w:rPr>
        <w:t>33</w:t>
      </w:r>
      <w:r>
        <w:rPr>
          <w:color w:val="auto"/>
        </w:rPr>
        <w:fldChar w:fldCharType="end"/>
      </w:r>
      <w:r>
        <w:rPr>
          <w:color w:val="auto"/>
        </w:rPr>
        <w:fldChar w:fldCharType="end"/>
      </w:r>
    </w:p>
    <w:p w14:paraId="59175314">
      <w:pPr>
        <w:pStyle w:val="21"/>
        <w:tabs>
          <w:tab w:val="right" w:leader="dot" w:pos="8844"/>
        </w:tabs>
        <w:ind w:left="840"/>
        <w:rPr>
          <w:color w:val="auto"/>
        </w:rPr>
      </w:pPr>
      <w:r>
        <w:rPr>
          <w:color w:val="auto"/>
        </w:rPr>
        <w:fldChar w:fldCharType="begin"/>
      </w:r>
      <w:r>
        <w:rPr>
          <w:color w:val="auto"/>
        </w:rPr>
        <w:instrText xml:space="preserve"> HYPERLINK \l "_Toc31032" </w:instrText>
      </w:r>
      <w:r>
        <w:rPr>
          <w:color w:val="auto"/>
        </w:rPr>
        <w:fldChar w:fldCharType="separate"/>
      </w:r>
      <w:r>
        <w:rPr>
          <w:rFonts w:hint="eastAsia" w:ascii="黑体" w:hAnsi="黑体" w:eastAsia="黑体"/>
          <w:color w:val="auto"/>
          <w:szCs w:val="28"/>
        </w:rPr>
        <w:t>符合性审查合格投标人名单</w:t>
      </w:r>
      <w:r>
        <w:rPr>
          <w:color w:val="auto"/>
        </w:rPr>
        <w:tab/>
      </w:r>
      <w:r>
        <w:rPr>
          <w:color w:val="auto"/>
        </w:rPr>
        <w:fldChar w:fldCharType="begin"/>
      </w:r>
      <w:r>
        <w:rPr>
          <w:color w:val="auto"/>
        </w:rPr>
        <w:instrText xml:space="preserve"> PAGEREF _Toc31032 \h </w:instrText>
      </w:r>
      <w:r>
        <w:rPr>
          <w:color w:val="auto"/>
        </w:rPr>
        <w:fldChar w:fldCharType="separate"/>
      </w:r>
      <w:r>
        <w:rPr>
          <w:color w:val="auto"/>
        </w:rPr>
        <w:t>34</w:t>
      </w:r>
      <w:r>
        <w:rPr>
          <w:color w:val="auto"/>
        </w:rPr>
        <w:fldChar w:fldCharType="end"/>
      </w:r>
      <w:r>
        <w:rPr>
          <w:color w:val="auto"/>
        </w:rPr>
        <w:fldChar w:fldCharType="end"/>
      </w:r>
    </w:p>
    <w:p w14:paraId="41A2565D">
      <w:pPr>
        <w:pStyle w:val="36"/>
        <w:tabs>
          <w:tab w:val="right" w:leader="dot" w:pos="8844"/>
        </w:tabs>
        <w:ind w:left="420"/>
        <w:rPr>
          <w:color w:val="auto"/>
        </w:rPr>
      </w:pPr>
      <w:r>
        <w:rPr>
          <w:color w:val="auto"/>
        </w:rPr>
        <w:fldChar w:fldCharType="begin"/>
      </w:r>
      <w:r>
        <w:rPr>
          <w:color w:val="auto"/>
        </w:rPr>
        <w:instrText xml:space="preserve"> HYPERLINK \l "_Toc14290" </w:instrText>
      </w:r>
      <w:r>
        <w:rPr>
          <w:color w:val="auto"/>
        </w:rPr>
        <w:fldChar w:fldCharType="separate"/>
      </w:r>
      <w:r>
        <w:rPr>
          <w:rFonts w:hint="eastAsia" w:ascii="黑体" w:hAnsi="华文中宋" w:eastAsia="黑体"/>
          <w:color w:val="auto"/>
          <w:szCs w:val="28"/>
        </w:rPr>
        <w:t>第四节 投标文件的比较与评价（综合评分法）</w:t>
      </w:r>
      <w:r>
        <w:rPr>
          <w:color w:val="auto"/>
        </w:rPr>
        <w:tab/>
      </w:r>
      <w:r>
        <w:rPr>
          <w:color w:val="auto"/>
        </w:rPr>
        <w:fldChar w:fldCharType="begin"/>
      </w:r>
      <w:r>
        <w:rPr>
          <w:color w:val="auto"/>
        </w:rPr>
        <w:instrText xml:space="preserve"> PAGEREF _Toc14290 \h </w:instrText>
      </w:r>
      <w:r>
        <w:rPr>
          <w:color w:val="auto"/>
        </w:rPr>
        <w:fldChar w:fldCharType="separate"/>
      </w:r>
      <w:r>
        <w:rPr>
          <w:color w:val="auto"/>
        </w:rPr>
        <w:t>35</w:t>
      </w:r>
      <w:r>
        <w:rPr>
          <w:color w:val="auto"/>
        </w:rPr>
        <w:fldChar w:fldCharType="end"/>
      </w:r>
      <w:r>
        <w:rPr>
          <w:color w:val="auto"/>
        </w:rPr>
        <w:fldChar w:fldCharType="end"/>
      </w:r>
    </w:p>
    <w:p w14:paraId="0DAA36BC">
      <w:pPr>
        <w:pStyle w:val="30"/>
        <w:tabs>
          <w:tab w:val="right" w:leader="dot" w:pos="8844"/>
          <w:tab w:val="clear" w:pos="1680"/>
          <w:tab w:val="clear" w:pos="8834"/>
        </w:tabs>
        <w:rPr>
          <w:color w:val="auto"/>
        </w:rPr>
      </w:pPr>
      <w:r>
        <w:rPr>
          <w:color w:val="auto"/>
        </w:rPr>
        <w:fldChar w:fldCharType="begin"/>
      </w:r>
      <w:r>
        <w:rPr>
          <w:color w:val="auto"/>
        </w:rPr>
        <w:instrText xml:space="preserve"> HYPERLINK \l "_Toc9203" </w:instrText>
      </w:r>
      <w:r>
        <w:rPr>
          <w:color w:val="auto"/>
        </w:rPr>
        <w:fldChar w:fldCharType="separate"/>
      </w:r>
      <w:r>
        <w:rPr>
          <w:rFonts w:hint="eastAsia" w:ascii="黑体" w:hAnsi="华文中宋" w:eastAsia="黑体"/>
          <w:color w:val="auto"/>
          <w:szCs w:val="32"/>
        </w:rPr>
        <w:t>第</w:t>
      </w:r>
      <w:r>
        <w:rPr>
          <w:rFonts w:hint="eastAsia" w:ascii="黑体" w:hAnsi="华文中宋" w:eastAsia="黑体"/>
          <w:color w:val="auto"/>
          <w:szCs w:val="32"/>
          <w:lang w:val="en-US" w:eastAsia="zh-CN"/>
        </w:rPr>
        <w:t>五</w:t>
      </w:r>
      <w:r>
        <w:rPr>
          <w:rFonts w:hint="eastAsia" w:ascii="黑体" w:hAnsi="华文中宋" w:eastAsia="黑体"/>
          <w:color w:val="auto"/>
          <w:szCs w:val="32"/>
        </w:rPr>
        <w:t>章</w:t>
      </w:r>
      <w:r>
        <w:rPr>
          <w:rFonts w:hint="eastAsia" w:ascii="黑体" w:hAnsi="华文中宋" w:eastAsia="黑体"/>
          <w:color w:val="auto"/>
          <w:szCs w:val="32"/>
          <w:lang w:val="en-US" w:eastAsia="zh-CN"/>
        </w:rPr>
        <w:t xml:space="preserve"> 采购需求</w:t>
      </w:r>
      <w:r>
        <w:rPr>
          <w:color w:val="auto"/>
        </w:rPr>
        <w:tab/>
      </w:r>
      <w:r>
        <w:rPr>
          <w:color w:val="auto"/>
        </w:rPr>
        <w:fldChar w:fldCharType="begin"/>
      </w:r>
      <w:r>
        <w:rPr>
          <w:color w:val="auto"/>
        </w:rPr>
        <w:instrText xml:space="preserve"> PAGEREF _Toc9203 \h </w:instrText>
      </w:r>
      <w:r>
        <w:rPr>
          <w:color w:val="auto"/>
        </w:rPr>
        <w:fldChar w:fldCharType="separate"/>
      </w:r>
      <w:r>
        <w:rPr>
          <w:color w:val="auto"/>
        </w:rPr>
        <w:t>41</w:t>
      </w:r>
      <w:r>
        <w:rPr>
          <w:color w:val="auto"/>
        </w:rPr>
        <w:fldChar w:fldCharType="end"/>
      </w:r>
      <w:r>
        <w:rPr>
          <w:color w:val="auto"/>
        </w:rPr>
        <w:fldChar w:fldCharType="end"/>
      </w:r>
    </w:p>
    <w:p w14:paraId="790123D9">
      <w:pPr>
        <w:pStyle w:val="30"/>
        <w:tabs>
          <w:tab w:val="right" w:leader="dot" w:pos="8844"/>
          <w:tab w:val="clear" w:pos="1680"/>
          <w:tab w:val="clear" w:pos="8834"/>
        </w:tabs>
        <w:rPr>
          <w:rFonts w:hint="default" w:eastAsia="宋体"/>
          <w:color w:val="auto"/>
          <w:lang w:val="en-US" w:eastAsia="zh-CN"/>
        </w:rPr>
      </w:pPr>
      <w:r>
        <w:rPr>
          <w:color w:val="auto"/>
        </w:rPr>
        <w:fldChar w:fldCharType="begin"/>
      </w:r>
      <w:r>
        <w:rPr>
          <w:color w:val="auto"/>
        </w:rPr>
        <w:instrText xml:space="preserve"> HYPERLINK \l "_Toc9203" </w:instrText>
      </w:r>
      <w:r>
        <w:rPr>
          <w:color w:val="auto"/>
        </w:rPr>
        <w:fldChar w:fldCharType="separate"/>
      </w:r>
      <w:r>
        <w:rPr>
          <w:rFonts w:hint="eastAsia" w:ascii="黑体" w:hAnsi="华文中宋" w:eastAsia="黑体"/>
          <w:color w:val="auto"/>
          <w:szCs w:val="32"/>
        </w:rPr>
        <w:t>第六章 政府采购合同</w:t>
      </w:r>
      <w:r>
        <w:rPr>
          <w:color w:val="auto"/>
        </w:rPr>
        <w:tab/>
      </w:r>
      <w:r>
        <w:rPr>
          <w:rFonts w:hint="eastAsia"/>
          <w:color w:val="auto"/>
          <w:lang w:val="en-US" w:eastAsia="zh-CN"/>
        </w:rPr>
        <w:t>1</w:t>
      </w:r>
      <w:r>
        <w:rPr>
          <w:color w:val="auto"/>
        </w:rPr>
        <w:fldChar w:fldCharType="end"/>
      </w:r>
      <w:r>
        <w:rPr>
          <w:rFonts w:hint="eastAsia"/>
          <w:color w:val="auto"/>
          <w:lang w:val="en-US" w:eastAsia="zh-CN"/>
        </w:rPr>
        <w:t>22</w:t>
      </w:r>
    </w:p>
    <w:p w14:paraId="1966ADEA">
      <w:pPr>
        <w:pStyle w:val="36"/>
        <w:tabs>
          <w:tab w:val="right" w:leader="dot" w:pos="8844"/>
        </w:tabs>
        <w:ind w:left="420"/>
        <w:rPr>
          <w:rFonts w:hint="default" w:eastAsia="宋体"/>
          <w:color w:val="auto"/>
          <w:lang w:val="en-US" w:eastAsia="zh-CN"/>
        </w:rPr>
      </w:pPr>
      <w:r>
        <w:rPr>
          <w:color w:val="auto"/>
        </w:rPr>
        <w:fldChar w:fldCharType="begin"/>
      </w:r>
      <w:r>
        <w:rPr>
          <w:color w:val="auto"/>
        </w:rPr>
        <w:instrText xml:space="preserve"> HYPERLINK \l "_Toc23725" </w:instrText>
      </w:r>
      <w:r>
        <w:rPr>
          <w:color w:val="auto"/>
        </w:rPr>
        <w:fldChar w:fldCharType="separate"/>
      </w:r>
      <w:r>
        <w:rPr>
          <w:rFonts w:hint="eastAsia" w:ascii="黑体" w:hAnsi="华文中宋" w:eastAsia="黑体"/>
          <w:color w:val="auto"/>
          <w:szCs w:val="28"/>
        </w:rPr>
        <w:t>第一节 政府采购合同协议书</w:t>
      </w:r>
      <w:r>
        <w:rPr>
          <w:color w:val="auto"/>
        </w:rPr>
        <w:tab/>
      </w:r>
      <w:r>
        <w:rPr>
          <w:rFonts w:hint="eastAsia"/>
          <w:color w:val="auto"/>
          <w:lang w:val="en-US" w:eastAsia="zh-CN"/>
        </w:rPr>
        <w:t>1</w:t>
      </w:r>
      <w:r>
        <w:rPr>
          <w:color w:val="auto"/>
        </w:rPr>
        <w:fldChar w:fldCharType="end"/>
      </w:r>
      <w:r>
        <w:rPr>
          <w:rFonts w:hint="eastAsia"/>
          <w:color w:val="auto"/>
          <w:lang w:val="en-US" w:eastAsia="zh-CN"/>
        </w:rPr>
        <w:t>22</w:t>
      </w:r>
    </w:p>
    <w:p w14:paraId="7F4AB835">
      <w:pPr>
        <w:pStyle w:val="36"/>
        <w:tabs>
          <w:tab w:val="right" w:leader="dot" w:pos="8844"/>
        </w:tabs>
        <w:ind w:left="420"/>
        <w:rPr>
          <w:color w:val="auto"/>
        </w:rPr>
      </w:pPr>
      <w:r>
        <w:rPr>
          <w:color w:val="auto"/>
        </w:rPr>
        <w:fldChar w:fldCharType="begin"/>
      </w:r>
      <w:r>
        <w:rPr>
          <w:color w:val="auto"/>
        </w:rPr>
        <w:instrText xml:space="preserve"> HYPERLINK \l "_Toc22849" </w:instrText>
      </w:r>
      <w:r>
        <w:rPr>
          <w:color w:val="auto"/>
        </w:rPr>
        <w:fldChar w:fldCharType="separate"/>
      </w:r>
      <w:r>
        <w:rPr>
          <w:rFonts w:hint="eastAsia" w:ascii="黑体" w:hAnsi="黑体" w:eastAsia="黑体"/>
          <w:color w:val="auto"/>
          <w:szCs w:val="28"/>
        </w:rPr>
        <w:t>第二节 政府采购合同通用条款</w:t>
      </w:r>
      <w:r>
        <w:rPr>
          <w:color w:val="auto"/>
        </w:rPr>
        <w:tab/>
      </w:r>
      <w:r>
        <w:rPr>
          <w:color w:val="auto"/>
        </w:rPr>
        <w:fldChar w:fldCharType="begin"/>
      </w:r>
      <w:r>
        <w:rPr>
          <w:color w:val="auto"/>
        </w:rPr>
        <w:instrText xml:space="preserve"> PAGEREF _Toc22849 \h </w:instrText>
      </w:r>
      <w:r>
        <w:rPr>
          <w:color w:val="auto"/>
        </w:rPr>
        <w:fldChar w:fldCharType="separate"/>
      </w:r>
      <w:r>
        <w:rPr>
          <w:color w:val="auto"/>
        </w:rPr>
        <w:t>125</w:t>
      </w:r>
      <w:r>
        <w:rPr>
          <w:color w:val="auto"/>
        </w:rPr>
        <w:fldChar w:fldCharType="end"/>
      </w:r>
      <w:r>
        <w:rPr>
          <w:color w:val="auto"/>
        </w:rPr>
        <w:fldChar w:fldCharType="end"/>
      </w:r>
    </w:p>
    <w:p w14:paraId="77CF9B90">
      <w:pPr>
        <w:pStyle w:val="36"/>
        <w:tabs>
          <w:tab w:val="right" w:leader="dot" w:pos="8844"/>
        </w:tabs>
        <w:ind w:left="420"/>
        <w:rPr>
          <w:color w:val="auto"/>
        </w:rPr>
      </w:pPr>
      <w:r>
        <w:rPr>
          <w:color w:val="auto"/>
        </w:rPr>
        <w:fldChar w:fldCharType="begin"/>
      </w:r>
      <w:r>
        <w:rPr>
          <w:color w:val="auto"/>
        </w:rPr>
        <w:instrText xml:space="preserve"> HYPERLINK \l "_Toc29224" </w:instrText>
      </w:r>
      <w:r>
        <w:rPr>
          <w:color w:val="auto"/>
        </w:rPr>
        <w:fldChar w:fldCharType="separate"/>
      </w:r>
      <w:r>
        <w:rPr>
          <w:rFonts w:hint="eastAsia" w:ascii="黑体" w:hAnsi="华文中宋" w:eastAsia="黑体"/>
          <w:color w:val="auto"/>
          <w:szCs w:val="28"/>
        </w:rPr>
        <w:t>第三节 政府采购合同专用条款</w:t>
      </w:r>
      <w:r>
        <w:rPr>
          <w:color w:val="auto"/>
        </w:rPr>
        <w:tab/>
      </w:r>
      <w:r>
        <w:rPr>
          <w:color w:val="auto"/>
        </w:rPr>
        <w:fldChar w:fldCharType="begin"/>
      </w:r>
      <w:r>
        <w:rPr>
          <w:color w:val="auto"/>
        </w:rPr>
        <w:instrText xml:space="preserve"> PAGEREF _Toc29224 \h </w:instrText>
      </w:r>
      <w:r>
        <w:rPr>
          <w:color w:val="auto"/>
        </w:rPr>
        <w:fldChar w:fldCharType="separate"/>
      </w:r>
      <w:r>
        <w:rPr>
          <w:color w:val="auto"/>
        </w:rPr>
        <w:t>132</w:t>
      </w:r>
      <w:r>
        <w:rPr>
          <w:color w:val="auto"/>
        </w:rPr>
        <w:fldChar w:fldCharType="end"/>
      </w:r>
      <w:r>
        <w:rPr>
          <w:color w:val="auto"/>
        </w:rPr>
        <w:fldChar w:fldCharType="end"/>
      </w:r>
    </w:p>
    <w:p w14:paraId="5C29E403">
      <w:pPr>
        <w:pStyle w:val="30"/>
        <w:tabs>
          <w:tab w:val="right" w:leader="dot" w:pos="8844"/>
          <w:tab w:val="clear" w:pos="1680"/>
          <w:tab w:val="clear" w:pos="8834"/>
        </w:tabs>
        <w:rPr>
          <w:color w:val="auto"/>
        </w:rPr>
      </w:pPr>
      <w:r>
        <w:rPr>
          <w:color w:val="auto"/>
        </w:rPr>
        <w:fldChar w:fldCharType="begin"/>
      </w:r>
      <w:r>
        <w:rPr>
          <w:color w:val="auto"/>
        </w:rPr>
        <w:instrText xml:space="preserve"> HYPERLINK \l "_Toc12984" </w:instrText>
      </w:r>
      <w:r>
        <w:rPr>
          <w:color w:val="auto"/>
        </w:rPr>
        <w:fldChar w:fldCharType="separate"/>
      </w:r>
      <w:r>
        <w:rPr>
          <w:rFonts w:hint="eastAsia" w:ascii="黑体" w:hAnsi="华文中宋" w:eastAsia="黑体"/>
          <w:color w:val="auto"/>
          <w:szCs w:val="32"/>
        </w:rPr>
        <w:t>第七章 投标文件的组成</w:t>
      </w:r>
      <w:r>
        <w:rPr>
          <w:color w:val="auto"/>
        </w:rPr>
        <w:tab/>
      </w:r>
      <w:r>
        <w:rPr>
          <w:color w:val="auto"/>
        </w:rPr>
        <w:fldChar w:fldCharType="begin"/>
      </w:r>
      <w:r>
        <w:rPr>
          <w:color w:val="auto"/>
        </w:rPr>
        <w:instrText xml:space="preserve"> PAGEREF _Toc12984 \h </w:instrText>
      </w:r>
      <w:r>
        <w:rPr>
          <w:color w:val="auto"/>
        </w:rPr>
        <w:fldChar w:fldCharType="separate"/>
      </w:r>
      <w:r>
        <w:rPr>
          <w:color w:val="auto"/>
        </w:rPr>
        <w:t>133</w:t>
      </w:r>
      <w:r>
        <w:rPr>
          <w:color w:val="auto"/>
        </w:rPr>
        <w:fldChar w:fldCharType="end"/>
      </w:r>
      <w:r>
        <w:rPr>
          <w:color w:val="auto"/>
        </w:rPr>
        <w:fldChar w:fldCharType="end"/>
      </w:r>
    </w:p>
    <w:p w14:paraId="552A3E50">
      <w:pPr>
        <w:pStyle w:val="36"/>
        <w:tabs>
          <w:tab w:val="right" w:leader="dot" w:pos="8844"/>
        </w:tabs>
        <w:ind w:left="420"/>
        <w:rPr>
          <w:color w:val="auto"/>
        </w:rPr>
      </w:pPr>
      <w:r>
        <w:rPr>
          <w:color w:val="auto"/>
        </w:rPr>
        <w:fldChar w:fldCharType="begin"/>
      </w:r>
      <w:r>
        <w:rPr>
          <w:color w:val="auto"/>
        </w:rPr>
        <w:instrText xml:space="preserve"> HYPERLINK \l "_Toc27055" </w:instrText>
      </w:r>
      <w:r>
        <w:rPr>
          <w:color w:val="auto"/>
        </w:rPr>
        <w:fldChar w:fldCharType="separate"/>
      </w:r>
      <w:r>
        <w:rPr>
          <w:rFonts w:hint="eastAsia" w:ascii="黑体" w:hAnsi="黑体" w:eastAsia="黑体"/>
          <w:color w:val="auto"/>
          <w:szCs w:val="44"/>
        </w:rPr>
        <w:t>第一部分 资格证明文件</w:t>
      </w:r>
      <w:r>
        <w:rPr>
          <w:color w:val="auto"/>
        </w:rPr>
        <w:tab/>
      </w:r>
      <w:r>
        <w:rPr>
          <w:color w:val="auto"/>
        </w:rPr>
        <w:fldChar w:fldCharType="begin"/>
      </w:r>
      <w:r>
        <w:rPr>
          <w:color w:val="auto"/>
        </w:rPr>
        <w:instrText xml:space="preserve"> PAGEREF _Toc27055 \h </w:instrText>
      </w:r>
      <w:r>
        <w:rPr>
          <w:color w:val="auto"/>
        </w:rPr>
        <w:fldChar w:fldCharType="separate"/>
      </w:r>
      <w:r>
        <w:rPr>
          <w:color w:val="auto"/>
        </w:rPr>
        <w:t>134</w:t>
      </w:r>
      <w:r>
        <w:rPr>
          <w:color w:val="auto"/>
        </w:rPr>
        <w:fldChar w:fldCharType="end"/>
      </w:r>
      <w:r>
        <w:rPr>
          <w:color w:val="auto"/>
        </w:rPr>
        <w:fldChar w:fldCharType="end"/>
      </w:r>
    </w:p>
    <w:p w14:paraId="49F49DFD">
      <w:pPr>
        <w:pStyle w:val="36"/>
        <w:tabs>
          <w:tab w:val="right" w:leader="dot" w:pos="8844"/>
        </w:tabs>
        <w:ind w:left="420"/>
        <w:rPr>
          <w:color w:val="auto"/>
        </w:rPr>
      </w:pPr>
      <w:r>
        <w:rPr>
          <w:color w:val="auto"/>
        </w:rPr>
        <w:fldChar w:fldCharType="begin"/>
      </w:r>
      <w:r>
        <w:rPr>
          <w:color w:val="auto"/>
        </w:rPr>
        <w:instrText xml:space="preserve"> HYPERLINK \l "_Toc19340" </w:instrText>
      </w:r>
      <w:r>
        <w:rPr>
          <w:color w:val="auto"/>
        </w:rPr>
        <w:fldChar w:fldCharType="separate"/>
      </w:r>
      <w:r>
        <w:rPr>
          <w:rFonts w:hint="eastAsia" w:ascii="黑体" w:hAnsi="宋体" w:eastAsia="黑体"/>
          <w:color w:val="auto"/>
          <w:szCs w:val="28"/>
        </w:rPr>
        <w:t>一、开标一览表</w:t>
      </w:r>
      <w:r>
        <w:rPr>
          <w:color w:val="auto"/>
        </w:rPr>
        <w:tab/>
      </w:r>
      <w:r>
        <w:rPr>
          <w:color w:val="auto"/>
        </w:rPr>
        <w:fldChar w:fldCharType="begin"/>
      </w:r>
      <w:r>
        <w:rPr>
          <w:color w:val="auto"/>
        </w:rPr>
        <w:instrText xml:space="preserve"> PAGEREF _Toc19340 \h </w:instrText>
      </w:r>
      <w:r>
        <w:rPr>
          <w:color w:val="auto"/>
        </w:rPr>
        <w:fldChar w:fldCharType="separate"/>
      </w:r>
      <w:r>
        <w:rPr>
          <w:color w:val="auto"/>
        </w:rPr>
        <w:t>135</w:t>
      </w:r>
      <w:r>
        <w:rPr>
          <w:color w:val="auto"/>
        </w:rPr>
        <w:fldChar w:fldCharType="end"/>
      </w:r>
      <w:r>
        <w:rPr>
          <w:color w:val="auto"/>
        </w:rPr>
        <w:fldChar w:fldCharType="end"/>
      </w:r>
    </w:p>
    <w:p w14:paraId="4C9248F7">
      <w:pPr>
        <w:pStyle w:val="36"/>
        <w:tabs>
          <w:tab w:val="right" w:leader="dot" w:pos="8844"/>
        </w:tabs>
        <w:ind w:left="420"/>
        <w:rPr>
          <w:color w:val="auto"/>
        </w:rPr>
      </w:pPr>
      <w:r>
        <w:rPr>
          <w:color w:val="auto"/>
        </w:rPr>
        <w:fldChar w:fldCharType="begin"/>
      </w:r>
      <w:r>
        <w:rPr>
          <w:color w:val="auto"/>
        </w:rPr>
        <w:instrText xml:space="preserve"> HYPERLINK \l "_Toc32667" </w:instrText>
      </w:r>
      <w:r>
        <w:rPr>
          <w:color w:val="auto"/>
        </w:rPr>
        <w:fldChar w:fldCharType="separate"/>
      </w:r>
      <w:r>
        <w:rPr>
          <w:rFonts w:hint="eastAsia" w:ascii="黑体" w:hAnsi="黑体" w:eastAsia="黑体"/>
          <w:color w:val="auto"/>
          <w:szCs w:val="28"/>
        </w:rPr>
        <w:t>二、投标保证金</w:t>
      </w:r>
      <w:r>
        <w:rPr>
          <w:color w:val="auto"/>
        </w:rPr>
        <w:tab/>
      </w:r>
      <w:r>
        <w:rPr>
          <w:color w:val="auto"/>
        </w:rPr>
        <w:fldChar w:fldCharType="begin"/>
      </w:r>
      <w:r>
        <w:rPr>
          <w:color w:val="auto"/>
        </w:rPr>
        <w:instrText xml:space="preserve"> PAGEREF _Toc32667 \h </w:instrText>
      </w:r>
      <w:r>
        <w:rPr>
          <w:color w:val="auto"/>
        </w:rPr>
        <w:fldChar w:fldCharType="separate"/>
      </w:r>
      <w:r>
        <w:rPr>
          <w:color w:val="auto"/>
        </w:rPr>
        <w:t>136</w:t>
      </w:r>
      <w:r>
        <w:rPr>
          <w:color w:val="auto"/>
        </w:rPr>
        <w:fldChar w:fldCharType="end"/>
      </w:r>
      <w:r>
        <w:rPr>
          <w:color w:val="auto"/>
        </w:rPr>
        <w:fldChar w:fldCharType="end"/>
      </w:r>
    </w:p>
    <w:p w14:paraId="6E5E9EC5">
      <w:pPr>
        <w:pStyle w:val="36"/>
        <w:tabs>
          <w:tab w:val="right" w:leader="dot" w:pos="8844"/>
        </w:tabs>
        <w:ind w:left="420"/>
        <w:rPr>
          <w:color w:val="auto"/>
        </w:rPr>
      </w:pPr>
      <w:r>
        <w:rPr>
          <w:color w:val="auto"/>
        </w:rPr>
        <w:fldChar w:fldCharType="begin"/>
      </w:r>
      <w:r>
        <w:rPr>
          <w:color w:val="auto"/>
        </w:rPr>
        <w:instrText xml:space="preserve"> HYPERLINK \l "_Toc19624" </w:instrText>
      </w:r>
      <w:r>
        <w:rPr>
          <w:color w:val="auto"/>
        </w:rPr>
        <w:fldChar w:fldCharType="separate"/>
      </w:r>
      <w:r>
        <w:rPr>
          <w:rFonts w:hint="eastAsia" w:ascii="黑体" w:hAnsi="宋体" w:eastAsia="黑体"/>
          <w:color w:val="auto"/>
          <w:szCs w:val="28"/>
        </w:rPr>
        <w:t>三、授权委托书</w:t>
      </w:r>
      <w:r>
        <w:rPr>
          <w:color w:val="auto"/>
        </w:rPr>
        <w:tab/>
      </w:r>
      <w:r>
        <w:rPr>
          <w:color w:val="auto"/>
        </w:rPr>
        <w:fldChar w:fldCharType="begin"/>
      </w:r>
      <w:r>
        <w:rPr>
          <w:color w:val="auto"/>
        </w:rPr>
        <w:instrText xml:space="preserve"> PAGEREF _Toc19624 \h </w:instrText>
      </w:r>
      <w:r>
        <w:rPr>
          <w:color w:val="auto"/>
        </w:rPr>
        <w:fldChar w:fldCharType="separate"/>
      </w:r>
      <w:r>
        <w:rPr>
          <w:color w:val="auto"/>
        </w:rPr>
        <w:t>137</w:t>
      </w:r>
      <w:r>
        <w:rPr>
          <w:color w:val="auto"/>
        </w:rPr>
        <w:fldChar w:fldCharType="end"/>
      </w:r>
      <w:r>
        <w:rPr>
          <w:color w:val="auto"/>
        </w:rPr>
        <w:fldChar w:fldCharType="end"/>
      </w:r>
    </w:p>
    <w:p w14:paraId="3813DF6F">
      <w:pPr>
        <w:pStyle w:val="36"/>
        <w:tabs>
          <w:tab w:val="right" w:leader="dot" w:pos="8844"/>
        </w:tabs>
        <w:ind w:left="420"/>
        <w:rPr>
          <w:color w:val="auto"/>
        </w:rPr>
      </w:pPr>
      <w:r>
        <w:rPr>
          <w:color w:val="auto"/>
        </w:rPr>
        <w:fldChar w:fldCharType="begin"/>
      </w:r>
      <w:r>
        <w:rPr>
          <w:color w:val="auto"/>
        </w:rPr>
        <w:instrText xml:space="preserve"> HYPERLINK \l "_Toc1862" </w:instrText>
      </w:r>
      <w:r>
        <w:rPr>
          <w:color w:val="auto"/>
        </w:rPr>
        <w:fldChar w:fldCharType="separate"/>
      </w:r>
      <w:r>
        <w:rPr>
          <w:rFonts w:hint="eastAsia" w:ascii="黑体" w:hAnsi="宋体" w:eastAsia="黑体"/>
          <w:color w:val="auto"/>
          <w:szCs w:val="28"/>
        </w:rPr>
        <w:t>四、投标人提供的资格证明文件</w:t>
      </w:r>
      <w:r>
        <w:rPr>
          <w:color w:val="auto"/>
        </w:rPr>
        <w:tab/>
      </w:r>
      <w:r>
        <w:rPr>
          <w:color w:val="auto"/>
        </w:rPr>
        <w:fldChar w:fldCharType="begin"/>
      </w:r>
      <w:r>
        <w:rPr>
          <w:color w:val="auto"/>
        </w:rPr>
        <w:instrText xml:space="preserve"> PAGEREF _Toc1862 \h </w:instrText>
      </w:r>
      <w:r>
        <w:rPr>
          <w:color w:val="auto"/>
        </w:rPr>
        <w:fldChar w:fldCharType="separate"/>
      </w:r>
      <w:r>
        <w:rPr>
          <w:color w:val="auto"/>
        </w:rPr>
        <w:t>139</w:t>
      </w:r>
      <w:r>
        <w:rPr>
          <w:color w:val="auto"/>
        </w:rPr>
        <w:fldChar w:fldCharType="end"/>
      </w:r>
      <w:r>
        <w:rPr>
          <w:color w:val="auto"/>
        </w:rPr>
        <w:fldChar w:fldCharType="end"/>
      </w:r>
    </w:p>
    <w:p w14:paraId="35F7458A">
      <w:pPr>
        <w:pStyle w:val="21"/>
        <w:tabs>
          <w:tab w:val="right" w:leader="dot" w:pos="8844"/>
        </w:tabs>
        <w:ind w:left="840"/>
        <w:rPr>
          <w:color w:val="auto"/>
        </w:rPr>
      </w:pPr>
      <w:r>
        <w:rPr>
          <w:color w:val="auto"/>
        </w:rPr>
        <w:fldChar w:fldCharType="begin"/>
      </w:r>
      <w:r>
        <w:rPr>
          <w:color w:val="auto"/>
        </w:rPr>
        <w:instrText xml:space="preserve"> HYPERLINK \l "_Toc6602" </w:instrText>
      </w:r>
      <w:r>
        <w:rPr>
          <w:color w:val="auto"/>
        </w:rPr>
        <w:fldChar w:fldCharType="separate"/>
      </w:r>
      <w:r>
        <w:rPr>
          <w:rFonts w:hint="eastAsia" w:ascii="黑体" w:hAnsi="仿宋" w:eastAsia="黑体" w:cs="宋体"/>
          <w:color w:val="auto"/>
          <w:szCs w:val="28"/>
        </w:rPr>
        <w:t>法人或者其他组织的营业执照等主体资格证明文件，自然人的身份证明</w:t>
      </w:r>
      <w:r>
        <w:rPr>
          <w:color w:val="auto"/>
        </w:rPr>
        <w:tab/>
      </w:r>
      <w:r>
        <w:rPr>
          <w:color w:val="auto"/>
        </w:rPr>
        <w:fldChar w:fldCharType="begin"/>
      </w:r>
      <w:r>
        <w:rPr>
          <w:color w:val="auto"/>
        </w:rPr>
        <w:instrText xml:space="preserve"> PAGEREF _Toc6602 \h </w:instrText>
      </w:r>
      <w:r>
        <w:rPr>
          <w:color w:val="auto"/>
        </w:rPr>
        <w:fldChar w:fldCharType="separate"/>
      </w:r>
      <w:r>
        <w:rPr>
          <w:color w:val="auto"/>
        </w:rPr>
        <w:t>140</w:t>
      </w:r>
      <w:r>
        <w:rPr>
          <w:color w:val="auto"/>
        </w:rPr>
        <w:fldChar w:fldCharType="end"/>
      </w:r>
      <w:r>
        <w:rPr>
          <w:color w:val="auto"/>
        </w:rPr>
        <w:fldChar w:fldCharType="end"/>
      </w:r>
    </w:p>
    <w:p w14:paraId="548D250A">
      <w:pPr>
        <w:pStyle w:val="21"/>
        <w:tabs>
          <w:tab w:val="right" w:leader="dot" w:pos="8844"/>
        </w:tabs>
        <w:ind w:left="840"/>
        <w:rPr>
          <w:color w:val="auto"/>
        </w:rPr>
      </w:pPr>
      <w:r>
        <w:rPr>
          <w:color w:val="auto"/>
        </w:rPr>
        <w:fldChar w:fldCharType="begin"/>
      </w:r>
      <w:r>
        <w:rPr>
          <w:color w:val="auto"/>
        </w:rPr>
        <w:instrText xml:space="preserve"> HYPERLINK \l "_Toc25620" </w:instrText>
      </w:r>
      <w:r>
        <w:rPr>
          <w:color w:val="auto"/>
        </w:rPr>
        <w:fldChar w:fldCharType="separate"/>
      </w:r>
      <w:r>
        <w:rPr>
          <w:rFonts w:hint="eastAsia" w:ascii="黑体" w:hAnsi="仿宋" w:eastAsia="黑体" w:cs="宋体"/>
          <w:color w:val="auto"/>
          <w:szCs w:val="28"/>
        </w:rPr>
        <w:t>湖南省政府采购供应商资格承诺函(格式)</w:t>
      </w:r>
      <w:r>
        <w:rPr>
          <w:color w:val="auto"/>
        </w:rPr>
        <w:tab/>
      </w:r>
      <w:r>
        <w:rPr>
          <w:color w:val="auto"/>
        </w:rPr>
        <w:fldChar w:fldCharType="begin"/>
      </w:r>
      <w:r>
        <w:rPr>
          <w:color w:val="auto"/>
        </w:rPr>
        <w:instrText xml:space="preserve"> PAGEREF _Toc25620 \h </w:instrText>
      </w:r>
      <w:r>
        <w:rPr>
          <w:color w:val="auto"/>
        </w:rPr>
        <w:fldChar w:fldCharType="separate"/>
      </w:r>
      <w:r>
        <w:rPr>
          <w:color w:val="auto"/>
        </w:rPr>
        <w:t>141</w:t>
      </w:r>
      <w:r>
        <w:rPr>
          <w:color w:val="auto"/>
        </w:rPr>
        <w:fldChar w:fldCharType="end"/>
      </w:r>
      <w:r>
        <w:rPr>
          <w:color w:val="auto"/>
        </w:rPr>
        <w:fldChar w:fldCharType="end"/>
      </w:r>
    </w:p>
    <w:p w14:paraId="61513DF7">
      <w:pPr>
        <w:pStyle w:val="21"/>
        <w:tabs>
          <w:tab w:val="right" w:leader="dot" w:pos="8844"/>
        </w:tabs>
        <w:ind w:left="840"/>
        <w:rPr>
          <w:color w:val="auto"/>
        </w:rPr>
      </w:pPr>
      <w:r>
        <w:rPr>
          <w:color w:val="auto"/>
        </w:rPr>
        <w:fldChar w:fldCharType="begin"/>
      </w:r>
      <w:r>
        <w:rPr>
          <w:color w:val="auto"/>
        </w:rPr>
        <w:instrText xml:space="preserve"> HYPERLINK \l "_Toc25824" </w:instrText>
      </w:r>
      <w:r>
        <w:rPr>
          <w:color w:val="auto"/>
        </w:rPr>
        <w:fldChar w:fldCharType="separate"/>
      </w:r>
      <w:r>
        <w:rPr>
          <w:rFonts w:hint="eastAsia" w:ascii="黑体" w:hAnsi="仿宋" w:eastAsia="黑体" w:cs="宋体"/>
          <w:color w:val="auto"/>
          <w:szCs w:val="28"/>
        </w:rPr>
        <w:t>符合特定资格条件证明材料复印件或者情况说明</w:t>
      </w:r>
      <w:r>
        <w:rPr>
          <w:color w:val="auto"/>
        </w:rPr>
        <w:tab/>
      </w:r>
      <w:r>
        <w:rPr>
          <w:color w:val="auto"/>
        </w:rPr>
        <w:fldChar w:fldCharType="begin"/>
      </w:r>
      <w:r>
        <w:rPr>
          <w:color w:val="auto"/>
        </w:rPr>
        <w:instrText xml:space="preserve"> PAGEREF _Toc25824 \h </w:instrText>
      </w:r>
      <w:r>
        <w:rPr>
          <w:color w:val="auto"/>
        </w:rPr>
        <w:fldChar w:fldCharType="separate"/>
      </w:r>
      <w:r>
        <w:rPr>
          <w:color w:val="auto"/>
        </w:rPr>
        <w:t>142</w:t>
      </w:r>
      <w:r>
        <w:rPr>
          <w:color w:val="auto"/>
        </w:rPr>
        <w:fldChar w:fldCharType="end"/>
      </w:r>
      <w:r>
        <w:rPr>
          <w:color w:val="auto"/>
        </w:rPr>
        <w:fldChar w:fldCharType="end"/>
      </w:r>
    </w:p>
    <w:p w14:paraId="2D948A11">
      <w:pPr>
        <w:pStyle w:val="21"/>
        <w:tabs>
          <w:tab w:val="right" w:leader="dot" w:pos="8844"/>
        </w:tabs>
        <w:ind w:left="840"/>
        <w:rPr>
          <w:color w:val="auto"/>
        </w:rPr>
      </w:pPr>
      <w:r>
        <w:rPr>
          <w:color w:val="auto"/>
        </w:rPr>
        <w:fldChar w:fldCharType="begin"/>
      </w:r>
      <w:r>
        <w:rPr>
          <w:color w:val="auto"/>
        </w:rPr>
        <w:instrText xml:space="preserve"> HYPERLINK \l "_Toc21488" </w:instrText>
      </w:r>
      <w:r>
        <w:rPr>
          <w:color w:val="auto"/>
        </w:rPr>
        <w:fldChar w:fldCharType="separate"/>
      </w:r>
      <w:r>
        <w:rPr>
          <w:rFonts w:hint="eastAsia" w:ascii="黑体" w:hAnsi="仿宋" w:eastAsia="黑体" w:cs="宋体"/>
          <w:color w:val="auto"/>
          <w:szCs w:val="28"/>
        </w:rPr>
        <w:t>联合体协议书</w:t>
      </w:r>
      <w:r>
        <w:rPr>
          <w:color w:val="auto"/>
        </w:rPr>
        <w:tab/>
      </w:r>
      <w:r>
        <w:rPr>
          <w:color w:val="auto"/>
        </w:rPr>
        <w:fldChar w:fldCharType="begin"/>
      </w:r>
      <w:r>
        <w:rPr>
          <w:color w:val="auto"/>
        </w:rPr>
        <w:instrText xml:space="preserve"> PAGEREF _Toc21488 \h </w:instrText>
      </w:r>
      <w:r>
        <w:rPr>
          <w:color w:val="auto"/>
        </w:rPr>
        <w:fldChar w:fldCharType="separate"/>
      </w:r>
      <w:r>
        <w:rPr>
          <w:color w:val="auto"/>
        </w:rPr>
        <w:t>143</w:t>
      </w:r>
      <w:r>
        <w:rPr>
          <w:color w:val="auto"/>
        </w:rPr>
        <w:fldChar w:fldCharType="end"/>
      </w:r>
      <w:r>
        <w:rPr>
          <w:color w:val="auto"/>
        </w:rPr>
        <w:fldChar w:fldCharType="end"/>
      </w:r>
    </w:p>
    <w:p w14:paraId="62C21861">
      <w:pPr>
        <w:pStyle w:val="36"/>
        <w:tabs>
          <w:tab w:val="right" w:leader="dot" w:pos="8844"/>
        </w:tabs>
        <w:ind w:left="420"/>
        <w:rPr>
          <w:color w:val="auto"/>
        </w:rPr>
      </w:pPr>
      <w:r>
        <w:rPr>
          <w:color w:val="auto"/>
        </w:rPr>
        <w:fldChar w:fldCharType="begin"/>
      </w:r>
      <w:r>
        <w:rPr>
          <w:color w:val="auto"/>
        </w:rPr>
        <w:instrText xml:space="preserve"> HYPERLINK \l "_Toc16661" </w:instrText>
      </w:r>
      <w:r>
        <w:rPr>
          <w:color w:val="auto"/>
        </w:rPr>
        <w:fldChar w:fldCharType="separate"/>
      </w:r>
      <w:r>
        <w:rPr>
          <w:rFonts w:hint="eastAsia" w:ascii="黑体" w:hAnsi="黑体" w:eastAsia="黑体"/>
          <w:color w:val="auto"/>
          <w:szCs w:val="44"/>
        </w:rPr>
        <w:t>第二部分 商务技术文件</w:t>
      </w:r>
      <w:r>
        <w:rPr>
          <w:color w:val="auto"/>
        </w:rPr>
        <w:tab/>
      </w:r>
      <w:r>
        <w:rPr>
          <w:color w:val="auto"/>
        </w:rPr>
        <w:fldChar w:fldCharType="begin"/>
      </w:r>
      <w:r>
        <w:rPr>
          <w:color w:val="auto"/>
        </w:rPr>
        <w:instrText xml:space="preserve"> PAGEREF _Toc16661 \h </w:instrText>
      </w:r>
      <w:r>
        <w:rPr>
          <w:color w:val="auto"/>
        </w:rPr>
        <w:fldChar w:fldCharType="separate"/>
      </w:r>
      <w:r>
        <w:rPr>
          <w:color w:val="auto"/>
        </w:rPr>
        <w:t>145</w:t>
      </w:r>
      <w:r>
        <w:rPr>
          <w:color w:val="auto"/>
        </w:rPr>
        <w:fldChar w:fldCharType="end"/>
      </w:r>
      <w:r>
        <w:rPr>
          <w:color w:val="auto"/>
        </w:rPr>
        <w:fldChar w:fldCharType="end"/>
      </w:r>
    </w:p>
    <w:p w14:paraId="38F9D719">
      <w:pPr>
        <w:pStyle w:val="36"/>
        <w:tabs>
          <w:tab w:val="right" w:leader="dot" w:pos="8844"/>
        </w:tabs>
        <w:ind w:left="420"/>
        <w:rPr>
          <w:color w:val="auto"/>
        </w:rPr>
      </w:pPr>
      <w:r>
        <w:rPr>
          <w:color w:val="auto"/>
        </w:rPr>
        <w:fldChar w:fldCharType="begin"/>
      </w:r>
      <w:r>
        <w:rPr>
          <w:color w:val="auto"/>
        </w:rPr>
        <w:instrText xml:space="preserve"> HYPERLINK \l "_Toc24217" </w:instrText>
      </w:r>
      <w:r>
        <w:rPr>
          <w:color w:val="auto"/>
        </w:rPr>
        <w:fldChar w:fldCharType="separate"/>
      </w:r>
      <w:r>
        <w:rPr>
          <w:rFonts w:hint="eastAsia" w:ascii="黑体" w:hAnsi="宋体" w:eastAsia="黑体"/>
          <w:color w:val="auto"/>
          <w:szCs w:val="28"/>
        </w:rPr>
        <w:t>五</w:t>
      </w:r>
      <w:r>
        <w:rPr>
          <w:rFonts w:ascii="黑体" w:hAnsi="宋体" w:eastAsia="黑体"/>
          <w:color w:val="auto"/>
          <w:szCs w:val="28"/>
        </w:rPr>
        <w:t>、</w:t>
      </w:r>
      <w:r>
        <w:rPr>
          <w:rFonts w:hint="eastAsia" w:ascii="黑体" w:hAnsi="宋体" w:eastAsia="黑体"/>
          <w:color w:val="auto"/>
          <w:szCs w:val="28"/>
        </w:rPr>
        <w:t>投标函</w:t>
      </w:r>
      <w:r>
        <w:rPr>
          <w:color w:val="auto"/>
        </w:rPr>
        <w:tab/>
      </w:r>
      <w:r>
        <w:rPr>
          <w:color w:val="auto"/>
        </w:rPr>
        <w:fldChar w:fldCharType="begin"/>
      </w:r>
      <w:r>
        <w:rPr>
          <w:color w:val="auto"/>
        </w:rPr>
        <w:instrText xml:space="preserve"> PAGEREF _Toc24217 \h </w:instrText>
      </w:r>
      <w:r>
        <w:rPr>
          <w:color w:val="auto"/>
        </w:rPr>
        <w:fldChar w:fldCharType="separate"/>
      </w:r>
      <w:r>
        <w:rPr>
          <w:color w:val="auto"/>
        </w:rPr>
        <w:t>146</w:t>
      </w:r>
      <w:r>
        <w:rPr>
          <w:color w:val="auto"/>
        </w:rPr>
        <w:fldChar w:fldCharType="end"/>
      </w:r>
      <w:r>
        <w:rPr>
          <w:color w:val="auto"/>
        </w:rPr>
        <w:fldChar w:fldCharType="end"/>
      </w:r>
    </w:p>
    <w:p w14:paraId="6204C16C">
      <w:pPr>
        <w:pStyle w:val="36"/>
        <w:tabs>
          <w:tab w:val="right" w:leader="dot" w:pos="8844"/>
        </w:tabs>
        <w:ind w:left="420"/>
        <w:rPr>
          <w:color w:val="auto"/>
        </w:rPr>
      </w:pPr>
      <w:r>
        <w:rPr>
          <w:color w:val="auto"/>
        </w:rPr>
        <w:fldChar w:fldCharType="begin"/>
      </w:r>
      <w:r>
        <w:rPr>
          <w:color w:val="auto"/>
        </w:rPr>
        <w:instrText xml:space="preserve"> HYPERLINK \l "_Toc23396" </w:instrText>
      </w:r>
      <w:r>
        <w:rPr>
          <w:color w:val="auto"/>
        </w:rPr>
        <w:fldChar w:fldCharType="separate"/>
      </w:r>
      <w:r>
        <w:rPr>
          <w:rFonts w:hint="eastAsia" w:ascii="黑体" w:hAnsi="宋体" w:eastAsia="黑体"/>
          <w:color w:val="auto"/>
          <w:szCs w:val="28"/>
        </w:rPr>
        <w:t>六、分项报价</w:t>
      </w:r>
      <w:r>
        <w:rPr>
          <w:color w:val="auto"/>
        </w:rPr>
        <w:tab/>
      </w:r>
      <w:r>
        <w:rPr>
          <w:color w:val="auto"/>
        </w:rPr>
        <w:fldChar w:fldCharType="begin"/>
      </w:r>
      <w:r>
        <w:rPr>
          <w:color w:val="auto"/>
        </w:rPr>
        <w:instrText xml:space="preserve"> PAGEREF _Toc23396 \h </w:instrText>
      </w:r>
      <w:r>
        <w:rPr>
          <w:color w:val="auto"/>
        </w:rPr>
        <w:fldChar w:fldCharType="separate"/>
      </w:r>
      <w:r>
        <w:rPr>
          <w:color w:val="auto"/>
        </w:rPr>
        <w:t>148</w:t>
      </w:r>
      <w:r>
        <w:rPr>
          <w:color w:val="auto"/>
        </w:rPr>
        <w:fldChar w:fldCharType="end"/>
      </w:r>
      <w:r>
        <w:rPr>
          <w:color w:val="auto"/>
        </w:rPr>
        <w:fldChar w:fldCharType="end"/>
      </w:r>
    </w:p>
    <w:p w14:paraId="2C646735">
      <w:pPr>
        <w:pStyle w:val="21"/>
        <w:tabs>
          <w:tab w:val="right" w:leader="dot" w:pos="8844"/>
        </w:tabs>
        <w:ind w:left="840"/>
        <w:rPr>
          <w:color w:val="auto"/>
        </w:rPr>
      </w:pPr>
      <w:r>
        <w:rPr>
          <w:color w:val="auto"/>
        </w:rPr>
        <w:fldChar w:fldCharType="begin"/>
      </w:r>
      <w:r>
        <w:rPr>
          <w:color w:val="auto"/>
        </w:rPr>
        <w:instrText xml:space="preserve"> HYPERLINK \l "_Toc6257" </w:instrText>
      </w:r>
      <w:r>
        <w:rPr>
          <w:color w:val="auto"/>
        </w:rPr>
        <w:fldChar w:fldCharType="separate"/>
      </w:r>
      <w:r>
        <w:rPr>
          <w:rFonts w:hint="eastAsia" w:ascii="黑体" w:hAnsi="宋体" w:eastAsia="黑体" w:cs="微软雅黑"/>
          <w:color w:val="auto"/>
          <w:spacing w:val="-2"/>
          <w:szCs w:val="28"/>
        </w:rPr>
        <w:t>分</w:t>
      </w:r>
      <w:r>
        <w:rPr>
          <w:rFonts w:hint="eastAsia" w:ascii="黑体" w:hAnsi="宋体" w:eastAsia="黑体" w:cs="微软雅黑"/>
          <w:color w:val="auto"/>
          <w:szCs w:val="28"/>
        </w:rPr>
        <w:t>项</w:t>
      </w:r>
      <w:r>
        <w:rPr>
          <w:rFonts w:hint="eastAsia" w:ascii="黑体" w:hAnsi="宋体" w:eastAsia="黑体" w:cs="微软雅黑"/>
          <w:color w:val="auto"/>
          <w:spacing w:val="-2"/>
          <w:szCs w:val="28"/>
        </w:rPr>
        <w:t>报</w:t>
      </w:r>
      <w:r>
        <w:rPr>
          <w:rFonts w:hint="eastAsia" w:ascii="黑体" w:hAnsi="宋体" w:eastAsia="黑体" w:cs="微软雅黑"/>
          <w:color w:val="auto"/>
          <w:szCs w:val="28"/>
        </w:rPr>
        <w:t>价说明</w:t>
      </w:r>
      <w:r>
        <w:rPr>
          <w:color w:val="auto"/>
        </w:rPr>
        <w:tab/>
      </w:r>
      <w:r>
        <w:rPr>
          <w:color w:val="auto"/>
        </w:rPr>
        <w:fldChar w:fldCharType="begin"/>
      </w:r>
      <w:r>
        <w:rPr>
          <w:color w:val="auto"/>
        </w:rPr>
        <w:instrText xml:space="preserve"> PAGEREF _Toc6257 \h </w:instrText>
      </w:r>
      <w:r>
        <w:rPr>
          <w:color w:val="auto"/>
        </w:rPr>
        <w:fldChar w:fldCharType="separate"/>
      </w:r>
      <w:r>
        <w:rPr>
          <w:color w:val="auto"/>
        </w:rPr>
        <w:t>148</w:t>
      </w:r>
      <w:r>
        <w:rPr>
          <w:color w:val="auto"/>
        </w:rPr>
        <w:fldChar w:fldCharType="end"/>
      </w:r>
      <w:r>
        <w:rPr>
          <w:color w:val="auto"/>
        </w:rPr>
        <w:fldChar w:fldCharType="end"/>
      </w:r>
    </w:p>
    <w:p w14:paraId="19E2CB2A">
      <w:pPr>
        <w:pStyle w:val="21"/>
        <w:tabs>
          <w:tab w:val="right" w:leader="dot" w:pos="8844"/>
        </w:tabs>
        <w:ind w:left="840"/>
        <w:rPr>
          <w:color w:val="auto"/>
        </w:rPr>
      </w:pPr>
      <w:r>
        <w:rPr>
          <w:color w:val="auto"/>
        </w:rPr>
        <w:fldChar w:fldCharType="begin"/>
      </w:r>
      <w:r>
        <w:rPr>
          <w:color w:val="auto"/>
        </w:rPr>
        <w:instrText xml:space="preserve"> HYPERLINK \l "_Toc27824" </w:instrText>
      </w:r>
      <w:r>
        <w:rPr>
          <w:color w:val="auto"/>
        </w:rPr>
        <w:fldChar w:fldCharType="separate"/>
      </w:r>
      <w:r>
        <w:rPr>
          <w:rFonts w:hint="eastAsia" w:ascii="黑体" w:hAnsi="宋体" w:eastAsia="黑体" w:cs="微软雅黑"/>
          <w:color w:val="auto"/>
          <w:spacing w:val="-2"/>
          <w:position w:val="-3"/>
          <w:szCs w:val="28"/>
        </w:rPr>
        <w:t>分</w:t>
      </w:r>
      <w:r>
        <w:rPr>
          <w:rFonts w:hint="eastAsia" w:ascii="黑体" w:hAnsi="宋体" w:eastAsia="黑体" w:cs="微软雅黑"/>
          <w:color w:val="auto"/>
          <w:position w:val="-3"/>
          <w:szCs w:val="28"/>
        </w:rPr>
        <w:t>项</w:t>
      </w:r>
      <w:r>
        <w:rPr>
          <w:rFonts w:hint="eastAsia" w:ascii="黑体" w:hAnsi="宋体" w:eastAsia="黑体" w:cs="微软雅黑"/>
          <w:color w:val="auto"/>
          <w:spacing w:val="-2"/>
          <w:position w:val="-3"/>
          <w:szCs w:val="28"/>
        </w:rPr>
        <w:t>报</w:t>
      </w:r>
      <w:r>
        <w:rPr>
          <w:rFonts w:hint="eastAsia" w:ascii="黑体" w:hAnsi="宋体" w:eastAsia="黑体" w:cs="微软雅黑"/>
          <w:color w:val="auto"/>
          <w:position w:val="-3"/>
          <w:szCs w:val="28"/>
        </w:rPr>
        <w:t>价明细表</w:t>
      </w:r>
      <w:r>
        <w:rPr>
          <w:color w:val="auto"/>
        </w:rPr>
        <w:tab/>
      </w:r>
      <w:r>
        <w:rPr>
          <w:color w:val="auto"/>
        </w:rPr>
        <w:fldChar w:fldCharType="begin"/>
      </w:r>
      <w:r>
        <w:rPr>
          <w:color w:val="auto"/>
        </w:rPr>
        <w:instrText xml:space="preserve"> PAGEREF _Toc27824 \h </w:instrText>
      </w:r>
      <w:r>
        <w:rPr>
          <w:color w:val="auto"/>
        </w:rPr>
        <w:fldChar w:fldCharType="separate"/>
      </w:r>
      <w:r>
        <w:rPr>
          <w:color w:val="auto"/>
        </w:rPr>
        <w:t>148</w:t>
      </w:r>
      <w:r>
        <w:rPr>
          <w:color w:val="auto"/>
        </w:rPr>
        <w:fldChar w:fldCharType="end"/>
      </w:r>
      <w:r>
        <w:rPr>
          <w:color w:val="auto"/>
        </w:rPr>
        <w:fldChar w:fldCharType="end"/>
      </w:r>
    </w:p>
    <w:p w14:paraId="7A73B88E">
      <w:pPr>
        <w:pStyle w:val="36"/>
        <w:tabs>
          <w:tab w:val="right" w:leader="dot" w:pos="8844"/>
        </w:tabs>
        <w:ind w:left="420"/>
        <w:rPr>
          <w:color w:val="auto"/>
        </w:rPr>
      </w:pPr>
      <w:r>
        <w:rPr>
          <w:color w:val="auto"/>
        </w:rPr>
        <w:fldChar w:fldCharType="begin"/>
      </w:r>
      <w:r>
        <w:rPr>
          <w:color w:val="auto"/>
        </w:rPr>
        <w:instrText xml:space="preserve"> HYPERLINK \l "_Toc7342" </w:instrText>
      </w:r>
      <w:r>
        <w:rPr>
          <w:color w:val="auto"/>
        </w:rPr>
        <w:fldChar w:fldCharType="separate"/>
      </w:r>
      <w:r>
        <w:rPr>
          <w:rFonts w:hint="eastAsia" w:ascii="黑体" w:hAnsi="宋体" w:eastAsia="黑体"/>
          <w:color w:val="auto"/>
          <w:szCs w:val="28"/>
        </w:rPr>
        <w:t>七、采购需求响应</w:t>
      </w:r>
      <w:r>
        <w:rPr>
          <w:color w:val="auto"/>
        </w:rPr>
        <w:tab/>
      </w:r>
      <w:r>
        <w:rPr>
          <w:color w:val="auto"/>
        </w:rPr>
        <w:fldChar w:fldCharType="begin"/>
      </w:r>
      <w:r>
        <w:rPr>
          <w:color w:val="auto"/>
        </w:rPr>
        <w:instrText xml:space="preserve"> PAGEREF _Toc7342 \h </w:instrText>
      </w:r>
      <w:r>
        <w:rPr>
          <w:color w:val="auto"/>
        </w:rPr>
        <w:fldChar w:fldCharType="separate"/>
      </w:r>
      <w:r>
        <w:rPr>
          <w:color w:val="auto"/>
        </w:rPr>
        <w:t>149</w:t>
      </w:r>
      <w:r>
        <w:rPr>
          <w:color w:val="auto"/>
        </w:rPr>
        <w:fldChar w:fldCharType="end"/>
      </w:r>
      <w:r>
        <w:rPr>
          <w:color w:val="auto"/>
        </w:rPr>
        <w:fldChar w:fldCharType="end"/>
      </w:r>
    </w:p>
    <w:p w14:paraId="2FEF9973">
      <w:pPr>
        <w:pStyle w:val="21"/>
        <w:tabs>
          <w:tab w:val="right" w:leader="dot" w:pos="8844"/>
        </w:tabs>
        <w:ind w:left="840"/>
        <w:rPr>
          <w:color w:val="auto"/>
        </w:rPr>
      </w:pPr>
      <w:r>
        <w:rPr>
          <w:color w:val="auto"/>
        </w:rPr>
        <w:fldChar w:fldCharType="begin"/>
      </w:r>
      <w:r>
        <w:rPr>
          <w:color w:val="auto"/>
        </w:rPr>
        <w:instrText xml:space="preserve"> HYPERLINK \l "_Toc22963" </w:instrText>
      </w:r>
      <w:r>
        <w:rPr>
          <w:color w:val="auto"/>
        </w:rPr>
        <w:fldChar w:fldCharType="separate"/>
      </w:r>
      <w:r>
        <w:rPr>
          <w:rFonts w:hint="eastAsia" w:ascii="黑体" w:hAnsi="黑体" w:eastAsia="黑体"/>
          <w:color w:val="auto"/>
          <w:szCs w:val="28"/>
        </w:rPr>
        <w:t>响应-览表</w:t>
      </w:r>
      <w:r>
        <w:rPr>
          <w:color w:val="auto"/>
        </w:rPr>
        <w:tab/>
      </w:r>
      <w:r>
        <w:rPr>
          <w:color w:val="auto"/>
        </w:rPr>
        <w:fldChar w:fldCharType="begin"/>
      </w:r>
      <w:r>
        <w:rPr>
          <w:color w:val="auto"/>
        </w:rPr>
        <w:instrText xml:space="preserve"> PAGEREF _Toc22963 \h </w:instrText>
      </w:r>
      <w:r>
        <w:rPr>
          <w:color w:val="auto"/>
        </w:rPr>
        <w:fldChar w:fldCharType="separate"/>
      </w:r>
      <w:r>
        <w:rPr>
          <w:color w:val="auto"/>
        </w:rPr>
        <w:t>149</w:t>
      </w:r>
      <w:r>
        <w:rPr>
          <w:color w:val="auto"/>
        </w:rPr>
        <w:fldChar w:fldCharType="end"/>
      </w:r>
      <w:r>
        <w:rPr>
          <w:color w:val="auto"/>
        </w:rPr>
        <w:fldChar w:fldCharType="end"/>
      </w:r>
    </w:p>
    <w:p w14:paraId="106E79BA">
      <w:pPr>
        <w:pStyle w:val="36"/>
        <w:tabs>
          <w:tab w:val="right" w:leader="dot" w:pos="8844"/>
        </w:tabs>
        <w:ind w:left="420"/>
        <w:rPr>
          <w:color w:val="auto"/>
        </w:rPr>
      </w:pPr>
      <w:r>
        <w:rPr>
          <w:color w:val="auto"/>
        </w:rPr>
        <w:fldChar w:fldCharType="begin"/>
      </w:r>
      <w:r>
        <w:rPr>
          <w:color w:val="auto"/>
        </w:rPr>
        <w:instrText xml:space="preserve"> HYPERLINK \l "_Toc536" </w:instrText>
      </w:r>
      <w:r>
        <w:rPr>
          <w:color w:val="auto"/>
        </w:rPr>
        <w:fldChar w:fldCharType="separate"/>
      </w:r>
      <w:r>
        <w:rPr>
          <w:rFonts w:hint="eastAsia" w:ascii="黑体" w:hAnsi="黑体" w:eastAsia="黑体"/>
          <w:color w:val="auto"/>
          <w:szCs w:val="28"/>
        </w:rPr>
        <w:t>八、合同条款偏离表</w:t>
      </w:r>
      <w:r>
        <w:rPr>
          <w:color w:val="auto"/>
        </w:rPr>
        <w:tab/>
      </w:r>
      <w:r>
        <w:rPr>
          <w:color w:val="auto"/>
        </w:rPr>
        <w:fldChar w:fldCharType="begin"/>
      </w:r>
      <w:r>
        <w:rPr>
          <w:color w:val="auto"/>
        </w:rPr>
        <w:instrText xml:space="preserve"> PAGEREF _Toc536 \h </w:instrText>
      </w:r>
      <w:r>
        <w:rPr>
          <w:color w:val="auto"/>
        </w:rPr>
        <w:fldChar w:fldCharType="separate"/>
      </w:r>
      <w:r>
        <w:rPr>
          <w:color w:val="auto"/>
        </w:rPr>
        <w:t>150</w:t>
      </w:r>
      <w:r>
        <w:rPr>
          <w:color w:val="auto"/>
        </w:rPr>
        <w:fldChar w:fldCharType="end"/>
      </w:r>
      <w:r>
        <w:rPr>
          <w:color w:val="auto"/>
        </w:rPr>
        <w:fldChar w:fldCharType="end"/>
      </w:r>
    </w:p>
    <w:p w14:paraId="3B2AE813">
      <w:pPr>
        <w:pStyle w:val="36"/>
        <w:tabs>
          <w:tab w:val="right" w:leader="dot" w:pos="8844"/>
        </w:tabs>
        <w:ind w:left="420"/>
        <w:rPr>
          <w:color w:val="auto"/>
        </w:rPr>
      </w:pPr>
      <w:r>
        <w:rPr>
          <w:color w:val="auto"/>
        </w:rPr>
        <w:fldChar w:fldCharType="begin"/>
      </w:r>
      <w:r>
        <w:rPr>
          <w:color w:val="auto"/>
        </w:rPr>
        <w:instrText xml:space="preserve"> HYPERLINK \l "_Toc22333" </w:instrText>
      </w:r>
      <w:r>
        <w:rPr>
          <w:color w:val="auto"/>
        </w:rPr>
        <w:fldChar w:fldCharType="separate"/>
      </w:r>
      <w:r>
        <w:rPr>
          <w:rFonts w:hint="eastAsia" w:ascii="黑体" w:hAnsi="宋体" w:eastAsia="黑体"/>
          <w:color w:val="auto"/>
          <w:szCs w:val="28"/>
        </w:rPr>
        <w:t>九、采购需求偏离表</w:t>
      </w:r>
      <w:r>
        <w:rPr>
          <w:color w:val="auto"/>
        </w:rPr>
        <w:tab/>
      </w:r>
      <w:r>
        <w:rPr>
          <w:color w:val="auto"/>
        </w:rPr>
        <w:fldChar w:fldCharType="begin"/>
      </w:r>
      <w:r>
        <w:rPr>
          <w:color w:val="auto"/>
        </w:rPr>
        <w:instrText xml:space="preserve"> PAGEREF _Toc22333 \h </w:instrText>
      </w:r>
      <w:r>
        <w:rPr>
          <w:color w:val="auto"/>
        </w:rPr>
        <w:fldChar w:fldCharType="separate"/>
      </w:r>
      <w:r>
        <w:rPr>
          <w:color w:val="auto"/>
        </w:rPr>
        <w:t>151</w:t>
      </w:r>
      <w:r>
        <w:rPr>
          <w:color w:val="auto"/>
        </w:rPr>
        <w:fldChar w:fldCharType="end"/>
      </w:r>
      <w:r>
        <w:rPr>
          <w:color w:val="auto"/>
        </w:rPr>
        <w:fldChar w:fldCharType="end"/>
      </w:r>
    </w:p>
    <w:p w14:paraId="3B9571CA">
      <w:pPr>
        <w:pStyle w:val="36"/>
        <w:tabs>
          <w:tab w:val="right" w:leader="dot" w:pos="8844"/>
        </w:tabs>
        <w:ind w:left="420"/>
        <w:rPr>
          <w:color w:val="auto"/>
        </w:rPr>
      </w:pPr>
      <w:r>
        <w:rPr>
          <w:color w:val="auto"/>
        </w:rPr>
        <w:fldChar w:fldCharType="begin"/>
      </w:r>
      <w:r>
        <w:rPr>
          <w:color w:val="auto"/>
        </w:rPr>
        <w:instrText xml:space="preserve"> HYPERLINK \l "_Toc26302" </w:instrText>
      </w:r>
      <w:r>
        <w:rPr>
          <w:color w:val="auto"/>
        </w:rPr>
        <w:fldChar w:fldCharType="separate"/>
      </w:r>
      <w:r>
        <w:rPr>
          <w:rFonts w:hint="eastAsia" w:ascii="黑体" w:hAnsi="宋体" w:eastAsia="黑体"/>
          <w:color w:val="auto"/>
          <w:szCs w:val="28"/>
        </w:rPr>
        <w:t>十、享受政府采购政策优惠的证明资料</w:t>
      </w:r>
      <w:r>
        <w:rPr>
          <w:color w:val="auto"/>
        </w:rPr>
        <w:tab/>
      </w:r>
      <w:r>
        <w:rPr>
          <w:color w:val="auto"/>
        </w:rPr>
        <w:fldChar w:fldCharType="begin"/>
      </w:r>
      <w:r>
        <w:rPr>
          <w:color w:val="auto"/>
        </w:rPr>
        <w:instrText xml:space="preserve"> PAGEREF _Toc26302 \h </w:instrText>
      </w:r>
      <w:r>
        <w:rPr>
          <w:color w:val="auto"/>
        </w:rPr>
        <w:fldChar w:fldCharType="separate"/>
      </w:r>
      <w:r>
        <w:rPr>
          <w:color w:val="auto"/>
        </w:rPr>
        <w:t>152</w:t>
      </w:r>
      <w:r>
        <w:rPr>
          <w:color w:val="auto"/>
        </w:rPr>
        <w:fldChar w:fldCharType="end"/>
      </w:r>
      <w:r>
        <w:rPr>
          <w:color w:val="auto"/>
        </w:rPr>
        <w:fldChar w:fldCharType="end"/>
      </w:r>
    </w:p>
    <w:p w14:paraId="52F40D9B">
      <w:pPr>
        <w:pStyle w:val="21"/>
        <w:tabs>
          <w:tab w:val="right" w:leader="dot" w:pos="8844"/>
        </w:tabs>
        <w:ind w:left="840"/>
        <w:rPr>
          <w:color w:val="auto"/>
        </w:rPr>
      </w:pPr>
      <w:r>
        <w:rPr>
          <w:color w:val="auto"/>
        </w:rPr>
        <w:fldChar w:fldCharType="begin"/>
      </w:r>
      <w:r>
        <w:rPr>
          <w:color w:val="auto"/>
        </w:rPr>
        <w:instrText xml:space="preserve"> HYPERLINK \l "_Toc23966" </w:instrText>
      </w:r>
      <w:r>
        <w:rPr>
          <w:color w:val="auto"/>
        </w:rPr>
        <w:fldChar w:fldCharType="separate"/>
      </w:r>
      <w:r>
        <w:rPr>
          <w:rFonts w:hint="eastAsia" w:ascii="黑体" w:hAnsi="黑体" w:eastAsia="黑体" w:cs="黑体"/>
          <w:color w:val="auto"/>
          <w:spacing w:val="6"/>
          <w:szCs w:val="28"/>
        </w:rPr>
        <w:t>中小企业声明函</w:t>
      </w:r>
      <w:r>
        <w:rPr>
          <w:color w:val="auto"/>
        </w:rPr>
        <w:tab/>
      </w:r>
      <w:r>
        <w:rPr>
          <w:color w:val="auto"/>
        </w:rPr>
        <w:fldChar w:fldCharType="begin"/>
      </w:r>
      <w:r>
        <w:rPr>
          <w:color w:val="auto"/>
        </w:rPr>
        <w:instrText xml:space="preserve"> PAGEREF _Toc23966 \h </w:instrText>
      </w:r>
      <w:r>
        <w:rPr>
          <w:color w:val="auto"/>
        </w:rPr>
        <w:fldChar w:fldCharType="separate"/>
      </w:r>
      <w:r>
        <w:rPr>
          <w:color w:val="auto"/>
        </w:rPr>
        <w:t>152</w:t>
      </w:r>
      <w:r>
        <w:rPr>
          <w:color w:val="auto"/>
        </w:rPr>
        <w:fldChar w:fldCharType="end"/>
      </w:r>
      <w:r>
        <w:rPr>
          <w:color w:val="auto"/>
        </w:rPr>
        <w:fldChar w:fldCharType="end"/>
      </w:r>
    </w:p>
    <w:p w14:paraId="21F7AE73">
      <w:pPr>
        <w:pStyle w:val="21"/>
        <w:tabs>
          <w:tab w:val="right" w:leader="dot" w:pos="8844"/>
        </w:tabs>
        <w:ind w:left="840"/>
        <w:rPr>
          <w:color w:val="auto"/>
        </w:rPr>
      </w:pPr>
      <w:r>
        <w:rPr>
          <w:color w:val="auto"/>
        </w:rPr>
        <w:fldChar w:fldCharType="begin"/>
      </w:r>
      <w:r>
        <w:rPr>
          <w:color w:val="auto"/>
        </w:rPr>
        <w:instrText xml:space="preserve"> HYPERLINK \l "_Toc21061" </w:instrText>
      </w:r>
      <w:r>
        <w:rPr>
          <w:color w:val="auto"/>
        </w:rPr>
        <w:fldChar w:fldCharType="separate"/>
      </w:r>
      <w:r>
        <w:rPr>
          <w:rFonts w:hint="eastAsia" w:ascii="黑体" w:hAnsi="黑体" w:eastAsia="黑体"/>
          <w:color w:val="auto"/>
          <w:spacing w:val="6"/>
          <w:szCs w:val="28"/>
        </w:rPr>
        <w:t>残疾人福利性单位声明函</w:t>
      </w:r>
      <w:r>
        <w:rPr>
          <w:color w:val="auto"/>
        </w:rPr>
        <w:tab/>
      </w:r>
      <w:r>
        <w:rPr>
          <w:color w:val="auto"/>
        </w:rPr>
        <w:fldChar w:fldCharType="begin"/>
      </w:r>
      <w:r>
        <w:rPr>
          <w:color w:val="auto"/>
        </w:rPr>
        <w:instrText xml:space="preserve"> PAGEREF _Toc21061 \h </w:instrText>
      </w:r>
      <w:r>
        <w:rPr>
          <w:color w:val="auto"/>
        </w:rPr>
        <w:fldChar w:fldCharType="separate"/>
      </w:r>
      <w:r>
        <w:rPr>
          <w:color w:val="auto"/>
        </w:rPr>
        <w:t>153</w:t>
      </w:r>
      <w:r>
        <w:rPr>
          <w:color w:val="auto"/>
        </w:rPr>
        <w:fldChar w:fldCharType="end"/>
      </w:r>
      <w:r>
        <w:rPr>
          <w:color w:val="auto"/>
        </w:rPr>
        <w:fldChar w:fldCharType="end"/>
      </w:r>
    </w:p>
    <w:p w14:paraId="0FB80812">
      <w:pPr>
        <w:pStyle w:val="21"/>
        <w:tabs>
          <w:tab w:val="right" w:leader="dot" w:pos="8844"/>
        </w:tabs>
        <w:ind w:left="840"/>
        <w:rPr>
          <w:color w:val="auto"/>
        </w:rPr>
      </w:pPr>
      <w:r>
        <w:rPr>
          <w:color w:val="auto"/>
        </w:rPr>
        <w:fldChar w:fldCharType="begin"/>
      </w:r>
      <w:r>
        <w:rPr>
          <w:color w:val="auto"/>
        </w:rPr>
        <w:instrText xml:space="preserve"> HYPERLINK \l "_Toc19504" </w:instrText>
      </w:r>
      <w:r>
        <w:rPr>
          <w:color w:val="auto"/>
        </w:rPr>
        <w:fldChar w:fldCharType="separate"/>
      </w:r>
      <w:r>
        <w:rPr>
          <w:rFonts w:hint="eastAsia" w:ascii="黑体" w:hAnsi="宋体"/>
          <w:color w:val="auto"/>
          <w:szCs w:val="28"/>
        </w:rPr>
        <w:t>监狱企业证明资料</w:t>
      </w:r>
      <w:r>
        <w:rPr>
          <w:color w:val="auto"/>
        </w:rPr>
        <w:tab/>
      </w:r>
      <w:r>
        <w:rPr>
          <w:color w:val="auto"/>
        </w:rPr>
        <w:fldChar w:fldCharType="begin"/>
      </w:r>
      <w:r>
        <w:rPr>
          <w:color w:val="auto"/>
        </w:rPr>
        <w:instrText xml:space="preserve"> PAGEREF _Toc19504 \h </w:instrText>
      </w:r>
      <w:r>
        <w:rPr>
          <w:color w:val="auto"/>
        </w:rPr>
        <w:fldChar w:fldCharType="separate"/>
      </w:r>
      <w:r>
        <w:rPr>
          <w:color w:val="auto"/>
        </w:rPr>
        <w:t>154</w:t>
      </w:r>
      <w:r>
        <w:rPr>
          <w:color w:val="auto"/>
        </w:rPr>
        <w:fldChar w:fldCharType="end"/>
      </w:r>
      <w:r>
        <w:rPr>
          <w:color w:val="auto"/>
        </w:rPr>
        <w:fldChar w:fldCharType="end"/>
      </w:r>
    </w:p>
    <w:p w14:paraId="54595FD3">
      <w:pPr>
        <w:pStyle w:val="21"/>
        <w:tabs>
          <w:tab w:val="right" w:leader="dot" w:pos="8844"/>
        </w:tabs>
        <w:ind w:left="840"/>
        <w:rPr>
          <w:color w:val="auto"/>
        </w:rPr>
      </w:pPr>
      <w:r>
        <w:rPr>
          <w:color w:val="auto"/>
        </w:rPr>
        <w:fldChar w:fldCharType="begin"/>
      </w:r>
      <w:r>
        <w:rPr>
          <w:color w:val="auto"/>
        </w:rPr>
        <w:instrText xml:space="preserve"> HYPERLINK \l "_Toc27581" </w:instrText>
      </w:r>
      <w:r>
        <w:rPr>
          <w:color w:val="auto"/>
        </w:rPr>
        <w:fldChar w:fldCharType="separate"/>
      </w:r>
      <w:r>
        <w:rPr>
          <w:rFonts w:hint="eastAsia" w:ascii="黑体" w:hAnsi="黑体" w:eastAsia="黑体"/>
          <w:color w:val="auto"/>
          <w:szCs w:val="28"/>
        </w:rPr>
        <w:t>强制采购或者优先采购产品的证明材料</w:t>
      </w:r>
      <w:r>
        <w:rPr>
          <w:color w:val="auto"/>
        </w:rPr>
        <w:tab/>
      </w:r>
      <w:r>
        <w:rPr>
          <w:color w:val="auto"/>
        </w:rPr>
        <w:fldChar w:fldCharType="begin"/>
      </w:r>
      <w:r>
        <w:rPr>
          <w:color w:val="auto"/>
        </w:rPr>
        <w:instrText xml:space="preserve"> PAGEREF _Toc27581 \h </w:instrText>
      </w:r>
      <w:r>
        <w:rPr>
          <w:color w:val="auto"/>
        </w:rPr>
        <w:fldChar w:fldCharType="separate"/>
      </w:r>
      <w:r>
        <w:rPr>
          <w:color w:val="auto"/>
        </w:rPr>
        <w:t>155</w:t>
      </w:r>
      <w:r>
        <w:rPr>
          <w:color w:val="auto"/>
        </w:rPr>
        <w:fldChar w:fldCharType="end"/>
      </w:r>
      <w:r>
        <w:rPr>
          <w:color w:val="auto"/>
        </w:rPr>
        <w:fldChar w:fldCharType="end"/>
      </w:r>
    </w:p>
    <w:p w14:paraId="786FE094">
      <w:pPr>
        <w:pStyle w:val="36"/>
        <w:tabs>
          <w:tab w:val="right" w:leader="dot" w:pos="8844"/>
        </w:tabs>
        <w:ind w:left="420"/>
        <w:rPr>
          <w:color w:val="auto"/>
        </w:rPr>
      </w:pPr>
      <w:r>
        <w:rPr>
          <w:color w:val="auto"/>
        </w:rPr>
        <w:fldChar w:fldCharType="begin"/>
      </w:r>
      <w:r>
        <w:rPr>
          <w:color w:val="auto"/>
        </w:rPr>
        <w:instrText xml:space="preserve"> HYPERLINK \l "_Toc26201" </w:instrText>
      </w:r>
      <w:r>
        <w:rPr>
          <w:color w:val="auto"/>
        </w:rPr>
        <w:fldChar w:fldCharType="separate"/>
      </w:r>
      <w:r>
        <w:rPr>
          <w:rFonts w:hint="eastAsia" w:ascii="黑体" w:hAnsi="宋体" w:eastAsia="黑体"/>
          <w:color w:val="auto"/>
          <w:szCs w:val="28"/>
        </w:rPr>
        <w:t>十一、投标货物符合招标文件规定的证明文件</w:t>
      </w:r>
      <w:r>
        <w:rPr>
          <w:color w:val="auto"/>
        </w:rPr>
        <w:tab/>
      </w:r>
      <w:r>
        <w:rPr>
          <w:color w:val="auto"/>
        </w:rPr>
        <w:fldChar w:fldCharType="begin"/>
      </w:r>
      <w:r>
        <w:rPr>
          <w:color w:val="auto"/>
        </w:rPr>
        <w:instrText xml:space="preserve"> PAGEREF _Toc26201 \h </w:instrText>
      </w:r>
      <w:r>
        <w:rPr>
          <w:color w:val="auto"/>
        </w:rPr>
        <w:fldChar w:fldCharType="separate"/>
      </w:r>
      <w:r>
        <w:rPr>
          <w:color w:val="auto"/>
        </w:rPr>
        <w:t>157</w:t>
      </w:r>
      <w:r>
        <w:rPr>
          <w:color w:val="auto"/>
        </w:rPr>
        <w:fldChar w:fldCharType="end"/>
      </w:r>
      <w:r>
        <w:rPr>
          <w:color w:val="auto"/>
        </w:rPr>
        <w:fldChar w:fldCharType="end"/>
      </w:r>
    </w:p>
    <w:p w14:paraId="7E00BA1C">
      <w:pPr>
        <w:pStyle w:val="36"/>
        <w:tabs>
          <w:tab w:val="right" w:leader="dot" w:pos="8844"/>
        </w:tabs>
        <w:ind w:left="420"/>
        <w:rPr>
          <w:color w:val="auto"/>
        </w:rPr>
      </w:pPr>
      <w:r>
        <w:rPr>
          <w:color w:val="auto"/>
        </w:rPr>
        <w:fldChar w:fldCharType="begin"/>
      </w:r>
      <w:r>
        <w:rPr>
          <w:color w:val="auto"/>
        </w:rPr>
        <w:instrText xml:space="preserve"> HYPERLINK \l "_Toc10024" </w:instrText>
      </w:r>
      <w:r>
        <w:rPr>
          <w:color w:val="auto"/>
        </w:rPr>
        <w:fldChar w:fldCharType="separate"/>
      </w:r>
      <w:r>
        <w:rPr>
          <w:rFonts w:hint="eastAsia" w:ascii="黑体" w:hAnsi="宋体" w:eastAsia="黑体"/>
          <w:color w:val="auto"/>
          <w:szCs w:val="28"/>
        </w:rPr>
        <w:t>十二、投标人认为需提供的其他资料</w:t>
      </w:r>
      <w:r>
        <w:rPr>
          <w:color w:val="auto"/>
        </w:rPr>
        <w:tab/>
      </w:r>
      <w:r>
        <w:rPr>
          <w:color w:val="auto"/>
        </w:rPr>
        <w:fldChar w:fldCharType="begin"/>
      </w:r>
      <w:r>
        <w:rPr>
          <w:color w:val="auto"/>
        </w:rPr>
        <w:instrText xml:space="preserve"> PAGEREF _Toc10024 \h </w:instrText>
      </w:r>
      <w:r>
        <w:rPr>
          <w:color w:val="auto"/>
        </w:rPr>
        <w:fldChar w:fldCharType="separate"/>
      </w:r>
      <w:r>
        <w:rPr>
          <w:color w:val="auto"/>
        </w:rPr>
        <w:t>158</w:t>
      </w:r>
      <w:r>
        <w:rPr>
          <w:color w:val="auto"/>
        </w:rPr>
        <w:fldChar w:fldCharType="end"/>
      </w:r>
      <w:r>
        <w:rPr>
          <w:color w:val="auto"/>
        </w:rPr>
        <w:fldChar w:fldCharType="end"/>
      </w:r>
    </w:p>
    <w:p w14:paraId="506B2EA8">
      <w:pPr>
        <w:pStyle w:val="2"/>
        <w:rPr>
          <w:color w:val="auto"/>
        </w:rPr>
        <w:sectPr>
          <w:headerReference r:id="rId3" w:type="default"/>
          <w:footerReference r:id="rId4" w:type="default"/>
          <w:pgSz w:w="11906" w:h="16838"/>
          <w:pgMar w:top="1474" w:right="1474" w:bottom="1474" w:left="1588" w:header="851" w:footer="992" w:gutter="0"/>
          <w:pgBorders>
            <w:top w:val="none" w:sz="0" w:space="0"/>
            <w:left w:val="none" w:sz="0" w:space="0"/>
            <w:bottom w:val="none" w:sz="0" w:space="0"/>
            <w:right w:val="none" w:sz="0" w:space="0"/>
          </w:pgBorders>
          <w:pgNumType w:start="1"/>
          <w:cols w:space="720" w:num="1"/>
          <w:docGrid w:type="lines" w:linePitch="312" w:charSpace="0"/>
        </w:sectPr>
      </w:pPr>
      <w:r>
        <w:rPr>
          <w:color w:val="auto"/>
        </w:rPr>
        <w:fldChar w:fldCharType="end"/>
      </w:r>
    </w:p>
    <w:p w14:paraId="7117185E">
      <w:pPr>
        <w:pStyle w:val="102"/>
        <w:numPr>
          <w:ilvl w:val="0"/>
          <w:numId w:val="2"/>
        </w:numPr>
        <w:ind w:firstLine="640"/>
        <w:jc w:val="center"/>
        <w:rPr>
          <w:rFonts w:ascii="黑体" w:hAnsi="华文中宋" w:eastAsia="黑体"/>
          <w:color w:val="auto"/>
          <w:sz w:val="32"/>
          <w:szCs w:val="32"/>
        </w:rPr>
      </w:pPr>
      <w:r>
        <w:rPr>
          <w:rFonts w:hint="eastAsia" w:ascii="黑体" w:hAnsi="华文中宋" w:eastAsia="黑体"/>
          <w:color w:val="auto"/>
          <w:sz w:val="32"/>
          <w:szCs w:val="32"/>
        </w:rPr>
        <w:t xml:space="preserve"> 投标邀请（公开招标）</w:t>
      </w:r>
    </w:p>
    <w:p w14:paraId="17E767DD">
      <w:pPr>
        <w:pStyle w:val="102"/>
        <w:ind w:firstLine="0" w:firstLineChars="0"/>
        <w:rPr>
          <w:rFonts w:ascii="黑体" w:hAnsi="华文中宋" w:eastAsia="黑体"/>
          <w:color w:val="auto"/>
          <w:sz w:val="32"/>
          <w:szCs w:val="32"/>
        </w:rPr>
      </w:pPr>
    </w:p>
    <w:p w14:paraId="0870EEA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u w:val="single"/>
          <w:lang w:eastAsia="zh-CN"/>
        </w:rPr>
        <w:t>新化县卫生健康局</w:t>
      </w:r>
      <w:r>
        <w:rPr>
          <w:rFonts w:hint="eastAsia" w:ascii="宋体" w:hAnsi="宋体"/>
          <w:color w:val="auto"/>
          <w:szCs w:val="21"/>
          <w:u w:val="single"/>
        </w:rPr>
        <w:t>（采购人名称）</w:t>
      </w:r>
      <w:r>
        <w:rPr>
          <w:rFonts w:hint="eastAsia" w:ascii="宋体" w:hAnsi="宋体"/>
          <w:color w:val="auto"/>
          <w:szCs w:val="21"/>
        </w:rPr>
        <w:t>的</w:t>
      </w:r>
      <w:r>
        <w:rPr>
          <w:rFonts w:hint="eastAsia" w:ascii="宋体" w:hAnsi="宋体"/>
          <w:color w:val="auto"/>
          <w:szCs w:val="21"/>
          <w:u w:val="single"/>
          <w:lang w:eastAsia="zh-CN"/>
        </w:rPr>
        <w:t>新化县紧密型县域医共体医疗卫生强基工程建设项目医疗设备采购</w:t>
      </w:r>
      <w:r>
        <w:rPr>
          <w:rFonts w:hint="eastAsia" w:ascii="宋体" w:hAnsi="宋体"/>
          <w:color w:val="auto"/>
          <w:szCs w:val="21"/>
        </w:rPr>
        <w:t>进行公开招标采购，现邀请合格投标人参加投标。</w:t>
      </w:r>
    </w:p>
    <w:p w14:paraId="2BE0AA46">
      <w:pPr>
        <w:numPr>
          <w:ilvl w:val="0"/>
          <w:numId w:val="0"/>
        </w:numPr>
        <w:adjustRightInd w:val="0"/>
        <w:snapToGrid w:val="0"/>
        <w:spacing w:line="360" w:lineRule="auto"/>
        <w:ind w:firstLine="422" w:firstLineChars="200"/>
        <w:jc w:val="both"/>
        <w:rPr>
          <w:rFonts w:hint="eastAsia" w:ascii="宋体" w:hAnsi="宋体" w:eastAsia="宋体" w:cs="Times New Roman"/>
          <w:b/>
          <w:color w:val="auto"/>
          <w:szCs w:val="21"/>
        </w:rPr>
      </w:pPr>
      <w:r>
        <w:rPr>
          <w:rFonts w:hint="eastAsia" w:ascii="宋体" w:hAnsi="宋体" w:eastAsia="宋体" w:cs="Times New Roman"/>
          <w:b/>
          <w:color w:val="auto"/>
          <w:szCs w:val="21"/>
        </w:rPr>
        <w:t>一、采购项目基本信息</w:t>
      </w:r>
    </w:p>
    <w:p w14:paraId="598B052F">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1、采购项目名称：</w:t>
      </w:r>
      <w:r>
        <w:rPr>
          <w:rFonts w:hint="eastAsia" w:ascii="宋体" w:hAnsi="宋体"/>
          <w:color w:val="auto"/>
          <w:szCs w:val="21"/>
          <w:u w:val="single"/>
          <w:lang w:eastAsia="zh-CN"/>
        </w:rPr>
        <w:t>新化县紧密型县域医共体医疗卫生强基工程建设项目医疗设备采购</w:t>
      </w:r>
    </w:p>
    <w:p w14:paraId="29CB870E">
      <w:pPr>
        <w:adjustRightInd w:val="0"/>
        <w:snapToGrid w:val="0"/>
        <w:spacing w:line="360" w:lineRule="auto"/>
        <w:ind w:firstLine="420" w:firstLineChars="200"/>
        <w:rPr>
          <w:rFonts w:hint="default" w:ascii="宋体" w:hAnsi="宋体"/>
          <w:color w:val="auto"/>
          <w:szCs w:val="21"/>
          <w:lang w:val="en-US"/>
        </w:rPr>
      </w:pPr>
      <w:r>
        <w:rPr>
          <w:rFonts w:hint="eastAsia" w:ascii="宋体" w:hAnsi="宋体"/>
          <w:color w:val="auto"/>
          <w:szCs w:val="21"/>
        </w:rPr>
        <w:t>2、政府采购计划编号</w:t>
      </w:r>
      <w:r>
        <w:rPr>
          <w:rFonts w:hint="eastAsia" w:ascii="宋体" w:hAnsi="宋体"/>
          <w:color w:val="auto"/>
          <w:szCs w:val="21"/>
          <w:lang w:eastAsia="zh-CN"/>
        </w:rPr>
        <w:t>：（</w:t>
      </w:r>
      <w:r>
        <w:rPr>
          <w:rFonts w:hint="eastAsia" w:ascii="宋体" w:hAnsi="宋体"/>
          <w:color w:val="auto"/>
          <w:szCs w:val="21"/>
          <w:u w:val="single"/>
          <w:lang w:val="en-US" w:eastAsia="zh-CN"/>
        </w:rPr>
        <w:t>2026）431322000014-1</w:t>
      </w:r>
    </w:p>
    <w:p w14:paraId="12D69FAC">
      <w:pPr>
        <w:adjustRightInd w:val="0"/>
        <w:snapToGrid w:val="0"/>
        <w:spacing w:line="360" w:lineRule="auto"/>
        <w:ind w:firstLine="420" w:firstLineChars="200"/>
        <w:rPr>
          <w:rFonts w:hint="default" w:ascii="宋体" w:hAnsi="宋体" w:eastAsia="宋体"/>
          <w:color w:val="auto"/>
          <w:szCs w:val="21"/>
          <w:u w:val="single"/>
          <w:lang w:val="en-US" w:eastAsia="zh-CN"/>
        </w:rPr>
      </w:pPr>
      <w:r>
        <w:rPr>
          <w:rFonts w:hint="eastAsia" w:ascii="宋体" w:hAnsi="宋体"/>
          <w:color w:val="auto"/>
          <w:szCs w:val="21"/>
        </w:rPr>
        <w:t>3、委托代理编号：</w:t>
      </w:r>
      <w:r>
        <w:rPr>
          <w:rFonts w:hint="eastAsia" w:ascii="宋体" w:hAnsi="宋体"/>
          <w:color w:val="auto"/>
          <w:szCs w:val="21"/>
          <w:u w:val="single"/>
          <w:lang w:eastAsia="zh-CN"/>
        </w:rPr>
        <w:t>LDZC-202</w:t>
      </w:r>
      <w:r>
        <w:rPr>
          <w:rFonts w:hint="eastAsia" w:ascii="宋体" w:hAnsi="宋体"/>
          <w:color w:val="auto"/>
          <w:szCs w:val="21"/>
          <w:u w:val="single"/>
          <w:lang w:val="en-US" w:eastAsia="zh-CN"/>
        </w:rPr>
        <w:t>6</w:t>
      </w:r>
      <w:r>
        <w:rPr>
          <w:rFonts w:hint="eastAsia" w:ascii="宋体" w:hAnsi="宋体"/>
          <w:color w:val="auto"/>
          <w:szCs w:val="21"/>
          <w:u w:val="single"/>
          <w:lang w:eastAsia="zh-CN"/>
        </w:rPr>
        <w:t>GK00</w:t>
      </w:r>
      <w:r>
        <w:rPr>
          <w:rFonts w:hint="eastAsia" w:ascii="宋体" w:hAnsi="宋体"/>
          <w:color w:val="auto"/>
          <w:szCs w:val="21"/>
          <w:u w:val="single"/>
          <w:lang w:val="en-US" w:eastAsia="zh-CN"/>
        </w:rPr>
        <w:t xml:space="preserve">62       </w:t>
      </w:r>
    </w:p>
    <w:p w14:paraId="31D306F9">
      <w:pPr>
        <w:adjustRightInd w:val="0"/>
        <w:snapToGrid w:val="0"/>
        <w:spacing w:line="360" w:lineRule="auto"/>
        <w:ind w:firstLine="420" w:firstLineChars="200"/>
        <w:rPr>
          <w:rFonts w:ascii="宋体" w:hAnsi="宋体" w:cs="宋体"/>
          <w:color w:val="auto"/>
          <w:kern w:val="0"/>
          <w:szCs w:val="21"/>
          <w:u w:val="single"/>
        </w:rPr>
      </w:pPr>
      <w:r>
        <w:rPr>
          <w:rFonts w:hint="eastAsia" w:ascii="宋体" w:hAnsi="宋体"/>
          <w:color w:val="auto"/>
          <w:szCs w:val="21"/>
        </w:rPr>
        <w:t>4、采购项目预算</w:t>
      </w:r>
      <w:r>
        <w:rPr>
          <w:rFonts w:hint="eastAsia" w:ascii="宋体" w:hAnsi="宋体" w:eastAsia="宋体"/>
          <w:color w:val="auto"/>
          <w:szCs w:val="21"/>
        </w:rPr>
        <w:t>：</w:t>
      </w:r>
      <w:r>
        <w:rPr>
          <w:rFonts w:hint="eastAsia" w:ascii="宋体" w:hAnsi="宋体"/>
          <w:color w:val="auto"/>
          <w:szCs w:val="21"/>
          <w:u w:val="single"/>
          <w:lang w:val="en-US" w:eastAsia="zh-CN"/>
        </w:rPr>
        <w:t>16062376元；最高限价：16062376元</w:t>
      </w:r>
    </w:p>
    <w:p w14:paraId="20566B7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支持预付款，预付比例：</w:t>
      </w:r>
      <w:r>
        <w:rPr>
          <w:rFonts w:hint="eastAsia" w:ascii="宋体" w:hAnsi="宋体"/>
          <w:color w:val="auto"/>
          <w:szCs w:val="21"/>
          <w:u w:val="single"/>
        </w:rPr>
        <w:t xml:space="preserve">  /  </w:t>
      </w:r>
    </w:p>
    <w:p w14:paraId="2BB8BB1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5、本项目对应的中小企业划分标准所属行业：</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工业  </w:t>
      </w:r>
      <w:r>
        <w:rPr>
          <w:rFonts w:hint="eastAsia" w:ascii="宋体" w:hAnsi="宋体"/>
          <w:color w:val="auto"/>
          <w:szCs w:val="21"/>
          <w:u w:val="single"/>
        </w:rPr>
        <w:t xml:space="preserve"> </w:t>
      </w:r>
    </w:p>
    <w:p w14:paraId="3456410B">
      <w:pPr>
        <w:adjustRightInd w:val="0"/>
        <w:snapToGrid w:val="0"/>
        <w:spacing w:line="360" w:lineRule="auto"/>
        <w:ind w:firstLine="420" w:firstLineChars="200"/>
        <w:rPr>
          <w:rFonts w:ascii="宋体" w:hAnsi="宋体"/>
          <w:bCs/>
          <w:color w:val="auto"/>
          <w:szCs w:val="21"/>
          <w:u w:val="single"/>
        </w:rPr>
      </w:pPr>
      <w:r>
        <w:rPr>
          <w:rFonts w:hint="eastAsia" w:ascii="宋体" w:hAnsi="宋体"/>
          <w:bCs/>
          <w:color w:val="auto"/>
          <w:szCs w:val="21"/>
        </w:rPr>
        <w:t>6、评标方法：</w:t>
      </w:r>
      <w:r>
        <w:rPr>
          <w:rFonts w:hint="eastAsia" w:ascii="宋体" w:hAnsi="宋体"/>
          <w:color w:val="auto"/>
          <w:szCs w:val="21"/>
        </w:rPr>
        <w:sym w:font="Wingdings" w:char="00FE"/>
      </w:r>
      <w:r>
        <w:rPr>
          <w:rFonts w:hint="eastAsia" w:ascii="宋体" w:hAnsi="宋体"/>
          <w:iCs/>
          <w:color w:val="auto"/>
          <w:szCs w:val="21"/>
        </w:rPr>
        <w:t xml:space="preserve">综合评分法  </w:t>
      </w:r>
      <w:r>
        <w:rPr>
          <w:rFonts w:hint="eastAsia" w:ascii="宋体" w:hAnsi="宋体"/>
          <w:iCs/>
          <w:color w:val="auto"/>
          <w:szCs w:val="21"/>
        </w:rPr>
        <w:sym w:font="Wingdings" w:char="00A8"/>
      </w:r>
      <w:r>
        <w:rPr>
          <w:rFonts w:hint="eastAsia" w:ascii="宋体" w:hAnsi="宋体"/>
          <w:iCs/>
          <w:color w:val="auto"/>
          <w:szCs w:val="21"/>
        </w:rPr>
        <w:t>最低价法</w:t>
      </w:r>
    </w:p>
    <w:p w14:paraId="45268AE9">
      <w:pPr>
        <w:adjustRightInd w:val="0"/>
        <w:snapToGrid w:val="0"/>
        <w:spacing w:line="360" w:lineRule="auto"/>
        <w:ind w:firstLine="420" w:firstLineChars="200"/>
        <w:rPr>
          <w:rFonts w:hint="eastAsia" w:ascii="宋体" w:hAnsi="宋体"/>
          <w:iCs/>
          <w:color w:val="auto"/>
          <w:szCs w:val="21"/>
        </w:rPr>
      </w:pPr>
      <w:r>
        <w:rPr>
          <w:rFonts w:hint="eastAsia" w:ascii="宋体" w:hAnsi="宋体"/>
          <w:iCs/>
          <w:color w:val="auto"/>
          <w:szCs w:val="21"/>
        </w:rPr>
        <w:t>7、合同定价方式：</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6A0BDC64">
      <w:pPr>
        <w:adjustRightInd w:val="0"/>
        <w:snapToGrid w:val="0"/>
        <w:spacing w:line="360" w:lineRule="auto"/>
        <w:ind w:firstLine="420" w:firstLineChars="2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rPr>
        <w:t>8、合同履行期限：</w:t>
      </w:r>
      <w:r>
        <w:rPr>
          <w:rFonts w:hint="eastAsia" w:ascii="宋体" w:hAnsi="宋体" w:eastAsia="宋体" w:cs="宋体"/>
          <w:color w:val="auto"/>
          <w:kern w:val="2"/>
          <w:sz w:val="21"/>
          <w:szCs w:val="21"/>
          <w:lang w:val="en-US" w:eastAsia="zh-CN" w:bidi="ar-SA"/>
        </w:rPr>
        <w:t>自合同签订后60日内完成供货、验收及安装调试并验收合格。</w:t>
      </w:r>
    </w:p>
    <w:p w14:paraId="15640A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9、本项目分阶段要求投标人提供以下保证：</w:t>
      </w:r>
    </w:p>
    <w:p w14:paraId="26102ED7">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投标保证金：采购项目预算的 </w:t>
      </w:r>
      <w:r>
        <w:rPr>
          <w:rFonts w:hint="eastAsia" w:ascii="宋体" w:hAnsi="宋体"/>
          <w:color w:val="auto"/>
          <w:szCs w:val="21"/>
          <w:u w:val="single"/>
        </w:rPr>
        <w:t xml:space="preserve"> / </w:t>
      </w:r>
      <w:r>
        <w:rPr>
          <w:rFonts w:hint="eastAsia" w:ascii="宋体" w:hAnsi="宋体"/>
          <w:color w:val="auto"/>
          <w:szCs w:val="21"/>
        </w:rPr>
        <w:t>%</w:t>
      </w:r>
    </w:p>
    <w:p w14:paraId="57A0C6FA">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履约保证金：中标金额的 </w:t>
      </w:r>
      <w:r>
        <w:rPr>
          <w:rFonts w:hint="eastAsia" w:ascii="宋体" w:hAnsi="宋体"/>
          <w:color w:val="auto"/>
          <w:szCs w:val="21"/>
          <w:u w:val="single"/>
        </w:rPr>
        <w:t xml:space="preserve"> / </w:t>
      </w:r>
      <w:r>
        <w:rPr>
          <w:rFonts w:hint="eastAsia" w:ascii="宋体" w:hAnsi="宋体"/>
          <w:color w:val="auto"/>
          <w:szCs w:val="21"/>
        </w:rPr>
        <w:t xml:space="preserve"> %</w:t>
      </w:r>
    </w:p>
    <w:p w14:paraId="13A0EC71">
      <w:pPr>
        <w:pStyle w:val="102"/>
        <w:spacing w:line="360" w:lineRule="auto"/>
        <w:ind w:firstLine="630" w:firstLineChars="300"/>
        <w:rPr>
          <w:rFonts w:hint="eastAsia" w:ascii="宋体" w:hAnsi="宋体"/>
          <w:color w:val="auto"/>
          <w:sz w:val="21"/>
          <w:szCs w:val="21"/>
        </w:rPr>
      </w:pPr>
      <w:r>
        <w:rPr>
          <w:rFonts w:hint="eastAsia" w:ascii="宋体" w:hAnsi="宋体"/>
          <w:iCs/>
          <w:color w:val="auto"/>
          <w:sz w:val="21"/>
          <w:szCs w:val="21"/>
        </w:rPr>
        <w:sym w:font="Wingdings" w:char="00A8"/>
      </w:r>
      <w:r>
        <w:rPr>
          <w:rFonts w:hint="eastAsia" w:ascii="宋体" w:hAnsi="宋体"/>
          <w:color w:val="auto"/>
          <w:sz w:val="21"/>
          <w:szCs w:val="21"/>
        </w:rPr>
        <w:t>预付款保证金：预付款的</w:t>
      </w:r>
      <w:r>
        <w:rPr>
          <w:rFonts w:hint="eastAsia" w:ascii="宋体" w:hAnsi="宋体"/>
          <w:color w:val="auto"/>
          <w:sz w:val="21"/>
          <w:szCs w:val="21"/>
          <w:u w:val="single"/>
        </w:rPr>
        <w:t xml:space="preserve">  /  </w:t>
      </w:r>
      <w:r>
        <w:rPr>
          <w:rFonts w:hint="eastAsia" w:ascii="宋体" w:hAnsi="宋体"/>
          <w:color w:val="auto"/>
          <w:sz w:val="21"/>
          <w:szCs w:val="21"/>
        </w:rPr>
        <w:t>%</w:t>
      </w:r>
    </w:p>
    <w:p w14:paraId="309AE94A">
      <w:pPr>
        <w:pStyle w:val="102"/>
        <w:spacing w:line="360" w:lineRule="auto"/>
        <w:ind w:firstLine="630" w:firstLineChars="300"/>
        <w:rPr>
          <w:rFonts w:hint="eastAsia" w:ascii="宋体" w:hAnsi="宋体"/>
          <w:color w:val="auto"/>
          <w:sz w:val="21"/>
          <w:szCs w:val="21"/>
        </w:rPr>
      </w:pPr>
      <w:r>
        <w:rPr>
          <w:rFonts w:hint="eastAsia" w:ascii="宋体" w:hAnsi="宋体"/>
          <w:iCs/>
          <w:color w:val="auto"/>
          <w:sz w:val="21"/>
          <w:szCs w:val="21"/>
        </w:rPr>
        <w:sym w:font="Wingdings" w:char="00A8"/>
      </w:r>
      <w:r>
        <w:rPr>
          <w:rFonts w:hint="eastAsia" w:ascii="宋体" w:hAnsi="宋体"/>
          <w:color w:val="auto"/>
          <w:sz w:val="21"/>
          <w:szCs w:val="21"/>
        </w:rPr>
        <w:t>质量保证金：</w:t>
      </w:r>
      <w:r>
        <w:rPr>
          <w:rFonts w:hint="eastAsia" w:ascii="宋体" w:hAnsi="宋体"/>
          <w:iCs/>
          <w:color w:val="auto"/>
          <w:sz w:val="21"/>
          <w:szCs w:val="21"/>
        </w:rPr>
        <w:t>中标金额的</w:t>
      </w:r>
      <w:r>
        <w:rPr>
          <w:rFonts w:hint="eastAsia" w:ascii="宋体" w:hAnsi="宋体"/>
          <w:iCs/>
          <w:color w:val="auto"/>
          <w:sz w:val="21"/>
          <w:szCs w:val="21"/>
          <w:u w:val="single"/>
        </w:rPr>
        <w:t xml:space="preserve">   /  </w:t>
      </w:r>
      <w:r>
        <w:rPr>
          <w:rFonts w:hint="eastAsia" w:ascii="宋体" w:hAnsi="宋体"/>
          <w:iCs/>
          <w:color w:val="auto"/>
          <w:sz w:val="21"/>
          <w:szCs w:val="21"/>
        </w:rPr>
        <w:t>%</w:t>
      </w:r>
      <w:r>
        <w:rPr>
          <w:rFonts w:hint="eastAsia" w:ascii="宋体" w:hAnsi="宋体"/>
          <w:color w:val="auto"/>
          <w:sz w:val="21"/>
          <w:szCs w:val="21"/>
        </w:rPr>
        <w:t>；</w:t>
      </w:r>
    </w:p>
    <w:p w14:paraId="412B95BA">
      <w:pPr>
        <w:numPr>
          <w:ilvl w:val="0"/>
          <w:numId w:val="0"/>
        </w:numPr>
        <w:adjustRightInd w:val="0"/>
        <w:snapToGrid w:val="0"/>
        <w:spacing w:line="360" w:lineRule="auto"/>
        <w:ind w:firstLine="632" w:firstLineChars="300"/>
        <w:jc w:val="both"/>
        <w:rPr>
          <w:rFonts w:hint="eastAsia" w:ascii="宋体" w:hAnsi="宋体"/>
          <w:b/>
          <w:color w:val="auto"/>
          <w:szCs w:val="21"/>
        </w:rPr>
      </w:pPr>
      <w:r>
        <w:rPr>
          <w:rFonts w:hint="eastAsia" w:ascii="宋体" w:hAnsi="宋体"/>
          <w:b/>
          <w:color w:val="auto"/>
          <w:szCs w:val="21"/>
          <w:lang w:val="en-US" w:eastAsia="zh-CN"/>
        </w:rPr>
        <w:t>二、</w:t>
      </w:r>
      <w:r>
        <w:rPr>
          <w:rFonts w:hint="eastAsia" w:ascii="宋体" w:hAnsi="宋体"/>
          <w:b/>
          <w:color w:val="auto"/>
          <w:szCs w:val="21"/>
        </w:rPr>
        <w:t>采购人的采购需求</w:t>
      </w:r>
    </w:p>
    <w:tbl>
      <w:tblPr>
        <w:tblStyle w:val="47"/>
        <w:tblW w:w="8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715"/>
        <w:gridCol w:w="3458"/>
        <w:gridCol w:w="1620"/>
        <w:gridCol w:w="990"/>
        <w:gridCol w:w="788"/>
        <w:gridCol w:w="796"/>
      </w:tblGrid>
      <w:tr w14:paraId="0F8F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6" w:hRule="atLeast"/>
          <w:jc w:val="center"/>
        </w:trPr>
        <w:tc>
          <w:tcPr>
            <w:tcW w:w="715" w:type="dxa"/>
            <w:shd w:val="clear" w:color="auto" w:fill="auto"/>
            <w:tcMar>
              <w:left w:w="108" w:type="dxa"/>
              <w:right w:w="108" w:type="dxa"/>
            </w:tcMar>
            <w:vAlign w:val="center"/>
          </w:tcPr>
          <w:p w14:paraId="1EDA2266">
            <w:pPr>
              <w:adjustRightInd w:val="0"/>
              <w:snapToGrid w:val="0"/>
              <w:spacing w:line="360" w:lineRule="auto"/>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包号</w:t>
            </w:r>
          </w:p>
        </w:tc>
        <w:tc>
          <w:tcPr>
            <w:tcW w:w="3458" w:type="dxa"/>
            <w:shd w:val="clear" w:color="auto" w:fill="auto"/>
            <w:tcMar>
              <w:left w:w="108" w:type="dxa"/>
              <w:right w:w="108" w:type="dxa"/>
            </w:tcMar>
            <w:vAlign w:val="center"/>
          </w:tcPr>
          <w:p w14:paraId="402C0FA2">
            <w:pPr>
              <w:adjustRightInd w:val="0"/>
              <w:snapToGrid w:val="0"/>
              <w:spacing w:line="360" w:lineRule="auto"/>
              <w:ind w:firstLine="420" w:firstLineChars="20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包名称/标的名称</w:t>
            </w:r>
          </w:p>
        </w:tc>
        <w:tc>
          <w:tcPr>
            <w:tcW w:w="1620" w:type="dxa"/>
            <w:shd w:val="clear" w:color="auto" w:fill="auto"/>
            <w:tcMar>
              <w:left w:w="108" w:type="dxa"/>
              <w:right w:w="108" w:type="dxa"/>
            </w:tcMar>
            <w:vAlign w:val="center"/>
          </w:tcPr>
          <w:p w14:paraId="2B7DDFA5">
            <w:pPr>
              <w:adjustRightInd w:val="0"/>
              <w:snapToGrid w:val="0"/>
              <w:spacing w:line="360" w:lineRule="auto"/>
              <w:ind w:firstLine="420" w:firstLineChars="2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品目</w:t>
            </w:r>
          </w:p>
          <w:p w14:paraId="7EEE06D0">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分类编码</w:t>
            </w:r>
          </w:p>
        </w:tc>
        <w:tc>
          <w:tcPr>
            <w:tcW w:w="990" w:type="dxa"/>
            <w:shd w:val="clear" w:color="auto" w:fill="auto"/>
            <w:tcMar>
              <w:left w:w="108" w:type="dxa"/>
              <w:right w:w="108" w:type="dxa"/>
            </w:tcMar>
            <w:vAlign w:val="center"/>
          </w:tcPr>
          <w:p w14:paraId="19A655D9">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计量</w:t>
            </w:r>
          </w:p>
          <w:p w14:paraId="19A7B499">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单位</w:t>
            </w:r>
          </w:p>
        </w:tc>
        <w:tc>
          <w:tcPr>
            <w:tcW w:w="788" w:type="dxa"/>
            <w:shd w:val="clear" w:color="auto" w:fill="auto"/>
            <w:tcMar>
              <w:left w:w="108" w:type="dxa"/>
              <w:right w:w="108" w:type="dxa"/>
            </w:tcMar>
            <w:vAlign w:val="center"/>
          </w:tcPr>
          <w:p w14:paraId="3FB7007D">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数量</w:t>
            </w:r>
          </w:p>
        </w:tc>
        <w:tc>
          <w:tcPr>
            <w:tcW w:w="796" w:type="dxa"/>
            <w:shd w:val="clear" w:color="auto" w:fill="auto"/>
            <w:tcMar>
              <w:left w:w="108" w:type="dxa"/>
              <w:right w:w="108" w:type="dxa"/>
            </w:tcMar>
            <w:vAlign w:val="center"/>
          </w:tcPr>
          <w:p w14:paraId="0457E886">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是否进 口</w:t>
            </w:r>
          </w:p>
        </w:tc>
      </w:tr>
      <w:tr w14:paraId="6065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jc w:val="center"/>
        </w:trPr>
        <w:tc>
          <w:tcPr>
            <w:tcW w:w="715" w:type="dxa"/>
            <w:shd w:val="clear" w:color="auto" w:fill="auto"/>
            <w:tcMar>
              <w:left w:w="108" w:type="dxa"/>
              <w:right w:w="108" w:type="dxa"/>
            </w:tcMar>
            <w:vAlign w:val="center"/>
          </w:tcPr>
          <w:p w14:paraId="3B85AFC8">
            <w:pPr>
              <w:adjustRightInd w:val="0"/>
              <w:snapToGrid w:val="0"/>
              <w:spacing w:line="360" w:lineRule="auto"/>
              <w:jc w:val="both"/>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3458" w:type="dxa"/>
            <w:shd w:val="clear" w:color="auto" w:fill="auto"/>
            <w:tcMar>
              <w:left w:w="108" w:type="dxa"/>
              <w:right w:w="108" w:type="dxa"/>
            </w:tcMar>
            <w:vAlign w:val="center"/>
          </w:tcPr>
          <w:p w14:paraId="0782DB3D">
            <w:pPr>
              <w:adjustRightInd w:val="0"/>
              <w:snapToGrid w:val="0"/>
              <w:spacing w:line="360" w:lineRule="auto"/>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新化县紧密型县域医共体医疗卫生强基工程建设项目医疗设备采购</w:t>
            </w:r>
          </w:p>
        </w:tc>
        <w:tc>
          <w:tcPr>
            <w:tcW w:w="1620" w:type="dxa"/>
            <w:shd w:val="clear" w:color="auto" w:fill="auto"/>
            <w:tcMar>
              <w:left w:w="108" w:type="dxa"/>
              <w:right w:w="108" w:type="dxa"/>
            </w:tcMar>
            <w:vAlign w:val="center"/>
          </w:tcPr>
          <w:p w14:paraId="1B71B854">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A02320000</w:t>
            </w:r>
          </w:p>
          <w:p w14:paraId="615820DA">
            <w:pPr>
              <w:adjustRightInd w:val="0"/>
              <w:snapToGrid w:val="0"/>
              <w:spacing w:line="360" w:lineRule="auto"/>
              <w:ind w:firstLine="210" w:firstLineChars="100"/>
              <w:jc w:val="both"/>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医疗设备</w:t>
            </w:r>
          </w:p>
        </w:tc>
        <w:tc>
          <w:tcPr>
            <w:tcW w:w="990" w:type="dxa"/>
            <w:shd w:val="clear" w:color="auto" w:fill="auto"/>
            <w:tcMar>
              <w:left w:w="108" w:type="dxa"/>
              <w:right w:w="108" w:type="dxa"/>
            </w:tcMar>
            <w:vAlign w:val="center"/>
          </w:tcPr>
          <w:p w14:paraId="0730AF4E">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批</w:t>
            </w:r>
          </w:p>
        </w:tc>
        <w:tc>
          <w:tcPr>
            <w:tcW w:w="788" w:type="dxa"/>
            <w:shd w:val="clear" w:color="auto" w:fill="auto"/>
            <w:tcMar>
              <w:left w:w="108" w:type="dxa"/>
              <w:right w:w="108" w:type="dxa"/>
            </w:tcMar>
            <w:vAlign w:val="center"/>
          </w:tcPr>
          <w:p w14:paraId="1FD0EE64">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796" w:type="dxa"/>
            <w:shd w:val="clear" w:color="auto" w:fill="auto"/>
            <w:tcMar>
              <w:left w:w="108" w:type="dxa"/>
              <w:right w:w="108" w:type="dxa"/>
            </w:tcMar>
            <w:vAlign w:val="center"/>
          </w:tcPr>
          <w:p w14:paraId="6AA41CB4">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否</w:t>
            </w:r>
          </w:p>
        </w:tc>
      </w:tr>
    </w:tbl>
    <w:p w14:paraId="544A86BB">
      <w:pPr>
        <w:numPr>
          <w:ilvl w:val="0"/>
          <w:numId w:val="0"/>
        </w:numPr>
        <w:adjustRightInd w:val="0"/>
        <w:snapToGrid w:val="0"/>
        <w:spacing w:line="360" w:lineRule="auto"/>
        <w:rPr>
          <w:rFonts w:hint="eastAsia" w:ascii="宋体" w:hAnsi="宋体"/>
          <w:b/>
          <w:color w:val="auto"/>
          <w:szCs w:val="21"/>
        </w:rPr>
      </w:pPr>
    </w:p>
    <w:p w14:paraId="33C97BFA">
      <w:pPr>
        <w:adjustRightInd w:val="0"/>
        <w:snapToGrid w:val="0"/>
        <w:spacing w:line="360" w:lineRule="auto"/>
        <w:ind w:right="-199" w:rightChars="-95" w:firstLine="210" w:firstLineChars="100"/>
        <w:rPr>
          <w:rFonts w:ascii="宋体" w:hAnsi="宋体"/>
          <w:color w:val="auto"/>
          <w:szCs w:val="21"/>
        </w:rPr>
      </w:pPr>
      <w:r>
        <w:rPr>
          <w:rFonts w:hint="eastAsia" w:ascii="宋体" w:hAnsi="宋体"/>
          <w:color w:val="auto"/>
          <w:szCs w:val="21"/>
        </w:rPr>
        <w:t>说明：1.节能产品实行</w:t>
      </w:r>
      <w:r>
        <w:rPr>
          <w:rFonts w:hint="eastAsia" w:ascii="宋体" w:hAnsi="宋体"/>
          <w:iCs/>
          <w:color w:val="auto"/>
          <w:szCs w:val="21"/>
        </w:rPr>
        <w:t>强制采购的</w:t>
      </w:r>
      <w:r>
        <w:rPr>
          <w:rFonts w:hint="eastAsia" w:ascii="宋体" w:hAnsi="宋体"/>
          <w:color w:val="auto"/>
          <w:szCs w:val="21"/>
        </w:rPr>
        <w:t>，需提供国家认证机构出具的、处于有效期内的节能产品证书。</w:t>
      </w:r>
    </w:p>
    <w:p w14:paraId="7EE47B30">
      <w:pPr>
        <w:tabs>
          <w:tab w:val="left" w:pos="312"/>
        </w:tabs>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2.同意购买进口产品的，不限制满足采购需求的国内产品参与投标。</w:t>
      </w:r>
    </w:p>
    <w:p w14:paraId="0223F418">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三、采购项目需要落实的政府采购政策：</w:t>
      </w:r>
    </w:p>
    <w:p w14:paraId="3FF476B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1.优先采购：节能产品、环境标志产品享受加分或价格折扣。</w:t>
      </w:r>
    </w:p>
    <w:p w14:paraId="1C6F954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2.支持中小企业：中小企业享受预留采购份额或价格折扣。</w:t>
      </w:r>
    </w:p>
    <w:p w14:paraId="6E5B4353">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四、投标人的资格要求</w:t>
      </w:r>
      <w:r>
        <w:rPr>
          <w:rFonts w:hint="eastAsia" w:ascii="宋体" w:hAnsi="宋体"/>
          <w:color w:val="auto"/>
          <w:szCs w:val="21"/>
        </w:rPr>
        <w:t>：</w:t>
      </w:r>
    </w:p>
    <w:p w14:paraId="6E87F5C4">
      <w:pPr>
        <w:adjustRightInd w:val="0"/>
        <w:snapToGrid w:val="0"/>
        <w:spacing w:line="360" w:lineRule="auto"/>
        <w:ind w:left="630" w:leftChars="200" w:hanging="210" w:hangingChars="100"/>
        <w:rPr>
          <w:rFonts w:ascii="宋体" w:hAnsi="宋体"/>
          <w:color w:val="auto"/>
          <w:szCs w:val="21"/>
        </w:rPr>
      </w:pPr>
      <w:r>
        <w:rPr>
          <w:rFonts w:hint="eastAsia" w:ascii="宋体" w:hAnsi="宋体"/>
          <w:color w:val="auto"/>
          <w:szCs w:val="21"/>
        </w:rPr>
        <w:t>1、投标人基本资格条件：投标人必须是在中华人民共和国境内注册登记的法人、其他组织或者自然人，且应当符合《政府采购法》第二十二条第一款的规定。</w:t>
      </w:r>
    </w:p>
    <w:p w14:paraId="47BAC50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（1）具有独立承担民事责任的能力； </w:t>
      </w:r>
    </w:p>
    <w:p w14:paraId="08A071F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（2）具有良好的商业信誉和健全的财务会计制度； </w:t>
      </w:r>
    </w:p>
    <w:p w14:paraId="70F35C4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（3）具有履行合同所必需的设备和专业技术能力； </w:t>
      </w:r>
    </w:p>
    <w:p w14:paraId="5FE7BA8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（4）有依法缴纳税收和社会保障资金的良好记录； </w:t>
      </w:r>
    </w:p>
    <w:p w14:paraId="0B7B23E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（5）参加政府采购活动前三年内，在经营活动中没有重大违法记录； </w:t>
      </w:r>
    </w:p>
    <w:p w14:paraId="27719AB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（6）法律、行政法规规定的其他条件。</w:t>
      </w:r>
    </w:p>
    <w:p w14:paraId="2CCA964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2、落实政府采购政策需满足的资格要求：</w:t>
      </w:r>
    </w:p>
    <w:p w14:paraId="089EA89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专门面向</w:t>
      </w:r>
      <w:r>
        <w:rPr>
          <w:rFonts w:hint="eastAsia" w:ascii="宋体" w:hAnsi="宋体"/>
          <w:bCs/>
          <w:color w:val="auto"/>
          <w:szCs w:val="21"/>
        </w:rPr>
        <w:t>：</w:t>
      </w:r>
      <w:r>
        <w:rPr>
          <w:rFonts w:hint="eastAsia" w:ascii="宋体" w:hAnsi="宋体"/>
          <w:iCs/>
          <w:color w:val="auto"/>
          <w:szCs w:val="21"/>
        </w:rPr>
        <w:sym w:font="Wingdings" w:char="00A8"/>
      </w:r>
      <w:r>
        <w:rPr>
          <w:rFonts w:hint="eastAsia" w:ascii="宋体" w:hAnsi="宋体"/>
          <w:iCs/>
          <w:color w:val="auto"/>
          <w:szCs w:val="21"/>
        </w:rPr>
        <w:t xml:space="preserve">中小企业   </w:t>
      </w:r>
      <w:r>
        <w:rPr>
          <w:rFonts w:hint="eastAsia" w:ascii="宋体" w:hAnsi="宋体"/>
          <w:iCs/>
          <w:color w:val="auto"/>
          <w:szCs w:val="21"/>
        </w:rPr>
        <w:sym w:font="Wingdings" w:char="00A8"/>
      </w:r>
      <w:r>
        <w:rPr>
          <w:rFonts w:hint="eastAsia" w:ascii="宋体" w:hAnsi="宋体"/>
          <w:iCs/>
          <w:color w:val="auto"/>
          <w:szCs w:val="21"/>
        </w:rPr>
        <w:t xml:space="preserve">小微企业   </w:t>
      </w:r>
      <w:r>
        <w:rPr>
          <w:rFonts w:hint="eastAsia" w:ascii="宋体" w:hAnsi="宋体"/>
          <w:iCs/>
          <w:color w:val="auto"/>
          <w:szCs w:val="21"/>
        </w:rPr>
        <w:sym w:font="Wingdings" w:char="00A8"/>
      </w:r>
      <w:r>
        <w:rPr>
          <w:rFonts w:hint="eastAsia" w:ascii="宋体" w:hAnsi="宋体"/>
          <w:iCs/>
          <w:color w:val="auto"/>
          <w:szCs w:val="21"/>
        </w:rPr>
        <w:t xml:space="preserve">监狱企业   </w:t>
      </w:r>
      <w:r>
        <w:rPr>
          <w:rFonts w:hint="eastAsia" w:ascii="宋体" w:hAnsi="宋体"/>
          <w:iCs/>
          <w:color w:val="auto"/>
          <w:szCs w:val="21"/>
        </w:rPr>
        <w:sym w:font="Wingdings" w:char="00A8"/>
      </w:r>
      <w:r>
        <w:rPr>
          <w:rFonts w:hint="eastAsia" w:ascii="宋体" w:hAnsi="宋体"/>
          <w:iCs/>
          <w:color w:val="auto"/>
          <w:szCs w:val="21"/>
        </w:rPr>
        <w:t>福利性单位。</w:t>
      </w:r>
    </w:p>
    <w:p w14:paraId="249FF17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  </w:t>
      </w:r>
      <w:r>
        <w:rPr>
          <w:rFonts w:hint="eastAsia" w:ascii="宋体" w:hAnsi="宋体"/>
          <w:bCs/>
          <w:color w:val="auto"/>
          <w:szCs w:val="21"/>
        </w:rPr>
        <w:t>%分包给中小企业。</w:t>
      </w:r>
    </w:p>
    <w:p w14:paraId="6239D35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lang w:val="en-US" w:eastAsia="zh-CN"/>
        </w:rPr>
        <w:t>3、</w:t>
      </w:r>
      <w:r>
        <w:rPr>
          <w:rFonts w:hint="eastAsia" w:ascii="宋体" w:hAnsi="宋体"/>
          <w:color w:val="auto"/>
          <w:szCs w:val="21"/>
        </w:rPr>
        <w:t>采购项目的特定资格条件：</w:t>
      </w:r>
    </w:p>
    <w:p w14:paraId="10D5AA7A">
      <w:pPr>
        <w:adjustRightInd w:val="0"/>
        <w:snapToGrid w:val="0"/>
        <w:spacing w:line="360" w:lineRule="auto"/>
        <w:ind w:firstLine="420" w:firstLineChars="200"/>
        <w:rPr>
          <w:rFonts w:hint="eastAsia" w:ascii="宋体" w:hAnsi="宋体" w:eastAsia="宋体"/>
          <w:color w:val="auto"/>
          <w:szCs w:val="21"/>
          <w:lang w:val="en-US" w:eastAsia="zh-CN"/>
        </w:rPr>
      </w:pPr>
      <w:r>
        <w:rPr>
          <w:rFonts w:hint="eastAsia" w:ascii="宋体" w:hAnsi="宋体"/>
          <w:color w:val="auto"/>
          <w:szCs w:val="21"/>
          <w:lang w:eastAsia="zh-CN"/>
        </w:rPr>
        <w:t>（1）投标人须提供有效的《医疗器械生产许可证》或《医疗器械经营许可证》（或相应的备案凭证）。</w:t>
      </w:r>
    </w:p>
    <w:p w14:paraId="2244DA1F">
      <w:pPr>
        <w:adjustRightInd w:val="0"/>
        <w:snapToGrid w:val="0"/>
        <w:spacing w:line="360" w:lineRule="auto"/>
        <w:ind w:left="420" w:leftChars="200" w:firstLine="0" w:firstLineChars="0"/>
        <w:rPr>
          <w:rFonts w:ascii="宋体" w:hAnsi="宋体"/>
          <w:color w:val="auto"/>
          <w:szCs w:val="21"/>
        </w:rPr>
      </w:pPr>
      <w:r>
        <w:rPr>
          <w:rFonts w:hint="eastAsia" w:ascii="宋体" w:hAnsi="宋体"/>
          <w:color w:val="auto"/>
          <w:szCs w:val="21"/>
        </w:rPr>
        <w:t>4、单位负责人为同一人或者存在直接控股、管理关系的不同投标人，不得参加同一合同项下的政府采购活动。</w:t>
      </w:r>
    </w:p>
    <w:p w14:paraId="3BEA6EF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5、为本采购项目提供整体设计、规范编制或者项目管理、监理、检测等服务的，不得再参加此项目的其他采购活动。</w:t>
      </w:r>
    </w:p>
    <w:p w14:paraId="40DBAF2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6、列入失信被执行人、重大税收违法失信主体名单，列入政府采购严重违法失信行为记录名单的，拒绝其参与政府采购活动。</w:t>
      </w:r>
    </w:p>
    <w:p w14:paraId="081B49A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7、联合体投标。本次招标不接受联合体投标。</w:t>
      </w:r>
    </w:p>
    <w:p w14:paraId="263BA690">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五、获取招标文件的时间、期限、地点及方式</w:t>
      </w:r>
    </w:p>
    <w:p w14:paraId="6CCA5A6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有意参加投标者，请于即日起至投标文件递交的截止时间止，在娄底市公共资源交易网（http://ldggzy.hnloudi.gov.cn/）用湖南CA证书登录后获取电子版招标文件。</w:t>
      </w:r>
    </w:p>
    <w:p w14:paraId="2828B2C0">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FE"/>
      </w:r>
      <w:r>
        <w:rPr>
          <w:rFonts w:hint="eastAsia" w:ascii="宋体" w:hAnsi="宋体"/>
          <w:color w:val="auto"/>
          <w:szCs w:val="21"/>
        </w:rPr>
        <w:t>本项目实行电子交易，有意参加投标者，在娄底市公共资源交易网（http://ldggzy.hnloudi.gov.cn/）用湖南CA证书登录后获取电子版招标文件。</w:t>
      </w:r>
    </w:p>
    <w:p w14:paraId="6A50010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color w:val="auto"/>
          <w:szCs w:val="21"/>
        </w:rPr>
        <w:t>本项目进行资格预审，招标文件将向所有通过资格预审的供应商提供；</w:t>
      </w:r>
    </w:p>
    <w:p w14:paraId="1B419459">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六、投标截止时间、开标时间及地点</w:t>
      </w:r>
    </w:p>
    <w:p w14:paraId="4982258B">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1、提交投标文件的截止时间及开标时间：</w:t>
      </w:r>
      <w:r>
        <w:rPr>
          <w:rFonts w:hint="eastAsia"/>
          <w:color w:val="auto"/>
          <w:szCs w:val="21"/>
          <w:u w:val="single"/>
          <w:shd w:val="clear" w:color="auto" w:fill="FFFFFF"/>
        </w:rPr>
        <w:t>202</w:t>
      </w:r>
      <w:r>
        <w:rPr>
          <w:rFonts w:hint="eastAsia"/>
          <w:color w:val="auto"/>
          <w:szCs w:val="21"/>
          <w:u w:val="single"/>
          <w:shd w:val="clear" w:color="auto" w:fill="FFFFFF"/>
          <w:lang w:val="en-US" w:eastAsia="zh-CN"/>
        </w:rPr>
        <w:t>6</w:t>
      </w:r>
      <w:r>
        <w:rPr>
          <w:rFonts w:hint="eastAsia"/>
          <w:color w:val="auto"/>
          <w:szCs w:val="21"/>
          <w:u w:val="single"/>
          <w:shd w:val="clear" w:color="auto" w:fill="FFFFFF"/>
        </w:rPr>
        <w:t>年</w:t>
      </w:r>
      <w:r>
        <w:rPr>
          <w:rFonts w:hint="eastAsia"/>
          <w:color w:val="auto"/>
          <w:szCs w:val="21"/>
          <w:u w:val="single"/>
          <w:shd w:val="clear" w:color="auto" w:fill="FFFFFF"/>
          <w:lang w:val="en-US" w:eastAsia="zh-CN"/>
        </w:rPr>
        <w:t xml:space="preserve"> 10 </w:t>
      </w:r>
      <w:r>
        <w:rPr>
          <w:rFonts w:hint="eastAsia"/>
          <w:color w:val="auto"/>
          <w:szCs w:val="21"/>
          <w:u w:val="single"/>
          <w:shd w:val="clear" w:color="auto" w:fill="FFFFFF"/>
        </w:rPr>
        <w:t>月</w:t>
      </w:r>
      <w:r>
        <w:rPr>
          <w:rFonts w:hint="eastAsia"/>
          <w:color w:val="auto"/>
          <w:szCs w:val="21"/>
          <w:u w:val="single"/>
          <w:shd w:val="clear" w:color="auto" w:fill="FFFFFF"/>
          <w:lang w:val="en-US" w:eastAsia="zh-CN"/>
        </w:rPr>
        <w:t xml:space="preserve"> 13  </w:t>
      </w:r>
      <w:r>
        <w:rPr>
          <w:rFonts w:hint="eastAsia"/>
          <w:color w:val="auto"/>
          <w:szCs w:val="21"/>
          <w:u w:val="single"/>
          <w:shd w:val="clear" w:color="auto" w:fill="FFFFFF"/>
        </w:rPr>
        <w:t>日</w:t>
      </w:r>
      <w:r>
        <w:rPr>
          <w:rFonts w:hint="eastAsia"/>
          <w:color w:val="auto"/>
          <w:szCs w:val="21"/>
          <w:u w:val="single"/>
          <w:shd w:val="clear" w:color="auto" w:fill="FFFFFF"/>
          <w:lang w:val="en-US" w:eastAsia="zh-CN"/>
        </w:rPr>
        <w:t xml:space="preserve"> 9</w:t>
      </w:r>
      <w:r>
        <w:rPr>
          <w:rFonts w:hint="eastAsia"/>
          <w:color w:val="auto"/>
          <w:szCs w:val="21"/>
          <w:u w:val="single"/>
          <w:shd w:val="clear" w:color="auto" w:fill="FFFFFF"/>
        </w:rPr>
        <w:t>:00（北京时间）</w:t>
      </w:r>
    </w:p>
    <w:p w14:paraId="0586FF75">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2、提交投标文件地点：娄底市公共资源交易中心（http://ldggzy.hnloudi.gov.cn/）。</w:t>
      </w:r>
    </w:p>
    <w:p w14:paraId="61D2BDAB">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3、解密截止时间：</w:t>
      </w:r>
      <w:r>
        <w:rPr>
          <w:rFonts w:hint="eastAsia"/>
          <w:color w:val="auto"/>
          <w:szCs w:val="21"/>
          <w:u w:val="single"/>
          <w:shd w:val="clear" w:color="auto" w:fill="FFFFFF"/>
        </w:rPr>
        <w:t>202</w:t>
      </w:r>
      <w:r>
        <w:rPr>
          <w:rFonts w:hint="eastAsia"/>
          <w:color w:val="auto"/>
          <w:szCs w:val="21"/>
          <w:u w:val="single"/>
          <w:shd w:val="clear" w:color="auto" w:fill="FFFFFF"/>
          <w:lang w:val="en-US" w:eastAsia="zh-CN"/>
        </w:rPr>
        <w:t>6</w:t>
      </w:r>
      <w:r>
        <w:rPr>
          <w:rFonts w:hint="eastAsia"/>
          <w:color w:val="auto"/>
          <w:szCs w:val="21"/>
          <w:u w:val="single"/>
          <w:shd w:val="clear" w:color="auto" w:fill="FFFFFF"/>
        </w:rPr>
        <w:t>年</w:t>
      </w:r>
      <w:r>
        <w:rPr>
          <w:rFonts w:hint="eastAsia"/>
          <w:color w:val="auto"/>
          <w:szCs w:val="21"/>
          <w:u w:val="single"/>
          <w:shd w:val="clear" w:color="auto" w:fill="FFFFFF"/>
          <w:lang w:val="en-US" w:eastAsia="zh-CN"/>
        </w:rPr>
        <w:t xml:space="preserve"> 10 </w:t>
      </w:r>
      <w:r>
        <w:rPr>
          <w:rFonts w:hint="eastAsia"/>
          <w:color w:val="auto"/>
          <w:szCs w:val="21"/>
          <w:u w:val="single"/>
          <w:shd w:val="clear" w:color="auto" w:fill="FFFFFF"/>
        </w:rPr>
        <w:t>月</w:t>
      </w:r>
      <w:r>
        <w:rPr>
          <w:rFonts w:hint="eastAsia"/>
          <w:color w:val="auto"/>
          <w:szCs w:val="21"/>
          <w:u w:val="single"/>
          <w:shd w:val="clear" w:color="auto" w:fill="FFFFFF"/>
          <w:lang w:val="en-US" w:eastAsia="zh-CN"/>
        </w:rPr>
        <w:t xml:space="preserve"> 13 </w:t>
      </w:r>
      <w:r>
        <w:rPr>
          <w:rFonts w:hint="eastAsia"/>
          <w:color w:val="auto"/>
          <w:szCs w:val="21"/>
          <w:u w:val="single"/>
          <w:shd w:val="clear" w:color="auto" w:fill="FFFFFF"/>
        </w:rPr>
        <w:t>日</w:t>
      </w:r>
      <w:r>
        <w:rPr>
          <w:rFonts w:hint="eastAsia"/>
          <w:color w:val="auto"/>
          <w:szCs w:val="21"/>
          <w:u w:val="single"/>
          <w:shd w:val="clear" w:color="auto" w:fill="FFFFFF"/>
          <w:lang w:val="en-US" w:eastAsia="zh-CN"/>
        </w:rPr>
        <w:t xml:space="preserve"> 9  </w:t>
      </w:r>
      <w:r>
        <w:rPr>
          <w:rFonts w:hint="eastAsia"/>
          <w:color w:val="auto"/>
          <w:szCs w:val="21"/>
          <w:u w:val="single"/>
          <w:shd w:val="clear" w:color="auto" w:fill="FFFFFF"/>
        </w:rPr>
        <w:t>时 30 分</w:t>
      </w:r>
      <w:r>
        <w:rPr>
          <w:rFonts w:hint="eastAsia"/>
          <w:color w:val="auto"/>
          <w:szCs w:val="21"/>
          <w:shd w:val="clear" w:color="auto" w:fill="FFFFFF"/>
        </w:rPr>
        <w:t>（投标截止时间后30分钟）,请投标人确保投标文件如期解密。</w:t>
      </w:r>
    </w:p>
    <w:p w14:paraId="6B71F2A4">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4、开标地点：娄底市公共资源交易中心四楼（详见当天电子显示屏的安排）</w:t>
      </w:r>
      <w:r>
        <w:rPr>
          <w:rStyle w:val="112"/>
          <w:color w:val="auto"/>
          <w:szCs w:val="21"/>
        </w:rPr>
        <w:t>。</w:t>
      </w:r>
    </w:p>
    <w:p w14:paraId="5AAD2B5F">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七、公告期限</w:t>
      </w:r>
      <w:r>
        <w:rPr>
          <w:rFonts w:hint="eastAsia" w:ascii="宋体" w:hAnsi="宋体"/>
          <w:color w:val="auto"/>
          <w:szCs w:val="21"/>
        </w:rPr>
        <w:t>：</w:t>
      </w:r>
    </w:p>
    <w:p w14:paraId="67C7F96D">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1、本招标公告在中国湖南政府采购网（www.ccgp-hunan.gov.cn）和娄底市公共资源交易网（http://ldggzy.hnloudi.gov.cn/）发布。公告期限从本招标公告发布之日起5个工作日。</w:t>
      </w:r>
    </w:p>
    <w:p w14:paraId="4DA86CB0">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2、在其他媒体发布的招标公告，公告内容以本招标公告指定媒体发布的公告为准；公告期限自本招标公告指定媒体最先发布公告之日起算。</w:t>
      </w:r>
    </w:p>
    <w:p w14:paraId="5F466DED">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八、询问及质疑</w:t>
      </w:r>
      <w:r>
        <w:rPr>
          <w:rFonts w:hint="eastAsia" w:ascii="宋体" w:hAnsi="宋体"/>
          <w:color w:val="auto"/>
          <w:szCs w:val="21"/>
        </w:rPr>
        <w:t>：</w:t>
      </w:r>
    </w:p>
    <w:p w14:paraId="01E2B02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1、投标人对政府采购活动事项如有疑问的，可以向采购人、采购代理机构提出询问。采购人、采购代理机构将在3个工作日内作出答复。</w:t>
      </w:r>
    </w:p>
    <w:p w14:paraId="61B138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2投标人对电子交易平台办理CA证书、操作等如有疑问，请咨询电子交易平台服务机构。</w:t>
      </w:r>
    </w:p>
    <w:p w14:paraId="6161AFC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2024〕67号)规定，以纸质书面形式向采购人、采购代理机构提出质疑。</w:t>
      </w:r>
    </w:p>
    <w:p w14:paraId="524EAD30">
      <w:pPr>
        <w:adjustRightInd w:val="0"/>
        <w:snapToGrid w:val="0"/>
        <w:spacing w:line="360" w:lineRule="auto"/>
        <w:ind w:firstLine="422" w:firstLineChars="200"/>
        <w:rPr>
          <w:rFonts w:ascii="宋体" w:hAnsi="宋体"/>
          <w:b/>
          <w:color w:val="auto"/>
          <w:szCs w:val="21"/>
        </w:rPr>
      </w:pPr>
      <w:r>
        <w:rPr>
          <w:rFonts w:hint="eastAsia" w:ascii="宋体" w:hAnsi="宋体"/>
          <w:b/>
          <w:bCs/>
          <w:color w:val="auto"/>
          <w:szCs w:val="21"/>
        </w:rPr>
        <w:t>九、</w:t>
      </w:r>
      <w:r>
        <w:rPr>
          <w:rFonts w:hint="eastAsia" w:ascii="宋体" w:hAnsi="宋体"/>
          <w:b/>
          <w:color w:val="auto"/>
          <w:szCs w:val="21"/>
        </w:rPr>
        <w:t>投标说明</w:t>
      </w:r>
      <w:r>
        <w:rPr>
          <w:rFonts w:hint="eastAsia" w:ascii="宋体" w:hAnsi="宋体"/>
          <w:color w:val="auto"/>
          <w:szCs w:val="21"/>
        </w:rPr>
        <w:t>：</w:t>
      </w:r>
    </w:p>
    <w:p w14:paraId="11308BD9">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color w:val="auto"/>
          <w:szCs w:val="21"/>
        </w:rPr>
      </w:pPr>
      <w:r>
        <w:rPr>
          <w:rFonts w:hint="eastAsia" w:ascii="宋体" w:hAnsi="宋体"/>
          <w:color w:val="auto"/>
          <w:szCs w:val="21"/>
        </w:rPr>
        <w:t>1、本公告选项：</w:t>
      </w:r>
      <w:r>
        <w:rPr>
          <w:rFonts w:hint="eastAsia" w:ascii="宋体" w:hAnsi="宋体"/>
          <w:color w:val="auto"/>
          <w:szCs w:val="21"/>
        </w:rPr>
        <w:sym w:font="Wingdings" w:char="00FE"/>
      </w:r>
      <w:r>
        <w:rPr>
          <w:rFonts w:hint="eastAsia" w:ascii="宋体" w:hAnsi="宋体"/>
          <w:color w:val="auto"/>
          <w:szCs w:val="21"/>
        </w:rPr>
        <w:t>表示选择，</w:t>
      </w:r>
      <w:r>
        <w:rPr>
          <w:rFonts w:hint="eastAsia" w:ascii="宋体" w:hAnsi="宋体"/>
          <w:color w:val="auto"/>
          <w:szCs w:val="21"/>
        </w:rPr>
        <w:sym w:font="Wingdings" w:char="00A8"/>
      </w:r>
      <w:r>
        <w:rPr>
          <w:rFonts w:hint="eastAsia" w:ascii="宋体" w:hAnsi="宋体"/>
          <w:color w:val="auto"/>
          <w:szCs w:val="21"/>
        </w:rPr>
        <w:t>表示未选择。</w:t>
      </w:r>
    </w:p>
    <w:p w14:paraId="578374C2">
      <w:pPr>
        <w:adjustRightInd w:val="0"/>
        <w:snapToGrid w:val="0"/>
        <w:spacing w:line="360" w:lineRule="auto"/>
        <w:ind w:firstLine="420" w:firstLineChars="200"/>
        <w:rPr>
          <w:rFonts w:ascii="宋体" w:hAnsi="宋体"/>
          <w:b/>
          <w:bCs/>
          <w:color w:val="auto"/>
          <w:szCs w:val="21"/>
        </w:rPr>
      </w:pPr>
      <w:r>
        <w:rPr>
          <w:rFonts w:hint="eastAsia" w:ascii="宋体" w:hAnsi="宋体"/>
          <w:color w:val="auto"/>
          <w:szCs w:val="21"/>
        </w:rPr>
        <w:t>2、投标人参与政府采购活动，无需向采购人、代理机构、交易平台缴纳任何费用。</w:t>
      </w:r>
    </w:p>
    <w:p w14:paraId="7E4372CC">
      <w:pPr>
        <w:adjustRightInd w:val="0"/>
        <w:snapToGrid w:val="0"/>
        <w:spacing w:line="360" w:lineRule="auto"/>
        <w:ind w:firstLine="422" w:firstLineChars="200"/>
        <w:rPr>
          <w:rFonts w:ascii="宋体" w:hAnsi="宋体"/>
          <w:b/>
          <w:bCs/>
          <w:color w:val="auto"/>
          <w:szCs w:val="21"/>
        </w:rPr>
      </w:pPr>
      <w:r>
        <w:rPr>
          <w:rFonts w:hint="eastAsia" w:ascii="宋体" w:hAnsi="宋体"/>
          <w:b/>
          <w:bCs/>
          <w:color w:val="auto"/>
          <w:szCs w:val="21"/>
        </w:rPr>
        <w:t>十、其他补充事宜</w:t>
      </w:r>
    </w:p>
    <w:p w14:paraId="4F47F8C7">
      <w:pPr>
        <w:adjustRightInd w:val="0"/>
        <w:snapToGrid w:val="0"/>
        <w:spacing w:line="360" w:lineRule="auto"/>
        <w:ind w:firstLine="420" w:firstLineChars="200"/>
        <w:rPr>
          <w:rFonts w:ascii="宋体" w:hAnsi="宋体"/>
          <w:b/>
          <w:bCs/>
          <w:color w:val="auto"/>
          <w:szCs w:val="21"/>
        </w:rPr>
      </w:pPr>
      <w:r>
        <w:rPr>
          <w:rFonts w:hint="eastAsia" w:ascii="宋体" w:hAnsi="宋体"/>
          <w:color w:val="auto"/>
          <w:szCs w:val="21"/>
        </w:rPr>
        <w:t>1、</w:t>
      </w:r>
      <w:r>
        <w:rPr>
          <w:rFonts w:hint="eastAsia" w:ascii="宋体" w:hAnsi="宋体" w:cs="宋体"/>
          <w:color w:val="auto"/>
          <w:szCs w:val="21"/>
          <w:shd w:val="clear" w:color="auto" w:fill="FFFFFF"/>
        </w:rPr>
        <w:t>本项目采用电子化招标，请各潜在投标人在投标函中提供真实有效的联系人及联系电话，以便联系。评标委员会按投标人提交的电子投标文件进行评审，资料的真实性、合法性由投标人负责，如有虚假，已中标的将取消中标资格，并依法追究相应责任</w:t>
      </w:r>
      <w:r>
        <w:rPr>
          <w:rFonts w:hint="eastAsia" w:ascii="宋体" w:hAnsi="宋体"/>
          <w:color w:val="auto"/>
          <w:szCs w:val="21"/>
        </w:rPr>
        <w:t>。</w:t>
      </w:r>
    </w:p>
    <w:p w14:paraId="0F806A4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澄清说明：专家在评标室对需要进行澄清说明的单位进行提问，投标单位收到短信后在规定时间内在交易平台进行澄清说明（快捷导航-澄清说明-选择进行澄清说明的项目），查看问题并上传附件（澄清说明附件以PDF格式上传至交易系统）；</w:t>
      </w:r>
    </w:p>
    <w:p w14:paraId="44DD70BE">
      <w:pPr>
        <w:adjustRightInd w:val="0"/>
        <w:snapToGrid w:val="0"/>
        <w:spacing w:line="360" w:lineRule="auto"/>
        <w:ind w:firstLine="422" w:firstLineChars="200"/>
        <w:rPr>
          <w:rFonts w:ascii="宋体" w:hAnsi="宋体"/>
          <w:b/>
          <w:color w:val="auto"/>
          <w:szCs w:val="21"/>
        </w:rPr>
      </w:pPr>
      <w:r>
        <w:rPr>
          <w:rFonts w:hint="eastAsia" w:ascii="宋体" w:hAnsi="宋体"/>
          <w:b/>
          <w:bCs/>
          <w:color w:val="auto"/>
          <w:szCs w:val="21"/>
        </w:rPr>
        <w:t>十一</w:t>
      </w:r>
      <w:r>
        <w:rPr>
          <w:rFonts w:hint="eastAsia" w:ascii="宋体" w:hAnsi="宋体"/>
          <w:color w:val="auto"/>
          <w:szCs w:val="21"/>
        </w:rPr>
        <w:t>、</w:t>
      </w:r>
      <w:r>
        <w:rPr>
          <w:rFonts w:hint="eastAsia" w:ascii="宋体" w:hAnsi="宋体"/>
          <w:b/>
          <w:color w:val="auto"/>
          <w:szCs w:val="21"/>
        </w:rPr>
        <w:t>采购项目联系人姓名和电话</w:t>
      </w:r>
    </w:p>
    <w:p w14:paraId="71E3E74A">
      <w:pPr>
        <w:adjustRightInd w:val="0"/>
        <w:snapToGrid w:val="0"/>
        <w:spacing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rPr>
        <w:t>1、联系人姓名：</w:t>
      </w:r>
      <w:r>
        <w:rPr>
          <w:rFonts w:hint="eastAsia" w:ascii="宋体" w:hAnsi="宋体"/>
          <w:color w:val="auto"/>
          <w:szCs w:val="21"/>
          <w:lang w:val="en-US" w:eastAsia="zh-CN"/>
        </w:rPr>
        <w:t xml:space="preserve"> 周先生</w:t>
      </w:r>
    </w:p>
    <w:p w14:paraId="2A3C5B0B">
      <w:pPr>
        <w:adjustRightInd w:val="0"/>
        <w:snapToGrid w:val="0"/>
        <w:spacing w:line="360" w:lineRule="auto"/>
        <w:ind w:firstLine="420" w:firstLineChars="200"/>
        <w:rPr>
          <w:rFonts w:hint="default" w:ascii="宋体" w:hAnsi="宋体" w:eastAsia="宋体" w:cs="宋体"/>
          <w:color w:val="auto"/>
          <w:szCs w:val="21"/>
          <w:lang w:val="en-US" w:eastAsia="zh-CN"/>
        </w:rPr>
      </w:pPr>
      <w:r>
        <w:rPr>
          <w:rFonts w:hint="eastAsia" w:ascii="宋体" w:hAnsi="宋体" w:cs="宋体"/>
          <w:color w:val="auto"/>
          <w:szCs w:val="21"/>
        </w:rPr>
        <w:t>2、电话：</w:t>
      </w:r>
      <w:r>
        <w:rPr>
          <w:rFonts w:hint="eastAsia" w:ascii="宋体" w:hAnsi="宋体" w:cs="宋体"/>
          <w:color w:val="auto"/>
          <w:szCs w:val="21"/>
          <w:lang w:val="en-US" w:eastAsia="zh-CN"/>
        </w:rPr>
        <w:t xml:space="preserve"> 13973828662</w:t>
      </w:r>
    </w:p>
    <w:p w14:paraId="0E222C36">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十二、采购人、采购代理机构的名称、地址和联系方法</w:t>
      </w:r>
    </w:p>
    <w:p w14:paraId="63CA0EED">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1</w:t>
      </w:r>
      <w:r>
        <w:rPr>
          <w:rFonts w:hint="eastAsia" w:ascii="宋体" w:hAnsi="宋体"/>
          <w:color w:val="auto"/>
          <w:szCs w:val="21"/>
        </w:rPr>
        <w:t>、</w:t>
      </w:r>
      <w:r>
        <w:rPr>
          <w:rFonts w:hint="eastAsia" w:ascii="宋体" w:hAnsi="宋体"/>
          <w:b/>
          <w:bCs/>
          <w:color w:val="auto"/>
          <w:szCs w:val="21"/>
        </w:rPr>
        <w:t>采购人信息</w:t>
      </w:r>
    </w:p>
    <w:p w14:paraId="3BED93EF">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rPr>
        <w:t>（1）名 称：</w:t>
      </w:r>
      <w:r>
        <w:rPr>
          <w:rFonts w:hint="eastAsia" w:ascii="宋体" w:hAnsi="宋体"/>
          <w:color w:val="auto"/>
          <w:szCs w:val="21"/>
          <w:lang w:eastAsia="zh-CN"/>
        </w:rPr>
        <w:t>新化县卫生健康局</w:t>
      </w:r>
    </w:p>
    <w:p w14:paraId="0BCC63C7">
      <w:pPr>
        <w:adjustRightInd w:val="0"/>
        <w:snapToGrid w:val="0"/>
        <w:spacing w:line="360" w:lineRule="auto"/>
        <w:ind w:firstLine="420" w:firstLineChars="200"/>
        <w:rPr>
          <w:rFonts w:hint="eastAsia" w:ascii="宋体" w:hAnsi="宋体" w:eastAsia="宋体"/>
          <w:color w:val="auto"/>
          <w:szCs w:val="21"/>
          <w:u w:val="single"/>
          <w:lang w:eastAsia="zh-CN"/>
        </w:rPr>
      </w:pPr>
      <w:r>
        <w:rPr>
          <w:rFonts w:hint="eastAsia" w:ascii="宋体" w:hAnsi="宋体"/>
          <w:color w:val="auto"/>
          <w:szCs w:val="21"/>
        </w:rPr>
        <w:t>（2）地  址：</w:t>
      </w:r>
      <w:r>
        <w:rPr>
          <w:rFonts w:hint="eastAsia" w:ascii="宋体" w:hAnsi="宋体"/>
          <w:color w:val="auto"/>
          <w:szCs w:val="21"/>
          <w:lang w:val="en-US" w:eastAsia="zh-CN"/>
        </w:rPr>
        <w:t xml:space="preserve">新化县上渡街道办事处财卫路 </w:t>
      </w:r>
    </w:p>
    <w:p w14:paraId="499B57E3">
      <w:pPr>
        <w:adjustRightInd w:val="0"/>
        <w:snapToGrid w:val="0"/>
        <w:spacing w:line="360" w:lineRule="auto"/>
        <w:ind w:firstLine="411" w:firstLineChars="196"/>
        <w:rPr>
          <w:rFonts w:hint="eastAsia" w:ascii="宋体" w:hAnsi="宋体" w:eastAsia="宋体"/>
          <w:color w:val="auto"/>
          <w:szCs w:val="21"/>
          <w:lang w:eastAsia="zh-CN"/>
        </w:rPr>
      </w:pPr>
      <w:r>
        <w:rPr>
          <w:rFonts w:hint="eastAsia" w:ascii="宋体" w:hAnsi="宋体"/>
          <w:color w:val="auto"/>
          <w:szCs w:val="21"/>
        </w:rPr>
        <w:t>（3）联系人：</w:t>
      </w:r>
      <w:r>
        <w:rPr>
          <w:rFonts w:hint="eastAsia" w:ascii="宋体" w:hAnsi="宋体"/>
          <w:color w:val="auto"/>
          <w:szCs w:val="21"/>
          <w:lang w:val="en-US" w:eastAsia="zh-CN"/>
        </w:rPr>
        <w:t xml:space="preserve">周先生 </w:t>
      </w:r>
    </w:p>
    <w:p w14:paraId="38DE0626">
      <w:pPr>
        <w:adjustRightInd w:val="0"/>
        <w:snapToGrid w:val="0"/>
        <w:spacing w:line="360" w:lineRule="auto"/>
        <w:ind w:firstLine="420" w:firstLineChars="200"/>
        <w:rPr>
          <w:rFonts w:hint="default" w:ascii="宋体" w:hAnsi="宋体" w:cs="宋体"/>
          <w:color w:val="auto"/>
          <w:szCs w:val="21"/>
          <w:shd w:val="clear" w:color="auto" w:fill="FFFFFF"/>
          <w:lang w:val="en-US" w:eastAsia="zh-CN"/>
        </w:rPr>
      </w:pPr>
      <w:r>
        <w:rPr>
          <w:rFonts w:hint="eastAsia" w:ascii="宋体" w:hAnsi="宋体"/>
          <w:color w:val="auto"/>
          <w:szCs w:val="21"/>
        </w:rPr>
        <w:t>（4）</w:t>
      </w:r>
      <w:r>
        <w:rPr>
          <w:rFonts w:hint="eastAsia" w:ascii="宋体" w:hAnsi="宋体" w:cs="宋体"/>
          <w:color w:val="auto"/>
          <w:szCs w:val="21"/>
          <w:shd w:val="clear" w:color="auto" w:fill="FFFFFF"/>
        </w:rPr>
        <w:t>邮编：</w:t>
      </w:r>
      <w:r>
        <w:rPr>
          <w:rFonts w:hint="eastAsia" w:ascii="宋体" w:hAnsi="宋体" w:cs="宋体"/>
          <w:color w:val="auto"/>
          <w:szCs w:val="21"/>
          <w:shd w:val="clear" w:color="auto" w:fill="FFFFFF"/>
          <w:lang w:val="en-US" w:eastAsia="zh-CN"/>
        </w:rPr>
        <w:t xml:space="preserve">417600  </w:t>
      </w:r>
    </w:p>
    <w:p w14:paraId="5D5FC6ED">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color w:val="auto"/>
          <w:szCs w:val="21"/>
        </w:rPr>
        <w:t>（5）电话：</w:t>
      </w:r>
      <w:r>
        <w:rPr>
          <w:rFonts w:hint="eastAsia" w:ascii="宋体" w:hAnsi="宋体" w:cs="宋体"/>
          <w:color w:val="auto"/>
          <w:szCs w:val="21"/>
          <w:lang w:val="en-US" w:eastAsia="zh-CN"/>
        </w:rPr>
        <w:t>13973828662</w:t>
      </w:r>
      <w:r>
        <w:rPr>
          <w:rFonts w:hint="eastAsia" w:ascii="宋体" w:hAnsi="宋体"/>
          <w:color w:val="auto"/>
          <w:szCs w:val="21"/>
          <w:lang w:val="en-US" w:eastAsia="zh-CN"/>
        </w:rPr>
        <w:t xml:space="preserve"> </w:t>
      </w:r>
    </w:p>
    <w:p w14:paraId="0D309DBB">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shd w:val="clear" w:color="auto" w:fill="FFFFFF"/>
        </w:rPr>
        <w:t>（6）电子邮箱：/</w:t>
      </w:r>
    </w:p>
    <w:p w14:paraId="45B7164C">
      <w:pPr>
        <w:adjustRightInd w:val="0"/>
        <w:snapToGrid w:val="0"/>
        <w:spacing w:line="360" w:lineRule="auto"/>
        <w:ind w:firstLine="422" w:firstLineChars="200"/>
        <w:rPr>
          <w:rFonts w:ascii="宋体" w:hAnsi="宋体"/>
          <w:b/>
          <w:bCs/>
          <w:color w:val="auto"/>
          <w:szCs w:val="21"/>
        </w:rPr>
      </w:pPr>
      <w:r>
        <w:rPr>
          <w:rFonts w:hint="eastAsia" w:ascii="宋体" w:hAnsi="宋体"/>
          <w:b/>
          <w:bCs/>
          <w:color w:val="auto"/>
          <w:szCs w:val="21"/>
        </w:rPr>
        <w:t>2</w:t>
      </w:r>
      <w:r>
        <w:rPr>
          <w:rFonts w:hint="eastAsia" w:ascii="宋体" w:hAnsi="宋体"/>
          <w:color w:val="auto"/>
          <w:szCs w:val="21"/>
        </w:rPr>
        <w:t>、</w:t>
      </w:r>
      <w:r>
        <w:rPr>
          <w:rFonts w:hint="eastAsia" w:ascii="宋体" w:hAnsi="宋体"/>
          <w:b/>
          <w:bCs/>
          <w:color w:val="auto"/>
          <w:szCs w:val="21"/>
        </w:rPr>
        <w:t>采购代理机构信息</w:t>
      </w:r>
    </w:p>
    <w:p w14:paraId="458ABA6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（1）名称：娄底市政府采购中心</w:t>
      </w:r>
    </w:p>
    <w:p w14:paraId="547EF84A">
      <w:pPr>
        <w:adjustRightInd w:val="0"/>
        <w:snapToGrid w:val="0"/>
        <w:spacing w:line="360" w:lineRule="auto"/>
        <w:ind w:firstLine="420" w:firstLineChars="200"/>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2）地址：娄底市娄星区勤政街36号</w:t>
      </w:r>
    </w:p>
    <w:p w14:paraId="44C46373">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cs="宋体"/>
          <w:color w:val="auto"/>
          <w:szCs w:val="21"/>
        </w:rPr>
        <w:t>（3）联系人：</w:t>
      </w:r>
      <w:r>
        <w:rPr>
          <w:rFonts w:hint="eastAsia" w:ascii="宋体" w:hAnsi="宋体" w:cs="宋体"/>
          <w:color w:val="auto"/>
          <w:szCs w:val="21"/>
          <w:lang w:eastAsia="zh-CN"/>
        </w:rPr>
        <w:t>肖女士</w:t>
      </w:r>
    </w:p>
    <w:p w14:paraId="137753CE">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（4）邮编：417000</w:t>
      </w:r>
    </w:p>
    <w:p w14:paraId="57C2F8F5">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（5）电话：0738-6371181</w:t>
      </w:r>
    </w:p>
    <w:p w14:paraId="6E9871F3">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（6）电子邮箱：/</w:t>
      </w:r>
    </w:p>
    <w:p w14:paraId="7045181B">
      <w:pPr>
        <w:adjustRightInd w:val="0"/>
        <w:snapToGrid w:val="0"/>
        <w:spacing w:line="360" w:lineRule="auto"/>
        <w:ind w:firstLine="422" w:firstLineChars="200"/>
        <w:rPr>
          <w:rFonts w:ascii="宋体" w:hAnsi="宋体"/>
          <w:color w:val="auto"/>
          <w:szCs w:val="21"/>
        </w:rPr>
      </w:pPr>
      <w:r>
        <w:rPr>
          <w:rFonts w:hint="eastAsia" w:ascii="宋体" w:hAnsi="宋体"/>
          <w:b/>
          <w:bCs/>
          <w:color w:val="auto"/>
          <w:szCs w:val="21"/>
        </w:rPr>
        <w:t>3、电子交易平台服务机构信息</w:t>
      </w:r>
    </w:p>
    <w:p w14:paraId="01C185F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1</w:t>
      </w:r>
      <w:r>
        <w:rPr>
          <w:rFonts w:hint="eastAsia" w:ascii="宋体" w:hAnsi="宋体"/>
          <w:color w:val="auto"/>
          <w:szCs w:val="21"/>
        </w:rPr>
        <w:t>）联系人：金润软件 </w:t>
      </w:r>
    </w:p>
    <w:p w14:paraId="259C83E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2</w:t>
      </w:r>
      <w:r>
        <w:rPr>
          <w:rFonts w:hint="eastAsia" w:ascii="宋体" w:hAnsi="宋体"/>
          <w:color w:val="auto"/>
          <w:szCs w:val="21"/>
        </w:rPr>
        <w:t>）电 话：</w:t>
      </w:r>
      <w:r>
        <w:rPr>
          <w:rFonts w:hint="eastAsia" w:ascii="宋体" w:hAnsi="宋体"/>
          <w:color w:val="auto"/>
          <w:szCs w:val="21"/>
          <w:lang w:val="en-US" w:eastAsia="zh-CN"/>
        </w:rPr>
        <w:t xml:space="preserve"> </w:t>
      </w:r>
      <w:r>
        <w:rPr>
          <w:rFonts w:hint="eastAsia" w:ascii="宋体" w:hAnsi="宋体"/>
          <w:color w:val="auto"/>
          <w:szCs w:val="21"/>
        </w:rPr>
        <w:t>400-926-9966</w:t>
      </w:r>
    </w:p>
    <w:p w14:paraId="14DB96D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3</w:t>
      </w:r>
      <w:r>
        <w:rPr>
          <w:rFonts w:hint="eastAsia" w:ascii="宋体" w:hAnsi="宋体"/>
          <w:color w:val="auto"/>
          <w:szCs w:val="21"/>
        </w:rPr>
        <w:t>）电子邮箱：2159511823@qq.com</w:t>
      </w:r>
    </w:p>
    <w:p w14:paraId="0E33D13A">
      <w:pPr>
        <w:adjustRightInd w:val="0"/>
        <w:snapToGrid w:val="0"/>
        <w:spacing w:line="360" w:lineRule="auto"/>
        <w:ind w:firstLine="411" w:firstLineChars="196"/>
        <w:rPr>
          <w:rFonts w:ascii="宋体" w:hAnsi="宋体"/>
          <w:color w:val="auto"/>
          <w:szCs w:val="21"/>
        </w:rPr>
      </w:pPr>
    </w:p>
    <w:p w14:paraId="75A41649">
      <w:pPr>
        <w:pStyle w:val="2"/>
        <w:rPr>
          <w:rFonts w:ascii="黑体" w:hAnsi="华文中宋" w:eastAsia="黑体"/>
          <w:b w:val="0"/>
          <w:color w:val="auto"/>
          <w:spacing w:val="100"/>
          <w:sz w:val="32"/>
          <w:szCs w:val="32"/>
        </w:rPr>
      </w:pPr>
      <w:r>
        <w:rPr>
          <w:color w:val="auto"/>
        </w:rPr>
        <w:br w:type="page"/>
      </w:r>
      <w:bookmarkStart w:id="8" w:name="_Toc15888484"/>
      <w:bookmarkStart w:id="9" w:name="_Toc100670420"/>
      <w:bookmarkStart w:id="10" w:name="_Toc26481"/>
      <w:bookmarkStart w:id="11" w:name="_Toc12115"/>
      <w:bookmarkStart w:id="12" w:name="_Toc154428389"/>
      <w:bookmarkStart w:id="13" w:name="_Toc78449954"/>
      <w:bookmarkStart w:id="14" w:name="_Toc112704932"/>
      <w:bookmarkStart w:id="15" w:name="_Toc100670667"/>
      <w:bookmarkStart w:id="16" w:name="_Toc171273670"/>
      <w:bookmarkStart w:id="17" w:name="_Toc192949602"/>
      <w:bookmarkStart w:id="18" w:name="_Toc9187"/>
      <w:bookmarkStart w:id="19" w:name="_Toc75289225"/>
      <w:bookmarkStart w:id="20" w:name="_Toc117192447"/>
      <w:bookmarkStart w:id="21" w:name="_Toc25857"/>
      <w:bookmarkStart w:id="22" w:name="_Toc108341936"/>
      <w:bookmarkStart w:id="23" w:name="_Toc77676465"/>
      <w:bookmarkStart w:id="24" w:name="_Toc22038"/>
      <w:bookmarkStart w:id="25" w:name="_Toc95601364"/>
      <w:bookmarkStart w:id="26" w:name="_Toc15746"/>
      <w:bookmarkStart w:id="27" w:name="_Toc114036711"/>
      <w:bookmarkStart w:id="28" w:name="_Toc192949701"/>
      <w:bookmarkStart w:id="29" w:name="_Toc6830"/>
      <w:bookmarkStart w:id="30" w:name="_Toc75289547"/>
      <w:bookmarkStart w:id="31" w:name="_Toc23473"/>
      <w:bookmarkStart w:id="32" w:name="_Toc192951212"/>
      <w:bookmarkStart w:id="33" w:name="_Toc77199398"/>
      <w:bookmarkStart w:id="34" w:name="_Toc85972929"/>
      <w:bookmarkStart w:id="35" w:name="_Toc7263"/>
      <w:bookmarkStart w:id="36" w:name="_Toc78314261"/>
      <w:bookmarkStart w:id="37" w:name="_Toc94367879"/>
      <w:r>
        <w:rPr>
          <w:rFonts w:hint="eastAsia" w:ascii="黑体" w:hAnsi="华文中宋" w:eastAsia="黑体"/>
          <w:b w:val="0"/>
          <w:color w:val="auto"/>
          <w:sz w:val="32"/>
          <w:szCs w:val="32"/>
        </w:rPr>
        <w:t>第二章 投标须知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6F62C715">
      <w:pPr>
        <w:pStyle w:val="3"/>
        <w:adjustRightInd w:val="0"/>
        <w:snapToGrid w:val="0"/>
        <w:spacing w:line="240" w:lineRule="auto"/>
        <w:jc w:val="center"/>
        <w:rPr>
          <w:rFonts w:ascii="黑体" w:hAnsi="华文中宋" w:eastAsia="黑体"/>
          <w:color w:val="auto"/>
          <w:spacing w:val="100"/>
          <w:sz w:val="28"/>
          <w:szCs w:val="28"/>
        </w:rPr>
      </w:pPr>
      <w:bookmarkStart w:id="38" w:name="_Toc75289226"/>
      <w:bookmarkStart w:id="39" w:name="_Toc28661"/>
      <w:bookmarkStart w:id="40" w:name="_Toc94367880"/>
      <w:bookmarkStart w:id="41" w:name="_Toc24209"/>
      <w:bookmarkStart w:id="42" w:name="_Toc171273671"/>
      <w:bookmarkStart w:id="43" w:name="_Toc78314262"/>
      <w:bookmarkStart w:id="44" w:name="_Toc114036712"/>
      <w:bookmarkStart w:id="45" w:name="_Toc3731"/>
      <w:bookmarkStart w:id="46" w:name="_Toc192949702"/>
      <w:bookmarkStart w:id="47" w:name="_Toc75289548"/>
      <w:bookmarkStart w:id="48" w:name="_Toc77676466"/>
      <w:bookmarkStart w:id="49" w:name="_Toc77199399"/>
      <w:bookmarkStart w:id="50" w:name="_Toc15888485"/>
      <w:bookmarkStart w:id="51" w:name="_Toc154428390"/>
      <w:bookmarkStart w:id="52" w:name="_Toc192951213"/>
      <w:bookmarkStart w:id="53" w:name="_Toc192949603"/>
      <w:bookmarkStart w:id="54" w:name="_Toc100670668"/>
      <w:bookmarkStart w:id="55" w:name="_Toc20609"/>
      <w:bookmarkStart w:id="56" w:name="_Toc117192448"/>
      <w:bookmarkStart w:id="57" w:name="_Toc100670421"/>
      <w:bookmarkStart w:id="58" w:name="_Toc78449955"/>
      <w:bookmarkStart w:id="59" w:name="_Toc1532"/>
      <w:bookmarkStart w:id="60" w:name="_Toc108341937"/>
      <w:bookmarkStart w:id="61" w:name="_Toc11230"/>
      <w:bookmarkStart w:id="62" w:name="_Toc85972930"/>
      <w:bookmarkStart w:id="63" w:name="_Toc112704933"/>
      <w:bookmarkStart w:id="64" w:name="_Toc24994"/>
      <w:bookmarkStart w:id="65" w:name="_Toc4205"/>
      <w:bookmarkStart w:id="66" w:name="_Toc95601365"/>
      <w:bookmarkStart w:id="67" w:name="_Toc18363"/>
      <w:r>
        <w:rPr>
          <w:rFonts w:hint="eastAsia" w:ascii="黑体" w:hAnsi="华文中宋" w:eastAsia="黑体"/>
          <w:color w:val="auto"/>
          <w:sz w:val="28"/>
          <w:szCs w:val="28"/>
        </w:rPr>
        <w:t>第一节  投标须知前附表</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220615A">
      <w:pPr>
        <w:adjustRightInd w:val="0"/>
        <w:snapToGrid w:val="0"/>
        <w:jc w:val="right"/>
        <w:rPr>
          <w:rFonts w:ascii="宋体" w:hAnsi="宋体"/>
          <w:color w:val="auto"/>
          <w:szCs w:val="21"/>
        </w:rPr>
      </w:pPr>
      <w:r>
        <w:rPr>
          <w:rFonts w:hint="eastAsia" w:ascii="宋体" w:hAnsi="宋体"/>
          <w:color w:val="auto"/>
          <w:szCs w:val="21"/>
        </w:rPr>
        <w:t>注：本项目启用的条款在“编列内容规定”栏内以“</w:t>
      </w:r>
      <w:r>
        <w:rPr>
          <w:rFonts w:hint="eastAsia" w:ascii="宋体" w:hAnsi="宋体"/>
          <w:color w:val="auto"/>
          <w:szCs w:val="21"/>
        </w:rPr>
        <w:sym w:font="Wingdings" w:char="00FE"/>
      </w:r>
      <w:r>
        <w:rPr>
          <w:rFonts w:hint="eastAsia" w:ascii="宋体" w:hAnsi="宋体"/>
          <w:color w:val="auto"/>
          <w:szCs w:val="21"/>
        </w:rPr>
        <w:t>”标注。</w:t>
      </w:r>
    </w:p>
    <w:tbl>
      <w:tblPr>
        <w:tblStyle w:val="47"/>
        <w:tblW w:w="889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42"/>
        <w:gridCol w:w="2340"/>
        <w:gridCol w:w="5317"/>
      </w:tblGrid>
      <w:tr w14:paraId="4AD305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14" w:hRule="atLeast"/>
          <w:tblHeader/>
          <w:jc w:val="center"/>
        </w:trPr>
        <w:tc>
          <w:tcPr>
            <w:tcW w:w="1242" w:type="dxa"/>
            <w:vAlign w:val="center"/>
          </w:tcPr>
          <w:p w14:paraId="28404AD9">
            <w:pPr>
              <w:adjustRightInd w:val="0"/>
              <w:snapToGrid w:val="0"/>
              <w:spacing w:line="360" w:lineRule="exact"/>
              <w:jc w:val="center"/>
              <w:rPr>
                <w:rFonts w:ascii="宋体" w:hAnsi="宋体"/>
                <w:b/>
                <w:color w:val="auto"/>
                <w:szCs w:val="21"/>
              </w:rPr>
            </w:pPr>
            <w:r>
              <w:rPr>
                <w:rFonts w:hint="eastAsia" w:ascii="宋体" w:hAnsi="宋体"/>
                <w:b/>
                <w:color w:val="auto"/>
                <w:szCs w:val="21"/>
              </w:rPr>
              <w:t>条款号</w:t>
            </w:r>
          </w:p>
        </w:tc>
        <w:tc>
          <w:tcPr>
            <w:tcW w:w="2340" w:type="dxa"/>
            <w:vAlign w:val="center"/>
          </w:tcPr>
          <w:p w14:paraId="0B1BC784">
            <w:pPr>
              <w:adjustRightInd w:val="0"/>
              <w:snapToGrid w:val="0"/>
              <w:spacing w:line="360" w:lineRule="exact"/>
              <w:jc w:val="center"/>
              <w:rPr>
                <w:rFonts w:ascii="宋体" w:hAnsi="宋体"/>
                <w:b/>
                <w:color w:val="auto"/>
                <w:szCs w:val="21"/>
              </w:rPr>
            </w:pPr>
            <w:r>
              <w:rPr>
                <w:rFonts w:hint="eastAsia" w:ascii="宋体" w:hAnsi="宋体"/>
                <w:b/>
                <w:color w:val="auto"/>
                <w:szCs w:val="21"/>
              </w:rPr>
              <w:t>条款名称</w:t>
            </w:r>
          </w:p>
        </w:tc>
        <w:tc>
          <w:tcPr>
            <w:tcW w:w="5317" w:type="dxa"/>
            <w:vAlign w:val="center"/>
          </w:tcPr>
          <w:p w14:paraId="2DEE3AA1">
            <w:pPr>
              <w:adjustRightInd w:val="0"/>
              <w:snapToGrid w:val="0"/>
              <w:spacing w:line="360" w:lineRule="exact"/>
              <w:jc w:val="center"/>
              <w:rPr>
                <w:rFonts w:ascii="宋体" w:hAnsi="宋体"/>
                <w:b/>
                <w:color w:val="auto"/>
                <w:szCs w:val="21"/>
              </w:rPr>
            </w:pPr>
            <w:r>
              <w:rPr>
                <w:rFonts w:hint="eastAsia" w:ascii="宋体" w:hAnsi="宋体"/>
                <w:b/>
                <w:color w:val="auto"/>
                <w:szCs w:val="21"/>
              </w:rPr>
              <w:t>编列内容规定</w:t>
            </w:r>
          </w:p>
        </w:tc>
      </w:tr>
      <w:tr w14:paraId="35785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8899" w:type="dxa"/>
            <w:gridSpan w:val="3"/>
            <w:vAlign w:val="center"/>
          </w:tcPr>
          <w:p w14:paraId="20BD5413">
            <w:pPr>
              <w:adjustRightInd w:val="0"/>
              <w:snapToGrid w:val="0"/>
              <w:spacing w:line="360" w:lineRule="exact"/>
              <w:rPr>
                <w:rFonts w:ascii="宋体" w:hAnsi="宋体"/>
                <w:color w:val="auto"/>
                <w:szCs w:val="21"/>
              </w:rPr>
            </w:pPr>
            <w:r>
              <w:rPr>
                <w:rFonts w:hint="eastAsia" w:ascii="宋体" w:hAnsi="宋体"/>
                <w:b/>
                <w:color w:val="auto"/>
                <w:szCs w:val="21"/>
              </w:rPr>
              <w:t>一、说明</w:t>
            </w:r>
          </w:p>
        </w:tc>
      </w:tr>
      <w:tr w14:paraId="5D0D04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242" w:type="dxa"/>
            <w:vAlign w:val="center"/>
          </w:tcPr>
          <w:p w14:paraId="18E528F0">
            <w:pPr>
              <w:adjustRightInd w:val="0"/>
              <w:snapToGrid w:val="0"/>
              <w:spacing w:line="360" w:lineRule="exact"/>
              <w:jc w:val="center"/>
              <w:rPr>
                <w:rFonts w:ascii="宋体" w:hAnsi="宋体"/>
                <w:color w:val="auto"/>
                <w:szCs w:val="21"/>
              </w:rPr>
            </w:pPr>
            <w:r>
              <w:rPr>
                <w:rFonts w:hint="eastAsia" w:ascii="宋体" w:hAnsi="宋体"/>
                <w:color w:val="auto"/>
                <w:szCs w:val="21"/>
              </w:rPr>
              <w:t>第1.1款</w:t>
            </w:r>
          </w:p>
        </w:tc>
        <w:tc>
          <w:tcPr>
            <w:tcW w:w="2340" w:type="dxa"/>
            <w:vAlign w:val="center"/>
          </w:tcPr>
          <w:p w14:paraId="442C5111">
            <w:pPr>
              <w:adjustRightInd w:val="0"/>
              <w:snapToGrid w:val="0"/>
              <w:spacing w:line="360" w:lineRule="exact"/>
              <w:jc w:val="center"/>
              <w:rPr>
                <w:rFonts w:ascii="宋体" w:hAnsi="宋体"/>
                <w:color w:val="auto"/>
                <w:szCs w:val="21"/>
              </w:rPr>
            </w:pPr>
            <w:r>
              <w:rPr>
                <w:rFonts w:hint="eastAsia" w:ascii="宋体" w:hAnsi="宋体"/>
                <w:color w:val="auto"/>
                <w:szCs w:val="21"/>
              </w:rPr>
              <w:t>采购项目</w:t>
            </w:r>
          </w:p>
        </w:tc>
        <w:tc>
          <w:tcPr>
            <w:tcW w:w="5317" w:type="dxa"/>
            <w:vAlign w:val="center"/>
          </w:tcPr>
          <w:p w14:paraId="5A5805E9">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lang w:eastAsia="zh-CN"/>
              </w:rPr>
              <w:t>新化县紧密型县域医共体医疗卫生强基工程建设项目医疗设备采购</w:t>
            </w:r>
          </w:p>
        </w:tc>
      </w:tr>
      <w:tr w14:paraId="1924E7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242" w:type="dxa"/>
            <w:vAlign w:val="center"/>
          </w:tcPr>
          <w:p w14:paraId="4D466639">
            <w:pPr>
              <w:adjustRightInd w:val="0"/>
              <w:snapToGrid w:val="0"/>
              <w:spacing w:line="360" w:lineRule="exact"/>
              <w:jc w:val="center"/>
              <w:rPr>
                <w:rFonts w:ascii="宋体" w:hAnsi="宋体"/>
                <w:color w:val="auto"/>
                <w:szCs w:val="21"/>
              </w:rPr>
            </w:pPr>
            <w:r>
              <w:rPr>
                <w:rFonts w:hint="eastAsia" w:ascii="宋体" w:hAnsi="宋体"/>
                <w:color w:val="auto"/>
                <w:szCs w:val="21"/>
              </w:rPr>
              <w:t>第1.2款</w:t>
            </w:r>
          </w:p>
        </w:tc>
        <w:tc>
          <w:tcPr>
            <w:tcW w:w="2340" w:type="dxa"/>
            <w:vAlign w:val="center"/>
          </w:tcPr>
          <w:p w14:paraId="448DAE6F">
            <w:pPr>
              <w:adjustRightInd w:val="0"/>
              <w:snapToGrid w:val="0"/>
              <w:spacing w:line="360" w:lineRule="exact"/>
              <w:jc w:val="center"/>
              <w:rPr>
                <w:rFonts w:ascii="宋体" w:hAnsi="宋体"/>
                <w:color w:val="auto"/>
                <w:szCs w:val="21"/>
              </w:rPr>
            </w:pPr>
            <w:r>
              <w:rPr>
                <w:rFonts w:hint="eastAsia" w:ascii="宋体" w:hAnsi="宋体"/>
                <w:color w:val="auto"/>
                <w:szCs w:val="21"/>
              </w:rPr>
              <w:t>是否预留采购份额</w:t>
            </w:r>
          </w:p>
        </w:tc>
        <w:tc>
          <w:tcPr>
            <w:tcW w:w="5317" w:type="dxa"/>
            <w:vAlign w:val="center"/>
          </w:tcPr>
          <w:p w14:paraId="045F2358">
            <w:pPr>
              <w:adjustRightInd w:val="0"/>
              <w:snapToGrid w:val="0"/>
              <w:spacing w:line="360" w:lineRule="exact"/>
              <w:rPr>
                <w:rFonts w:ascii="宋体" w:hAnsi="宋体"/>
                <w:color w:val="auto"/>
                <w:szCs w:val="21"/>
              </w:rPr>
            </w:pPr>
            <w:r>
              <w:rPr>
                <w:rFonts w:hint="eastAsia" w:ascii="宋体" w:hAnsi="宋体"/>
                <w:color w:val="auto"/>
                <w:szCs w:val="21"/>
              </w:rPr>
              <w:t>否</w:t>
            </w:r>
          </w:p>
        </w:tc>
      </w:tr>
      <w:tr w14:paraId="5FC466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1242" w:type="dxa"/>
            <w:vAlign w:val="center"/>
          </w:tcPr>
          <w:p w14:paraId="2525B71A">
            <w:pPr>
              <w:adjustRightInd w:val="0"/>
              <w:snapToGrid w:val="0"/>
              <w:spacing w:line="360" w:lineRule="exact"/>
              <w:jc w:val="center"/>
              <w:rPr>
                <w:rFonts w:ascii="宋体" w:hAnsi="宋体"/>
                <w:color w:val="auto"/>
                <w:szCs w:val="21"/>
              </w:rPr>
            </w:pPr>
            <w:r>
              <w:rPr>
                <w:rFonts w:hint="eastAsia" w:ascii="宋体" w:hAnsi="宋体"/>
                <w:color w:val="auto"/>
                <w:szCs w:val="21"/>
              </w:rPr>
              <w:t>第2.1款</w:t>
            </w:r>
          </w:p>
        </w:tc>
        <w:tc>
          <w:tcPr>
            <w:tcW w:w="2340" w:type="dxa"/>
            <w:vAlign w:val="center"/>
          </w:tcPr>
          <w:p w14:paraId="584A3279">
            <w:pPr>
              <w:adjustRightInd w:val="0"/>
              <w:snapToGrid w:val="0"/>
              <w:spacing w:line="360" w:lineRule="exact"/>
              <w:jc w:val="center"/>
              <w:rPr>
                <w:rFonts w:hAnsi="宋体"/>
                <w:color w:val="auto"/>
                <w:szCs w:val="21"/>
              </w:rPr>
            </w:pPr>
            <w:r>
              <w:rPr>
                <w:rFonts w:hint="eastAsia" w:hAnsi="宋体"/>
                <w:color w:val="auto"/>
                <w:szCs w:val="21"/>
              </w:rPr>
              <w:t>采购项目联系人</w:t>
            </w:r>
          </w:p>
          <w:p w14:paraId="5F7EAC66">
            <w:pPr>
              <w:adjustRightInd w:val="0"/>
              <w:snapToGrid w:val="0"/>
              <w:spacing w:line="360" w:lineRule="exact"/>
              <w:jc w:val="center"/>
              <w:rPr>
                <w:rFonts w:ascii="宋体" w:hAnsi="宋体"/>
                <w:color w:val="auto"/>
                <w:szCs w:val="21"/>
              </w:rPr>
            </w:pPr>
            <w:r>
              <w:rPr>
                <w:rFonts w:hint="eastAsia" w:hAnsi="宋体"/>
                <w:color w:val="auto"/>
                <w:szCs w:val="21"/>
              </w:rPr>
              <w:t>姓名和电话</w:t>
            </w:r>
          </w:p>
        </w:tc>
        <w:tc>
          <w:tcPr>
            <w:tcW w:w="5317" w:type="dxa"/>
            <w:vAlign w:val="center"/>
          </w:tcPr>
          <w:p w14:paraId="181AE794">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rPr>
              <w:t>联系人姓名：</w:t>
            </w:r>
            <w:r>
              <w:rPr>
                <w:rFonts w:hint="eastAsia" w:ascii="宋体" w:hAnsi="宋体"/>
                <w:color w:val="auto"/>
                <w:szCs w:val="21"/>
                <w:lang w:val="en-US" w:eastAsia="zh-CN"/>
              </w:rPr>
              <w:t xml:space="preserve">周先生 </w:t>
            </w:r>
          </w:p>
          <w:p w14:paraId="5A9B0AD0">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rPr>
              <w:t>电话：</w:t>
            </w:r>
            <w:r>
              <w:rPr>
                <w:rFonts w:hint="eastAsia" w:ascii="宋体" w:hAnsi="宋体"/>
                <w:color w:val="auto"/>
                <w:szCs w:val="21"/>
                <w:lang w:val="en-US" w:eastAsia="zh-CN"/>
              </w:rPr>
              <w:t xml:space="preserve">13973828662 </w:t>
            </w:r>
            <w:r>
              <w:rPr>
                <w:rFonts w:hint="eastAsia" w:ascii="宋体" w:hAnsi="宋体" w:cs="宋体"/>
                <w:color w:val="auto"/>
                <w:szCs w:val="21"/>
                <w:lang w:val="en-US" w:eastAsia="zh-CN"/>
              </w:rPr>
              <w:t xml:space="preserve"> </w:t>
            </w:r>
          </w:p>
        </w:tc>
      </w:tr>
      <w:tr w14:paraId="3B8001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242" w:type="dxa"/>
            <w:vAlign w:val="center"/>
          </w:tcPr>
          <w:p w14:paraId="173C2C2B">
            <w:pPr>
              <w:adjustRightInd w:val="0"/>
              <w:snapToGrid w:val="0"/>
              <w:spacing w:line="360" w:lineRule="exact"/>
              <w:jc w:val="center"/>
              <w:rPr>
                <w:rFonts w:ascii="宋体" w:hAnsi="宋体"/>
                <w:color w:val="auto"/>
                <w:szCs w:val="21"/>
              </w:rPr>
            </w:pPr>
            <w:r>
              <w:rPr>
                <w:rFonts w:hint="eastAsia" w:ascii="宋体" w:hAnsi="宋体"/>
                <w:color w:val="auto"/>
                <w:szCs w:val="21"/>
              </w:rPr>
              <w:t>第2.2款</w:t>
            </w:r>
          </w:p>
        </w:tc>
        <w:tc>
          <w:tcPr>
            <w:tcW w:w="2340" w:type="dxa"/>
            <w:vAlign w:val="center"/>
          </w:tcPr>
          <w:p w14:paraId="70524FAE">
            <w:pPr>
              <w:adjustRightInd w:val="0"/>
              <w:snapToGrid w:val="0"/>
              <w:spacing w:line="360" w:lineRule="exact"/>
              <w:jc w:val="center"/>
              <w:rPr>
                <w:rFonts w:hAnsi="宋体"/>
                <w:color w:val="auto"/>
                <w:szCs w:val="21"/>
              </w:rPr>
            </w:pPr>
            <w:r>
              <w:rPr>
                <w:rFonts w:hint="eastAsia" w:hAnsi="宋体"/>
                <w:color w:val="auto"/>
                <w:szCs w:val="21"/>
              </w:rPr>
              <w:t xml:space="preserve">采购人名称、地址、 </w:t>
            </w:r>
          </w:p>
          <w:p w14:paraId="0A49A980">
            <w:pPr>
              <w:adjustRightInd w:val="0"/>
              <w:snapToGrid w:val="0"/>
              <w:spacing w:line="360" w:lineRule="exact"/>
              <w:jc w:val="center"/>
              <w:rPr>
                <w:rFonts w:hAnsi="宋体"/>
                <w:color w:val="auto"/>
                <w:szCs w:val="21"/>
              </w:rPr>
            </w:pPr>
            <w:r>
              <w:rPr>
                <w:rFonts w:hint="eastAsia" w:hAnsi="宋体"/>
                <w:color w:val="auto"/>
                <w:szCs w:val="21"/>
              </w:rPr>
              <w:t>电话、联系人</w:t>
            </w:r>
          </w:p>
        </w:tc>
        <w:tc>
          <w:tcPr>
            <w:tcW w:w="5317" w:type="dxa"/>
            <w:vAlign w:val="center"/>
          </w:tcPr>
          <w:p w14:paraId="660040EB">
            <w:pPr>
              <w:numPr>
                <w:ilvl w:val="0"/>
                <w:numId w:val="3"/>
              </w:numPr>
              <w:adjustRightInd w:val="0"/>
              <w:snapToGrid w:val="0"/>
              <w:spacing w:line="360" w:lineRule="auto"/>
              <w:rPr>
                <w:rFonts w:hint="eastAsia" w:ascii="宋体" w:hAnsi="宋体"/>
                <w:color w:val="auto"/>
                <w:szCs w:val="21"/>
                <w:lang w:eastAsia="zh-CN"/>
              </w:rPr>
            </w:pPr>
            <w:r>
              <w:rPr>
                <w:rFonts w:hint="eastAsia" w:ascii="宋体" w:hAnsi="宋体"/>
                <w:color w:val="auto"/>
                <w:szCs w:val="21"/>
              </w:rPr>
              <w:t>名 称：</w:t>
            </w:r>
            <w:r>
              <w:rPr>
                <w:rFonts w:hint="eastAsia" w:ascii="宋体" w:hAnsi="宋体"/>
                <w:color w:val="auto"/>
                <w:szCs w:val="21"/>
                <w:lang w:eastAsia="zh-CN"/>
              </w:rPr>
              <w:t>新化县卫生健康局</w:t>
            </w:r>
          </w:p>
          <w:p w14:paraId="42836EDA">
            <w:pPr>
              <w:numPr>
                <w:ilvl w:val="0"/>
                <w:numId w:val="0"/>
              </w:numPr>
              <w:adjustRightInd w:val="0"/>
              <w:snapToGrid w:val="0"/>
              <w:spacing w:line="360" w:lineRule="auto"/>
              <w:ind w:leftChars="0"/>
              <w:rPr>
                <w:rFonts w:hint="default" w:ascii="宋体" w:hAnsi="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2）</w:t>
            </w:r>
            <w:r>
              <w:rPr>
                <w:rFonts w:hint="eastAsia" w:ascii="宋体" w:hAnsi="宋体"/>
                <w:color w:val="auto"/>
                <w:szCs w:val="21"/>
              </w:rPr>
              <w:t>地  址：</w:t>
            </w:r>
            <w:r>
              <w:rPr>
                <w:rFonts w:hint="eastAsia" w:ascii="宋体" w:hAnsi="宋体"/>
                <w:color w:val="auto"/>
                <w:szCs w:val="21"/>
                <w:lang w:val="en-US" w:eastAsia="zh-CN"/>
              </w:rPr>
              <w:t xml:space="preserve"> 新化县上渡街道办事处财卫路</w:t>
            </w:r>
          </w:p>
          <w:p w14:paraId="7C260787">
            <w:pPr>
              <w:numPr>
                <w:ilvl w:val="0"/>
                <w:numId w:val="0"/>
              </w:numPr>
              <w:adjustRightInd w:val="0"/>
              <w:snapToGrid w:val="0"/>
              <w:spacing w:line="360" w:lineRule="auto"/>
              <w:ind w:leftChars="0"/>
              <w:rPr>
                <w:rFonts w:hint="eastAsia" w:ascii="宋体" w:hAnsi="宋体" w:eastAsia="宋体"/>
                <w:color w:val="auto"/>
                <w:szCs w:val="21"/>
                <w:lang w:eastAsia="zh-CN"/>
              </w:rPr>
            </w:pPr>
            <w:r>
              <w:rPr>
                <w:rFonts w:hint="eastAsia" w:ascii="宋体" w:hAnsi="宋体"/>
                <w:color w:val="auto"/>
                <w:szCs w:val="21"/>
              </w:rPr>
              <w:t>（3）联系人：</w:t>
            </w:r>
            <w:r>
              <w:rPr>
                <w:rFonts w:hint="eastAsia" w:ascii="宋体" w:hAnsi="宋体"/>
                <w:color w:val="auto"/>
                <w:szCs w:val="21"/>
                <w:lang w:val="en-US" w:eastAsia="zh-CN"/>
              </w:rPr>
              <w:t xml:space="preserve"> 周先生</w:t>
            </w:r>
          </w:p>
          <w:p w14:paraId="458490DA">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（4）电  话：</w:t>
            </w:r>
            <w:r>
              <w:rPr>
                <w:rFonts w:hint="eastAsia" w:ascii="宋体" w:hAnsi="宋体"/>
                <w:color w:val="auto"/>
                <w:szCs w:val="21"/>
                <w:lang w:val="en-US" w:eastAsia="zh-CN"/>
              </w:rPr>
              <w:t xml:space="preserve"> 13973828662 </w:t>
            </w:r>
          </w:p>
        </w:tc>
      </w:tr>
      <w:tr w14:paraId="344E1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9" w:hRule="atLeast"/>
          <w:jc w:val="center"/>
        </w:trPr>
        <w:tc>
          <w:tcPr>
            <w:tcW w:w="1242" w:type="dxa"/>
            <w:vAlign w:val="center"/>
          </w:tcPr>
          <w:p w14:paraId="3A344FE2">
            <w:pPr>
              <w:adjustRightInd w:val="0"/>
              <w:snapToGrid w:val="0"/>
              <w:spacing w:line="360" w:lineRule="exact"/>
              <w:jc w:val="center"/>
              <w:rPr>
                <w:rFonts w:ascii="宋体" w:hAnsi="宋体"/>
                <w:color w:val="auto"/>
                <w:szCs w:val="21"/>
              </w:rPr>
            </w:pPr>
            <w:r>
              <w:rPr>
                <w:rFonts w:hint="eastAsia" w:ascii="宋体" w:hAnsi="宋体"/>
                <w:color w:val="auto"/>
                <w:szCs w:val="21"/>
              </w:rPr>
              <w:t>第2.3款</w:t>
            </w:r>
          </w:p>
        </w:tc>
        <w:tc>
          <w:tcPr>
            <w:tcW w:w="2340" w:type="dxa"/>
            <w:vAlign w:val="center"/>
          </w:tcPr>
          <w:p w14:paraId="5A7022AA">
            <w:pPr>
              <w:adjustRightInd w:val="0"/>
              <w:snapToGrid w:val="0"/>
              <w:spacing w:line="360" w:lineRule="exact"/>
              <w:jc w:val="center"/>
              <w:rPr>
                <w:rFonts w:hAnsi="宋体"/>
                <w:color w:val="auto"/>
                <w:szCs w:val="21"/>
              </w:rPr>
            </w:pPr>
            <w:r>
              <w:rPr>
                <w:rFonts w:hint="eastAsia" w:hAnsi="宋体"/>
                <w:color w:val="auto"/>
                <w:szCs w:val="21"/>
              </w:rPr>
              <w:t xml:space="preserve">采购代理机构名 </w:t>
            </w:r>
          </w:p>
          <w:p w14:paraId="448B42BF">
            <w:pPr>
              <w:adjustRightInd w:val="0"/>
              <w:snapToGrid w:val="0"/>
              <w:spacing w:line="360" w:lineRule="exact"/>
              <w:jc w:val="center"/>
              <w:rPr>
                <w:rFonts w:hAnsi="宋体"/>
                <w:color w:val="auto"/>
                <w:szCs w:val="21"/>
              </w:rPr>
            </w:pPr>
            <w:r>
              <w:rPr>
                <w:rFonts w:hint="eastAsia" w:hAnsi="宋体"/>
                <w:color w:val="auto"/>
                <w:szCs w:val="21"/>
              </w:rPr>
              <w:t xml:space="preserve">称、地址、电话、 </w:t>
            </w:r>
          </w:p>
          <w:p w14:paraId="6E03D9EE">
            <w:pPr>
              <w:adjustRightInd w:val="0"/>
              <w:snapToGrid w:val="0"/>
              <w:spacing w:line="360" w:lineRule="exact"/>
              <w:jc w:val="center"/>
              <w:rPr>
                <w:rFonts w:hAnsi="宋体"/>
                <w:color w:val="auto"/>
                <w:szCs w:val="21"/>
              </w:rPr>
            </w:pPr>
            <w:r>
              <w:rPr>
                <w:rFonts w:hint="eastAsia" w:hAnsi="宋体"/>
                <w:color w:val="auto"/>
                <w:szCs w:val="21"/>
              </w:rPr>
              <w:t>联系人</w:t>
            </w:r>
          </w:p>
          <w:p w14:paraId="452F18DC">
            <w:pPr>
              <w:adjustRightInd w:val="0"/>
              <w:snapToGrid w:val="0"/>
              <w:spacing w:line="360" w:lineRule="exact"/>
              <w:jc w:val="center"/>
              <w:rPr>
                <w:rFonts w:hAnsi="宋体"/>
                <w:color w:val="auto"/>
                <w:szCs w:val="21"/>
              </w:rPr>
            </w:pPr>
          </w:p>
        </w:tc>
        <w:tc>
          <w:tcPr>
            <w:tcW w:w="5317" w:type="dxa"/>
            <w:vAlign w:val="center"/>
          </w:tcPr>
          <w:p w14:paraId="71CF6790">
            <w:pPr>
              <w:adjustRightInd w:val="0"/>
              <w:snapToGrid w:val="0"/>
              <w:spacing w:line="360" w:lineRule="auto"/>
              <w:rPr>
                <w:rFonts w:ascii="宋体" w:hAnsi="宋体"/>
                <w:color w:val="auto"/>
                <w:szCs w:val="21"/>
              </w:rPr>
            </w:pPr>
            <w:r>
              <w:rPr>
                <w:rFonts w:hint="eastAsia" w:ascii="宋体" w:hAnsi="宋体"/>
                <w:color w:val="auto"/>
                <w:szCs w:val="21"/>
              </w:rPr>
              <w:t>（1）名称：娄底市政府采购中心</w:t>
            </w:r>
          </w:p>
          <w:p w14:paraId="453A5480">
            <w:pPr>
              <w:adjustRightInd w:val="0"/>
              <w:snapToGrid w:val="0"/>
              <w:spacing w:line="360" w:lineRule="auto"/>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2）地址：娄底市娄星区勤政街36号</w:t>
            </w:r>
          </w:p>
          <w:p w14:paraId="0954FE3A">
            <w:pPr>
              <w:adjustRightInd w:val="0"/>
              <w:snapToGrid w:val="0"/>
              <w:spacing w:line="360" w:lineRule="auto"/>
              <w:rPr>
                <w:rFonts w:hint="eastAsia" w:ascii="宋体" w:hAnsi="宋体" w:eastAsia="宋体" w:cs="宋体"/>
                <w:color w:val="auto"/>
                <w:szCs w:val="21"/>
                <w:lang w:eastAsia="zh-CN"/>
              </w:rPr>
            </w:pPr>
            <w:r>
              <w:rPr>
                <w:rFonts w:hint="eastAsia" w:ascii="宋体" w:hAnsi="宋体" w:cs="宋体"/>
                <w:color w:val="auto"/>
                <w:szCs w:val="21"/>
              </w:rPr>
              <w:t>（3）联系人：</w:t>
            </w:r>
            <w:r>
              <w:rPr>
                <w:rFonts w:hint="eastAsia" w:ascii="宋体" w:hAnsi="宋体" w:cs="宋体"/>
                <w:color w:val="auto"/>
                <w:szCs w:val="21"/>
                <w:lang w:eastAsia="zh-CN"/>
              </w:rPr>
              <w:t>肖女士</w:t>
            </w:r>
          </w:p>
          <w:p w14:paraId="75DBE5B0">
            <w:pPr>
              <w:adjustRightInd w:val="0"/>
              <w:snapToGrid w:val="0"/>
              <w:spacing w:line="360" w:lineRule="auto"/>
              <w:rPr>
                <w:rFonts w:ascii="宋体" w:hAnsi="宋体"/>
                <w:color w:val="auto"/>
                <w:szCs w:val="21"/>
              </w:rPr>
            </w:pPr>
            <w:r>
              <w:rPr>
                <w:rFonts w:hint="eastAsia" w:ascii="宋体" w:hAnsi="宋体" w:cs="宋体"/>
                <w:color w:val="auto"/>
                <w:szCs w:val="21"/>
              </w:rPr>
              <w:t>（4）电话：0738-6371181</w:t>
            </w:r>
          </w:p>
        </w:tc>
      </w:tr>
      <w:tr w14:paraId="2260BA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78A0332D">
            <w:pPr>
              <w:adjustRightInd w:val="0"/>
              <w:snapToGrid w:val="0"/>
              <w:spacing w:line="360" w:lineRule="exact"/>
              <w:jc w:val="center"/>
              <w:rPr>
                <w:rFonts w:ascii="宋体" w:hAnsi="宋体"/>
                <w:color w:val="auto"/>
                <w:szCs w:val="21"/>
              </w:rPr>
            </w:pPr>
            <w:r>
              <w:rPr>
                <w:rFonts w:hint="eastAsia" w:ascii="宋体" w:hAnsi="宋体"/>
                <w:color w:val="auto"/>
                <w:szCs w:val="21"/>
              </w:rPr>
              <w:t>第3.1款</w:t>
            </w:r>
          </w:p>
        </w:tc>
        <w:tc>
          <w:tcPr>
            <w:tcW w:w="2340" w:type="dxa"/>
            <w:vAlign w:val="center"/>
          </w:tcPr>
          <w:p w14:paraId="60540169">
            <w:pPr>
              <w:adjustRightInd w:val="0"/>
              <w:snapToGrid w:val="0"/>
              <w:spacing w:line="360" w:lineRule="exact"/>
              <w:jc w:val="center"/>
              <w:rPr>
                <w:rFonts w:ascii="宋体" w:hAnsi="宋体"/>
                <w:color w:val="auto"/>
                <w:szCs w:val="21"/>
              </w:rPr>
            </w:pPr>
            <w:r>
              <w:rPr>
                <w:rFonts w:hint="eastAsia" w:ascii="宋体" w:hAnsi="宋体"/>
                <w:color w:val="auto"/>
                <w:szCs w:val="21"/>
              </w:rPr>
              <w:t>投标人资格条件</w:t>
            </w:r>
          </w:p>
        </w:tc>
        <w:tc>
          <w:tcPr>
            <w:tcW w:w="5317" w:type="dxa"/>
            <w:vAlign w:val="center"/>
          </w:tcPr>
          <w:p w14:paraId="6E4BE894">
            <w:pPr>
              <w:numPr>
                <w:ilvl w:val="0"/>
                <w:numId w:val="4"/>
              </w:numPr>
              <w:adjustRightInd w:val="0"/>
              <w:snapToGrid w:val="0"/>
              <w:spacing w:line="360" w:lineRule="exact"/>
              <w:jc w:val="left"/>
              <w:rPr>
                <w:rFonts w:ascii="宋体" w:hAnsi="宋体"/>
                <w:color w:val="auto"/>
                <w:szCs w:val="21"/>
              </w:rPr>
            </w:pPr>
            <w:r>
              <w:rPr>
                <w:rFonts w:hint="eastAsia" w:ascii="宋体" w:hAnsi="宋体"/>
                <w:color w:val="auto"/>
                <w:szCs w:val="21"/>
              </w:rPr>
              <w:t>投标人基本资格条件：投标人必须是在中华人民共和国境内注册登记的法人、其他组织或者自然人，且应当符合《政府采购法》第二十二条第一款的规定：</w:t>
            </w:r>
          </w:p>
          <w:p w14:paraId="323C52F7">
            <w:pPr>
              <w:adjustRightInd w:val="0"/>
              <w:snapToGrid w:val="0"/>
              <w:spacing w:line="360" w:lineRule="exact"/>
              <w:jc w:val="left"/>
              <w:rPr>
                <w:rFonts w:ascii="宋体" w:hAnsi="宋体"/>
                <w:color w:val="auto"/>
                <w:szCs w:val="21"/>
              </w:rPr>
            </w:pPr>
            <w:r>
              <w:rPr>
                <w:rFonts w:hint="eastAsia" w:ascii="宋体" w:hAnsi="宋体"/>
                <w:color w:val="auto"/>
                <w:szCs w:val="21"/>
              </w:rPr>
              <w:t xml:space="preserve">（1）具有独立承担民事责任的能力； </w:t>
            </w:r>
          </w:p>
          <w:p w14:paraId="7E53FBD6">
            <w:pPr>
              <w:adjustRightInd w:val="0"/>
              <w:snapToGrid w:val="0"/>
              <w:spacing w:line="360" w:lineRule="exact"/>
              <w:jc w:val="left"/>
              <w:rPr>
                <w:rFonts w:ascii="宋体" w:hAnsi="宋体"/>
                <w:color w:val="auto"/>
                <w:szCs w:val="21"/>
              </w:rPr>
            </w:pPr>
            <w:r>
              <w:rPr>
                <w:rFonts w:hint="eastAsia" w:ascii="宋体" w:hAnsi="宋体"/>
                <w:color w:val="auto"/>
                <w:szCs w:val="21"/>
              </w:rPr>
              <w:t xml:space="preserve">（2）具有良好的商业信誉和健全的财务会计制度； </w:t>
            </w:r>
          </w:p>
          <w:p w14:paraId="14739EE2">
            <w:pPr>
              <w:adjustRightInd w:val="0"/>
              <w:snapToGrid w:val="0"/>
              <w:spacing w:line="360" w:lineRule="exact"/>
              <w:jc w:val="left"/>
              <w:rPr>
                <w:rFonts w:ascii="宋体" w:hAnsi="宋体"/>
                <w:color w:val="auto"/>
                <w:szCs w:val="21"/>
              </w:rPr>
            </w:pPr>
            <w:r>
              <w:rPr>
                <w:rFonts w:hint="eastAsia" w:ascii="宋体" w:hAnsi="宋体"/>
                <w:color w:val="auto"/>
                <w:szCs w:val="21"/>
              </w:rPr>
              <w:t xml:space="preserve">（3）具有履行合同所必需的设备和专业技术能力； </w:t>
            </w:r>
          </w:p>
          <w:p w14:paraId="6121B154">
            <w:pPr>
              <w:adjustRightInd w:val="0"/>
              <w:snapToGrid w:val="0"/>
              <w:spacing w:line="360" w:lineRule="exact"/>
              <w:jc w:val="left"/>
              <w:rPr>
                <w:rFonts w:ascii="宋体" w:hAnsi="宋体"/>
                <w:color w:val="auto"/>
                <w:szCs w:val="21"/>
              </w:rPr>
            </w:pPr>
            <w:r>
              <w:rPr>
                <w:rFonts w:hint="eastAsia" w:ascii="宋体" w:hAnsi="宋体"/>
                <w:color w:val="auto"/>
                <w:szCs w:val="21"/>
              </w:rPr>
              <w:t xml:space="preserve">（4）有依法缴纳税收和社会保障资金的良好记录； </w:t>
            </w:r>
          </w:p>
          <w:p w14:paraId="02E0766B">
            <w:pPr>
              <w:adjustRightInd w:val="0"/>
              <w:snapToGrid w:val="0"/>
              <w:spacing w:line="360" w:lineRule="exact"/>
              <w:jc w:val="left"/>
              <w:rPr>
                <w:rFonts w:ascii="宋体" w:hAnsi="宋体"/>
                <w:color w:val="auto"/>
                <w:szCs w:val="21"/>
              </w:rPr>
            </w:pPr>
            <w:r>
              <w:rPr>
                <w:rFonts w:hint="eastAsia" w:ascii="宋体" w:hAnsi="宋体"/>
                <w:color w:val="auto"/>
                <w:szCs w:val="21"/>
              </w:rPr>
              <w:t xml:space="preserve">（5）参加政府采购活动前三年内，在经营活动中没有重大违法记录； </w:t>
            </w:r>
          </w:p>
          <w:p w14:paraId="676DBE35">
            <w:pPr>
              <w:adjustRightInd w:val="0"/>
              <w:snapToGrid w:val="0"/>
              <w:spacing w:line="360" w:lineRule="exact"/>
              <w:jc w:val="left"/>
              <w:rPr>
                <w:rFonts w:ascii="宋体" w:hAnsi="宋体"/>
                <w:color w:val="auto"/>
                <w:szCs w:val="21"/>
              </w:rPr>
            </w:pPr>
            <w:r>
              <w:rPr>
                <w:rFonts w:hint="eastAsia" w:ascii="宋体" w:hAnsi="宋体"/>
                <w:color w:val="auto"/>
                <w:szCs w:val="21"/>
              </w:rPr>
              <w:t>（6）法律、行政法规规定的其他条件。</w:t>
            </w:r>
          </w:p>
          <w:p w14:paraId="0B6C0554">
            <w:pPr>
              <w:adjustRightInd w:val="0"/>
              <w:snapToGrid w:val="0"/>
              <w:spacing w:line="360" w:lineRule="exact"/>
              <w:jc w:val="left"/>
              <w:rPr>
                <w:rFonts w:ascii="宋体" w:hAnsi="宋体"/>
                <w:color w:val="auto"/>
                <w:szCs w:val="21"/>
              </w:rPr>
            </w:pPr>
            <w:r>
              <w:rPr>
                <w:rFonts w:hint="eastAsia" w:ascii="宋体" w:hAnsi="宋体"/>
                <w:color w:val="auto"/>
                <w:szCs w:val="21"/>
              </w:rPr>
              <w:t>2、落实政府采购政策需满足的资格要求：</w:t>
            </w:r>
          </w:p>
          <w:p w14:paraId="1F1CD568">
            <w:pPr>
              <w:adjustRightInd w:val="0"/>
              <w:snapToGrid w:val="0"/>
              <w:spacing w:line="360" w:lineRule="exact"/>
              <w:jc w:val="left"/>
              <w:rPr>
                <w:rFonts w:ascii="宋体" w:hAnsi="宋体"/>
                <w:color w:val="auto"/>
                <w:szCs w:val="21"/>
              </w:rPr>
            </w:pPr>
            <w:r>
              <w:rPr>
                <w:rFonts w:hint="eastAsia" w:ascii="宋体" w:hAnsi="宋体"/>
                <w:color w:val="auto"/>
                <w:szCs w:val="21"/>
              </w:rPr>
              <w:sym w:font="Wingdings" w:char="00A8"/>
            </w:r>
            <w:r>
              <w:rPr>
                <w:rFonts w:hint="eastAsia" w:ascii="宋体" w:hAnsi="宋体"/>
                <w:iCs/>
                <w:color w:val="auto"/>
                <w:szCs w:val="21"/>
              </w:rPr>
              <w:t>专门面向</w:t>
            </w:r>
            <w:r>
              <w:rPr>
                <w:rFonts w:hint="eastAsia" w:ascii="宋体" w:hAnsi="宋体"/>
                <w:bCs/>
                <w:color w:val="auto"/>
                <w:szCs w:val="21"/>
              </w:rPr>
              <w:t>：</w:t>
            </w:r>
            <w:r>
              <w:rPr>
                <w:rFonts w:hint="eastAsia" w:ascii="宋体" w:hAnsi="宋体"/>
                <w:color w:val="auto"/>
                <w:szCs w:val="21"/>
              </w:rPr>
              <w:sym w:font="Wingdings" w:char="00A8"/>
            </w:r>
            <w:r>
              <w:rPr>
                <w:rFonts w:hint="eastAsia" w:ascii="宋体" w:hAnsi="宋体"/>
                <w:iCs/>
                <w:color w:val="auto"/>
                <w:szCs w:val="21"/>
              </w:rPr>
              <w:t xml:space="preserve">中小企业  </w:t>
            </w:r>
            <w:r>
              <w:rPr>
                <w:rFonts w:hint="eastAsia" w:ascii="宋体" w:hAnsi="宋体"/>
                <w:color w:val="auto"/>
                <w:szCs w:val="21"/>
              </w:rPr>
              <w:sym w:font="Wingdings" w:char="00A8"/>
            </w:r>
            <w:r>
              <w:rPr>
                <w:rFonts w:hint="eastAsia" w:ascii="宋体" w:hAnsi="宋体"/>
                <w:iCs/>
                <w:color w:val="auto"/>
                <w:szCs w:val="21"/>
              </w:rPr>
              <w:t xml:space="preserve">小微企业  </w:t>
            </w:r>
            <w:r>
              <w:rPr>
                <w:rFonts w:hint="eastAsia" w:ascii="宋体" w:hAnsi="宋体"/>
                <w:color w:val="auto"/>
                <w:szCs w:val="21"/>
              </w:rPr>
              <w:sym w:font="Wingdings" w:char="00A8"/>
            </w:r>
            <w:r>
              <w:rPr>
                <w:rFonts w:hint="eastAsia" w:ascii="宋体" w:hAnsi="宋体"/>
                <w:iCs/>
                <w:color w:val="auto"/>
                <w:szCs w:val="21"/>
              </w:rPr>
              <w:t xml:space="preserve">监狱企业  </w:t>
            </w:r>
            <w:r>
              <w:rPr>
                <w:rFonts w:hint="eastAsia" w:ascii="宋体" w:hAnsi="宋体"/>
                <w:color w:val="auto"/>
                <w:szCs w:val="21"/>
              </w:rPr>
              <w:sym w:font="Wingdings" w:char="00A8"/>
            </w:r>
            <w:r>
              <w:rPr>
                <w:rFonts w:hint="eastAsia" w:ascii="宋体" w:hAnsi="宋体"/>
                <w:iCs/>
                <w:color w:val="auto"/>
                <w:szCs w:val="21"/>
              </w:rPr>
              <w:t>福利性单位。</w:t>
            </w:r>
          </w:p>
          <w:p w14:paraId="35074213">
            <w:pPr>
              <w:adjustRightInd w:val="0"/>
              <w:snapToGrid w:val="0"/>
              <w:spacing w:line="360" w:lineRule="exact"/>
              <w:jc w:val="left"/>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   </w:t>
            </w:r>
            <w:r>
              <w:rPr>
                <w:rFonts w:hint="eastAsia" w:ascii="宋体" w:hAnsi="宋体"/>
                <w:bCs/>
                <w:color w:val="auto"/>
                <w:szCs w:val="21"/>
              </w:rPr>
              <w:t>%分包给中小企业。</w:t>
            </w:r>
          </w:p>
          <w:p w14:paraId="45A95241">
            <w:pPr>
              <w:adjustRightInd w:val="0"/>
              <w:snapToGrid w:val="0"/>
              <w:spacing w:line="360" w:lineRule="exact"/>
              <w:jc w:val="left"/>
              <w:rPr>
                <w:rFonts w:hint="eastAsia" w:ascii="宋体" w:hAnsi="宋体" w:eastAsia="宋体"/>
                <w:color w:val="auto"/>
                <w:szCs w:val="21"/>
                <w:lang w:eastAsia="zh-CN"/>
              </w:rPr>
            </w:pPr>
            <w:r>
              <w:rPr>
                <w:rFonts w:hint="eastAsia" w:ascii="宋体" w:hAnsi="宋体" w:eastAsia="宋体"/>
                <w:color w:val="auto"/>
                <w:szCs w:val="21"/>
                <w:lang w:val="en-US" w:eastAsia="zh-CN"/>
              </w:rPr>
              <w:t>3、</w:t>
            </w:r>
            <w:r>
              <w:rPr>
                <w:rFonts w:hint="eastAsia" w:ascii="宋体" w:hAnsi="宋体" w:eastAsia="宋体"/>
                <w:color w:val="auto"/>
                <w:szCs w:val="21"/>
              </w:rPr>
              <w:t>采购</w:t>
            </w:r>
            <w:r>
              <w:rPr>
                <w:rFonts w:hint="eastAsia" w:ascii="宋体" w:hAnsi="宋体" w:eastAsia="宋体"/>
                <w:bCs/>
                <w:color w:val="auto"/>
                <w:szCs w:val="21"/>
              </w:rPr>
              <w:t>项目的特定资格条件：</w:t>
            </w:r>
            <w:r>
              <w:rPr>
                <w:rFonts w:hint="eastAsia" w:ascii="宋体" w:hAnsi="宋体"/>
                <w:bCs/>
                <w:color w:val="auto"/>
                <w:szCs w:val="21"/>
                <w:lang w:eastAsia="zh-CN"/>
              </w:rPr>
              <w:t>（1）投标人须提供有效的《医疗器械生产许可证》或《医疗器械经营许可证》（或相应的备案凭证）。</w:t>
            </w:r>
          </w:p>
          <w:p w14:paraId="23FDD0F0">
            <w:pPr>
              <w:numPr>
                <w:ilvl w:val="0"/>
                <w:numId w:val="0"/>
              </w:numPr>
              <w:adjustRightInd w:val="0"/>
              <w:snapToGrid w:val="0"/>
              <w:spacing w:line="360" w:lineRule="exact"/>
              <w:ind w:leftChars="0"/>
              <w:jc w:val="left"/>
              <w:rPr>
                <w:rFonts w:ascii="宋体" w:hAnsi="宋体"/>
                <w:color w:val="auto"/>
                <w:szCs w:val="21"/>
              </w:rPr>
            </w:pPr>
            <w:r>
              <w:rPr>
                <w:rFonts w:hint="eastAsia" w:ascii="宋体" w:hAnsi="宋体"/>
                <w:color w:val="auto"/>
                <w:szCs w:val="21"/>
              </w:rPr>
              <w:t>4、单位负责人为同一人或者存在直接控股、管理关系的不同投标人，不得参加同一合同项下的政府采购活动。</w:t>
            </w:r>
          </w:p>
          <w:p w14:paraId="5DE0C2CF">
            <w:pPr>
              <w:adjustRightInd w:val="0"/>
              <w:snapToGrid w:val="0"/>
              <w:spacing w:line="360" w:lineRule="exact"/>
              <w:jc w:val="left"/>
              <w:rPr>
                <w:rFonts w:ascii="宋体" w:hAnsi="宋体"/>
                <w:color w:val="auto"/>
                <w:szCs w:val="21"/>
              </w:rPr>
            </w:pPr>
            <w:r>
              <w:rPr>
                <w:rFonts w:hint="eastAsia" w:ascii="宋体" w:hAnsi="宋体"/>
                <w:color w:val="auto"/>
                <w:szCs w:val="21"/>
              </w:rPr>
              <w:t>5、为本采购项目提供整体设计、规范编制或者项目管理、监理、检测等服务的，不得再参加此项目的其他采购活动。</w:t>
            </w:r>
          </w:p>
          <w:p w14:paraId="6F563C7D">
            <w:pPr>
              <w:adjustRightInd w:val="0"/>
              <w:snapToGrid w:val="0"/>
              <w:spacing w:line="360" w:lineRule="exact"/>
              <w:jc w:val="left"/>
              <w:rPr>
                <w:rFonts w:ascii="宋体" w:hAnsi="宋体" w:cs="宋体"/>
                <w:color w:val="auto"/>
                <w:szCs w:val="21"/>
              </w:rPr>
            </w:pPr>
            <w:r>
              <w:rPr>
                <w:rFonts w:hint="eastAsia" w:ascii="宋体" w:hAnsi="宋体"/>
                <w:color w:val="auto"/>
                <w:szCs w:val="21"/>
              </w:rPr>
              <w:t>6、列入失信被执行人、重大税收违法失信主体名单，列入政府采购严重违法失信行为记录名单的，拒绝其参与政府采购活动。</w:t>
            </w:r>
          </w:p>
        </w:tc>
      </w:tr>
      <w:tr w14:paraId="748275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7" w:hRule="atLeast"/>
          <w:jc w:val="center"/>
        </w:trPr>
        <w:tc>
          <w:tcPr>
            <w:tcW w:w="1242" w:type="dxa"/>
            <w:vAlign w:val="center"/>
          </w:tcPr>
          <w:p w14:paraId="7E36AD0A">
            <w:pPr>
              <w:adjustRightInd w:val="0"/>
              <w:snapToGrid w:val="0"/>
              <w:spacing w:line="360" w:lineRule="exact"/>
              <w:jc w:val="center"/>
              <w:rPr>
                <w:rFonts w:ascii="宋体" w:hAnsi="宋体"/>
                <w:color w:val="auto"/>
                <w:szCs w:val="21"/>
              </w:rPr>
            </w:pPr>
            <w:r>
              <w:rPr>
                <w:rFonts w:hint="eastAsia" w:ascii="宋体" w:hAnsi="宋体"/>
                <w:color w:val="auto"/>
                <w:szCs w:val="21"/>
              </w:rPr>
              <w:t>第3.2款</w:t>
            </w:r>
          </w:p>
        </w:tc>
        <w:tc>
          <w:tcPr>
            <w:tcW w:w="2340" w:type="dxa"/>
            <w:vAlign w:val="center"/>
          </w:tcPr>
          <w:p w14:paraId="3E33DE8D">
            <w:pPr>
              <w:adjustRightInd w:val="0"/>
              <w:snapToGrid w:val="0"/>
              <w:spacing w:line="360" w:lineRule="exact"/>
              <w:jc w:val="center"/>
              <w:rPr>
                <w:rFonts w:ascii="宋体" w:hAnsi="宋体"/>
                <w:color w:val="auto"/>
                <w:szCs w:val="21"/>
              </w:rPr>
            </w:pPr>
            <w:r>
              <w:rPr>
                <w:rFonts w:hint="eastAsia" w:ascii="宋体" w:hAnsi="宋体"/>
                <w:color w:val="auto"/>
                <w:szCs w:val="21"/>
              </w:rPr>
              <w:t>接受联合体形式投标</w:t>
            </w:r>
          </w:p>
        </w:tc>
        <w:tc>
          <w:tcPr>
            <w:tcW w:w="5317" w:type="dxa"/>
            <w:vAlign w:val="center"/>
          </w:tcPr>
          <w:p w14:paraId="79217B92">
            <w:pPr>
              <w:adjustRightInd w:val="0"/>
              <w:snapToGrid w:val="0"/>
              <w:spacing w:line="360" w:lineRule="exact"/>
              <w:rPr>
                <w:rFonts w:ascii="宋体" w:hAnsi="宋体" w:cs="宋体"/>
                <w:color w:val="auto"/>
                <w:szCs w:val="21"/>
              </w:rPr>
            </w:pPr>
            <w:r>
              <w:rPr>
                <w:rFonts w:hint="eastAsia" w:ascii="宋体" w:hAnsi="宋体" w:cs="宋体"/>
                <w:color w:val="auto"/>
                <w:szCs w:val="21"/>
              </w:rPr>
              <w:t>不接受</w:t>
            </w:r>
          </w:p>
        </w:tc>
      </w:tr>
      <w:tr w14:paraId="2C092E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1242" w:type="dxa"/>
            <w:vAlign w:val="center"/>
          </w:tcPr>
          <w:p w14:paraId="08979802">
            <w:pPr>
              <w:adjustRightInd w:val="0"/>
              <w:snapToGrid w:val="0"/>
              <w:spacing w:line="360" w:lineRule="exact"/>
              <w:jc w:val="center"/>
              <w:rPr>
                <w:rFonts w:ascii="宋体" w:hAnsi="宋体"/>
                <w:color w:val="auto"/>
                <w:szCs w:val="21"/>
              </w:rPr>
            </w:pPr>
            <w:r>
              <w:rPr>
                <w:rFonts w:hint="eastAsia" w:ascii="宋体" w:hAnsi="宋体"/>
                <w:color w:val="auto"/>
                <w:szCs w:val="21"/>
              </w:rPr>
              <w:t>第5.1</w:t>
            </w:r>
            <w:r>
              <w:rPr>
                <w:rFonts w:hint="eastAsia" w:ascii="宋体" w:hAnsi="宋体" w:cs="宋体"/>
                <w:color w:val="auto"/>
                <w:kern w:val="0"/>
                <w:szCs w:val="21"/>
                <w:lang w:val="zh-CN"/>
              </w:rPr>
              <w:t>款</w:t>
            </w:r>
          </w:p>
        </w:tc>
        <w:tc>
          <w:tcPr>
            <w:tcW w:w="2340" w:type="dxa"/>
            <w:vAlign w:val="center"/>
          </w:tcPr>
          <w:p w14:paraId="5C832DA1">
            <w:pPr>
              <w:adjustRightInd w:val="0"/>
              <w:snapToGrid w:val="0"/>
              <w:spacing w:line="360" w:lineRule="exact"/>
              <w:jc w:val="center"/>
              <w:rPr>
                <w:rFonts w:hAnsi="宋体"/>
                <w:color w:val="auto"/>
                <w:szCs w:val="21"/>
              </w:rPr>
            </w:pPr>
            <w:r>
              <w:rPr>
                <w:rFonts w:hint="eastAsia" w:ascii="宋体" w:hAnsi="宋体"/>
                <w:color w:val="auto"/>
                <w:szCs w:val="21"/>
              </w:rPr>
              <w:t>招标文件提供期限</w:t>
            </w:r>
          </w:p>
        </w:tc>
        <w:tc>
          <w:tcPr>
            <w:tcW w:w="5317" w:type="dxa"/>
            <w:vAlign w:val="center"/>
          </w:tcPr>
          <w:p w14:paraId="13A36647">
            <w:pPr>
              <w:adjustRightInd w:val="0"/>
              <w:snapToGrid w:val="0"/>
              <w:spacing w:line="360" w:lineRule="exact"/>
              <w:rPr>
                <w:rFonts w:ascii="宋体" w:hAnsi="宋体" w:cs="宋体"/>
                <w:color w:val="auto"/>
                <w:szCs w:val="21"/>
              </w:rPr>
            </w:pPr>
            <w:r>
              <w:rPr>
                <w:rFonts w:hint="eastAsia" w:ascii="宋体" w:hAnsi="宋体" w:cs="微软雅黑"/>
                <w:color w:val="auto"/>
                <w:kern w:val="0"/>
                <w:szCs w:val="21"/>
              </w:rPr>
              <w:t>公告之日起5个工作日。</w:t>
            </w:r>
          </w:p>
        </w:tc>
      </w:tr>
      <w:tr w14:paraId="40E52C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CD95C2A">
            <w:pPr>
              <w:adjustRightInd w:val="0"/>
              <w:snapToGrid w:val="0"/>
              <w:spacing w:line="360" w:lineRule="exact"/>
              <w:jc w:val="center"/>
              <w:rPr>
                <w:rFonts w:ascii="宋体" w:hAnsi="宋体"/>
                <w:color w:val="auto"/>
                <w:szCs w:val="21"/>
              </w:rPr>
            </w:pPr>
            <w:r>
              <w:rPr>
                <w:rFonts w:hint="eastAsia" w:ascii="宋体" w:hAnsi="宋体"/>
                <w:color w:val="auto"/>
                <w:szCs w:val="21"/>
              </w:rPr>
              <w:t>第5.2</w:t>
            </w:r>
            <w:r>
              <w:rPr>
                <w:rFonts w:hint="eastAsia" w:ascii="宋体" w:hAnsi="宋体" w:cs="宋体"/>
                <w:color w:val="auto"/>
                <w:kern w:val="0"/>
                <w:szCs w:val="21"/>
                <w:lang w:val="zh-CN"/>
              </w:rPr>
              <w:t>款</w:t>
            </w:r>
          </w:p>
        </w:tc>
        <w:tc>
          <w:tcPr>
            <w:tcW w:w="2340" w:type="dxa"/>
            <w:vAlign w:val="center"/>
          </w:tcPr>
          <w:p w14:paraId="7D0A6FFB">
            <w:pPr>
              <w:adjustRightInd w:val="0"/>
              <w:snapToGrid w:val="0"/>
              <w:spacing w:line="360" w:lineRule="exact"/>
              <w:jc w:val="center"/>
              <w:rPr>
                <w:rFonts w:ascii="宋体" w:hAnsi="宋体"/>
                <w:color w:val="auto"/>
                <w:szCs w:val="21"/>
              </w:rPr>
            </w:pPr>
            <w:r>
              <w:rPr>
                <w:rFonts w:hint="eastAsia" w:ascii="宋体" w:hAnsi="宋体"/>
                <w:color w:val="auto"/>
                <w:szCs w:val="21"/>
              </w:rPr>
              <w:t>组织现场考察或者召开答疑会</w:t>
            </w:r>
          </w:p>
        </w:tc>
        <w:tc>
          <w:tcPr>
            <w:tcW w:w="5317" w:type="dxa"/>
            <w:vAlign w:val="center"/>
          </w:tcPr>
          <w:p w14:paraId="12EB464B">
            <w:pPr>
              <w:adjustRightInd w:val="0"/>
              <w:snapToGrid w:val="0"/>
              <w:spacing w:line="360" w:lineRule="exact"/>
              <w:rPr>
                <w:rFonts w:ascii="宋体" w:hAnsi="宋体"/>
                <w:color w:val="auto"/>
                <w:szCs w:val="21"/>
              </w:rPr>
            </w:pPr>
            <w:r>
              <w:rPr>
                <w:rFonts w:hint="eastAsia" w:ascii="宋体" w:hAnsi="宋体"/>
                <w:color w:val="auto"/>
                <w:szCs w:val="21"/>
              </w:rPr>
              <w:t>不组织/不召开</w:t>
            </w:r>
          </w:p>
        </w:tc>
      </w:tr>
      <w:tr w14:paraId="190D63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309FA61B">
            <w:pPr>
              <w:adjustRightInd w:val="0"/>
              <w:snapToGrid w:val="0"/>
              <w:spacing w:line="360" w:lineRule="exact"/>
              <w:rPr>
                <w:rFonts w:ascii="宋体" w:hAnsi="宋体"/>
                <w:b/>
                <w:color w:val="auto"/>
                <w:szCs w:val="21"/>
              </w:rPr>
            </w:pPr>
            <w:r>
              <w:rPr>
                <w:rFonts w:hint="eastAsia" w:ascii="宋体" w:hAnsi="宋体"/>
                <w:b/>
                <w:color w:val="auto"/>
                <w:szCs w:val="21"/>
              </w:rPr>
              <w:t>二、招标文件</w:t>
            </w:r>
          </w:p>
        </w:tc>
      </w:tr>
      <w:tr w14:paraId="62E79A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038E69C">
            <w:pPr>
              <w:adjustRightInd w:val="0"/>
              <w:snapToGrid w:val="0"/>
              <w:spacing w:line="360" w:lineRule="exact"/>
              <w:jc w:val="center"/>
              <w:rPr>
                <w:rFonts w:ascii="宋体" w:hAnsi="宋体"/>
                <w:color w:val="auto"/>
                <w:szCs w:val="21"/>
              </w:rPr>
            </w:pPr>
            <w:r>
              <w:rPr>
                <w:rFonts w:hint="eastAsia" w:ascii="宋体" w:hAnsi="宋体"/>
                <w:color w:val="auto"/>
                <w:szCs w:val="21"/>
              </w:rPr>
              <w:t>第7.4</w:t>
            </w:r>
            <w:r>
              <w:rPr>
                <w:rFonts w:hint="eastAsia" w:ascii="宋体" w:hAnsi="宋体" w:cs="宋体"/>
                <w:color w:val="auto"/>
                <w:kern w:val="0"/>
                <w:szCs w:val="21"/>
                <w:lang w:val="zh-CN"/>
              </w:rPr>
              <w:t>款</w:t>
            </w:r>
          </w:p>
        </w:tc>
        <w:tc>
          <w:tcPr>
            <w:tcW w:w="2340" w:type="dxa"/>
            <w:vAlign w:val="center"/>
          </w:tcPr>
          <w:p w14:paraId="15C0DB93">
            <w:pPr>
              <w:adjustRightInd w:val="0"/>
              <w:snapToGrid w:val="0"/>
              <w:spacing w:line="360" w:lineRule="exact"/>
              <w:jc w:val="center"/>
              <w:rPr>
                <w:rFonts w:ascii="宋体" w:hAnsi="宋体"/>
                <w:color w:val="auto"/>
                <w:szCs w:val="21"/>
              </w:rPr>
            </w:pPr>
            <w:r>
              <w:rPr>
                <w:rFonts w:hint="eastAsia" w:ascii="宋体" w:hAnsi="宋体"/>
                <w:color w:val="auto"/>
                <w:szCs w:val="21"/>
              </w:rPr>
              <w:t>非实质性偏离的范围和幅度</w:t>
            </w:r>
          </w:p>
        </w:tc>
        <w:tc>
          <w:tcPr>
            <w:tcW w:w="5317" w:type="dxa"/>
            <w:vAlign w:val="center"/>
          </w:tcPr>
          <w:p w14:paraId="434826F4">
            <w:pPr>
              <w:adjustRightInd w:val="0"/>
              <w:snapToGrid w:val="0"/>
              <w:spacing w:line="360" w:lineRule="exact"/>
              <w:rPr>
                <w:rFonts w:hint="eastAsia" w:ascii="宋体" w:hAnsi="宋体"/>
                <w:color w:val="auto"/>
                <w:szCs w:val="21"/>
              </w:rPr>
            </w:pPr>
            <w:r>
              <w:rPr>
                <w:rFonts w:hint="eastAsia" w:ascii="宋体" w:hAnsi="宋体"/>
                <w:color w:val="FF0000"/>
                <w:szCs w:val="21"/>
              </w:rPr>
              <w:t>一般技术和商务条款偏离≥</w:t>
            </w:r>
            <w:r>
              <w:rPr>
                <w:rFonts w:hint="eastAsia" w:ascii="宋体" w:hAnsi="宋体"/>
                <w:color w:val="auto"/>
                <w:szCs w:val="21"/>
                <w:u w:val="single"/>
                <w:lang w:val="en-US" w:eastAsia="zh-CN"/>
              </w:rPr>
              <w:t xml:space="preserve">   50 </w:t>
            </w:r>
            <w:r>
              <w:rPr>
                <w:rFonts w:hint="eastAsia" w:ascii="宋体" w:hAnsi="宋体"/>
                <w:color w:val="FF0000"/>
                <w:szCs w:val="21"/>
              </w:rPr>
              <w:t>项将导致投标无效，凡标有最低一级序号的条款即为一项，内容不重复计算。</w:t>
            </w:r>
          </w:p>
        </w:tc>
      </w:tr>
      <w:tr w14:paraId="73C0B0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242" w:type="dxa"/>
            <w:vAlign w:val="center"/>
          </w:tcPr>
          <w:p w14:paraId="4147E596">
            <w:pPr>
              <w:adjustRightInd w:val="0"/>
              <w:snapToGrid w:val="0"/>
              <w:spacing w:line="360" w:lineRule="exact"/>
              <w:jc w:val="center"/>
              <w:rPr>
                <w:rFonts w:ascii="宋体" w:hAnsi="宋体"/>
                <w:color w:val="auto"/>
                <w:szCs w:val="21"/>
              </w:rPr>
            </w:pPr>
            <w:r>
              <w:rPr>
                <w:rFonts w:hint="eastAsia" w:ascii="宋体" w:hAnsi="宋体"/>
                <w:color w:val="auto"/>
                <w:szCs w:val="21"/>
              </w:rPr>
              <w:t>第9.1款</w:t>
            </w:r>
          </w:p>
        </w:tc>
        <w:tc>
          <w:tcPr>
            <w:tcW w:w="2340" w:type="dxa"/>
            <w:vAlign w:val="center"/>
          </w:tcPr>
          <w:p w14:paraId="56537C59">
            <w:pPr>
              <w:adjustRightInd w:val="0"/>
              <w:snapToGrid w:val="0"/>
              <w:spacing w:line="360" w:lineRule="exact"/>
              <w:jc w:val="center"/>
              <w:rPr>
                <w:rFonts w:ascii="宋体" w:hAnsi="宋体"/>
                <w:color w:val="auto"/>
                <w:szCs w:val="21"/>
              </w:rPr>
            </w:pPr>
            <w:r>
              <w:rPr>
                <w:rFonts w:hint="eastAsia" w:ascii="宋体" w:hAnsi="宋体" w:cs="宋体"/>
                <w:color w:val="auto"/>
                <w:szCs w:val="21"/>
              </w:rPr>
              <w:t>招标公告指定媒体</w:t>
            </w:r>
          </w:p>
        </w:tc>
        <w:tc>
          <w:tcPr>
            <w:tcW w:w="5317" w:type="dxa"/>
            <w:vAlign w:val="center"/>
          </w:tcPr>
          <w:p w14:paraId="02457AA0">
            <w:pPr>
              <w:adjustRightInd w:val="0"/>
              <w:snapToGrid w:val="0"/>
              <w:spacing w:line="360" w:lineRule="exact"/>
              <w:rPr>
                <w:rFonts w:ascii="宋体" w:hAnsi="宋体"/>
                <w:color w:val="auto"/>
                <w:szCs w:val="21"/>
              </w:rPr>
            </w:pPr>
            <w:r>
              <w:rPr>
                <w:rFonts w:hint="eastAsia" w:ascii="宋体" w:hAnsi="宋体"/>
                <w:color w:val="auto"/>
                <w:szCs w:val="21"/>
              </w:rPr>
              <w:t>中国湖南政府采购网（www.ccgp-hunan.gov.cn）和娄底市公共资源交易网（http://ldggzy.hnloudi.gov.cn/）</w:t>
            </w:r>
          </w:p>
        </w:tc>
      </w:tr>
      <w:tr w14:paraId="51893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899" w:type="dxa"/>
            <w:gridSpan w:val="3"/>
            <w:vAlign w:val="center"/>
          </w:tcPr>
          <w:p w14:paraId="38C0E3D7">
            <w:pPr>
              <w:adjustRightInd w:val="0"/>
              <w:snapToGrid w:val="0"/>
              <w:spacing w:line="360" w:lineRule="exact"/>
              <w:rPr>
                <w:rFonts w:ascii="宋体" w:hAnsi="宋体"/>
                <w:color w:val="auto"/>
                <w:szCs w:val="21"/>
              </w:rPr>
            </w:pPr>
            <w:r>
              <w:rPr>
                <w:rFonts w:hint="eastAsia" w:ascii="宋体" w:hAnsi="宋体"/>
                <w:b/>
                <w:color w:val="auto"/>
                <w:szCs w:val="21"/>
              </w:rPr>
              <w:t>三、投标文件</w:t>
            </w:r>
          </w:p>
        </w:tc>
      </w:tr>
      <w:tr w14:paraId="1F1DC6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5" w:hRule="atLeast"/>
          <w:jc w:val="center"/>
        </w:trPr>
        <w:tc>
          <w:tcPr>
            <w:tcW w:w="1242" w:type="dxa"/>
            <w:vAlign w:val="center"/>
          </w:tcPr>
          <w:p w14:paraId="7E5776C7">
            <w:pPr>
              <w:adjustRightInd w:val="0"/>
              <w:snapToGrid w:val="0"/>
              <w:spacing w:line="360" w:lineRule="exact"/>
              <w:jc w:val="center"/>
              <w:rPr>
                <w:rFonts w:ascii="宋体" w:hAnsi="宋体"/>
                <w:color w:val="auto"/>
                <w:szCs w:val="21"/>
              </w:rPr>
            </w:pPr>
            <w:r>
              <w:rPr>
                <w:rFonts w:hint="eastAsia" w:ascii="宋体" w:hAnsi="宋体"/>
                <w:color w:val="auto"/>
                <w:szCs w:val="21"/>
              </w:rPr>
              <w:t>第13.2</w:t>
            </w:r>
            <w:r>
              <w:rPr>
                <w:rFonts w:hint="eastAsia" w:ascii="宋体" w:hAnsi="宋体" w:cs="宋体"/>
                <w:color w:val="auto"/>
                <w:kern w:val="0"/>
                <w:szCs w:val="21"/>
                <w:lang w:val="zh-CN"/>
              </w:rPr>
              <w:t>款</w:t>
            </w:r>
          </w:p>
        </w:tc>
        <w:tc>
          <w:tcPr>
            <w:tcW w:w="2340" w:type="dxa"/>
            <w:vAlign w:val="center"/>
          </w:tcPr>
          <w:p w14:paraId="1F596222">
            <w:pPr>
              <w:adjustRightInd w:val="0"/>
              <w:snapToGrid w:val="0"/>
              <w:spacing w:line="360" w:lineRule="exact"/>
              <w:jc w:val="center"/>
              <w:rPr>
                <w:rFonts w:ascii="宋体" w:hAnsi="宋体"/>
                <w:color w:val="auto"/>
                <w:szCs w:val="21"/>
              </w:rPr>
            </w:pPr>
            <w:r>
              <w:rPr>
                <w:rFonts w:hint="eastAsia" w:ascii="宋体" w:hAnsi="宋体"/>
                <w:color w:val="auto"/>
                <w:szCs w:val="21"/>
              </w:rPr>
              <w:t>采购预算、最高限价</w:t>
            </w:r>
          </w:p>
        </w:tc>
        <w:tc>
          <w:tcPr>
            <w:tcW w:w="5317" w:type="dxa"/>
            <w:vAlign w:val="center"/>
          </w:tcPr>
          <w:p w14:paraId="77A822DF">
            <w:pPr>
              <w:pStyle w:val="102"/>
              <w:spacing w:line="360" w:lineRule="exact"/>
              <w:ind w:firstLine="0" w:firstLineChars="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采购预算：</w:t>
            </w:r>
            <w:r>
              <w:rPr>
                <w:rFonts w:hint="eastAsia" w:ascii="宋体" w:hAnsi="宋体" w:cs="Times New Roman"/>
                <w:color w:val="auto"/>
                <w:kern w:val="2"/>
                <w:sz w:val="21"/>
                <w:szCs w:val="21"/>
                <w:lang w:val="en-US" w:eastAsia="zh-CN" w:bidi="ar-SA"/>
              </w:rPr>
              <w:t>16062376</w:t>
            </w:r>
            <w:r>
              <w:rPr>
                <w:rFonts w:hint="eastAsia" w:ascii="宋体" w:hAnsi="宋体" w:eastAsia="宋体" w:cs="Times New Roman"/>
                <w:color w:val="auto"/>
                <w:kern w:val="2"/>
                <w:sz w:val="21"/>
                <w:szCs w:val="21"/>
                <w:lang w:val="en-US" w:eastAsia="zh-CN" w:bidi="ar-SA"/>
              </w:rPr>
              <w:t>元；最高限价：16062376元</w:t>
            </w:r>
            <w:r>
              <w:rPr>
                <w:rFonts w:hint="eastAsia" w:ascii="宋体" w:hAnsi="宋体" w:cs="Times New Roman"/>
                <w:color w:val="auto"/>
                <w:kern w:val="2"/>
                <w:sz w:val="21"/>
                <w:szCs w:val="21"/>
                <w:lang w:val="en-US" w:eastAsia="zh-CN" w:bidi="ar-SA"/>
              </w:rPr>
              <w:t>。</w:t>
            </w:r>
          </w:p>
          <w:p w14:paraId="6379C36F">
            <w:pPr>
              <w:pStyle w:val="102"/>
              <w:spacing w:line="360" w:lineRule="exact"/>
              <w:ind w:firstLine="0" w:firstLineChars="0"/>
              <w:rPr>
                <w:rFonts w:hint="eastAsia" w:ascii="宋体" w:hAnsi="宋体"/>
                <w:b/>
                <w:bCs/>
                <w:color w:val="auto"/>
                <w:kern w:val="2"/>
                <w:sz w:val="21"/>
                <w:szCs w:val="21"/>
              </w:rPr>
            </w:pPr>
            <w:r>
              <w:rPr>
                <w:rFonts w:hint="eastAsia" w:ascii="宋体" w:hAnsi="宋体" w:eastAsia="宋体" w:cs="Times New Roman"/>
                <w:color w:val="auto"/>
                <w:kern w:val="2"/>
                <w:sz w:val="21"/>
                <w:szCs w:val="21"/>
                <w:lang w:val="en-US" w:eastAsia="zh-CN" w:bidi="ar-SA"/>
              </w:rPr>
              <w:t>投标人的投标报价超过本项目最高投标限价的视为不合格投标人，按废标处理。投标人的投标总价不得高于招标控制价（最高投标限价）。</w:t>
            </w:r>
          </w:p>
        </w:tc>
      </w:tr>
      <w:tr w14:paraId="56F95F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4" w:hRule="atLeast"/>
          <w:jc w:val="center"/>
        </w:trPr>
        <w:tc>
          <w:tcPr>
            <w:tcW w:w="1242" w:type="dxa"/>
            <w:vAlign w:val="center"/>
          </w:tcPr>
          <w:p w14:paraId="2B286BA7">
            <w:pPr>
              <w:adjustRightInd w:val="0"/>
              <w:snapToGrid w:val="0"/>
              <w:spacing w:line="360" w:lineRule="exact"/>
              <w:jc w:val="center"/>
              <w:rPr>
                <w:rFonts w:ascii="宋体" w:hAnsi="宋体"/>
                <w:color w:val="auto"/>
                <w:szCs w:val="21"/>
              </w:rPr>
            </w:pPr>
            <w:r>
              <w:rPr>
                <w:rFonts w:hint="eastAsia" w:ascii="宋体" w:hAnsi="宋体"/>
                <w:color w:val="auto"/>
                <w:szCs w:val="21"/>
              </w:rPr>
              <w:t>第13.8</w:t>
            </w:r>
            <w:r>
              <w:rPr>
                <w:rFonts w:hint="eastAsia" w:ascii="宋体" w:hAnsi="宋体" w:cs="宋体"/>
                <w:color w:val="auto"/>
                <w:kern w:val="0"/>
                <w:szCs w:val="21"/>
                <w:lang w:val="zh-CN"/>
              </w:rPr>
              <w:t>款</w:t>
            </w:r>
          </w:p>
        </w:tc>
        <w:tc>
          <w:tcPr>
            <w:tcW w:w="2340" w:type="dxa"/>
            <w:vAlign w:val="center"/>
          </w:tcPr>
          <w:p w14:paraId="5C30F485">
            <w:pPr>
              <w:adjustRightInd w:val="0"/>
              <w:snapToGrid w:val="0"/>
              <w:spacing w:line="360" w:lineRule="exact"/>
              <w:jc w:val="center"/>
              <w:rPr>
                <w:rFonts w:ascii="宋体" w:hAnsi="宋体"/>
                <w:color w:val="auto"/>
                <w:szCs w:val="21"/>
              </w:rPr>
            </w:pPr>
            <w:r>
              <w:rPr>
                <w:rFonts w:hint="eastAsia" w:ascii="宋体" w:hAnsi="宋体"/>
                <w:color w:val="auto"/>
                <w:szCs w:val="21"/>
              </w:rPr>
              <w:t>投标报价的其他要求</w:t>
            </w:r>
          </w:p>
        </w:tc>
        <w:tc>
          <w:tcPr>
            <w:tcW w:w="5317" w:type="dxa"/>
            <w:vAlign w:val="center"/>
          </w:tcPr>
          <w:p w14:paraId="32E7E069">
            <w:pPr>
              <w:adjustRightInd w:val="0"/>
              <w:snapToGrid w:val="0"/>
              <w:spacing w:line="360" w:lineRule="auto"/>
              <w:rPr>
                <w:rFonts w:ascii="宋体" w:cs="宋体"/>
                <w:color w:val="auto"/>
                <w:szCs w:val="21"/>
              </w:rPr>
            </w:pPr>
            <w:r>
              <w:rPr>
                <w:rFonts w:hint="eastAsia" w:ascii="宋体" w:cs="宋体"/>
                <w:color w:val="auto"/>
                <w:szCs w:val="21"/>
              </w:rPr>
              <w:t>1、以人民币进行报价。</w:t>
            </w:r>
          </w:p>
          <w:p w14:paraId="04774120">
            <w:pPr>
              <w:adjustRightInd w:val="0"/>
              <w:snapToGrid w:val="0"/>
              <w:spacing w:line="360" w:lineRule="auto"/>
              <w:rPr>
                <w:rFonts w:ascii="宋体" w:cs="宋体"/>
                <w:color w:val="auto"/>
                <w:szCs w:val="21"/>
              </w:rPr>
            </w:pPr>
            <w:r>
              <w:rPr>
                <w:rFonts w:hint="eastAsia" w:ascii="宋体" w:cs="宋体"/>
                <w:color w:val="auto"/>
                <w:szCs w:val="21"/>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878BA23">
            <w:pPr>
              <w:adjustRightInd w:val="0"/>
              <w:snapToGrid w:val="0"/>
              <w:spacing w:line="360" w:lineRule="exact"/>
              <w:rPr>
                <w:rFonts w:ascii="宋体" w:hAnsi="宋体"/>
                <w:color w:val="auto"/>
                <w:szCs w:val="21"/>
              </w:rPr>
            </w:pPr>
            <w:r>
              <w:rPr>
                <w:rFonts w:hint="eastAsia" w:ascii="宋体" w:cs="宋体"/>
                <w:color w:val="auto"/>
                <w:szCs w:val="21"/>
              </w:rPr>
              <w:t>3、投标报价不得超过采购预算，也不得超过最高限价，否则其投标无效。</w:t>
            </w:r>
          </w:p>
        </w:tc>
      </w:tr>
      <w:tr w14:paraId="0BFC55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8" w:hRule="atLeast"/>
          <w:jc w:val="center"/>
        </w:trPr>
        <w:tc>
          <w:tcPr>
            <w:tcW w:w="1242" w:type="dxa"/>
            <w:vAlign w:val="center"/>
          </w:tcPr>
          <w:p w14:paraId="0EBD8D60">
            <w:pPr>
              <w:adjustRightInd w:val="0"/>
              <w:snapToGrid w:val="0"/>
              <w:spacing w:line="360" w:lineRule="exact"/>
              <w:jc w:val="center"/>
              <w:rPr>
                <w:rFonts w:ascii="宋体" w:hAnsi="宋体"/>
                <w:color w:val="auto"/>
                <w:szCs w:val="21"/>
              </w:rPr>
            </w:pPr>
            <w:r>
              <w:rPr>
                <w:rFonts w:hint="eastAsia" w:ascii="宋体" w:hAnsi="宋体"/>
                <w:color w:val="auto"/>
                <w:szCs w:val="21"/>
              </w:rPr>
              <w:t>第14.1款</w:t>
            </w:r>
          </w:p>
        </w:tc>
        <w:tc>
          <w:tcPr>
            <w:tcW w:w="2340" w:type="dxa"/>
            <w:vAlign w:val="center"/>
          </w:tcPr>
          <w:p w14:paraId="4BA3C0E1">
            <w:pPr>
              <w:adjustRightInd w:val="0"/>
              <w:snapToGrid w:val="0"/>
              <w:spacing w:line="360" w:lineRule="exact"/>
              <w:jc w:val="center"/>
              <w:rPr>
                <w:rFonts w:ascii="宋体" w:hAnsi="宋体"/>
                <w:bCs/>
                <w:color w:val="auto"/>
                <w:szCs w:val="21"/>
              </w:rPr>
            </w:pPr>
            <w:r>
              <w:rPr>
                <w:rFonts w:hint="eastAsia" w:ascii="宋体" w:hAnsi="宋体"/>
                <w:color w:val="auto"/>
                <w:szCs w:val="21"/>
              </w:rPr>
              <w:t>投标人应提供资格审查资料</w:t>
            </w:r>
          </w:p>
        </w:tc>
        <w:tc>
          <w:tcPr>
            <w:tcW w:w="5317" w:type="dxa"/>
            <w:vAlign w:val="center"/>
          </w:tcPr>
          <w:p w14:paraId="018C5578">
            <w:pPr>
              <w:adjustRightInd w:val="0"/>
              <w:snapToGrid w:val="0"/>
              <w:spacing w:line="360" w:lineRule="exact"/>
              <w:rPr>
                <w:rFonts w:ascii="宋体" w:hAnsi="宋体"/>
                <w:color w:val="auto"/>
                <w:szCs w:val="21"/>
              </w:rPr>
            </w:pPr>
            <w:r>
              <w:rPr>
                <w:rFonts w:hint="eastAsia" w:ascii="宋体" w:hAnsi="宋体"/>
                <w:color w:val="auto"/>
                <w:szCs w:val="21"/>
              </w:rPr>
              <w:t>详见资格审查表</w:t>
            </w:r>
          </w:p>
        </w:tc>
      </w:tr>
      <w:tr w14:paraId="4F9A2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1242" w:type="dxa"/>
            <w:vAlign w:val="center"/>
          </w:tcPr>
          <w:p w14:paraId="612FD90A">
            <w:pPr>
              <w:adjustRightInd w:val="0"/>
              <w:snapToGrid w:val="0"/>
              <w:spacing w:line="360" w:lineRule="exact"/>
              <w:jc w:val="center"/>
              <w:rPr>
                <w:rFonts w:ascii="宋体" w:hAnsi="宋体"/>
                <w:color w:val="auto"/>
                <w:szCs w:val="21"/>
              </w:rPr>
            </w:pPr>
            <w:r>
              <w:rPr>
                <w:rFonts w:hint="eastAsia" w:ascii="宋体" w:hAnsi="宋体"/>
                <w:color w:val="auto"/>
                <w:szCs w:val="21"/>
              </w:rPr>
              <w:t>第16.1</w:t>
            </w:r>
            <w:r>
              <w:rPr>
                <w:rFonts w:hint="eastAsia" w:ascii="宋体" w:hAnsi="宋体" w:cs="宋体"/>
                <w:color w:val="auto"/>
                <w:kern w:val="0"/>
                <w:szCs w:val="21"/>
                <w:lang w:val="zh-CN"/>
              </w:rPr>
              <w:t>款</w:t>
            </w:r>
          </w:p>
        </w:tc>
        <w:tc>
          <w:tcPr>
            <w:tcW w:w="2340" w:type="dxa"/>
            <w:vAlign w:val="center"/>
          </w:tcPr>
          <w:p w14:paraId="18BFD0C9">
            <w:pPr>
              <w:adjustRightInd w:val="0"/>
              <w:snapToGrid w:val="0"/>
              <w:spacing w:line="360" w:lineRule="exact"/>
              <w:jc w:val="center"/>
              <w:rPr>
                <w:rFonts w:ascii="宋体" w:hAnsi="宋体"/>
                <w:bCs/>
                <w:color w:val="auto"/>
                <w:szCs w:val="21"/>
              </w:rPr>
            </w:pPr>
            <w:r>
              <w:rPr>
                <w:rFonts w:hint="eastAsia" w:ascii="宋体" w:hAnsi="宋体"/>
                <w:color w:val="auto"/>
                <w:szCs w:val="21"/>
              </w:rPr>
              <w:t xml:space="preserve"> </w:t>
            </w:r>
            <w:r>
              <w:rPr>
                <w:rFonts w:hint="eastAsia" w:ascii="宋体" w:hAnsi="宋体"/>
                <w:bCs/>
                <w:color w:val="auto"/>
                <w:szCs w:val="21"/>
              </w:rPr>
              <w:t>投标有效期</w:t>
            </w:r>
          </w:p>
        </w:tc>
        <w:tc>
          <w:tcPr>
            <w:tcW w:w="5317" w:type="dxa"/>
            <w:vAlign w:val="center"/>
          </w:tcPr>
          <w:p w14:paraId="05C94F51">
            <w:pPr>
              <w:adjustRightInd w:val="0"/>
              <w:snapToGrid w:val="0"/>
              <w:spacing w:line="360" w:lineRule="exact"/>
              <w:rPr>
                <w:rFonts w:ascii="宋体" w:hAnsi="宋体"/>
                <w:bCs/>
                <w:color w:val="auto"/>
                <w:szCs w:val="21"/>
              </w:rPr>
            </w:pPr>
            <w:r>
              <w:rPr>
                <w:rFonts w:hint="eastAsia" w:ascii="宋体" w:hAnsi="宋体"/>
                <w:bCs/>
                <w:color w:val="auto"/>
                <w:szCs w:val="21"/>
              </w:rPr>
              <w:t>90日（日历日）</w:t>
            </w:r>
          </w:p>
        </w:tc>
      </w:tr>
      <w:tr w14:paraId="4A04F3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2C5E70DA">
            <w:pPr>
              <w:adjustRightInd w:val="0"/>
              <w:snapToGrid w:val="0"/>
              <w:spacing w:line="360" w:lineRule="exact"/>
              <w:jc w:val="center"/>
              <w:rPr>
                <w:rFonts w:ascii="宋体" w:hAnsi="宋体"/>
                <w:color w:val="auto"/>
                <w:szCs w:val="21"/>
              </w:rPr>
            </w:pPr>
            <w:r>
              <w:rPr>
                <w:rFonts w:hint="eastAsia" w:ascii="宋体" w:hAnsi="宋体"/>
                <w:color w:val="auto"/>
                <w:szCs w:val="21"/>
              </w:rPr>
              <w:t>第17.1</w:t>
            </w:r>
            <w:r>
              <w:rPr>
                <w:rFonts w:hint="eastAsia" w:ascii="宋体" w:hAnsi="宋体" w:cs="宋体"/>
                <w:color w:val="auto"/>
                <w:kern w:val="0"/>
                <w:szCs w:val="21"/>
                <w:lang w:val="zh-CN"/>
              </w:rPr>
              <w:t>款</w:t>
            </w:r>
          </w:p>
        </w:tc>
        <w:tc>
          <w:tcPr>
            <w:tcW w:w="2340" w:type="dxa"/>
            <w:vAlign w:val="center"/>
          </w:tcPr>
          <w:p w14:paraId="48DE5C4D">
            <w:pPr>
              <w:adjustRightInd w:val="0"/>
              <w:snapToGrid w:val="0"/>
              <w:spacing w:line="360" w:lineRule="exact"/>
              <w:ind w:firstLine="533" w:firstLineChars="254"/>
              <w:rPr>
                <w:rFonts w:ascii="宋体" w:hAnsi="宋体"/>
                <w:color w:val="auto"/>
                <w:szCs w:val="21"/>
              </w:rPr>
            </w:pPr>
            <w:r>
              <w:rPr>
                <w:rFonts w:hint="eastAsia" w:ascii="宋体" w:hAnsi="宋体"/>
                <w:color w:val="auto"/>
                <w:szCs w:val="21"/>
              </w:rPr>
              <w:t>投标保证金</w:t>
            </w:r>
          </w:p>
        </w:tc>
        <w:tc>
          <w:tcPr>
            <w:tcW w:w="5317" w:type="dxa"/>
            <w:vAlign w:val="center"/>
          </w:tcPr>
          <w:p w14:paraId="54BE946C">
            <w:pPr>
              <w:adjustRightInd w:val="0"/>
              <w:snapToGri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不要求提供</w:t>
            </w:r>
          </w:p>
          <w:p w14:paraId="486290F5">
            <w:pPr>
              <w:adjustRightInd w:val="0"/>
              <w:snapToGrid w:val="0"/>
              <w:spacing w:line="360" w:lineRule="exact"/>
              <w:rPr>
                <w:rFonts w:ascii="宋体" w:hAnsi="宋体"/>
                <w:color w:val="auto"/>
                <w:szCs w:val="21"/>
              </w:rPr>
            </w:pPr>
            <w:r>
              <w:rPr>
                <w:rFonts w:hint="eastAsia" w:ascii="宋体" w:hAnsi="宋体"/>
                <w:color w:val="auto"/>
                <w:szCs w:val="21"/>
              </w:rPr>
              <w:t>□要求提供</w:t>
            </w:r>
          </w:p>
        </w:tc>
      </w:tr>
      <w:tr w14:paraId="4A733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1242" w:type="dxa"/>
            <w:vAlign w:val="center"/>
          </w:tcPr>
          <w:p w14:paraId="7FB660DB">
            <w:pPr>
              <w:adjustRightInd w:val="0"/>
              <w:snapToGrid w:val="0"/>
              <w:spacing w:line="360" w:lineRule="exact"/>
              <w:jc w:val="center"/>
              <w:rPr>
                <w:rFonts w:ascii="宋体" w:hAnsi="宋体"/>
                <w:color w:val="auto"/>
                <w:szCs w:val="21"/>
              </w:rPr>
            </w:pPr>
            <w:r>
              <w:rPr>
                <w:rFonts w:hint="eastAsia" w:ascii="宋体" w:hAnsi="宋体"/>
                <w:color w:val="auto"/>
                <w:szCs w:val="21"/>
              </w:rPr>
              <w:t>第18.1</w:t>
            </w:r>
            <w:r>
              <w:rPr>
                <w:rFonts w:hint="eastAsia" w:ascii="宋体" w:hAnsi="宋体" w:cs="宋体"/>
                <w:color w:val="auto"/>
                <w:kern w:val="0"/>
                <w:szCs w:val="21"/>
                <w:lang w:val="zh-CN"/>
              </w:rPr>
              <w:t>款</w:t>
            </w:r>
          </w:p>
        </w:tc>
        <w:tc>
          <w:tcPr>
            <w:tcW w:w="2340" w:type="dxa"/>
            <w:vAlign w:val="center"/>
          </w:tcPr>
          <w:p w14:paraId="4D7F8144">
            <w:pPr>
              <w:adjustRightInd w:val="0"/>
              <w:snapToGrid w:val="0"/>
              <w:spacing w:line="360" w:lineRule="exact"/>
              <w:jc w:val="center"/>
              <w:rPr>
                <w:rFonts w:ascii="宋体" w:hAnsi="宋体"/>
                <w:color w:val="auto"/>
                <w:szCs w:val="21"/>
              </w:rPr>
            </w:pPr>
            <w:r>
              <w:rPr>
                <w:rFonts w:hint="eastAsia" w:ascii="宋体" w:hAnsi="宋体"/>
                <w:bCs/>
                <w:color w:val="auto"/>
                <w:szCs w:val="21"/>
              </w:rPr>
              <w:t>分包</w:t>
            </w:r>
          </w:p>
        </w:tc>
        <w:tc>
          <w:tcPr>
            <w:tcW w:w="5317" w:type="dxa"/>
            <w:vAlign w:val="center"/>
          </w:tcPr>
          <w:p w14:paraId="1A741495">
            <w:pPr>
              <w:adjustRightInd w:val="0"/>
              <w:snapToGrid w:val="0"/>
              <w:spacing w:line="360" w:lineRule="exact"/>
              <w:rPr>
                <w:rFonts w:ascii="宋体" w:hAnsi="宋体"/>
                <w:color w:val="auto"/>
                <w:szCs w:val="21"/>
              </w:rPr>
            </w:pPr>
            <w:r>
              <w:rPr>
                <w:rFonts w:hint="eastAsia" w:ascii="宋体" w:hAnsi="宋体"/>
                <w:color w:val="auto"/>
                <w:szCs w:val="21"/>
              </w:rPr>
              <w:t>不允许分包</w:t>
            </w:r>
          </w:p>
        </w:tc>
      </w:tr>
      <w:tr w14:paraId="53F756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1242" w:type="dxa"/>
            <w:vAlign w:val="center"/>
          </w:tcPr>
          <w:p w14:paraId="4734F1E5">
            <w:pPr>
              <w:adjustRightInd w:val="0"/>
              <w:snapToGrid w:val="0"/>
              <w:spacing w:line="360" w:lineRule="exact"/>
              <w:jc w:val="center"/>
              <w:rPr>
                <w:rFonts w:ascii="宋体" w:hAnsi="宋体"/>
                <w:color w:val="auto"/>
                <w:szCs w:val="21"/>
              </w:rPr>
            </w:pPr>
            <w:r>
              <w:rPr>
                <w:rFonts w:hint="eastAsia" w:ascii="宋体" w:hAnsi="宋体"/>
                <w:color w:val="auto"/>
                <w:szCs w:val="21"/>
              </w:rPr>
              <w:t>第19.1款</w:t>
            </w:r>
          </w:p>
        </w:tc>
        <w:tc>
          <w:tcPr>
            <w:tcW w:w="2340" w:type="dxa"/>
            <w:vAlign w:val="center"/>
          </w:tcPr>
          <w:p w14:paraId="43890594">
            <w:pPr>
              <w:adjustRightInd w:val="0"/>
              <w:snapToGrid w:val="0"/>
              <w:spacing w:line="360" w:lineRule="exact"/>
              <w:jc w:val="center"/>
              <w:rPr>
                <w:rFonts w:ascii="宋体" w:hAnsi="宋体"/>
                <w:color w:val="auto"/>
                <w:szCs w:val="21"/>
              </w:rPr>
            </w:pPr>
            <w:r>
              <w:rPr>
                <w:rFonts w:hint="eastAsia" w:ascii="宋体" w:hAnsi="宋体"/>
                <w:color w:val="auto"/>
                <w:szCs w:val="21"/>
              </w:rPr>
              <w:t>投标文件份数</w:t>
            </w:r>
          </w:p>
        </w:tc>
        <w:tc>
          <w:tcPr>
            <w:tcW w:w="5317" w:type="dxa"/>
            <w:vAlign w:val="center"/>
          </w:tcPr>
          <w:p w14:paraId="5D60427B">
            <w:pPr>
              <w:adjustRightInd w:val="0"/>
              <w:snapToGrid w:val="0"/>
              <w:spacing w:line="360" w:lineRule="exact"/>
              <w:rPr>
                <w:rFonts w:ascii="宋体" w:hAnsi="宋体"/>
                <w:color w:val="auto"/>
                <w:szCs w:val="21"/>
              </w:rPr>
            </w:pPr>
            <w:r>
              <w:rPr>
                <w:rFonts w:hint="eastAsia" w:ascii="宋体" w:hAnsi="宋体"/>
                <w:color w:val="auto"/>
                <w:szCs w:val="21"/>
              </w:rPr>
              <w:t>投标人应准备所投项目的电子投标文件一份。</w:t>
            </w:r>
          </w:p>
        </w:tc>
      </w:tr>
      <w:tr w14:paraId="48A58A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6C066CE5">
            <w:pPr>
              <w:adjustRightInd w:val="0"/>
              <w:snapToGrid w:val="0"/>
              <w:spacing w:line="360" w:lineRule="exact"/>
              <w:rPr>
                <w:rFonts w:ascii="宋体" w:hAnsi="宋体"/>
                <w:b/>
                <w:bCs/>
                <w:color w:val="auto"/>
                <w:szCs w:val="21"/>
              </w:rPr>
            </w:pPr>
            <w:r>
              <w:rPr>
                <w:rFonts w:hint="eastAsia" w:ascii="宋体" w:hAnsi="宋体"/>
                <w:b/>
                <w:color w:val="auto"/>
                <w:szCs w:val="21"/>
              </w:rPr>
              <w:t>四、投标</w:t>
            </w:r>
          </w:p>
        </w:tc>
      </w:tr>
      <w:tr w14:paraId="40D69F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78E6E27">
            <w:pPr>
              <w:adjustRightInd w:val="0"/>
              <w:snapToGrid w:val="0"/>
              <w:spacing w:line="360" w:lineRule="exact"/>
              <w:jc w:val="center"/>
              <w:rPr>
                <w:rFonts w:ascii="宋体" w:hAnsi="宋体"/>
                <w:color w:val="auto"/>
                <w:szCs w:val="21"/>
              </w:rPr>
            </w:pPr>
            <w:r>
              <w:rPr>
                <w:rFonts w:hint="eastAsia" w:ascii="宋体" w:hAnsi="宋体"/>
                <w:color w:val="auto"/>
                <w:szCs w:val="21"/>
              </w:rPr>
              <w:t>第20.1</w:t>
            </w:r>
            <w:r>
              <w:rPr>
                <w:rFonts w:hint="eastAsia" w:ascii="宋体" w:hAnsi="宋体" w:cs="宋体"/>
                <w:color w:val="auto"/>
                <w:kern w:val="0"/>
                <w:szCs w:val="21"/>
                <w:lang w:val="zh-CN"/>
              </w:rPr>
              <w:t>款</w:t>
            </w:r>
          </w:p>
        </w:tc>
        <w:tc>
          <w:tcPr>
            <w:tcW w:w="2340" w:type="dxa"/>
            <w:vAlign w:val="center"/>
          </w:tcPr>
          <w:p w14:paraId="2DCBA8ED">
            <w:pPr>
              <w:adjustRightInd w:val="0"/>
              <w:snapToGrid w:val="0"/>
              <w:spacing w:line="360" w:lineRule="exact"/>
              <w:jc w:val="center"/>
              <w:rPr>
                <w:rFonts w:ascii="宋体" w:hAnsi="宋体"/>
                <w:color w:val="auto"/>
                <w:szCs w:val="21"/>
              </w:rPr>
            </w:pPr>
            <w:r>
              <w:rPr>
                <w:rFonts w:hint="eastAsia" w:ascii="宋体" w:hAnsi="宋体"/>
                <w:color w:val="auto"/>
                <w:szCs w:val="21"/>
              </w:rPr>
              <w:t xml:space="preserve"> 投标文件的加密</w:t>
            </w:r>
          </w:p>
        </w:tc>
        <w:tc>
          <w:tcPr>
            <w:tcW w:w="5317" w:type="dxa"/>
            <w:vAlign w:val="center"/>
          </w:tcPr>
          <w:p w14:paraId="4FB49ADE">
            <w:pPr>
              <w:adjustRightInd w:val="0"/>
              <w:snapToGrid w:val="0"/>
              <w:spacing w:line="360" w:lineRule="exact"/>
              <w:rPr>
                <w:rFonts w:ascii="宋体" w:hAnsi="宋体"/>
                <w:color w:val="auto"/>
                <w:szCs w:val="21"/>
              </w:rPr>
            </w:pPr>
            <w:r>
              <w:rPr>
                <w:rFonts w:hint="eastAsia" w:ascii="宋体" w:hAnsi="宋体"/>
                <w:color w:val="auto"/>
                <w:szCs w:val="21"/>
              </w:rPr>
              <w:t>按娄底市公共资源交易电子服务平台发布的“电子投标文件制作工具（</w:t>
            </w:r>
            <w:r>
              <w:rPr>
                <w:rStyle w:val="112"/>
                <w:rFonts w:ascii="宋体" w:hAnsi="宋体"/>
                <w:color w:val="auto"/>
                <w:szCs w:val="21"/>
              </w:rPr>
              <w:t>金润投标人工具箱）</w:t>
            </w:r>
            <w:r>
              <w:rPr>
                <w:rFonts w:hint="eastAsia" w:ascii="宋体" w:hAnsi="宋体"/>
                <w:color w:val="auto"/>
                <w:szCs w:val="21"/>
              </w:rPr>
              <w:t>”的程序进行固化、加密，</w:t>
            </w:r>
          </w:p>
        </w:tc>
      </w:tr>
      <w:tr w14:paraId="4439BC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0" w:hRule="atLeast"/>
          <w:jc w:val="center"/>
        </w:trPr>
        <w:tc>
          <w:tcPr>
            <w:tcW w:w="1242" w:type="dxa"/>
            <w:vAlign w:val="center"/>
          </w:tcPr>
          <w:p w14:paraId="03B01ED1">
            <w:pPr>
              <w:adjustRightInd w:val="0"/>
              <w:snapToGrid w:val="0"/>
              <w:spacing w:line="360" w:lineRule="exact"/>
              <w:jc w:val="center"/>
              <w:rPr>
                <w:rFonts w:ascii="宋体" w:hAnsi="宋体"/>
                <w:color w:val="auto"/>
                <w:szCs w:val="21"/>
              </w:rPr>
            </w:pPr>
            <w:r>
              <w:rPr>
                <w:rFonts w:hint="eastAsia" w:ascii="宋体" w:hAnsi="宋体"/>
                <w:color w:val="auto"/>
                <w:szCs w:val="21"/>
              </w:rPr>
              <w:t>第21.1</w:t>
            </w:r>
            <w:r>
              <w:rPr>
                <w:rFonts w:hint="eastAsia" w:ascii="宋体" w:hAnsi="宋体" w:cs="宋体"/>
                <w:color w:val="auto"/>
                <w:kern w:val="0"/>
                <w:szCs w:val="21"/>
                <w:lang w:val="zh-CN"/>
              </w:rPr>
              <w:t>款</w:t>
            </w:r>
          </w:p>
        </w:tc>
        <w:tc>
          <w:tcPr>
            <w:tcW w:w="2340" w:type="dxa"/>
            <w:vAlign w:val="center"/>
          </w:tcPr>
          <w:p w14:paraId="1D2312CD">
            <w:pPr>
              <w:adjustRightInd w:val="0"/>
              <w:snapToGrid w:val="0"/>
              <w:spacing w:line="360" w:lineRule="exact"/>
              <w:jc w:val="center"/>
              <w:rPr>
                <w:rFonts w:ascii="宋体" w:hAnsi="宋体"/>
                <w:color w:val="auto"/>
                <w:szCs w:val="21"/>
              </w:rPr>
            </w:pPr>
            <w:r>
              <w:rPr>
                <w:rFonts w:hint="eastAsia" w:ascii="宋体" w:hAnsi="宋体"/>
                <w:color w:val="auto"/>
                <w:szCs w:val="21"/>
              </w:rPr>
              <w:t xml:space="preserve"> 投标文件的递交</w:t>
            </w:r>
          </w:p>
        </w:tc>
        <w:tc>
          <w:tcPr>
            <w:tcW w:w="5317" w:type="dxa"/>
            <w:vAlign w:val="center"/>
          </w:tcPr>
          <w:p w14:paraId="5E8D51AB">
            <w:pPr>
              <w:adjustRightInd w:val="0"/>
              <w:snapToGrid w:val="0"/>
              <w:spacing w:line="360" w:lineRule="exact"/>
              <w:rPr>
                <w:rFonts w:ascii="宋体" w:hAnsi="宋体" w:cs="宋体"/>
                <w:color w:val="auto"/>
                <w:szCs w:val="21"/>
              </w:rPr>
            </w:pPr>
            <w:r>
              <w:rPr>
                <w:rFonts w:hint="eastAsia" w:ascii="宋体" w:hAnsi="宋体" w:cs="宋体"/>
                <w:color w:val="auto"/>
                <w:szCs w:val="21"/>
              </w:rPr>
              <w:t>实行网上投标，投标人必须在采购文件规定的投标截止时间前完成，具体详见采购公告</w:t>
            </w:r>
          </w:p>
        </w:tc>
      </w:tr>
      <w:tr w14:paraId="169ED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5325E2D3">
            <w:pPr>
              <w:adjustRightInd w:val="0"/>
              <w:snapToGrid w:val="0"/>
              <w:spacing w:line="360" w:lineRule="exact"/>
              <w:rPr>
                <w:rFonts w:ascii="宋体" w:hAnsi="宋体"/>
                <w:color w:val="auto"/>
                <w:szCs w:val="21"/>
              </w:rPr>
            </w:pPr>
            <w:r>
              <w:rPr>
                <w:rFonts w:hint="eastAsia" w:ascii="宋体" w:hAnsi="宋体"/>
                <w:b/>
                <w:bCs/>
                <w:color w:val="auto"/>
                <w:szCs w:val="21"/>
              </w:rPr>
              <w:t>五、开标、资格审查和评标</w:t>
            </w:r>
          </w:p>
        </w:tc>
      </w:tr>
      <w:tr w14:paraId="7783BC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242" w:type="dxa"/>
            <w:vAlign w:val="center"/>
          </w:tcPr>
          <w:p w14:paraId="006F5385">
            <w:pPr>
              <w:adjustRightInd w:val="0"/>
              <w:snapToGrid w:val="0"/>
              <w:spacing w:line="360" w:lineRule="exact"/>
              <w:jc w:val="center"/>
              <w:rPr>
                <w:rFonts w:ascii="宋体" w:hAnsi="宋体"/>
                <w:color w:val="auto"/>
                <w:szCs w:val="21"/>
              </w:rPr>
            </w:pPr>
            <w:r>
              <w:rPr>
                <w:rFonts w:hint="eastAsia" w:ascii="宋体" w:hAnsi="宋体"/>
                <w:color w:val="auto"/>
                <w:szCs w:val="21"/>
              </w:rPr>
              <w:t>第24.1款</w:t>
            </w:r>
          </w:p>
        </w:tc>
        <w:tc>
          <w:tcPr>
            <w:tcW w:w="2340" w:type="dxa"/>
            <w:vAlign w:val="center"/>
          </w:tcPr>
          <w:p w14:paraId="62B363A6">
            <w:pPr>
              <w:adjustRightInd w:val="0"/>
              <w:snapToGrid w:val="0"/>
              <w:spacing w:line="360" w:lineRule="exact"/>
              <w:jc w:val="center"/>
              <w:rPr>
                <w:rFonts w:ascii="宋体" w:hAnsi="宋体"/>
                <w:color w:val="auto"/>
                <w:szCs w:val="21"/>
              </w:rPr>
            </w:pPr>
            <w:r>
              <w:rPr>
                <w:rFonts w:hint="eastAsia" w:ascii="宋体" w:hAnsi="宋体"/>
                <w:color w:val="auto"/>
                <w:szCs w:val="21"/>
              </w:rPr>
              <w:t>开标地点</w:t>
            </w:r>
          </w:p>
        </w:tc>
        <w:tc>
          <w:tcPr>
            <w:tcW w:w="5317" w:type="dxa"/>
            <w:vAlign w:val="center"/>
          </w:tcPr>
          <w:p w14:paraId="5DFE1B1B">
            <w:pPr>
              <w:adjustRightInd w:val="0"/>
              <w:snapToGrid w:val="0"/>
              <w:spacing w:line="360" w:lineRule="exact"/>
              <w:rPr>
                <w:rFonts w:ascii="宋体" w:hAnsi="宋体"/>
                <w:color w:val="auto"/>
                <w:szCs w:val="21"/>
              </w:rPr>
            </w:pPr>
            <w:r>
              <w:rPr>
                <w:rFonts w:hint="eastAsia" w:ascii="宋体" w:hAnsi="宋体"/>
                <w:color w:val="auto"/>
                <w:szCs w:val="21"/>
              </w:rPr>
              <w:t>娄底市公共资源交易中心四楼开标大厅（详见当天电子显示屏的安排）</w:t>
            </w:r>
          </w:p>
        </w:tc>
      </w:tr>
      <w:tr w14:paraId="204F88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242" w:type="dxa"/>
            <w:vAlign w:val="center"/>
          </w:tcPr>
          <w:p w14:paraId="264DD260">
            <w:pPr>
              <w:adjustRightInd w:val="0"/>
              <w:snapToGrid w:val="0"/>
              <w:spacing w:line="360" w:lineRule="exact"/>
              <w:jc w:val="center"/>
              <w:rPr>
                <w:rFonts w:ascii="宋体" w:hAnsi="宋体"/>
                <w:color w:val="auto"/>
                <w:szCs w:val="21"/>
              </w:rPr>
            </w:pPr>
            <w:r>
              <w:rPr>
                <w:rFonts w:hint="eastAsia" w:ascii="宋体" w:hAnsi="宋体"/>
                <w:color w:val="auto"/>
                <w:szCs w:val="21"/>
              </w:rPr>
              <w:t>第24.2</w:t>
            </w:r>
            <w:r>
              <w:rPr>
                <w:rFonts w:hint="eastAsia" w:ascii="宋体" w:hAnsi="宋体" w:cs="宋体"/>
                <w:color w:val="auto"/>
                <w:kern w:val="0"/>
                <w:szCs w:val="21"/>
                <w:lang w:val="zh-CN"/>
              </w:rPr>
              <w:t>款</w:t>
            </w:r>
          </w:p>
        </w:tc>
        <w:tc>
          <w:tcPr>
            <w:tcW w:w="2340" w:type="dxa"/>
            <w:vAlign w:val="center"/>
          </w:tcPr>
          <w:p w14:paraId="2FDA7266">
            <w:pPr>
              <w:adjustRightInd w:val="0"/>
              <w:snapToGrid w:val="0"/>
              <w:spacing w:line="360" w:lineRule="exact"/>
              <w:jc w:val="center"/>
              <w:rPr>
                <w:rFonts w:ascii="宋体" w:hAnsi="宋体"/>
                <w:color w:val="auto"/>
                <w:szCs w:val="21"/>
              </w:rPr>
            </w:pPr>
            <w:r>
              <w:rPr>
                <w:rFonts w:hint="eastAsia" w:ascii="宋体" w:hAnsi="宋体"/>
                <w:color w:val="auto"/>
                <w:szCs w:val="21"/>
              </w:rPr>
              <w:t>需要宣布的其他内容</w:t>
            </w:r>
          </w:p>
        </w:tc>
        <w:tc>
          <w:tcPr>
            <w:tcW w:w="5317" w:type="dxa"/>
            <w:vAlign w:val="center"/>
          </w:tcPr>
          <w:p w14:paraId="2A2362BE">
            <w:pPr>
              <w:adjustRightInd w:val="0"/>
              <w:snapToGrid w:val="0"/>
              <w:spacing w:line="360" w:lineRule="exact"/>
              <w:rPr>
                <w:rFonts w:ascii="宋体" w:hAnsi="宋体"/>
                <w:color w:val="auto"/>
                <w:szCs w:val="21"/>
              </w:rPr>
            </w:pPr>
            <w:r>
              <w:rPr>
                <w:rFonts w:hint="eastAsia" w:ascii="宋体" w:hAnsi="宋体"/>
                <w:color w:val="auto"/>
                <w:szCs w:val="21"/>
              </w:rPr>
              <w:t>以电子采购交易平台唱标内容为准。</w:t>
            </w:r>
          </w:p>
        </w:tc>
      </w:tr>
      <w:tr w14:paraId="3D3382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4AFEB168">
            <w:pPr>
              <w:adjustRightInd w:val="0"/>
              <w:snapToGrid w:val="0"/>
              <w:spacing w:line="360" w:lineRule="exact"/>
              <w:rPr>
                <w:rFonts w:ascii="宋体" w:hAnsi="宋体"/>
                <w:b/>
                <w:color w:val="auto"/>
                <w:szCs w:val="21"/>
              </w:rPr>
            </w:pPr>
            <w:r>
              <w:rPr>
                <w:rFonts w:hint="eastAsia" w:ascii="宋体" w:hAnsi="宋体"/>
                <w:b/>
                <w:color w:val="auto"/>
                <w:szCs w:val="21"/>
              </w:rPr>
              <w:t>六、中标信息公布</w:t>
            </w:r>
          </w:p>
        </w:tc>
      </w:tr>
      <w:tr w14:paraId="535C90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5DD20FAE">
            <w:pPr>
              <w:adjustRightInd w:val="0"/>
              <w:snapToGrid w:val="0"/>
              <w:spacing w:line="360" w:lineRule="exact"/>
              <w:jc w:val="center"/>
              <w:rPr>
                <w:rFonts w:ascii="宋体" w:hAnsi="宋体"/>
                <w:color w:val="auto"/>
                <w:szCs w:val="21"/>
              </w:rPr>
            </w:pPr>
            <w:r>
              <w:rPr>
                <w:rFonts w:hint="eastAsia" w:ascii="宋体" w:hAnsi="宋体"/>
                <w:color w:val="auto"/>
                <w:szCs w:val="21"/>
              </w:rPr>
              <w:t>第28.2</w:t>
            </w:r>
            <w:r>
              <w:rPr>
                <w:rFonts w:hint="eastAsia" w:ascii="宋体" w:hAnsi="宋体" w:cs="宋体"/>
                <w:color w:val="auto"/>
                <w:kern w:val="0"/>
                <w:szCs w:val="21"/>
                <w:lang w:val="zh-CN"/>
              </w:rPr>
              <w:t>款</w:t>
            </w:r>
          </w:p>
        </w:tc>
        <w:tc>
          <w:tcPr>
            <w:tcW w:w="2340" w:type="dxa"/>
            <w:vAlign w:val="center"/>
          </w:tcPr>
          <w:p w14:paraId="6142BD71">
            <w:pPr>
              <w:adjustRightInd w:val="0"/>
              <w:snapToGrid w:val="0"/>
              <w:spacing w:line="360" w:lineRule="exact"/>
              <w:jc w:val="center"/>
              <w:rPr>
                <w:rFonts w:ascii="宋体" w:hAnsi="宋体"/>
                <w:color w:val="auto"/>
                <w:szCs w:val="21"/>
              </w:rPr>
            </w:pPr>
            <w:r>
              <w:rPr>
                <w:rFonts w:hint="eastAsia" w:ascii="宋体" w:hAnsi="宋体"/>
                <w:color w:val="auto"/>
                <w:szCs w:val="21"/>
              </w:rPr>
              <w:t>中标候选人并列的确定中标人的方式</w:t>
            </w:r>
          </w:p>
        </w:tc>
        <w:tc>
          <w:tcPr>
            <w:tcW w:w="5317" w:type="dxa"/>
            <w:vAlign w:val="center"/>
          </w:tcPr>
          <w:p w14:paraId="4598402D">
            <w:pPr>
              <w:adjustRightInd w:val="0"/>
              <w:snapToGrid w:val="0"/>
              <w:spacing w:line="360" w:lineRule="exact"/>
              <w:rPr>
                <w:rFonts w:ascii="宋体" w:hAnsi="宋体"/>
                <w:bCs/>
                <w:color w:val="auto"/>
                <w:szCs w:val="21"/>
              </w:rPr>
            </w:pPr>
            <w:r>
              <w:rPr>
                <w:rFonts w:hint="eastAsia" w:ascii="宋体" w:hAnsi="宋体"/>
                <w:bCs/>
                <w:color w:val="auto"/>
                <w:szCs w:val="21"/>
              </w:rPr>
              <w:t>完全满足招标文件实质性需求且综合得分最高的单位为中标单位，得分相同的，按投标报价由低到高顺序排列；得分且投标报价相同的并列，按技术指标优劣顺序排列最高的投标人为排名第一的中标候选人。</w:t>
            </w:r>
          </w:p>
        </w:tc>
      </w:tr>
      <w:tr w14:paraId="3D092B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3911B87B">
            <w:pPr>
              <w:adjustRightInd w:val="0"/>
              <w:snapToGrid w:val="0"/>
              <w:spacing w:line="360" w:lineRule="exact"/>
              <w:jc w:val="center"/>
              <w:rPr>
                <w:rFonts w:ascii="宋体" w:hAnsi="宋体"/>
                <w:color w:val="auto"/>
                <w:szCs w:val="21"/>
              </w:rPr>
            </w:pPr>
            <w:r>
              <w:rPr>
                <w:rFonts w:hint="eastAsia" w:ascii="宋体" w:hAnsi="宋体"/>
                <w:color w:val="auto"/>
                <w:szCs w:val="21"/>
              </w:rPr>
              <w:t>第29.3</w:t>
            </w:r>
            <w:r>
              <w:rPr>
                <w:rFonts w:hint="eastAsia" w:ascii="宋体" w:hAnsi="宋体" w:cs="宋体"/>
                <w:color w:val="auto"/>
                <w:kern w:val="0"/>
                <w:szCs w:val="21"/>
                <w:lang w:val="zh-CN"/>
              </w:rPr>
              <w:t>款</w:t>
            </w:r>
          </w:p>
        </w:tc>
        <w:tc>
          <w:tcPr>
            <w:tcW w:w="2340" w:type="dxa"/>
            <w:vAlign w:val="center"/>
          </w:tcPr>
          <w:p w14:paraId="7EC46AD1">
            <w:pPr>
              <w:adjustRightInd w:val="0"/>
              <w:snapToGrid w:val="0"/>
              <w:spacing w:line="360" w:lineRule="exact"/>
              <w:jc w:val="center"/>
              <w:rPr>
                <w:rFonts w:ascii="宋体" w:hAnsi="宋体"/>
                <w:color w:val="auto"/>
                <w:szCs w:val="21"/>
              </w:rPr>
            </w:pPr>
            <w:r>
              <w:rPr>
                <w:rFonts w:hint="eastAsia" w:ascii="宋体" w:hAnsi="宋体"/>
                <w:color w:val="auto"/>
                <w:szCs w:val="21"/>
              </w:rPr>
              <w:t>接收质疑函的联系部门、联系电话和通讯地址</w:t>
            </w:r>
          </w:p>
        </w:tc>
        <w:tc>
          <w:tcPr>
            <w:tcW w:w="5317" w:type="dxa"/>
            <w:vAlign w:val="center"/>
          </w:tcPr>
          <w:p w14:paraId="1DFE4282">
            <w:pPr>
              <w:adjustRightInd w:val="0"/>
              <w:snapToGrid w:val="0"/>
              <w:spacing w:line="360" w:lineRule="auto"/>
              <w:ind w:firstLine="210" w:firstLineChars="100"/>
              <w:rPr>
                <w:rFonts w:hint="eastAsia" w:ascii="宋体" w:hAnsi="宋体"/>
                <w:color w:val="auto"/>
                <w:szCs w:val="21"/>
                <w:lang w:eastAsia="zh-CN"/>
              </w:rPr>
            </w:pPr>
            <w:r>
              <w:rPr>
                <w:rFonts w:hint="eastAsia" w:ascii="宋体" w:hAnsi="宋体"/>
                <w:color w:val="auto"/>
                <w:szCs w:val="21"/>
              </w:rPr>
              <w:t>1.名 称：</w:t>
            </w:r>
            <w:r>
              <w:rPr>
                <w:rFonts w:hint="eastAsia" w:ascii="宋体" w:hAnsi="宋体"/>
                <w:color w:val="auto"/>
                <w:szCs w:val="21"/>
                <w:lang w:eastAsia="zh-CN"/>
              </w:rPr>
              <w:t>新化县卫生健康局</w:t>
            </w:r>
          </w:p>
          <w:p w14:paraId="0BE7A990">
            <w:pPr>
              <w:numPr>
                <w:ilvl w:val="0"/>
                <w:numId w:val="0"/>
              </w:numPr>
              <w:adjustRightInd w:val="0"/>
              <w:snapToGrid w:val="0"/>
              <w:spacing w:line="360" w:lineRule="auto"/>
              <w:ind w:leftChars="0" w:firstLine="210" w:firstLineChars="100"/>
              <w:rPr>
                <w:rFonts w:hint="eastAsia" w:ascii="宋体" w:hAnsi="宋体"/>
                <w:color w:val="auto"/>
                <w:szCs w:val="21"/>
                <w:lang w:val="en-US" w:eastAsia="zh-CN"/>
              </w:rPr>
            </w:pPr>
            <w:r>
              <w:rPr>
                <w:rFonts w:hint="eastAsia" w:ascii="宋体" w:hAnsi="宋体"/>
                <w:color w:val="auto"/>
                <w:szCs w:val="21"/>
              </w:rPr>
              <w:t>地  址：</w:t>
            </w:r>
            <w:r>
              <w:rPr>
                <w:rFonts w:hint="eastAsia" w:ascii="宋体" w:hAnsi="宋体"/>
                <w:color w:val="auto"/>
                <w:szCs w:val="21"/>
                <w:lang w:val="en-US" w:eastAsia="zh-CN"/>
              </w:rPr>
              <w:t xml:space="preserve">新化县上渡街道办事处财卫路 </w:t>
            </w:r>
          </w:p>
          <w:p w14:paraId="0319859F">
            <w:pPr>
              <w:adjustRightInd w:val="0"/>
              <w:snapToGrid w:val="0"/>
              <w:spacing w:line="360" w:lineRule="auto"/>
              <w:ind w:firstLine="210" w:firstLineChars="100"/>
              <w:rPr>
                <w:rFonts w:hint="eastAsia" w:ascii="宋体" w:hAnsi="宋体"/>
                <w:color w:val="auto"/>
                <w:szCs w:val="21"/>
                <w:lang w:val="en-US" w:eastAsia="zh-CN"/>
              </w:rPr>
            </w:pPr>
            <w:r>
              <w:rPr>
                <w:rFonts w:hint="eastAsia" w:ascii="宋体" w:hAnsi="宋体"/>
                <w:color w:val="auto"/>
                <w:szCs w:val="21"/>
              </w:rPr>
              <w:t>联系人：</w:t>
            </w:r>
            <w:r>
              <w:rPr>
                <w:rFonts w:hint="eastAsia" w:ascii="宋体" w:hAnsi="宋体"/>
                <w:color w:val="auto"/>
                <w:szCs w:val="21"/>
                <w:lang w:val="en-US" w:eastAsia="zh-CN"/>
              </w:rPr>
              <w:t xml:space="preserve"> 周先生</w:t>
            </w:r>
          </w:p>
          <w:p w14:paraId="5D566CB6">
            <w:pPr>
              <w:adjustRightInd w:val="0"/>
              <w:snapToGrid w:val="0"/>
              <w:spacing w:line="360" w:lineRule="auto"/>
              <w:ind w:firstLine="210" w:firstLineChars="100"/>
              <w:rPr>
                <w:rFonts w:hint="default" w:ascii="宋体" w:hAnsi="宋体" w:eastAsia="宋体" w:cs="宋体"/>
                <w:color w:val="auto"/>
                <w:szCs w:val="21"/>
                <w:lang w:val="en-US" w:eastAsia="zh-CN"/>
              </w:rPr>
            </w:pPr>
            <w:r>
              <w:rPr>
                <w:rFonts w:hint="eastAsia" w:ascii="宋体" w:hAnsi="宋体"/>
                <w:color w:val="auto"/>
                <w:szCs w:val="21"/>
              </w:rPr>
              <w:t>电话：</w:t>
            </w:r>
            <w:r>
              <w:rPr>
                <w:rFonts w:hint="eastAsia" w:ascii="宋体" w:hAnsi="宋体"/>
                <w:color w:val="auto"/>
                <w:szCs w:val="21"/>
                <w:lang w:val="en-US" w:eastAsia="zh-CN"/>
              </w:rPr>
              <w:t xml:space="preserve"> 13973828662</w:t>
            </w:r>
          </w:p>
          <w:p w14:paraId="67144818">
            <w:pPr>
              <w:adjustRightInd w:val="0"/>
              <w:snapToGrid w:val="0"/>
              <w:spacing w:line="360" w:lineRule="auto"/>
              <w:rPr>
                <w:rFonts w:ascii="宋体" w:hAnsi="宋体"/>
                <w:color w:val="auto"/>
                <w:szCs w:val="21"/>
              </w:rPr>
            </w:pPr>
            <w:r>
              <w:rPr>
                <w:rFonts w:hint="eastAsia" w:ascii="宋体" w:hAnsi="宋体"/>
                <w:b/>
                <w:bCs/>
                <w:color w:val="auto"/>
                <w:szCs w:val="21"/>
              </w:rPr>
              <w:t>2.</w:t>
            </w:r>
            <w:r>
              <w:rPr>
                <w:rFonts w:hint="eastAsia" w:ascii="宋体" w:hAnsi="宋体"/>
                <w:color w:val="auto"/>
                <w:szCs w:val="21"/>
              </w:rPr>
              <w:t>名称：娄底市政府采购中心</w:t>
            </w:r>
          </w:p>
          <w:p w14:paraId="04D769BA">
            <w:pPr>
              <w:adjustRightInd w:val="0"/>
              <w:snapToGrid w:val="0"/>
              <w:spacing w:line="360" w:lineRule="auto"/>
              <w:ind w:firstLine="210" w:firstLineChars="100"/>
              <w:rPr>
                <w:rFonts w:ascii="宋体" w:hAnsi="宋体" w:cs="宋体"/>
                <w:color w:val="auto"/>
                <w:szCs w:val="21"/>
              </w:rPr>
            </w:pPr>
            <w:r>
              <w:rPr>
                <w:rFonts w:hint="eastAsia" w:ascii="宋体" w:hAnsi="宋体" w:cs="宋体"/>
                <w:color w:val="auto"/>
                <w:szCs w:val="21"/>
              </w:rPr>
              <w:t>地址：娄底市娄星区勤政街36号</w:t>
            </w:r>
          </w:p>
          <w:p w14:paraId="3762718E">
            <w:pPr>
              <w:adjustRightInd w:val="0"/>
              <w:snapToGrid w:val="0"/>
              <w:spacing w:line="360" w:lineRule="auto"/>
              <w:ind w:firstLine="210" w:firstLineChars="100"/>
              <w:rPr>
                <w:rFonts w:hint="eastAsia" w:ascii="宋体" w:hAnsi="宋体" w:eastAsia="宋体" w:cs="宋体"/>
                <w:color w:val="auto"/>
                <w:szCs w:val="21"/>
                <w:lang w:eastAsia="zh-CN"/>
              </w:rPr>
            </w:pPr>
            <w:r>
              <w:rPr>
                <w:rFonts w:hint="eastAsia" w:ascii="宋体" w:hAnsi="宋体" w:cs="宋体"/>
                <w:color w:val="auto"/>
                <w:szCs w:val="21"/>
              </w:rPr>
              <w:t>联系人：</w:t>
            </w:r>
            <w:r>
              <w:rPr>
                <w:rFonts w:hint="eastAsia" w:ascii="宋体" w:hAnsi="宋体" w:cs="宋体"/>
                <w:color w:val="auto"/>
                <w:szCs w:val="21"/>
                <w:lang w:eastAsia="zh-CN"/>
              </w:rPr>
              <w:t>肖女士</w:t>
            </w:r>
          </w:p>
          <w:p w14:paraId="22F515E2">
            <w:pPr>
              <w:adjustRightInd w:val="0"/>
              <w:snapToGrid w:val="0"/>
              <w:spacing w:line="360" w:lineRule="auto"/>
              <w:ind w:firstLine="210" w:firstLineChars="100"/>
              <w:rPr>
                <w:rFonts w:ascii="宋体" w:hAnsi="宋体"/>
                <w:color w:val="auto"/>
                <w:szCs w:val="21"/>
              </w:rPr>
            </w:pPr>
            <w:r>
              <w:rPr>
                <w:rFonts w:hint="eastAsia" w:ascii="宋体" w:hAnsi="宋体" w:cs="宋体"/>
                <w:color w:val="auto"/>
                <w:szCs w:val="21"/>
              </w:rPr>
              <w:t>电话：0738-6371181</w:t>
            </w:r>
          </w:p>
        </w:tc>
      </w:tr>
      <w:tr w14:paraId="07A519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25FE3742">
            <w:pPr>
              <w:adjustRightInd w:val="0"/>
              <w:snapToGrid w:val="0"/>
              <w:spacing w:line="360" w:lineRule="exact"/>
              <w:rPr>
                <w:rFonts w:ascii="宋体" w:hAnsi="宋体"/>
                <w:color w:val="auto"/>
                <w:szCs w:val="21"/>
              </w:rPr>
            </w:pPr>
            <w:r>
              <w:rPr>
                <w:rFonts w:hint="eastAsia" w:ascii="宋体" w:hAnsi="宋体"/>
                <w:b/>
                <w:color w:val="auto"/>
                <w:szCs w:val="21"/>
              </w:rPr>
              <w:t>七、合同签订</w:t>
            </w:r>
          </w:p>
        </w:tc>
      </w:tr>
      <w:tr w14:paraId="15C7F3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4A03E162">
            <w:pPr>
              <w:adjustRightInd w:val="0"/>
              <w:snapToGrid w:val="0"/>
              <w:spacing w:line="360" w:lineRule="exact"/>
              <w:jc w:val="center"/>
              <w:rPr>
                <w:rFonts w:ascii="宋体" w:hAnsi="宋体"/>
                <w:color w:val="auto"/>
                <w:szCs w:val="21"/>
              </w:rPr>
            </w:pPr>
            <w:r>
              <w:rPr>
                <w:rFonts w:hint="eastAsia" w:ascii="宋体" w:hAnsi="宋体"/>
                <w:color w:val="auto"/>
                <w:szCs w:val="21"/>
              </w:rPr>
              <w:t>第31.1</w:t>
            </w:r>
            <w:r>
              <w:rPr>
                <w:rFonts w:hint="eastAsia" w:ascii="宋体" w:hAnsi="宋体" w:cs="宋体"/>
                <w:color w:val="auto"/>
                <w:kern w:val="0"/>
                <w:szCs w:val="21"/>
                <w:lang w:val="zh-CN"/>
              </w:rPr>
              <w:t>款</w:t>
            </w:r>
          </w:p>
        </w:tc>
        <w:tc>
          <w:tcPr>
            <w:tcW w:w="2340" w:type="dxa"/>
            <w:vAlign w:val="center"/>
          </w:tcPr>
          <w:p w14:paraId="57ED943F">
            <w:pPr>
              <w:adjustRightInd w:val="0"/>
              <w:snapToGrid w:val="0"/>
              <w:spacing w:line="360" w:lineRule="exact"/>
              <w:jc w:val="center"/>
              <w:rPr>
                <w:rFonts w:ascii="宋体" w:hAnsi="宋体"/>
                <w:color w:val="auto"/>
                <w:szCs w:val="21"/>
              </w:rPr>
            </w:pPr>
            <w:r>
              <w:rPr>
                <w:rFonts w:hint="eastAsia" w:ascii="宋体" w:hAnsi="宋体"/>
                <w:color w:val="auto"/>
                <w:szCs w:val="21"/>
              </w:rPr>
              <w:t>履约担保</w:t>
            </w:r>
          </w:p>
        </w:tc>
        <w:tc>
          <w:tcPr>
            <w:tcW w:w="5317" w:type="dxa"/>
            <w:vAlign w:val="center"/>
          </w:tcPr>
          <w:p w14:paraId="6CCE8F11">
            <w:pPr>
              <w:adjustRightIn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不要求提供</w:t>
            </w:r>
          </w:p>
          <w:p w14:paraId="19A1252C">
            <w:pPr>
              <w:pStyle w:val="102"/>
              <w:spacing w:line="360" w:lineRule="exact"/>
              <w:ind w:firstLine="210" w:firstLineChars="100"/>
              <w:rPr>
                <w:rFonts w:ascii="宋体" w:hAnsi="宋体"/>
                <w:color w:val="auto"/>
                <w:sz w:val="21"/>
                <w:szCs w:val="21"/>
              </w:rPr>
            </w:pPr>
            <w:r>
              <w:rPr>
                <w:rFonts w:hint="eastAsia" w:ascii="宋体" w:hAnsi="宋体"/>
                <w:color w:val="auto"/>
                <w:sz w:val="21"/>
                <w:szCs w:val="21"/>
              </w:rPr>
              <w:t>要求提供，履约担保的金额为：</w:t>
            </w:r>
          </w:p>
        </w:tc>
      </w:tr>
      <w:tr w14:paraId="757CC1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6" w:hRule="atLeast"/>
          <w:jc w:val="center"/>
        </w:trPr>
        <w:tc>
          <w:tcPr>
            <w:tcW w:w="8899" w:type="dxa"/>
            <w:gridSpan w:val="3"/>
            <w:vAlign w:val="center"/>
          </w:tcPr>
          <w:p w14:paraId="51F2DC50">
            <w:pPr>
              <w:adjustRightInd w:val="0"/>
              <w:spacing w:line="360" w:lineRule="exact"/>
              <w:rPr>
                <w:rFonts w:ascii="宋体" w:hAnsi="宋体"/>
                <w:color w:val="auto"/>
                <w:szCs w:val="21"/>
              </w:rPr>
            </w:pPr>
            <w:r>
              <w:rPr>
                <w:rFonts w:hint="eastAsia" w:ascii="宋体" w:hAnsi="宋体"/>
                <w:b/>
                <w:bCs/>
                <w:color w:val="auto"/>
                <w:szCs w:val="21"/>
              </w:rPr>
              <w:t>八、政府采购政策</w:t>
            </w:r>
          </w:p>
        </w:tc>
      </w:tr>
      <w:tr w14:paraId="4DB36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1" w:hRule="atLeast"/>
          <w:jc w:val="center"/>
        </w:trPr>
        <w:tc>
          <w:tcPr>
            <w:tcW w:w="1242" w:type="dxa"/>
            <w:vAlign w:val="center"/>
          </w:tcPr>
          <w:p w14:paraId="4DECFC0D">
            <w:pPr>
              <w:adjustRightInd w:val="0"/>
              <w:snapToGrid w:val="0"/>
              <w:spacing w:line="360" w:lineRule="exact"/>
              <w:jc w:val="center"/>
              <w:rPr>
                <w:rFonts w:ascii="宋体" w:hAnsi="宋体"/>
                <w:color w:val="auto"/>
                <w:szCs w:val="21"/>
              </w:rPr>
            </w:pPr>
            <w:r>
              <w:rPr>
                <w:rFonts w:hint="eastAsia" w:ascii="宋体" w:hAnsi="宋体"/>
                <w:color w:val="auto"/>
                <w:szCs w:val="21"/>
              </w:rPr>
              <w:t>第33.8款</w:t>
            </w:r>
          </w:p>
        </w:tc>
        <w:tc>
          <w:tcPr>
            <w:tcW w:w="2340" w:type="dxa"/>
            <w:vAlign w:val="center"/>
          </w:tcPr>
          <w:p w14:paraId="6885C4FA">
            <w:pPr>
              <w:adjustRightInd w:val="0"/>
              <w:snapToGrid w:val="0"/>
              <w:spacing w:line="360" w:lineRule="exact"/>
              <w:jc w:val="center"/>
              <w:rPr>
                <w:rFonts w:ascii="宋体" w:hAnsi="宋体"/>
                <w:color w:val="auto"/>
                <w:szCs w:val="21"/>
              </w:rPr>
            </w:pPr>
            <w:r>
              <w:rPr>
                <w:rFonts w:hint="eastAsia" w:ascii="宋体" w:hAnsi="宋体"/>
                <w:color w:val="auto"/>
                <w:szCs w:val="21"/>
              </w:rPr>
              <w:t>采购进口产品</w:t>
            </w:r>
          </w:p>
        </w:tc>
        <w:tc>
          <w:tcPr>
            <w:tcW w:w="5317" w:type="dxa"/>
            <w:vAlign w:val="center"/>
          </w:tcPr>
          <w:p w14:paraId="1FC4FCFA">
            <w:pPr>
              <w:adjustRightInd w:val="0"/>
              <w:spacing w:line="360" w:lineRule="exact"/>
              <w:ind w:firstLine="630" w:firstLineChars="300"/>
              <w:rPr>
                <w:rFonts w:hint="default" w:eastAsia="宋体"/>
                <w:color w:val="auto"/>
                <w:lang w:val="en-US" w:eastAsia="zh-CN"/>
              </w:rPr>
            </w:pPr>
            <w:r>
              <w:rPr>
                <w:rFonts w:hint="eastAsia"/>
                <w:color w:val="auto"/>
                <w:lang w:val="en-US" w:eastAsia="zh-CN"/>
              </w:rPr>
              <w:t xml:space="preserve"> /</w:t>
            </w:r>
          </w:p>
        </w:tc>
      </w:tr>
      <w:tr w14:paraId="562790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23831FEA">
            <w:pPr>
              <w:adjustRightInd w:val="0"/>
              <w:snapToGrid w:val="0"/>
              <w:spacing w:line="360" w:lineRule="exact"/>
              <w:rPr>
                <w:rFonts w:ascii="宋体" w:hAnsi="宋体"/>
                <w:b/>
                <w:color w:val="auto"/>
                <w:szCs w:val="21"/>
              </w:rPr>
            </w:pPr>
            <w:r>
              <w:rPr>
                <w:rFonts w:hint="eastAsia" w:ascii="宋体" w:hAnsi="宋体"/>
                <w:b/>
                <w:color w:val="auto"/>
                <w:szCs w:val="21"/>
              </w:rPr>
              <w:t>九、其他规定</w:t>
            </w:r>
          </w:p>
        </w:tc>
      </w:tr>
      <w:tr w14:paraId="669209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71B973ED">
            <w:pPr>
              <w:adjustRightInd w:val="0"/>
              <w:snapToGrid w:val="0"/>
              <w:spacing w:line="360" w:lineRule="exact"/>
              <w:jc w:val="center"/>
              <w:rPr>
                <w:rFonts w:ascii="宋体" w:hAnsi="宋体"/>
                <w:color w:val="auto"/>
                <w:szCs w:val="21"/>
              </w:rPr>
            </w:pPr>
            <w:r>
              <w:rPr>
                <w:rFonts w:hint="eastAsia" w:ascii="宋体" w:hAnsi="宋体"/>
                <w:color w:val="auto"/>
                <w:szCs w:val="21"/>
              </w:rPr>
              <w:t>第35.1(1)</w:t>
            </w:r>
            <w:r>
              <w:rPr>
                <w:rFonts w:hint="eastAsia" w:ascii="宋体" w:hAnsi="宋体" w:cs="宋体"/>
                <w:color w:val="auto"/>
                <w:kern w:val="0"/>
                <w:szCs w:val="21"/>
                <w:lang w:val="zh-CN"/>
              </w:rPr>
              <w:t>款</w:t>
            </w:r>
          </w:p>
        </w:tc>
        <w:tc>
          <w:tcPr>
            <w:tcW w:w="2340" w:type="dxa"/>
            <w:vAlign w:val="center"/>
          </w:tcPr>
          <w:p w14:paraId="04EA2C09">
            <w:pPr>
              <w:adjustRightInd w:val="0"/>
              <w:snapToGrid w:val="0"/>
              <w:spacing w:line="360" w:lineRule="exact"/>
              <w:jc w:val="center"/>
              <w:rPr>
                <w:rFonts w:ascii="宋体" w:hAnsi="宋体"/>
                <w:color w:val="auto"/>
                <w:szCs w:val="21"/>
              </w:rPr>
            </w:pPr>
            <w:r>
              <w:rPr>
                <w:rFonts w:hint="eastAsia" w:ascii="宋体" w:hAnsi="宋体"/>
                <w:color w:val="auto"/>
                <w:szCs w:val="21"/>
              </w:rPr>
              <w:t>合同预付款的支付比例和支付条件</w:t>
            </w:r>
          </w:p>
        </w:tc>
        <w:tc>
          <w:tcPr>
            <w:tcW w:w="5317" w:type="dxa"/>
            <w:vAlign w:val="center"/>
          </w:tcPr>
          <w:p w14:paraId="45C8264A">
            <w:pPr>
              <w:spacing w:line="360" w:lineRule="exact"/>
              <w:rPr>
                <w:rFonts w:ascii="宋体" w:hAnsi="宋体"/>
                <w:color w:val="auto"/>
                <w:szCs w:val="21"/>
              </w:rPr>
            </w:pPr>
            <w:r>
              <w:rPr>
                <w:rFonts w:hint="eastAsia" w:ascii="宋体" w:hAnsi="宋体"/>
                <w:color w:val="auto"/>
                <w:szCs w:val="21"/>
              </w:rPr>
              <w:t>/</w:t>
            </w:r>
          </w:p>
        </w:tc>
      </w:tr>
      <w:tr w14:paraId="58FB1A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33E0084E">
            <w:pPr>
              <w:adjustRightInd w:val="0"/>
              <w:snapToGrid w:val="0"/>
              <w:spacing w:line="360" w:lineRule="exact"/>
              <w:jc w:val="center"/>
              <w:rPr>
                <w:rFonts w:ascii="宋体" w:hAnsi="宋体"/>
                <w:color w:val="auto"/>
                <w:szCs w:val="21"/>
              </w:rPr>
            </w:pPr>
            <w:r>
              <w:rPr>
                <w:rFonts w:hint="eastAsia" w:ascii="宋体" w:hAnsi="宋体"/>
                <w:color w:val="auto"/>
                <w:szCs w:val="21"/>
              </w:rPr>
              <w:t>第35.1</w:t>
            </w:r>
            <w:r>
              <w:rPr>
                <w:rFonts w:hint="eastAsia" w:ascii="宋体" w:hAnsi="宋体" w:cs="宋体"/>
                <w:color w:val="auto"/>
                <w:kern w:val="0"/>
                <w:szCs w:val="21"/>
                <w:lang w:val="zh-CN"/>
              </w:rPr>
              <w:t>（</w:t>
            </w:r>
            <w:r>
              <w:rPr>
                <w:rFonts w:hint="eastAsia" w:ascii="宋体" w:hAnsi="宋体" w:cs="宋体"/>
                <w:color w:val="auto"/>
                <w:kern w:val="0"/>
                <w:szCs w:val="21"/>
              </w:rPr>
              <w:t>2</w:t>
            </w:r>
            <w:r>
              <w:rPr>
                <w:rFonts w:hint="eastAsia" w:ascii="宋体" w:hAnsi="宋体" w:cs="宋体"/>
                <w:color w:val="auto"/>
                <w:kern w:val="0"/>
                <w:szCs w:val="21"/>
                <w:lang w:val="zh-CN"/>
              </w:rPr>
              <w:t>）</w:t>
            </w:r>
            <w:r>
              <w:rPr>
                <w:rFonts w:hint="eastAsia" w:ascii="宋体" w:hAnsi="宋体" w:cs="宋体"/>
                <w:color w:val="auto"/>
                <w:kern w:val="0"/>
                <w:szCs w:val="21"/>
              </w:rPr>
              <w:t>项</w:t>
            </w:r>
          </w:p>
        </w:tc>
        <w:tc>
          <w:tcPr>
            <w:tcW w:w="2340" w:type="dxa"/>
            <w:vAlign w:val="center"/>
          </w:tcPr>
          <w:p w14:paraId="655D06C4">
            <w:pPr>
              <w:adjustRightInd w:val="0"/>
              <w:snapToGrid w:val="0"/>
              <w:spacing w:line="360" w:lineRule="exact"/>
              <w:jc w:val="center"/>
              <w:rPr>
                <w:rFonts w:ascii="宋体" w:hAnsi="宋体"/>
                <w:color w:val="auto"/>
                <w:szCs w:val="21"/>
              </w:rPr>
            </w:pPr>
            <w:r>
              <w:rPr>
                <w:rFonts w:hint="eastAsia" w:ascii="宋体" w:hAnsi="宋体"/>
                <w:color w:val="auto"/>
                <w:szCs w:val="21"/>
              </w:rPr>
              <w:t>质量保证金</w:t>
            </w:r>
          </w:p>
        </w:tc>
        <w:tc>
          <w:tcPr>
            <w:tcW w:w="5317" w:type="dxa"/>
            <w:vAlign w:val="center"/>
          </w:tcPr>
          <w:p w14:paraId="6CB9CB2B">
            <w:pPr>
              <w:spacing w:line="360" w:lineRule="exact"/>
              <w:rPr>
                <w:rFonts w:ascii="宋体" w:hAnsi="宋体"/>
                <w:color w:val="auto"/>
                <w:szCs w:val="21"/>
              </w:rPr>
            </w:pPr>
            <w:r>
              <w:rPr>
                <w:rFonts w:hint="eastAsia" w:ascii="宋体" w:hAnsi="宋体"/>
                <w:color w:val="auto"/>
                <w:szCs w:val="21"/>
              </w:rPr>
              <w:t>/</w:t>
            </w:r>
          </w:p>
        </w:tc>
      </w:tr>
      <w:tr w14:paraId="5BA2FA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2" w:hRule="atLeast"/>
          <w:jc w:val="center"/>
        </w:trPr>
        <w:tc>
          <w:tcPr>
            <w:tcW w:w="1242" w:type="dxa"/>
            <w:vMerge w:val="restart"/>
            <w:vAlign w:val="center"/>
          </w:tcPr>
          <w:p w14:paraId="041F2C4C">
            <w:pPr>
              <w:adjustRightInd w:val="0"/>
              <w:snapToGrid w:val="0"/>
              <w:spacing w:line="360" w:lineRule="exact"/>
              <w:jc w:val="center"/>
              <w:rPr>
                <w:rFonts w:hint="eastAsia" w:ascii="宋体" w:hAnsi="宋体"/>
                <w:color w:val="auto"/>
                <w:szCs w:val="21"/>
              </w:rPr>
            </w:pPr>
          </w:p>
        </w:tc>
        <w:tc>
          <w:tcPr>
            <w:tcW w:w="2340" w:type="dxa"/>
            <w:tcBorders>
              <w:top w:val="single" w:color="auto" w:sz="4" w:space="0"/>
              <w:bottom w:val="single" w:color="auto" w:sz="4" w:space="0"/>
            </w:tcBorders>
            <w:vAlign w:val="center"/>
          </w:tcPr>
          <w:p w14:paraId="4F49D8BB">
            <w:pPr>
              <w:wordWrap w:val="0"/>
              <w:adjustRightInd w:val="0"/>
              <w:snapToGrid w:val="0"/>
              <w:spacing w:line="440" w:lineRule="exact"/>
              <w:jc w:val="center"/>
              <w:rPr>
                <w:rFonts w:hint="eastAsia" w:ascii="宋体" w:hAnsi="宋体"/>
                <w:color w:val="auto"/>
                <w:szCs w:val="21"/>
              </w:rPr>
            </w:pPr>
            <w:r>
              <w:rPr>
                <w:rFonts w:hint="eastAsia" w:ascii="宋体" w:hAnsi="宋体" w:cs="宋体"/>
                <w:color w:val="auto"/>
                <w:szCs w:val="21"/>
              </w:rPr>
              <w:t>招标代理服务费</w:t>
            </w:r>
          </w:p>
        </w:tc>
        <w:tc>
          <w:tcPr>
            <w:tcW w:w="5317" w:type="dxa"/>
            <w:tcBorders>
              <w:top w:val="single" w:color="auto" w:sz="4" w:space="0"/>
              <w:bottom w:val="single" w:color="auto" w:sz="4" w:space="0"/>
            </w:tcBorders>
            <w:vAlign w:val="center"/>
          </w:tcPr>
          <w:p w14:paraId="7FA39F87">
            <w:pPr>
              <w:wordWrap w:val="0"/>
              <w:adjustRightInd w:val="0"/>
              <w:snapToGrid w:val="0"/>
              <w:spacing w:line="440" w:lineRule="exact"/>
              <w:rPr>
                <w:rFonts w:hint="eastAsia" w:ascii="宋体" w:hAnsi="宋体" w:eastAsia="宋体"/>
                <w:color w:val="auto"/>
                <w:szCs w:val="21"/>
                <w:lang w:eastAsia="zh-CN"/>
              </w:rPr>
            </w:pPr>
            <w:r>
              <w:rPr>
                <w:rFonts w:hint="eastAsia" w:ascii="MS Gothic" w:hAnsi="MS Gothic" w:cs="MS Gothic"/>
                <w:color w:val="auto"/>
                <w:szCs w:val="21"/>
              </w:rPr>
              <w:t>集中采购机构不收取代理服务费</w:t>
            </w:r>
            <w:r>
              <w:rPr>
                <w:rFonts w:hint="eastAsia" w:ascii="MS Gothic" w:hAnsi="MS Gothic" w:cs="MS Gothic"/>
                <w:color w:val="auto"/>
                <w:szCs w:val="21"/>
                <w:lang w:eastAsia="zh-CN"/>
              </w:rPr>
              <w:t>。</w:t>
            </w:r>
          </w:p>
        </w:tc>
      </w:tr>
      <w:tr w14:paraId="0CCACA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9" w:hRule="atLeast"/>
          <w:jc w:val="center"/>
        </w:trPr>
        <w:tc>
          <w:tcPr>
            <w:tcW w:w="1242" w:type="dxa"/>
            <w:vMerge w:val="continue"/>
            <w:vAlign w:val="center"/>
          </w:tcPr>
          <w:p w14:paraId="39F087E4">
            <w:pPr>
              <w:adjustRightInd w:val="0"/>
              <w:snapToGrid w:val="0"/>
              <w:spacing w:line="360" w:lineRule="exact"/>
              <w:jc w:val="center"/>
              <w:rPr>
                <w:rFonts w:hint="eastAsia" w:ascii="宋体" w:hAnsi="宋体"/>
                <w:color w:val="auto"/>
                <w:szCs w:val="21"/>
              </w:rPr>
            </w:pPr>
          </w:p>
        </w:tc>
        <w:tc>
          <w:tcPr>
            <w:tcW w:w="2340" w:type="dxa"/>
            <w:tcBorders>
              <w:top w:val="single" w:color="auto" w:sz="4" w:space="0"/>
            </w:tcBorders>
            <w:shd w:val="clear" w:color="auto" w:fill="auto"/>
            <w:vAlign w:val="center"/>
          </w:tcPr>
          <w:p w14:paraId="3DD95A7C">
            <w:pPr>
              <w:wordWrap w:val="0"/>
              <w:adjustRightInd w:val="0"/>
              <w:snapToGrid w:val="0"/>
              <w:spacing w:line="440" w:lineRule="exact"/>
              <w:jc w:val="center"/>
              <w:rPr>
                <w:rFonts w:hint="eastAsia" w:ascii="宋体" w:hAnsi="宋体" w:eastAsia="宋体" w:cs="Times New Roman"/>
                <w:color w:val="auto"/>
                <w:kern w:val="2"/>
                <w:sz w:val="21"/>
                <w:szCs w:val="21"/>
                <w:lang w:val="en-US" w:eastAsia="zh-CN" w:bidi="ar-SA"/>
              </w:rPr>
            </w:pPr>
            <w:r>
              <w:rPr>
                <w:rFonts w:hint="eastAsia" w:ascii="宋体" w:hAnsi="宋体" w:cs="宋体"/>
                <w:color w:val="auto"/>
                <w:szCs w:val="21"/>
              </w:rPr>
              <w:t>信用信息查询</w:t>
            </w:r>
          </w:p>
        </w:tc>
        <w:tc>
          <w:tcPr>
            <w:tcW w:w="5317" w:type="dxa"/>
            <w:tcBorders>
              <w:top w:val="single" w:color="auto" w:sz="4" w:space="0"/>
              <w:bottom w:val="single" w:color="auto" w:sz="4" w:space="0"/>
            </w:tcBorders>
            <w:shd w:val="clear" w:color="auto" w:fill="auto"/>
            <w:vAlign w:val="center"/>
          </w:tcPr>
          <w:p w14:paraId="7EAC4E64">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对列入失信被执行人、重大税收违法案件当事人名单、政府采购严重违法失信行为记录名单及其他不符合《中华人民共和国政府采购法》第二十二条规定条件的投标人，将拒绝其参与政府采购活动。</w:t>
            </w:r>
          </w:p>
          <w:p w14:paraId="6B5133A0">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（1）信用信息查询的查询渠道：信用中国网（www.creditchina.gov.cn）、中国政府采购网（www.ccgp.gov.cn）；</w:t>
            </w:r>
          </w:p>
          <w:p w14:paraId="191FD581">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2）不良信用记录是指：投标人在“信用中国”网站被列入失信被执行人和重大税收违法失信主体名单，或在“中国政府采购网”网站被列入政府采购严重违法失信行为记录名单。投标人有上述不良信用记录的，其投标无效，其中，列入政府采购严重违法失信行为记录名单的，按处罚结果执行。</w:t>
            </w:r>
          </w:p>
          <w:p w14:paraId="1BB92603">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（3）联合体形式投标的，联合体成员存在不良信用记录的，视同联合体存在不良信用记录。</w:t>
            </w:r>
          </w:p>
          <w:p w14:paraId="20DCC08C">
            <w:pPr>
              <w:pStyle w:val="102"/>
              <w:wordWrap w:val="0"/>
              <w:spacing w:line="440" w:lineRule="exact"/>
              <w:ind w:firstLine="4" w:firstLineChars="2"/>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（4）信用信息查询记录和证据留存具体方式：将查询网页截图作为查询记录和证据。</w:t>
            </w:r>
          </w:p>
          <w:p w14:paraId="593079DD">
            <w:pPr>
              <w:wordWrap w:val="0"/>
              <w:spacing w:line="440" w:lineRule="exact"/>
              <w:rPr>
                <w:rFonts w:hint="eastAsia" w:ascii="宋体" w:hAnsi="宋体" w:cs="宋体"/>
                <w:color w:val="auto"/>
                <w:szCs w:val="21"/>
              </w:rPr>
            </w:pPr>
            <w:r>
              <w:rPr>
                <w:rFonts w:hint="eastAsia" w:ascii="宋体" w:hAnsi="宋体" w:cs="宋体"/>
                <w:color w:val="auto"/>
                <w:szCs w:val="21"/>
              </w:rPr>
              <w:t>（5）信用信息查询的截止时点：至本项目投标截止时间止（或至本项目响应文件提交截止时间止）。</w:t>
            </w:r>
          </w:p>
          <w:p w14:paraId="0A22893A">
            <w:pPr>
              <w:wordWrap w:val="0"/>
              <w:adjustRightInd w:val="0"/>
              <w:snapToGrid w:val="0"/>
              <w:spacing w:line="440" w:lineRule="exact"/>
              <w:rPr>
                <w:rFonts w:hint="eastAsia" w:ascii="宋体" w:hAnsi="宋体" w:eastAsia="宋体" w:cs="Times New Roman"/>
                <w:color w:val="auto"/>
                <w:kern w:val="2"/>
                <w:sz w:val="21"/>
                <w:szCs w:val="21"/>
                <w:lang w:val="en-US" w:eastAsia="zh-CN" w:bidi="ar-SA"/>
              </w:rPr>
            </w:pPr>
            <w:r>
              <w:rPr>
                <w:rFonts w:hint="eastAsia" w:ascii="宋体" w:hAnsi="宋体" w:cs="宋体"/>
                <w:color w:val="auto"/>
                <w:szCs w:val="21"/>
              </w:rPr>
              <w:t>（6）信用信息的使用规则：投标人有上述不良信用记录的，其投标无效，其中，列入政府采购严重违法失信行为记录名单的，按处罚结果执行。</w:t>
            </w:r>
          </w:p>
        </w:tc>
      </w:tr>
    </w:tbl>
    <w:p w14:paraId="40FBCE05">
      <w:pPr>
        <w:pStyle w:val="3"/>
        <w:jc w:val="center"/>
        <w:rPr>
          <w:rFonts w:ascii="黑体" w:hAnsi="黑体" w:eastAsia="黑体"/>
          <w:b w:val="0"/>
          <w:color w:val="auto"/>
          <w:sz w:val="28"/>
          <w:szCs w:val="28"/>
        </w:rPr>
      </w:pPr>
      <w:r>
        <w:rPr>
          <w:rFonts w:ascii="宋体" w:hAnsi="宋体"/>
          <w:b w:val="0"/>
          <w:color w:val="auto"/>
          <w:szCs w:val="21"/>
        </w:rPr>
        <w:br w:type="page"/>
      </w:r>
      <w:bookmarkStart w:id="68" w:name="_Toc31436"/>
      <w:bookmarkStart w:id="69" w:name="_Toc192951214"/>
      <w:bookmarkStart w:id="70" w:name="_Toc12780"/>
      <w:bookmarkStart w:id="71" w:name="_Toc112704934"/>
      <w:bookmarkStart w:id="72" w:name="_Toc108341938"/>
      <w:bookmarkStart w:id="73" w:name="_Toc154428391"/>
      <w:bookmarkStart w:id="74" w:name="_Toc95601366"/>
      <w:bookmarkStart w:id="75" w:name="_Toc192949604"/>
      <w:bookmarkStart w:id="76" w:name="_Toc75289227"/>
      <w:bookmarkStart w:id="77" w:name="_Toc100670669"/>
      <w:bookmarkStart w:id="78" w:name="_Toc78449956"/>
      <w:bookmarkStart w:id="79" w:name="_Toc192949703"/>
      <w:bookmarkStart w:id="80" w:name="_Toc10856"/>
      <w:bookmarkStart w:id="81" w:name="_Toc117192449"/>
      <w:bookmarkStart w:id="82" w:name="_Toc77676467"/>
      <w:bookmarkStart w:id="83" w:name="_Toc377"/>
      <w:bookmarkStart w:id="84" w:name="_Toc94367881"/>
      <w:bookmarkStart w:id="85" w:name="_Toc85972931"/>
      <w:bookmarkStart w:id="86" w:name="_Toc114036713"/>
      <w:bookmarkStart w:id="87" w:name="_Toc171273672"/>
      <w:bookmarkStart w:id="88" w:name="_Toc3696"/>
      <w:bookmarkStart w:id="89" w:name="_Toc4847"/>
      <w:bookmarkStart w:id="90" w:name="_Toc78314263"/>
      <w:bookmarkStart w:id="91" w:name="_Toc24535"/>
      <w:bookmarkStart w:id="92" w:name="_Toc77199400"/>
      <w:bookmarkStart w:id="93" w:name="_Toc4779"/>
      <w:bookmarkStart w:id="94" w:name="_Toc100670422"/>
      <w:bookmarkStart w:id="95" w:name="_Toc13144"/>
      <w:bookmarkStart w:id="96" w:name="_Toc15888486"/>
      <w:bookmarkStart w:id="97" w:name="_Toc75289549"/>
      <w:r>
        <w:rPr>
          <w:rFonts w:hint="eastAsia" w:ascii="黑体" w:hAnsi="黑体" w:eastAsia="黑体"/>
          <w:b w:val="0"/>
          <w:color w:val="auto"/>
          <w:sz w:val="28"/>
          <w:szCs w:val="28"/>
        </w:rPr>
        <w:t>第二节投标须知正文</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0F0E8716">
      <w:pPr>
        <w:pStyle w:val="4"/>
        <w:adjustRightInd w:val="0"/>
        <w:snapToGrid w:val="0"/>
        <w:spacing w:before="120" w:beforeLines="50" w:after="0" w:line="360" w:lineRule="auto"/>
        <w:jc w:val="center"/>
        <w:rPr>
          <w:rFonts w:ascii="黑体" w:hAnsi="黑体" w:eastAsia="黑体"/>
          <w:b w:val="0"/>
          <w:color w:val="auto"/>
          <w:sz w:val="28"/>
          <w:szCs w:val="28"/>
        </w:rPr>
      </w:pPr>
      <w:bookmarkStart w:id="98" w:name="_Toc23991"/>
      <w:bookmarkStart w:id="99" w:name="_Toc14791"/>
      <w:bookmarkStart w:id="100" w:name="_Toc192949704"/>
      <w:bookmarkStart w:id="101" w:name="_Toc3976"/>
      <w:bookmarkStart w:id="102" w:name="_Toc95601367"/>
      <w:bookmarkStart w:id="103" w:name="_Toc192949605"/>
      <w:bookmarkStart w:id="104" w:name="_Toc75289550"/>
      <w:bookmarkStart w:id="105" w:name="_Toc77676468"/>
      <w:bookmarkStart w:id="106" w:name="_Toc24047"/>
      <w:bookmarkStart w:id="107" w:name="_Toc78314264"/>
      <w:bookmarkStart w:id="108" w:name="_Toc171273673"/>
      <w:bookmarkStart w:id="109" w:name="_Toc1631"/>
      <w:bookmarkStart w:id="110" w:name="_Toc154428392"/>
      <w:bookmarkStart w:id="111" w:name="_Toc75289228"/>
      <w:bookmarkStart w:id="112" w:name="_Toc100670423"/>
      <w:bookmarkStart w:id="113" w:name="_Toc15888487"/>
      <w:bookmarkStart w:id="114" w:name="_Toc114036714"/>
      <w:bookmarkStart w:id="115" w:name="_Toc78449957"/>
      <w:bookmarkStart w:id="116" w:name="_Toc85972932"/>
      <w:bookmarkStart w:id="117" w:name="_Toc100670670"/>
      <w:bookmarkStart w:id="118" w:name="_Toc77199401"/>
      <w:bookmarkStart w:id="119" w:name="_Toc108341939"/>
      <w:bookmarkStart w:id="120" w:name="_Toc112704935"/>
      <w:bookmarkStart w:id="121" w:name="_Toc192951215"/>
      <w:bookmarkStart w:id="122" w:name="_Toc94367882"/>
      <w:bookmarkStart w:id="123" w:name="_Toc1045"/>
      <w:bookmarkStart w:id="124" w:name="_Toc18614"/>
      <w:bookmarkStart w:id="125" w:name="_Toc14584"/>
      <w:bookmarkStart w:id="126" w:name="_Toc17656"/>
      <w:bookmarkStart w:id="127" w:name="_Toc117192450"/>
      <w:r>
        <w:rPr>
          <w:rFonts w:hint="eastAsia" w:ascii="黑体" w:hAnsi="黑体" w:eastAsia="黑体"/>
          <w:color w:val="auto"/>
          <w:sz w:val="28"/>
          <w:szCs w:val="28"/>
        </w:rPr>
        <w:t>一、总则</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0CC9381E">
      <w:pPr>
        <w:adjustRightInd w:val="0"/>
        <w:snapToGrid w:val="0"/>
        <w:spacing w:line="360" w:lineRule="auto"/>
        <w:rPr>
          <w:rFonts w:ascii="宋体" w:hAnsi="宋体"/>
          <w:b/>
          <w:bCs/>
          <w:color w:val="auto"/>
          <w:sz w:val="24"/>
        </w:rPr>
      </w:pPr>
      <w:r>
        <w:rPr>
          <w:rFonts w:hint="eastAsia" w:ascii="宋体" w:hAnsi="宋体"/>
          <w:b/>
          <w:bCs/>
          <w:color w:val="auto"/>
          <w:sz w:val="24"/>
        </w:rPr>
        <w:t>1. 适用范围</w:t>
      </w:r>
    </w:p>
    <w:p w14:paraId="58F376D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1.1本招标文件仅适用于本章第一节</w:t>
      </w:r>
      <w:r>
        <w:rPr>
          <w:rFonts w:hint="eastAsia" w:ascii="宋体" w:hAnsi="宋体"/>
          <w:b/>
          <w:bCs/>
          <w:color w:val="auto"/>
          <w:szCs w:val="21"/>
        </w:rPr>
        <w:t>【投标须知前附表】</w:t>
      </w:r>
      <w:r>
        <w:rPr>
          <w:rFonts w:hint="eastAsia" w:ascii="宋体" w:hAnsi="宋体"/>
          <w:color w:val="auto"/>
          <w:szCs w:val="21"/>
        </w:rPr>
        <w:t>中所叙述的采购项目。</w:t>
      </w:r>
    </w:p>
    <w:p w14:paraId="5BD70CE8">
      <w:pPr>
        <w:adjustRightInd w:val="0"/>
        <w:snapToGrid w:val="0"/>
        <w:spacing w:line="360" w:lineRule="auto"/>
        <w:ind w:firstLine="420" w:firstLineChars="200"/>
        <w:rPr>
          <w:rFonts w:ascii="宋体" w:hAnsi="宋体"/>
          <w:color w:val="auto"/>
          <w:szCs w:val="21"/>
        </w:rPr>
      </w:pPr>
      <w:r>
        <w:rPr>
          <w:rFonts w:ascii="宋体" w:hAnsi="宋体"/>
          <w:color w:val="auto"/>
          <w:szCs w:val="21"/>
        </w:rPr>
        <w:t>1.2</w:t>
      </w:r>
      <w:r>
        <w:rPr>
          <w:rFonts w:hint="eastAsia" w:ascii="宋体" w:hAnsi="宋体"/>
          <w:b/>
          <w:color w:val="auto"/>
          <w:szCs w:val="21"/>
        </w:rPr>
        <w:t>【投标须知前附表】</w:t>
      </w:r>
      <w:r>
        <w:rPr>
          <w:rFonts w:hint="eastAsia" w:ascii="宋体" w:hAnsi="宋体"/>
          <w:color w:val="auto"/>
          <w:szCs w:val="21"/>
        </w:rPr>
        <w:t>规定采购项目或者采购包属于“预留采购份额”的，投标人应当符合本章第33.7款规定，否则，其</w:t>
      </w:r>
      <w:r>
        <w:rPr>
          <w:rFonts w:hint="eastAsia" w:ascii="宋体" w:hAnsi="宋体"/>
          <w:b/>
          <w:color w:val="auto"/>
          <w:szCs w:val="21"/>
        </w:rPr>
        <w:t>投标无效</w:t>
      </w:r>
      <w:r>
        <w:rPr>
          <w:rFonts w:hint="eastAsia" w:ascii="宋体" w:hAnsi="宋体"/>
          <w:color w:val="auto"/>
          <w:szCs w:val="21"/>
        </w:rPr>
        <w:t>。</w:t>
      </w:r>
    </w:p>
    <w:p w14:paraId="3079D84C">
      <w:pPr>
        <w:adjustRightInd w:val="0"/>
        <w:snapToGrid w:val="0"/>
        <w:spacing w:line="360" w:lineRule="auto"/>
        <w:rPr>
          <w:rFonts w:ascii="宋体" w:hAnsi="宋体"/>
          <w:b/>
          <w:bCs/>
          <w:color w:val="auto"/>
          <w:sz w:val="24"/>
        </w:rPr>
      </w:pPr>
      <w:r>
        <w:rPr>
          <w:rFonts w:hint="eastAsia" w:ascii="宋体" w:hAnsi="宋体"/>
          <w:b/>
          <w:bCs/>
          <w:color w:val="auto"/>
          <w:sz w:val="24"/>
        </w:rPr>
        <w:t>2. 定义</w:t>
      </w:r>
    </w:p>
    <w:p w14:paraId="7638B2E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2.1采购项目联系人姓名和电话见</w:t>
      </w:r>
      <w:r>
        <w:rPr>
          <w:rFonts w:hint="eastAsia" w:ascii="宋体" w:hAnsi="宋体"/>
          <w:b/>
          <w:color w:val="auto"/>
          <w:szCs w:val="21"/>
        </w:rPr>
        <w:t>【投标须知前附表】</w:t>
      </w:r>
      <w:r>
        <w:rPr>
          <w:rFonts w:hint="eastAsia" w:ascii="宋体" w:hAnsi="宋体"/>
          <w:color w:val="auto"/>
          <w:szCs w:val="21"/>
        </w:rPr>
        <w:t>。</w:t>
      </w:r>
    </w:p>
    <w:p w14:paraId="3421F60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2.2采购人名称、地址、电话、联系人见</w:t>
      </w:r>
      <w:r>
        <w:rPr>
          <w:rFonts w:hint="eastAsia" w:ascii="宋体" w:hAnsi="宋体"/>
          <w:b/>
          <w:color w:val="auto"/>
          <w:szCs w:val="21"/>
        </w:rPr>
        <w:t>【投标须知前附表】</w:t>
      </w:r>
      <w:r>
        <w:rPr>
          <w:rFonts w:hint="eastAsia" w:ascii="宋体" w:hAnsi="宋体"/>
          <w:color w:val="auto"/>
          <w:szCs w:val="21"/>
        </w:rPr>
        <w:t>。</w:t>
      </w:r>
    </w:p>
    <w:p w14:paraId="494A072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2.3采购代理机构名称、地址、电话、联系人见</w:t>
      </w:r>
      <w:r>
        <w:rPr>
          <w:rFonts w:hint="eastAsia" w:ascii="宋体" w:hAnsi="宋体"/>
          <w:b/>
          <w:color w:val="auto"/>
          <w:szCs w:val="21"/>
        </w:rPr>
        <w:t>【投标须知前附表】。</w:t>
      </w:r>
    </w:p>
    <w:p w14:paraId="7E630C60">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2.4投标人系指响应招标、参加投标竞争的法人、其他组织或自然人。</w:t>
      </w:r>
    </w:p>
    <w:p w14:paraId="5DA96774">
      <w:pPr>
        <w:adjustRightInd w:val="0"/>
        <w:snapToGrid w:val="0"/>
        <w:spacing w:line="360" w:lineRule="auto"/>
        <w:rPr>
          <w:rFonts w:ascii="宋体" w:hAnsi="宋体"/>
          <w:b/>
          <w:bCs/>
          <w:color w:val="auto"/>
          <w:sz w:val="24"/>
        </w:rPr>
      </w:pPr>
      <w:r>
        <w:rPr>
          <w:rFonts w:hint="eastAsia" w:ascii="宋体" w:hAnsi="宋体"/>
          <w:b/>
          <w:bCs/>
          <w:color w:val="auto"/>
          <w:sz w:val="24"/>
        </w:rPr>
        <w:t>3. 投标人的资格要求</w:t>
      </w:r>
    </w:p>
    <w:p w14:paraId="6ECF47A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3.1投标人应当符合</w:t>
      </w:r>
      <w:r>
        <w:rPr>
          <w:rFonts w:hint="eastAsia" w:ascii="宋体" w:hAnsi="宋体"/>
          <w:b/>
          <w:color w:val="auto"/>
          <w:szCs w:val="21"/>
        </w:rPr>
        <w:t>【投标须知前附表】</w:t>
      </w:r>
      <w:r>
        <w:rPr>
          <w:rFonts w:hint="eastAsia" w:ascii="宋体" w:hAnsi="宋体"/>
          <w:color w:val="auto"/>
          <w:szCs w:val="21"/>
        </w:rPr>
        <w:t>规定的投标人资格条件。</w:t>
      </w:r>
    </w:p>
    <w:p w14:paraId="2D264A4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w:t>
      </w:r>
      <w:r>
        <w:rPr>
          <w:rFonts w:hint="eastAsia" w:ascii="宋体" w:hAnsi="宋体"/>
          <w:b/>
          <w:color w:val="auto"/>
          <w:szCs w:val="21"/>
        </w:rPr>
        <w:t>【投标须知前附表】</w:t>
      </w:r>
      <w:r>
        <w:rPr>
          <w:rFonts w:hint="eastAsia" w:ascii="宋体" w:hAnsi="宋体"/>
          <w:color w:val="auto"/>
          <w:szCs w:val="21"/>
        </w:rPr>
        <w:t>规定接受联合体形式投标的，投标人除应符合本章第3.1</w:t>
      </w:r>
      <w:r>
        <w:rPr>
          <w:rFonts w:hint="eastAsia" w:ascii="宋体" w:hAnsi="宋体" w:cs="宋体"/>
          <w:color w:val="auto"/>
          <w:kern w:val="0"/>
          <w:szCs w:val="21"/>
          <w:lang w:val="zh-CN"/>
        </w:rPr>
        <w:t>款</w:t>
      </w:r>
      <w:r>
        <w:rPr>
          <w:rFonts w:hint="eastAsia" w:ascii="宋体" w:hAnsi="宋体"/>
          <w:color w:val="auto"/>
          <w:szCs w:val="21"/>
        </w:rPr>
        <w:t xml:space="preserve">规定外，还应遵守以下规定： </w:t>
      </w:r>
    </w:p>
    <w:p w14:paraId="48D34DA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（l）联合体中有同类资质的供应商按照联合体分工承担相同工作的，应当按照资质等级较低的供应商确定资质等级。</w:t>
      </w:r>
    </w:p>
    <w:p w14:paraId="7E13CA0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（2）联合体各方应按招标文件提供的格式签订联合体协议书，明确联合体牵头人和各方的权利义务、合同工作量比例；</w:t>
      </w:r>
    </w:p>
    <w:p w14:paraId="3C03299F">
      <w:pPr>
        <w:adjustRightInd w:val="0"/>
        <w:snapToGrid w:val="0"/>
        <w:spacing w:line="360" w:lineRule="auto"/>
        <w:ind w:firstLine="420" w:firstLineChars="200"/>
        <w:rPr>
          <w:rFonts w:ascii="宋体" w:hAnsi="宋体" w:cs="宋体"/>
          <w:color w:val="auto"/>
          <w:kern w:val="0"/>
          <w:szCs w:val="21"/>
          <w:lang w:val="zh-CN"/>
        </w:rPr>
      </w:pPr>
      <w:r>
        <w:rPr>
          <w:rFonts w:hint="eastAsia" w:ascii="宋体" w:hAnsi="宋体"/>
          <w:color w:val="auto"/>
          <w:szCs w:val="21"/>
        </w:rPr>
        <w:t>（3）联合体各方签订联合体协议书后，</w:t>
      </w:r>
      <w:r>
        <w:rPr>
          <w:rFonts w:hint="eastAsia" w:ascii="宋体" w:hAnsi="宋体" w:cs="宋体"/>
          <w:color w:val="auto"/>
          <w:kern w:val="0"/>
          <w:szCs w:val="21"/>
          <w:lang w:val="zh-CN"/>
        </w:rPr>
        <w:t>不得再单独参加或者与其他投标人组成新的联合体参加</w:t>
      </w:r>
      <w:r>
        <w:rPr>
          <w:rFonts w:hint="eastAsia" w:ascii="宋体" w:hAnsi="宋体" w:cs="宋体"/>
          <w:color w:val="auto"/>
          <w:kern w:val="0"/>
          <w:szCs w:val="21"/>
        </w:rPr>
        <w:t>本项目</w:t>
      </w:r>
      <w:r>
        <w:rPr>
          <w:rFonts w:hint="eastAsia" w:ascii="宋体" w:hAnsi="宋体" w:cs="宋体"/>
          <w:color w:val="auto"/>
          <w:kern w:val="0"/>
          <w:szCs w:val="21"/>
          <w:lang w:val="zh-CN"/>
        </w:rPr>
        <w:t>同一合同项下的采购活动。</w:t>
      </w:r>
    </w:p>
    <w:p w14:paraId="5B4AEAC6">
      <w:pPr>
        <w:adjustRightInd w:val="0"/>
        <w:snapToGrid w:val="0"/>
        <w:spacing w:line="360" w:lineRule="auto"/>
        <w:rPr>
          <w:rFonts w:ascii="宋体" w:hAnsi="宋体"/>
          <w:b/>
          <w:bCs/>
          <w:color w:val="auto"/>
          <w:sz w:val="24"/>
        </w:rPr>
      </w:pPr>
      <w:r>
        <w:rPr>
          <w:rFonts w:hint="eastAsia" w:ascii="宋体" w:hAnsi="宋体"/>
          <w:b/>
          <w:bCs/>
          <w:color w:val="auto"/>
          <w:sz w:val="24"/>
        </w:rPr>
        <w:t xml:space="preserve">4. 投标费用 </w:t>
      </w:r>
    </w:p>
    <w:p w14:paraId="047FDB1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4.1投标人应自行承担所有参与投标的相关费用，不论投标的结果如何，采购人、采购代理机构均无义务和责任承担这些费用。</w:t>
      </w:r>
    </w:p>
    <w:p w14:paraId="44C2816B">
      <w:pPr>
        <w:adjustRightInd w:val="0"/>
        <w:snapToGrid w:val="0"/>
        <w:spacing w:line="360" w:lineRule="auto"/>
        <w:rPr>
          <w:rFonts w:ascii="宋体" w:hAnsi="宋体"/>
          <w:b/>
          <w:color w:val="auto"/>
          <w:sz w:val="24"/>
        </w:rPr>
      </w:pPr>
      <w:r>
        <w:rPr>
          <w:rFonts w:hint="eastAsia" w:ascii="宋体" w:hAnsi="宋体"/>
          <w:b/>
          <w:color w:val="auto"/>
          <w:sz w:val="24"/>
        </w:rPr>
        <w:t>5．组织现场考察或者召开答疑会</w:t>
      </w:r>
    </w:p>
    <w:p w14:paraId="5ACDF355">
      <w:pPr>
        <w:adjustRightInd w:val="0"/>
        <w:snapToGrid w:val="0"/>
        <w:spacing w:line="360" w:lineRule="auto"/>
        <w:ind w:firstLine="420" w:firstLineChars="200"/>
        <w:rPr>
          <w:rFonts w:ascii="宋体" w:hAnsi="宋体"/>
          <w:color w:val="auto"/>
          <w:szCs w:val="21"/>
        </w:rPr>
      </w:pPr>
      <w:r>
        <w:rPr>
          <w:rFonts w:hint="eastAsia" w:ascii="宋体" w:hAnsi="宋体"/>
          <w:color w:val="auto"/>
        </w:rPr>
        <w:t>5.1采购人、采购代理机构可以在</w:t>
      </w:r>
      <w:r>
        <w:rPr>
          <w:rFonts w:hint="eastAsia" w:ascii="宋体" w:hAnsi="宋体"/>
          <w:b/>
          <w:color w:val="auto"/>
          <w:szCs w:val="21"/>
        </w:rPr>
        <w:t>【投标须知前附表】</w:t>
      </w:r>
      <w:r>
        <w:rPr>
          <w:rFonts w:hint="eastAsia" w:ascii="宋体" w:hAnsi="宋体"/>
          <w:color w:val="auto"/>
          <w:szCs w:val="21"/>
        </w:rPr>
        <w:t>规定的招标文件提供期限截止后，组织已获取招标文件的潜在投标人现场考察或者召开开标前答疑会。</w:t>
      </w:r>
    </w:p>
    <w:p w14:paraId="6C757CF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5.2获取招标文件的潜在投标人应按</w:t>
      </w:r>
      <w:r>
        <w:rPr>
          <w:rFonts w:hint="eastAsia" w:ascii="宋体" w:hAnsi="宋体"/>
          <w:b/>
          <w:color w:val="auto"/>
          <w:szCs w:val="21"/>
        </w:rPr>
        <w:t>【投标须知前附表】</w:t>
      </w:r>
      <w:r>
        <w:rPr>
          <w:rFonts w:hint="eastAsia" w:ascii="宋体" w:hAnsi="宋体"/>
          <w:color w:val="auto"/>
          <w:szCs w:val="21"/>
        </w:rPr>
        <w:t>规定参加现场考察或者答疑会；如不参加，其风险由其自行承担。</w:t>
      </w:r>
    </w:p>
    <w:p w14:paraId="043C9F9A">
      <w:pPr>
        <w:adjustRightInd w:val="0"/>
        <w:snapToGrid w:val="0"/>
        <w:spacing w:line="360" w:lineRule="auto"/>
        <w:ind w:firstLine="420" w:firstLineChars="200"/>
        <w:rPr>
          <w:rFonts w:ascii="宋体" w:hAnsi="宋体"/>
          <w:color w:val="auto"/>
        </w:rPr>
      </w:pPr>
      <w:r>
        <w:rPr>
          <w:rFonts w:hint="eastAsia" w:ascii="宋体" w:hAnsi="宋体"/>
          <w:color w:val="auto"/>
        </w:rPr>
        <w:t>5.3潜在投标人现场考察或者参加答疑会的费用由自己承担，现场考察期间所发生的人身伤害及财产损失由自己负责。</w:t>
      </w:r>
    </w:p>
    <w:p w14:paraId="755F1BDC">
      <w:pPr>
        <w:adjustRightInd w:val="0"/>
        <w:snapToGrid w:val="0"/>
        <w:spacing w:line="360" w:lineRule="auto"/>
        <w:ind w:firstLine="420" w:firstLineChars="200"/>
        <w:rPr>
          <w:rFonts w:ascii="宋体" w:hAnsi="宋体"/>
          <w:color w:val="auto"/>
        </w:rPr>
      </w:pPr>
      <w:r>
        <w:rPr>
          <w:rFonts w:hint="eastAsia" w:ascii="宋体" w:hAnsi="宋体"/>
          <w:color w:val="auto"/>
        </w:rPr>
        <w:t>5.4采购人、采购代理机构不对投标人据此而做出的推论、理解和结论负责。投标人一旦中标，不得以任何借口，提出额外补偿，或延长合同期限的要求。</w:t>
      </w:r>
    </w:p>
    <w:p w14:paraId="34FBA2D6">
      <w:pPr>
        <w:pStyle w:val="4"/>
        <w:adjustRightInd w:val="0"/>
        <w:snapToGrid w:val="0"/>
        <w:spacing w:before="120" w:beforeLines="50" w:after="0" w:line="360" w:lineRule="auto"/>
        <w:jc w:val="center"/>
        <w:rPr>
          <w:rFonts w:ascii="黑体" w:hAnsi="黑体" w:eastAsia="黑体"/>
          <w:color w:val="auto"/>
          <w:sz w:val="28"/>
          <w:szCs w:val="28"/>
        </w:rPr>
      </w:pPr>
      <w:bookmarkStart w:id="128" w:name="_Toc100670424"/>
      <w:bookmarkStart w:id="129" w:name="_Toc108341940"/>
      <w:bookmarkStart w:id="130" w:name="_Toc95601368"/>
      <w:bookmarkStart w:id="131" w:name="_Toc30251"/>
      <w:bookmarkStart w:id="132" w:name="_Toc75289551"/>
      <w:bookmarkStart w:id="133" w:name="_Toc15888488"/>
      <w:bookmarkStart w:id="134" w:name="_Toc14045"/>
      <w:bookmarkStart w:id="135" w:name="_Toc77199402"/>
      <w:bookmarkStart w:id="136" w:name="_Toc192949606"/>
      <w:bookmarkStart w:id="137" w:name="_Toc9839"/>
      <w:bookmarkStart w:id="138" w:name="_Toc94367883"/>
      <w:bookmarkStart w:id="139" w:name="_Toc10139"/>
      <w:bookmarkStart w:id="140" w:name="_Toc112704936"/>
      <w:bookmarkStart w:id="141" w:name="_Toc77676469"/>
      <w:bookmarkStart w:id="142" w:name="_Toc85972933"/>
      <w:bookmarkStart w:id="143" w:name="_Toc11373"/>
      <w:bookmarkStart w:id="144" w:name="_Toc13690"/>
      <w:bookmarkStart w:id="145" w:name="_Toc78314265"/>
      <w:bookmarkStart w:id="146" w:name="_Toc154428393"/>
      <w:bookmarkStart w:id="147" w:name="_Toc171273674"/>
      <w:bookmarkStart w:id="148" w:name="_Toc75289229"/>
      <w:bookmarkStart w:id="149" w:name="_Toc26819"/>
      <w:bookmarkStart w:id="150" w:name="_Toc192951216"/>
      <w:bookmarkStart w:id="151" w:name="_Toc192949705"/>
      <w:bookmarkStart w:id="152" w:name="_Toc10256"/>
      <w:bookmarkStart w:id="153" w:name="_Toc117192451"/>
      <w:bookmarkStart w:id="154" w:name="_Toc114036715"/>
      <w:bookmarkStart w:id="155" w:name="_Toc78449958"/>
      <w:bookmarkStart w:id="156" w:name="_Toc100670671"/>
      <w:bookmarkStart w:id="157" w:name="_Toc854"/>
      <w:r>
        <w:rPr>
          <w:rFonts w:hint="eastAsia" w:ascii="黑体" w:hAnsi="黑体" w:eastAsia="黑体"/>
          <w:color w:val="auto"/>
          <w:sz w:val="28"/>
          <w:szCs w:val="28"/>
        </w:rPr>
        <w:t>二、招标文件</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33C43928">
      <w:pPr>
        <w:adjustRightInd w:val="0"/>
        <w:snapToGrid w:val="0"/>
        <w:spacing w:line="360" w:lineRule="auto"/>
        <w:rPr>
          <w:rFonts w:ascii="宋体" w:hAnsi="宋体"/>
          <w:b/>
          <w:bCs/>
          <w:color w:val="auto"/>
          <w:sz w:val="24"/>
        </w:rPr>
      </w:pPr>
      <w:r>
        <w:rPr>
          <w:rFonts w:hint="eastAsia" w:ascii="宋体" w:hAnsi="宋体"/>
          <w:b/>
          <w:bCs/>
          <w:color w:val="auto"/>
          <w:sz w:val="24"/>
        </w:rPr>
        <w:t>6. 招标文件的构成</w:t>
      </w:r>
    </w:p>
    <w:p w14:paraId="26D4C82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6.1 招标文件共七章，各章内容如下：</w:t>
      </w:r>
    </w:p>
    <w:p w14:paraId="2E178D7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第一章 投标邀请</w:t>
      </w:r>
    </w:p>
    <w:p w14:paraId="13E6108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第二章 投标须知</w:t>
      </w:r>
    </w:p>
    <w:p w14:paraId="4D20431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第三章 资格审查</w:t>
      </w:r>
    </w:p>
    <w:p w14:paraId="1B04A80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第四章 评标方法及标准</w:t>
      </w:r>
    </w:p>
    <w:p w14:paraId="0DB51C2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第五章 采购需求</w:t>
      </w:r>
    </w:p>
    <w:p w14:paraId="6911709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第六章 政府采购合同</w:t>
      </w:r>
    </w:p>
    <w:p w14:paraId="3ABE51A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第七章 投标文件的组成</w:t>
      </w:r>
    </w:p>
    <w:p w14:paraId="20245CBC">
      <w:pPr>
        <w:adjustRightInd w:val="0"/>
        <w:snapToGrid w:val="0"/>
        <w:spacing w:line="360" w:lineRule="auto"/>
        <w:ind w:firstLine="420" w:firstLineChars="200"/>
        <w:rPr>
          <w:rFonts w:ascii="宋体" w:hAnsi="宋体" w:cs="宋体"/>
          <w:b/>
          <w:color w:val="auto"/>
          <w:szCs w:val="21"/>
        </w:rPr>
      </w:pPr>
      <w:r>
        <w:rPr>
          <w:rFonts w:hint="eastAsia" w:ascii="宋体" w:hAnsi="宋体"/>
          <w:color w:val="auto"/>
          <w:szCs w:val="21"/>
        </w:rPr>
        <w:t>6.2采购人、采购代理机构在提交投标文件截止时间前</w:t>
      </w:r>
      <w:r>
        <w:rPr>
          <w:rFonts w:hint="eastAsia" w:ascii="宋体" w:hAnsi="宋体" w:cs="宋体"/>
          <w:color w:val="auto"/>
          <w:szCs w:val="21"/>
        </w:rPr>
        <w:t>对招标文件所作的澄清或者修改，构成招标文件的组成部分。</w:t>
      </w:r>
    </w:p>
    <w:p w14:paraId="674757D6">
      <w:pPr>
        <w:adjustRightInd w:val="0"/>
        <w:snapToGrid w:val="0"/>
        <w:spacing w:line="360" w:lineRule="auto"/>
        <w:rPr>
          <w:rFonts w:ascii="宋体" w:hAnsi="宋体"/>
          <w:b/>
          <w:color w:val="auto"/>
          <w:sz w:val="24"/>
        </w:rPr>
      </w:pPr>
      <w:r>
        <w:rPr>
          <w:rFonts w:hint="eastAsia" w:ascii="宋体" w:hAnsi="宋体"/>
          <w:b/>
          <w:color w:val="auto"/>
          <w:sz w:val="24"/>
        </w:rPr>
        <w:t>7．偏离与实质性响应</w:t>
      </w:r>
    </w:p>
    <w:p w14:paraId="163E45CA">
      <w:pPr>
        <w:adjustRightInd w:val="0"/>
        <w:snapToGrid w:val="0"/>
        <w:spacing w:line="360" w:lineRule="auto"/>
        <w:ind w:firstLine="420" w:firstLineChars="200"/>
        <w:rPr>
          <w:rFonts w:ascii="宋体" w:hAnsi="宋体"/>
          <w:color w:val="auto"/>
        </w:rPr>
      </w:pPr>
      <w:r>
        <w:rPr>
          <w:rFonts w:hint="eastAsia" w:ascii="宋体" w:hAnsi="宋体"/>
          <w:color w:val="auto"/>
        </w:rPr>
        <w:t>7.1投标人应当按照招标文件的要求编制投标文件。投标文件应当对招标文件提出的要求和条件作出明确响应。</w:t>
      </w:r>
    </w:p>
    <w:p w14:paraId="1142066F">
      <w:pPr>
        <w:adjustRightInd w:val="0"/>
        <w:snapToGrid w:val="0"/>
        <w:spacing w:line="360" w:lineRule="auto"/>
        <w:ind w:firstLine="420" w:firstLineChars="200"/>
        <w:rPr>
          <w:rFonts w:ascii="宋体" w:hAnsi="宋体"/>
          <w:color w:val="auto"/>
        </w:rPr>
      </w:pPr>
      <w:r>
        <w:rPr>
          <w:rFonts w:hint="eastAsia" w:ascii="宋体" w:hAnsi="宋体"/>
          <w:color w:val="auto"/>
        </w:rPr>
        <w:t>7.2偏离是指投标文件不响应或者不满足招标文件提出的要求和条件，分为实质性偏离和非实质性偏离。</w:t>
      </w:r>
    </w:p>
    <w:p w14:paraId="47E9DC37">
      <w:pPr>
        <w:adjustRightInd w:val="0"/>
        <w:snapToGrid w:val="0"/>
        <w:spacing w:line="360" w:lineRule="auto"/>
        <w:ind w:firstLine="420" w:firstLineChars="200"/>
        <w:rPr>
          <w:rFonts w:ascii="宋体" w:hAnsi="宋体"/>
          <w:color w:val="auto"/>
        </w:rPr>
      </w:pPr>
      <w:r>
        <w:rPr>
          <w:rFonts w:hint="eastAsia" w:ascii="宋体" w:hAnsi="宋体"/>
          <w:color w:val="auto"/>
        </w:rPr>
        <w:t>7.3除法律、法规和招标文件规定的其他投标无效情形外，招标文件中用“★”符号标明的条款为实质性要求和条件，对其中任何一条的偏离，为实质性偏离，其</w:t>
      </w:r>
      <w:r>
        <w:rPr>
          <w:rFonts w:hint="eastAsia" w:ascii="宋体" w:hAnsi="宋体"/>
          <w:b/>
          <w:color w:val="auto"/>
        </w:rPr>
        <w:t>投标无效</w:t>
      </w:r>
      <w:r>
        <w:rPr>
          <w:rFonts w:hint="eastAsia" w:ascii="宋体" w:hAnsi="宋体"/>
          <w:color w:val="auto"/>
        </w:rPr>
        <w:t>。</w:t>
      </w:r>
    </w:p>
    <w:p w14:paraId="39CC4995">
      <w:pPr>
        <w:adjustRightInd w:val="0"/>
        <w:snapToGrid w:val="0"/>
        <w:spacing w:line="360" w:lineRule="auto"/>
        <w:ind w:firstLine="420" w:firstLineChars="200"/>
        <w:rPr>
          <w:rFonts w:ascii="宋体" w:hAnsi="宋体"/>
          <w:color w:val="auto"/>
        </w:rPr>
      </w:pPr>
      <w:r>
        <w:rPr>
          <w:rFonts w:hint="eastAsia" w:ascii="宋体" w:hAnsi="宋体"/>
          <w:color w:val="auto"/>
        </w:rPr>
        <w:t>7.4投标</w:t>
      </w:r>
      <w:r>
        <w:rPr>
          <w:rFonts w:hint="eastAsia" w:ascii="宋体" w:hAnsi="宋体"/>
          <w:color w:val="auto"/>
          <w:szCs w:val="21"/>
        </w:rPr>
        <w:t>文件偏离招标文件的非实质性要求和条件，为非实质性偏离。非实质性偏离的范围和幅度应当符合</w:t>
      </w:r>
      <w:r>
        <w:rPr>
          <w:rFonts w:hint="eastAsia" w:ascii="宋体" w:hAnsi="宋体"/>
          <w:b/>
          <w:color w:val="auto"/>
          <w:szCs w:val="21"/>
        </w:rPr>
        <w:t>【投标须知前附表】</w:t>
      </w:r>
      <w:r>
        <w:rPr>
          <w:rFonts w:hint="eastAsia" w:ascii="宋体" w:hAnsi="宋体"/>
          <w:color w:val="auto"/>
          <w:szCs w:val="21"/>
        </w:rPr>
        <w:t>的规定，</w:t>
      </w:r>
      <w:r>
        <w:rPr>
          <w:rFonts w:hint="eastAsia" w:ascii="宋体" w:hAnsi="宋体"/>
          <w:b/>
          <w:color w:val="auto"/>
          <w:szCs w:val="21"/>
        </w:rPr>
        <w:t>否则</w:t>
      </w:r>
      <w:r>
        <w:rPr>
          <w:rFonts w:hint="eastAsia" w:ascii="宋体" w:hAnsi="宋体"/>
          <w:b/>
          <w:color w:val="auto"/>
        </w:rPr>
        <w:t>投标无效</w:t>
      </w:r>
      <w:r>
        <w:rPr>
          <w:rFonts w:hint="eastAsia" w:ascii="宋体" w:hAnsi="宋体"/>
          <w:color w:val="auto"/>
        </w:rPr>
        <w:t>。</w:t>
      </w:r>
    </w:p>
    <w:p w14:paraId="241B1D81">
      <w:pPr>
        <w:adjustRightInd w:val="0"/>
        <w:snapToGrid w:val="0"/>
        <w:spacing w:line="360" w:lineRule="auto"/>
        <w:rPr>
          <w:rFonts w:ascii="宋体" w:hAnsi="宋体"/>
          <w:b/>
          <w:bCs/>
          <w:color w:val="auto"/>
          <w:sz w:val="24"/>
        </w:rPr>
      </w:pPr>
      <w:r>
        <w:rPr>
          <w:rFonts w:hint="eastAsia" w:ascii="宋体" w:hAnsi="宋体"/>
          <w:b/>
          <w:color w:val="auto"/>
          <w:sz w:val="24"/>
        </w:rPr>
        <w:t>8. 询问</w:t>
      </w:r>
    </w:p>
    <w:p w14:paraId="6E939CB1">
      <w:pPr>
        <w:adjustRightInd w:val="0"/>
        <w:snapToGrid w:val="0"/>
        <w:spacing w:line="360" w:lineRule="auto"/>
        <w:ind w:firstLine="420" w:firstLineChars="200"/>
        <w:rPr>
          <w:rFonts w:ascii="宋体" w:hAnsi="宋体"/>
          <w:color w:val="auto"/>
        </w:rPr>
      </w:pPr>
      <w:r>
        <w:rPr>
          <w:rFonts w:hint="eastAsia" w:ascii="宋体" w:hAnsi="宋体"/>
          <w:color w:val="auto"/>
        </w:rPr>
        <w:t>8.1潜在投标人应仔细阅读和检查招标文件的全部内容。如有疑问，可以向采购人或者采购代理机构提出询问。</w:t>
      </w:r>
    </w:p>
    <w:p w14:paraId="08702BC7">
      <w:pPr>
        <w:adjustRightInd w:val="0"/>
        <w:snapToGrid w:val="0"/>
        <w:spacing w:line="360" w:lineRule="auto"/>
        <w:rPr>
          <w:rFonts w:ascii="宋体" w:hAnsi="宋体"/>
          <w:b/>
          <w:bCs/>
          <w:color w:val="auto"/>
          <w:sz w:val="24"/>
        </w:rPr>
      </w:pPr>
      <w:r>
        <w:rPr>
          <w:rFonts w:hint="eastAsia" w:ascii="宋体" w:hAnsi="宋体"/>
          <w:b/>
          <w:bCs/>
          <w:color w:val="auto"/>
          <w:sz w:val="24"/>
        </w:rPr>
        <w:t>9. 招标文件的澄清或者修改</w:t>
      </w:r>
    </w:p>
    <w:p w14:paraId="4621C65E">
      <w:pPr>
        <w:adjustRightInd w:val="0"/>
        <w:snapToGrid w:val="0"/>
        <w:spacing w:line="360" w:lineRule="auto"/>
        <w:ind w:firstLine="420" w:firstLineChars="200"/>
        <w:rPr>
          <w:rFonts w:ascii="宋体" w:hAnsi="宋体"/>
          <w:color w:val="auto"/>
        </w:rPr>
      </w:pPr>
      <w:r>
        <w:rPr>
          <w:rFonts w:hint="eastAsia" w:ascii="宋体" w:hAnsi="宋体"/>
          <w:color w:val="auto"/>
        </w:rPr>
        <w:t>9.1采购人、采购代理机构对已发出的招标文件进行必要澄清或者修改的，将在</w:t>
      </w:r>
      <w:r>
        <w:rPr>
          <w:rFonts w:hint="eastAsia" w:ascii="宋体" w:hAnsi="宋体"/>
          <w:b/>
          <w:color w:val="auto"/>
          <w:szCs w:val="21"/>
        </w:rPr>
        <w:t>【投标须知前附表】</w:t>
      </w:r>
      <w:r>
        <w:rPr>
          <w:rFonts w:hint="eastAsia" w:ascii="宋体" w:hAnsi="宋体"/>
          <w:color w:val="auto"/>
          <w:szCs w:val="21"/>
        </w:rPr>
        <w:t>规定的</w:t>
      </w:r>
      <w:r>
        <w:rPr>
          <w:rFonts w:hint="eastAsia" w:ascii="宋体" w:hAnsi="宋体"/>
          <w:color w:val="auto"/>
        </w:rPr>
        <w:t>招标公告指定媒体上发布澄清或者修改公告。</w:t>
      </w:r>
    </w:p>
    <w:p w14:paraId="1FFC4777">
      <w:pPr>
        <w:adjustRightInd w:val="0"/>
        <w:snapToGrid w:val="0"/>
        <w:spacing w:line="360" w:lineRule="auto"/>
        <w:ind w:firstLine="420" w:firstLineChars="200"/>
        <w:rPr>
          <w:rFonts w:ascii="宋体" w:hAnsi="宋体"/>
          <w:color w:val="auto"/>
        </w:rPr>
      </w:pPr>
      <w:r>
        <w:rPr>
          <w:rFonts w:hint="eastAsia" w:ascii="宋体" w:hAnsi="宋体" w:cs="宋体"/>
          <w:color w:val="auto"/>
          <w:kern w:val="0"/>
          <w:szCs w:val="21"/>
        </w:rPr>
        <w:t>9.2澄清或者修改</w:t>
      </w:r>
      <w:r>
        <w:rPr>
          <w:rFonts w:hint="eastAsia" w:ascii="宋体" w:hAnsi="宋体"/>
          <w:color w:val="auto"/>
        </w:rPr>
        <w:t>的</w:t>
      </w:r>
      <w:r>
        <w:rPr>
          <w:rFonts w:hint="eastAsia" w:ascii="宋体" w:hAnsi="宋体" w:cs="宋体"/>
          <w:color w:val="auto"/>
          <w:kern w:val="0"/>
          <w:szCs w:val="21"/>
        </w:rPr>
        <w:t>内容可能影响投标文件编制的，采购人、采购代理机构</w:t>
      </w:r>
      <w:r>
        <w:rPr>
          <w:rFonts w:hint="eastAsia" w:ascii="宋体" w:hAnsi="宋体"/>
          <w:color w:val="auto"/>
        </w:rPr>
        <w:t>将</w:t>
      </w:r>
      <w:r>
        <w:rPr>
          <w:rFonts w:hint="eastAsia" w:ascii="宋体" w:hAnsi="宋体" w:cs="宋体"/>
          <w:color w:val="auto"/>
          <w:kern w:val="0"/>
          <w:szCs w:val="21"/>
        </w:rPr>
        <w:t>在提交投标文件截止时间15日前，</w:t>
      </w:r>
      <w:r>
        <w:rPr>
          <w:rFonts w:hint="eastAsia" w:ascii="宋体" w:hAnsi="宋体"/>
          <w:color w:val="auto"/>
        </w:rPr>
        <w:t>在指定媒体上发布公告通知潜在投标人；不足15日的，将相应延长提交投标文件的截止时间。</w:t>
      </w:r>
    </w:p>
    <w:p w14:paraId="7F3D7A4E">
      <w:pPr>
        <w:adjustRightInd w:val="0"/>
        <w:snapToGrid w:val="0"/>
        <w:spacing w:line="360" w:lineRule="auto"/>
        <w:ind w:firstLine="420" w:firstLineChars="200"/>
        <w:rPr>
          <w:rFonts w:ascii="宋体" w:hAnsi="宋体"/>
          <w:color w:val="auto"/>
        </w:rPr>
      </w:pPr>
      <w:r>
        <w:rPr>
          <w:rFonts w:ascii="宋体" w:hAnsi="宋体"/>
          <w:color w:val="auto"/>
        </w:rPr>
        <w:t>9.3</w:t>
      </w:r>
      <w:r>
        <w:rPr>
          <w:rFonts w:hint="eastAsia" w:ascii="宋体" w:hAnsi="宋体"/>
          <w:color w:val="auto"/>
        </w:rPr>
        <w:t>招标文件的提供期限届满后，获取招标文件的潜在投标人不足3家的，可以顺延提供期限，并在</w:t>
      </w:r>
      <w:r>
        <w:rPr>
          <w:rFonts w:hint="eastAsia" w:ascii="宋体" w:hAnsi="宋体"/>
          <w:bCs/>
          <w:color w:val="auto"/>
          <w:szCs w:val="21"/>
        </w:rPr>
        <w:t>指定</w:t>
      </w:r>
      <w:r>
        <w:rPr>
          <w:rFonts w:hint="eastAsia" w:ascii="宋体" w:hAnsi="宋体"/>
          <w:color w:val="auto"/>
        </w:rPr>
        <w:t>媒体上发布修改公告。</w:t>
      </w:r>
    </w:p>
    <w:p w14:paraId="57A23165">
      <w:pPr>
        <w:adjustRightInd w:val="0"/>
        <w:snapToGrid w:val="0"/>
        <w:spacing w:line="360" w:lineRule="auto"/>
        <w:ind w:firstLine="420" w:firstLineChars="200"/>
        <w:rPr>
          <w:rFonts w:ascii="宋体" w:hAnsi="宋体"/>
          <w:color w:val="auto"/>
        </w:rPr>
      </w:pPr>
      <w:r>
        <w:rPr>
          <w:rFonts w:hint="eastAsia" w:ascii="宋体" w:hAnsi="宋体"/>
          <w:color w:val="auto"/>
        </w:rPr>
        <w:t>9.4 通过电子招标投标交易平台下载招标文件的，请获取招标文件的潜在投标人及时关注</w:t>
      </w:r>
      <w:r>
        <w:rPr>
          <w:rFonts w:hint="eastAsia" w:ascii="宋体" w:hAnsi="宋体"/>
          <w:color w:val="auto"/>
          <w:szCs w:val="21"/>
        </w:rPr>
        <w:t>招标公告指定媒体</w:t>
      </w:r>
      <w:r>
        <w:rPr>
          <w:rFonts w:hint="eastAsia" w:ascii="宋体" w:hAnsi="宋体"/>
          <w:color w:val="auto"/>
        </w:rPr>
        <w:t>发布的澄清或者修改公告，采购人、采购代理机构不再书面通知。</w:t>
      </w:r>
    </w:p>
    <w:p w14:paraId="19A0CD8F">
      <w:pPr>
        <w:pStyle w:val="4"/>
        <w:adjustRightInd w:val="0"/>
        <w:snapToGrid w:val="0"/>
        <w:spacing w:before="120" w:beforeLines="50" w:after="0" w:line="360" w:lineRule="auto"/>
        <w:jc w:val="center"/>
        <w:rPr>
          <w:rFonts w:ascii="黑体" w:hAnsi="黑体" w:eastAsia="黑体"/>
          <w:color w:val="auto"/>
          <w:sz w:val="28"/>
          <w:szCs w:val="28"/>
        </w:rPr>
      </w:pPr>
      <w:bookmarkStart w:id="158" w:name="_Toc9872"/>
      <w:bookmarkStart w:id="159" w:name="_Toc100670425"/>
      <w:bookmarkStart w:id="160" w:name="_Toc10752"/>
      <w:bookmarkStart w:id="161" w:name="_Toc19779"/>
      <w:bookmarkStart w:id="162" w:name="_Toc24992"/>
      <w:bookmarkStart w:id="163" w:name="_Toc77676470"/>
      <w:bookmarkStart w:id="164" w:name="_Toc85972934"/>
      <w:bookmarkStart w:id="165" w:name="_Toc18745"/>
      <w:bookmarkStart w:id="166" w:name="_Toc117192452"/>
      <w:bookmarkStart w:id="167" w:name="_Toc192951217"/>
      <w:bookmarkStart w:id="168" w:name="_Toc15888489"/>
      <w:bookmarkStart w:id="169" w:name="_Toc6128"/>
      <w:bookmarkStart w:id="170" w:name="_Toc171273675"/>
      <w:bookmarkStart w:id="171" w:name="_Toc94367884"/>
      <w:bookmarkStart w:id="172" w:name="_Toc6840"/>
      <w:bookmarkStart w:id="173" w:name="_Toc192949706"/>
      <w:bookmarkStart w:id="174" w:name="_Toc192949607"/>
      <w:bookmarkStart w:id="175" w:name="_Toc78449959"/>
      <w:bookmarkStart w:id="176" w:name="_Toc100670672"/>
      <w:bookmarkStart w:id="177" w:name="_Toc4418"/>
      <w:bookmarkStart w:id="178" w:name="_Toc78314266"/>
      <w:bookmarkStart w:id="179" w:name="_Toc112704937"/>
      <w:bookmarkStart w:id="180" w:name="_Toc114036716"/>
      <w:bookmarkStart w:id="181" w:name="_Toc31461"/>
      <w:bookmarkStart w:id="182" w:name="_Toc75289230"/>
      <w:bookmarkStart w:id="183" w:name="_Toc95601369"/>
      <w:bookmarkStart w:id="184" w:name="_Toc75289552"/>
      <w:bookmarkStart w:id="185" w:name="_Toc108341941"/>
      <w:bookmarkStart w:id="186" w:name="_Toc154428394"/>
      <w:bookmarkStart w:id="187" w:name="_Toc77199403"/>
      <w:r>
        <w:rPr>
          <w:rFonts w:hint="eastAsia" w:ascii="黑体" w:hAnsi="黑体" w:eastAsia="黑体"/>
          <w:color w:val="auto"/>
          <w:sz w:val="28"/>
          <w:szCs w:val="28"/>
        </w:rPr>
        <w:t>三、投标文件</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256FC7E6">
      <w:pPr>
        <w:adjustRightInd w:val="0"/>
        <w:snapToGrid w:val="0"/>
        <w:spacing w:line="360" w:lineRule="auto"/>
        <w:rPr>
          <w:rFonts w:ascii="宋体" w:hAnsi="宋体"/>
          <w:b/>
          <w:bCs/>
          <w:color w:val="auto"/>
          <w:sz w:val="24"/>
        </w:rPr>
      </w:pPr>
      <w:r>
        <w:rPr>
          <w:rFonts w:hint="eastAsia" w:ascii="宋体" w:hAnsi="宋体"/>
          <w:b/>
          <w:bCs/>
          <w:color w:val="auto"/>
          <w:sz w:val="24"/>
        </w:rPr>
        <w:t>10. 投标语言</w:t>
      </w:r>
    </w:p>
    <w:p w14:paraId="4585A5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10.1除专用术语外，投标人提交的投标文件及投标人与采购人、采购代理机构就有关投标的所有来往函电均使用中文。投标人可以提交其它语言的资料，但应附有中文注释，有差异时以中文为准。</w:t>
      </w:r>
    </w:p>
    <w:p w14:paraId="2A9EE892">
      <w:pPr>
        <w:adjustRightInd w:val="0"/>
        <w:snapToGrid w:val="0"/>
        <w:spacing w:line="360" w:lineRule="auto"/>
        <w:rPr>
          <w:rFonts w:ascii="宋体" w:hAnsi="宋体"/>
          <w:b/>
          <w:color w:val="auto"/>
          <w:sz w:val="24"/>
        </w:rPr>
      </w:pPr>
      <w:r>
        <w:rPr>
          <w:rFonts w:hint="eastAsia" w:ascii="宋体" w:hAnsi="宋体"/>
          <w:b/>
          <w:bCs/>
          <w:color w:val="auto"/>
          <w:sz w:val="24"/>
        </w:rPr>
        <w:t xml:space="preserve">11. </w:t>
      </w:r>
      <w:r>
        <w:rPr>
          <w:rFonts w:hint="eastAsia" w:ascii="宋体" w:hAnsi="宋体"/>
          <w:b/>
          <w:color w:val="auto"/>
          <w:sz w:val="24"/>
        </w:rPr>
        <w:t>计量单位</w:t>
      </w:r>
    </w:p>
    <w:p w14:paraId="04091A0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11.1所有计量均采用中华人民共和国法定计量单位。</w:t>
      </w:r>
    </w:p>
    <w:p w14:paraId="4854C4E0">
      <w:pPr>
        <w:adjustRightInd w:val="0"/>
        <w:snapToGrid w:val="0"/>
        <w:spacing w:line="360" w:lineRule="auto"/>
        <w:rPr>
          <w:rFonts w:ascii="宋体" w:hAnsi="宋体"/>
          <w:b/>
          <w:bCs/>
          <w:color w:val="auto"/>
          <w:sz w:val="24"/>
        </w:rPr>
      </w:pPr>
      <w:r>
        <w:rPr>
          <w:rFonts w:hint="eastAsia" w:ascii="宋体" w:hAnsi="宋体"/>
          <w:b/>
          <w:color w:val="auto"/>
          <w:sz w:val="24"/>
        </w:rPr>
        <w:t xml:space="preserve">12. </w:t>
      </w:r>
      <w:r>
        <w:rPr>
          <w:rFonts w:hint="eastAsia" w:ascii="宋体" w:hAnsi="宋体"/>
          <w:b/>
          <w:bCs/>
          <w:color w:val="auto"/>
          <w:sz w:val="24"/>
        </w:rPr>
        <w:t>投标文件的组成</w:t>
      </w:r>
    </w:p>
    <w:p w14:paraId="27B85B2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12.1投标文件由如下内容组成：</w:t>
      </w:r>
    </w:p>
    <w:p w14:paraId="76DAA4F2">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第一部分 资格证明文件</w:t>
      </w:r>
    </w:p>
    <w:p w14:paraId="2E4D4F3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（1）开标一览表</w:t>
      </w:r>
    </w:p>
    <w:p w14:paraId="27BE040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（2）投标保证金</w:t>
      </w:r>
    </w:p>
    <w:p w14:paraId="07016E6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（3）授权委托书</w:t>
      </w:r>
    </w:p>
    <w:p w14:paraId="23D76FB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（4）投标人提供的资格证明文件</w:t>
      </w:r>
    </w:p>
    <w:p w14:paraId="42D3F3DC">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第二部分 商务和技术文件</w:t>
      </w:r>
    </w:p>
    <w:p w14:paraId="79D8757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（5）投标函</w:t>
      </w:r>
    </w:p>
    <w:p w14:paraId="7B383E7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（6）分项报价</w:t>
      </w:r>
    </w:p>
    <w:p w14:paraId="47BDAD1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（7）采购需求响应</w:t>
      </w:r>
    </w:p>
    <w:p w14:paraId="5446734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（8）合同条款偏离表</w:t>
      </w:r>
    </w:p>
    <w:p w14:paraId="1254E3D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（9）采购需求偏离表</w:t>
      </w:r>
    </w:p>
    <w:p w14:paraId="6C07D39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（10）享受政府采购政策优惠的证明资料</w:t>
      </w:r>
    </w:p>
    <w:p w14:paraId="79A88F9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（11）投标货物符合招标文件规定的证明文件</w:t>
      </w:r>
    </w:p>
    <w:p w14:paraId="25A04AD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（12）投标人认为需提供的其他资料</w:t>
      </w:r>
    </w:p>
    <w:p w14:paraId="70C188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12.2投标人可以编制资格审查索引表、符合性审查索引表、评审索引表，以方便采购人、采购代理机构、评标委员会在资格审查及评审时查阅。</w:t>
      </w:r>
    </w:p>
    <w:p w14:paraId="31B208E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12.3根据《政府采购法》第四十二条的规定，投标人无论中标与否，其投标文件不予退还。</w:t>
      </w:r>
    </w:p>
    <w:p w14:paraId="132CA2EB">
      <w:pPr>
        <w:adjustRightInd w:val="0"/>
        <w:snapToGrid w:val="0"/>
        <w:spacing w:line="360" w:lineRule="auto"/>
        <w:rPr>
          <w:rFonts w:ascii="宋体" w:hAnsi="宋体"/>
          <w:b/>
          <w:bCs/>
          <w:color w:val="auto"/>
          <w:sz w:val="24"/>
        </w:rPr>
      </w:pPr>
      <w:r>
        <w:rPr>
          <w:rFonts w:hint="eastAsia" w:ascii="宋体" w:hAnsi="宋体"/>
          <w:b/>
          <w:bCs/>
          <w:color w:val="auto"/>
          <w:sz w:val="24"/>
        </w:rPr>
        <w:t>13. 投标报价</w:t>
      </w:r>
    </w:p>
    <w:p w14:paraId="00BD8F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13.1投标人应以招标文件规定的供货及服务要求、责任范围和合同条件为基础，按第七章“投标文件的组成”的有关规定进行报价。投标人的报价应包括为完成本项目所要求的全部内容可能发生的全部费用和税费、规费、保险费（如果有）等，采购人将不再支付报价以外的任何费用。</w:t>
      </w:r>
    </w:p>
    <w:p w14:paraId="7F2483D5">
      <w:pPr>
        <w:adjustRightInd w:val="0"/>
        <w:snapToGrid w:val="0"/>
        <w:spacing w:line="360" w:lineRule="auto"/>
        <w:ind w:firstLine="420" w:firstLineChars="200"/>
        <w:rPr>
          <w:rFonts w:ascii="宋体" w:hAnsi="宋体"/>
          <w:color w:val="auto"/>
          <w:szCs w:val="21"/>
        </w:rPr>
      </w:pPr>
      <w:r>
        <w:rPr>
          <w:rFonts w:ascii="宋体" w:hAnsi="宋体"/>
          <w:color w:val="auto"/>
          <w:szCs w:val="21"/>
        </w:rPr>
        <w:t>1</w:t>
      </w:r>
      <w:r>
        <w:rPr>
          <w:rFonts w:hint="eastAsia" w:ascii="宋体" w:hAnsi="宋体"/>
          <w:color w:val="auto"/>
          <w:szCs w:val="21"/>
        </w:rPr>
        <w:t>3</w:t>
      </w:r>
      <w:r>
        <w:rPr>
          <w:rFonts w:ascii="宋体" w:hAnsi="宋体"/>
          <w:color w:val="auto"/>
          <w:szCs w:val="21"/>
        </w:rPr>
        <w:t>.</w:t>
      </w:r>
      <w:r>
        <w:rPr>
          <w:rFonts w:hint="eastAsia" w:ascii="宋体" w:hAnsi="宋体"/>
          <w:color w:val="auto"/>
          <w:szCs w:val="21"/>
        </w:rPr>
        <w:t>2投标人的投标报价不得超过采购预算，也不得超过最高限价(如果设定)，否则其</w:t>
      </w:r>
      <w:r>
        <w:rPr>
          <w:rFonts w:hint="eastAsia" w:ascii="宋体" w:hAnsi="宋体"/>
          <w:b/>
          <w:color w:val="auto"/>
          <w:szCs w:val="21"/>
        </w:rPr>
        <w:t>投标无效</w:t>
      </w:r>
      <w:r>
        <w:rPr>
          <w:rFonts w:hint="eastAsia" w:ascii="宋体" w:hAnsi="宋体"/>
          <w:color w:val="auto"/>
          <w:szCs w:val="21"/>
        </w:rPr>
        <w:t>。采购项目预算、最高限价见</w:t>
      </w:r>
      <w:r>
        <w:rPr>
          <w:rFonts w:hint="eastAsia" w:ascii="宋体" w:hAnsi="宋体"/>
          <w:b/>
          <w:color w:val="auto"/>
          <w:szCs w:val="21"/>
        </w:rPr>
        <w:t>【投标须知前附表】</w:t>
      </w:r>
      <w:r>
        <w:rPr>
          <w:rFonts w:hint="eastAsia" w:ascii="宋体" w:hAnsi="宋体"/>
          <w:color w:val="auto"/>
          <w:szCs w:val="21"/>
        </w:rPr>
        <w:t>。</w:t>
      </w:r>
    </w:p>
    <w:p w14:paraId="32013369">
      <w:pPr>
        <w:adjustRightInd w:val="0"/>
        <w:snapToGrid w:val="0"/>
        <w:spacing w:line="360" w:lineRule="auto"/>
        <w:ind w:firstLine="420" w:firstLineChars="200"/>
        <w:rPr>
          <w:rFonts w:ascii="宋体" w:hAnsi="宋体"/>
          <w:color w:val="auto"/>
        </w:rPr>
      </w:pPr>
      <w:r>
        <w:rPr>
          <w:rFonts w:hint="eastAsia" w:ascii="宋体" w:hAnsi="宋体"/>
          <w:color w:val="auto"/>
          <w:szCs w:val="21"/>
        </w:rPr>
        <w:t>13.3 投标人应在分项报价明细表中对每项内容给予详细分项</w:t>
      </w:r>
      <w:r>
        <w:rPr>
          <w:rFonts w:hint="eastAsia" w:ascii="宋体" w:hAnsi="宋体"/>
          <w:color w:val="auto"/>
        </w:rPr>
        <w:t>报价。</w:t>
      </w:r>
    </w:p>
    <w:p w14:paraId="19BCD4B9">
      <w:pPr>
        <w:adjustRightInd w:val="0"/>
        <w:snapToGrid w:val="0"/>
        <w:spacing w:line="360" w:lineRule="auto"/>
        <w:ind w:firstLine="420" w:firstLineChars="200"/>
        <w:rPr>
          <w:rFonts w:ascii="宋体" w:hAnsi="宋体"/>
          <w:color w:val="auto"/>
        </w:rPr>
      </w:pPr>
      <w:r>
        <w:rPr>
          <w:rFonts w:hint="eastAsia" w:ascii="宋体" w:hAnsi="宋体"/>
          <w:color w:val="auto"/>
        </w:rPr>
        <w:t>13.4投标人对采购项目内容只允许有一个投标报价，否则其</w:t>
      </w:r>
      <w:r>
        <w:rPr>
          <w:rFonts w:hint="eastAsia" w:ascii="宋体" w:hAnsi="宋体"/>
          <w:b/>
          <w:color w:val="auto"/>
        </w:rPr>
        <w:t>投标无效</w:t>
      </w:r>
      <w:r>
        <w:rPr>
          <w:rFonts w:hint="eastAsia" w:ascii="宋体" w:hAnsi="宋体"/>
          <w:color w:val="auto"/>
        </w:rPr>
        <w:t>。</w:t>
      </w:r>
    </w:p>
    <w:p w14:paraId="5EB0CFBB">
      <w:pPr>
        <w:adjustRightInd w:val="0"/>
        <w:snapToGrid w:val="0"/>
        <w:spacing w:line="360" w:lineRule="auto"/>
        <w:ind w:firstLine="420" w:firstLineChars="200"/>
        <w:rPr>
          <w:rFonts w:ascii="宋体" w:hAnsi="宋体"/>
          <w:color w:val="auto"/>
        </w:rPr>
      </w:pPr>
      <w:r>
        <w:rPr>
          <w:rFonts w:hint="eastAsia" w:ascii="宋体" w:hAnsi="宋体"/>
          <w:color w:val="auto"/>
        </w:rPr>
        <w:t>13.5采购人不接受投标人给予的赠品、回扣或者与采购无关的其他商品、服务。如有赠与行为，其</w:t>
      </w:r>
      <w:r>
        <w:rPr>
          <w:rFonts w:hint="eastAsia" w:ascii="宋体" w:hAnsi="宋体"/>
          <w:b/>
          <w:color w:val="auto"/>
        </w:rPr>
        <w:t>投标无效</w:t>
      </w:r>
      <w:r>
        <w:rPr>
          <w:rFonts w:hint="eastAsia" w:ascii="宋体" w:hAnsi="宋体"/>
          <w:color w:val="auto"/>
        </w:rPr>
        <w:t>。</w:t>
      </w:r>
    </w:p>
    <w:p w14:paraId="64B5106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13.6采用固定价格定价方式的采购项目，</w:t>
      </w:r>
      <w:r>
        <w:rPr>
          <w:rFonts w:hint="eastAsia" w:ascii="宋体" w:hAnsi="宋体"/>
          <w:color w:val="auto"/>
        </w:rPr>
        <w:t>投标文件中标明的价格在合同执行过程中是固定不变的，不得以任何理由予以变更。任何包含价格调整要求和条件的投标，其</w:t>
      </w:r>
      <w:r>
        <w:rPr>
          <w:rFonts w:hint="eastAsia" w:ascii="宋体" w:hAnsi="宋体"/>
          <w:b/>
          <w:color w:val="auto"/>
        </w:rPr>
        <w:t>投标无效</w:t>
      </w:r>
      <w:r>
        <w:rPr>
          <w:rFonts w:hint="eastAsia" w:ascii="宋体" w:hAnsi="宋体"/>
          <w:color w:val="auto"/>
        </w:rPr>
        <w:t>。</w:t>
      </w:r>
    </w:p>
    <w:p w14:paraId="0A7DAF65">
      <w:pPr>
        <w:adjustRightInd w:val="0"/>
        <w:snapToGrid w:val="0"/>
        <w:spacing w:line="360" w:lineRule="auto"/>
        <w:ind w:firstLine="420" w:firstLineChars="200"/>
        <w:rPr>
          <w:rFonts w:ascii="宋体" w:hAnsi="宋体"/>
          <w:color w:val="auto"/>
        </w:rPr>
      </w:pPr>
      <w:r>
        <w:rPr>
          <w:rFonts w:hint="eastAsia" w:ascii="宋体" w:hAnsi="宋体"/>
          <w:color w:val="auto"/>
        </w:rPr>
        <w:t>13.7投标人在投标截止时间前修改“开标一览表”中的投标报价的，应同时修改投标文件“分项报价明细表”“享受政府采购政策优惠的证明资料”以及“联合体协议书”（如果影响）等相关内容。此修改须符合本章第22.1款的有关要求。</w:t>
      </w:r>
    </w:p>
    <w:p w14:paraId="3722D11A">
      <w:pPr>
        <w:adjustRightInd w:val="0"/>
        <w:snapToGrid w:val="0"/>
        <w:spacing w:line="360" w:lineRule="auto"/>
        <w:ind w:firstLine="420" w:firstLineChars="200"/>
        <w:rPr>
          <w:rFonts w:ascii="宋体" w:hAnsi="宋体"/>
          <w:color w:val="auto"/>
        </w:rPr>
      </w:pPr>
      <w:r>
        <w:rPr>
          <w:rFonts w:hint="eastAsia" w:ascii="宋体" w:hAnsi="宋体"/>
          <w:color w:val="auto"/>
        </w:rPr>
        <w:t>13.8投标报价的其他要求见</w:t>
      </w:r>
      <w:r>
        <w:rPr>
          <w:rFonts w:hint="eastAsia" w:ascii="宋体" w:hAnsi="宋体"/>
          <w:b/>
          <w:color w:val="auto"/>
          <w:szCs w:val="21"/>
        </w:rPr>
        <w:t>【投标须知前附表】</w:t>
      </w:r>
      <w:r>
        <w:rPr>
          <w:rFonts w:hint="eastAsia" w:ascii="宋体" w:hAnsi="宋体"/>
          <w:color w:val="auto"/>
        </w:rPr>
        <w:t>。</w:t>
      </w:r>
    </w:p>
    <w:p w14:paraId="0C5FB621">
      <w:pPr>
        <w:adjustRightInd w:val="0"/>
        <w:snapToGrid w:val="0"/>
        <w:spacing w:line="360" w:lineRule="auto"/>
        <w:rPr>
          <w:rFonts w:ascii="宋体" w:hAnsi="宋体"/>
          <w:b/>
          <w:bCs/>
          <w:color w:val="auto"/>
          <w:sz w:val="24"/>
        </w:rPr>
      </w:pPr>
      <w:r>
        <w:rPr>
          <w:rFonts w:hint="eastAsia" w:ascii="宋体" w:hAnsi="宋体"/>
          <w:b/>
          <w:color w:val="auto"/>
          <w:sz w:val="24"/>
        </w:rPr>
        <w:t xml:space="preserve">14. </w:t>
      </w:r>
      <w:r>
        <w:rPr>
          <w:rFonts w:hint="eastAsia" w:ascii="宋体" w:hAnsi="宋体"/>
          <w:b/>
          <w:bCs/>
          <w:color w:val="auto"/>
          <w:sz w:val="24"/>
        </w:rPr>
        <w:t>投标人的资格证明文件</w:t>
      </w:r>
    </w:p>
    <w:p w14:paraId="079C72B8">
      <w:pPr>
        <w:adjustRightInd w:val="0"/>
        <w:snapToGrid w:val="0"/>
        <w:spacing w:line="360" w:lineRule="auto"/>
        <w:ind w:firstLine="420" w:firstLineChars="200"/>
        <w:rPr>
          <w:rFonts w:ascii="宋体" w:hAnsi="宋体"/>
          <w:color w:val="auto"/>
        </w:rPr>
      </w:pPr>
      <w:r>
        <w:rPr>
          <w:rFonts w:hint="eastAsia" w:ascii="宋体" w:hAnsi="宋体"/>
          <w:color w:val="auto"/>
        </w:rPr>
        <w:t>14.1</w:t>
      </w:r>
      <w:r>
        <w:rPr>
          <w:rFonts w:hint="eastAsia" w:ascii="宋体" w:hAnsi="宋体"/>
          <w:color w:val="auto"/>
          <w:szCs w:val="21"/>
        </w:rPr>
        <w:t>除</w:t>
      </w:r>
      <w:r>
        <w:rPr>
          <w:rFonts w:hint="eastAsia" w:ascii="宋体" w:hAnsi="宋体"/>
          <w:b/>
          <w:color w:val="auto"/>
          <w:szCs w:val="21"/>
        </w:rPr>
        <w:t>【投标须知前附表】</w:t>
      </w:r>
      <w:r>
        <w:rPr>
          <w:rFonts w:hint="eastAsia" w:ascii="宋体" w:hAnsi="宋体"/>
          <w:color w:val="auto"/>
          <w:szCs w:val="21"/>
        </w:rPr>
        <w:t>另有规</w:t>
      </w:r>
      <w:r>
        <w:rPr>
          <w:rFonts w:hint="eastAsia" w:ascii="宋体" w:hAnsi="宋体"/>
          <w:color w:val="auto"/>
        </w:rPr>
        <w:t>定外，投标人应按下列规定提供资格证明文件。</w:t>
      </w:r>
    </w:p>
    <w:p w14:paraId="6BF5638F">
      <w:pPr>
        <w:adjustRightInd w:val="0"/>
        <w:snapToGrid w:val="0"/>
        <w:spacing w:line="360" w:lineRule="auto"/>
        <w:ind w:firstLine="420" w:firstLineChars="200"/>
        <w:rPr>
          <w:rFonts w:ascii="宋体" w:hAnsi="宋体"/>
          <w:color w:val="auto"/>
        </w:rPr>
      </w:pPr>
      <w:r>
        <w:rPr>
          <w:rFonts w:hint="eastAsia" w:ascii="宋体" w:hAnsi="宋体"/>
          <w:color w:val="auto"/>
        </w:rPr>
        <w:t>（1）</w:t>
      </w:r>
      <w:r>
        <w:rPr>
          <w:rFonts w:hint="eastAsia" w:ascii="宋体" w:hAnsi="宋体"/>
          <w:b/>
          <w:color w:val="auto"/>
        </w:rPr>
        <w:t>法人或者其他组织的营业执照等主体资格证明文件，自然人的身份证明</w:t>
      </w:r>
      <w:r>
        <w:rPr>
          <w:rFonts w:hint="eastAsia" w:ascii="宋体" w:hAnsi="宋体"/>
          <w:color w:val="auto"/>
        </w:rPr>
        <w:t>：投标人为法人的，应提交营业执照或法人登记证书的复印件；投标人为非法人组织的，应提交依法登记证书复印件；投标人为个体工商户的，应提交个体工商户营业执照复印件；投标人为自然人的，应提交自然人的身份证明复印件。</w:t>
      </w:r>
    </w:p>
    <w:p w14:paraId="0F9B12A9">
      <w:pPr>
        <w:adjustRightInd w:val="0"/>
        <w:snapToGrid w:val="0"/>
        <w:spacing w:line="360" w:lineRule="auto"/>
        <w:ind w:firstLine="420" w:firstLineChars="200"/>
        <w:rPr>
          <w:rFonts w:ascii="宋体" w:hAnsi="宋体"/>
          <w:color w:val="auto"/>
        </w:rPr>
      </w:pPr>
      <w:r>
        <w:rPr>
          <w:rFonts w:hint="eastAsia" w:ascii="宋体" w:hAnsi="宋体"/>
          <w:color w:val="auto"/>
        </w:rPr>
        <w:t>（2）</w:t>
      </w:r>
      <w:r>
        <w:rPr>
          <w:rFonts w:hint="eastAsia" w:ascii="宋体" w:hAnsi="宋体"/>
          <w:b/>
          <w:color w:val="auto"/>
        </w:rPr>
        <w:t>湖南省政府采购供应商资格承诺函(格式)</w:t>
      </w:r>
    </w:p>
    <w:p w14:paraId="1B230F29">
      <w:pPr>
        <w:adjustRightInd w:val="0"/>
        <w:snapToGrid w:val="0"/>
        <w:spacing w:line="360" w:lineRule="auto"/>
        <w:ind w:firstLine="420" w:firstLineChars="200"/>
        <w:rPr>
          <w:rFonts w:ascii="宋体" w:hAnsi="宋体"/>
          <w:color w:val="auto"/>
          <w:szCs w:val="21"/>
        </w:rPr>
      </w:pPr>
      <w:r>
        <w:rPr>
          <w:rFonts w:hint="eastAsia" w:ascii="宋体" w:hAnsi="宋体"/>
          <w:color w:val="auto"/>
        </w:rPr>
        <w:t>（3）</w:t>
      </w:r>
      <w:r>
        <w:rPr>
          <w:rFonts w:hint="eastAsia" w:ascii="宋体" w:hAnsi="宋体"/>
          <w:b/>
          <w:color w:val="auto"/>
        </w:rPr>
        <w:t>符合特定资格条件证明材料复印件或者情况说明</w:t>
      </w:r>
      <w:r>
        <w:rPr>
          <w:rFonts w:hint="eastAsia" w:ascii="宋体" w:hAnsi="宋体"/>
          <w:color w:val="auto"/>
          <w:szCs w:val="21"/>
        </w:rPr>
        <w:t>。</w:t>
      </w:r>
    </w:p>
    <w:p w14:paraId="76BBE876">
      <w:pPr>
        <w:adjustRightInd w:val="0"/>
        <w:snapToGrid w:val="0"/>
        <w:spacing w:line="360" w:lineRule="auto"/>
        <w:ind w:firstLine="420" w:firstLineChars="200"/>
        <w:rPr>
          <w:rFonts w:ascii="宋体" w:hAnsi="宋体"/>
          <w:color w:val="auto"/>
        </w:rPr>
      </w:pPr>
      <w:r>
        <w:rPr>
          <w:rFonts w:hint="eastAsia" w:ascii="宋体" w:hAnsi="宋体"/>
          <w:color w:val="auto"/>
        </w:rPr>
        <w:t>14.2投标人以联合体形式投标的，除应提交联合协议(格式)外，参加联合体的各方均应提交上款资格证明材料。</w:t>
      </w:r>
    </w:p>
    <w:p w14:paraId="2A214C66">
      <w:pPr>
        <w:adjustRightInd w:val="0"/>
        <w:snapToGrid w:val="0"/>
        <w:spacing w:line="360" w:lineRule="auto"/>
        <w:ind w:firstLine="420" w:firstLineChars="200"/>
        <w:rPr>
          <w:rFonts w:ascii="宋体" w:hAnsi="宋体"/>
          <w:color w:val="auto"/>
        </w:rPr>
      </w:pPr>
      <w:r>
        <w:rPr>
          <w:rFonts w:hint="eastAsia" w:ascii="宋体" w:hAnsi="宋体"/>
          <w:color w:val="auto"/>
        </w:rPr>
        <w:t>14.3投标人的资格证明文件均应为有效文件并加盖投标人单位章，并按招标文件规定签署。</w:t>
      </w:r>
    </w:p>
    <w:p w14:paraId="24835B38">
      <w:pPr>
        <w:adjustRightInd w:val="0"/>
        <w:snapToGrid w:val="0"/>
        <w:spacing w:line="360" w:lineRule="auto"/>
        <w:rPr>
          <w:rFonts w:ascii="宋体" w:hAnsi="宋体"/>
          <w:b/>
          <w:bCs/>
          <w:color w:val="auto"/>
          <w:sz w:val="24"/>
        </w:rPr>
      </w:pPr>
      <w:r>
        <w:rPr>
          <w:rFonts w:hint="eastAsia" w:ascii="宋体" w:hAnsi="宋体"/>
          <w:b/>
          <w:bCs/>
          <w:color w:val="auto"/>
          <w:sz w:val="24"/>
        </w:rPr>
        <w:t>15. 投标货物及服务符合招标文件规定的证明文件</w:t>
      </w:r>
    </w:p>
    <w:p w14:paraId="427D99A3">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15.1投标人应当提交其拟供的合同项下货物及其服务符合招标文件规定的证明文件,该证明文件作为投标文件的一部分</w:t>
      </w:r>
      <w:r>
        <w:rPr>
          <w:rFonts w:hint="eastAsia" w:ascii="宋体" w:hAnsi="宋体"/>
          <w:color w:val="auto"/>
          <w:szCs w:val="21"/>
          <w:lang w:eastAsia="zh-CN"/>
        </w:rPr>
        <w:t>。</w:t>
      </w:r>
    </w:p>
    <w:p w14:paraId="6BFC5BA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15.2上述证明文件可以是文字资料、图表、数据、证书等资料，包括但不限于：</w:t>
      </w:r>
    </w:p>
    <w:p w14:paraId="0B5314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（1）货物主要技术指标和性能的详细说明。对有具体参数要求的指标，投标人应提供具体参数值；</w:t>
      </w:r>
    </w:p>
    <w:p w14:paraId="706A3C3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（2）货物的品牌型号、制造商及原产地等说明；</w:t>
      </w:r>
    </w:p>
    <w:p w14:paraId="0C3BEC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（3）招标文件第五章“采购需求”要求的其它文件。</w:t>
      </w:r>
    </w:p>
    <w:p w14:paraId="574DBE75">
      <w:pPr>
        <w:adjustRightInd w:val="0"/>
        <w:snapToGrid w:val="0"/>
        <w:spacing w:line="360" w:lineRule="auto"/>
        <w:rPr>
          <w:rFonts w:ascii="宋体" w:hAnsi="宋体"/>
          <w:b/>
          <w:bCs/>
          <w:color w:val="auto"/>
          <w:sz w:val="24"/>
        </w:rPr>
      </w:pPr>
      <w:r>
        <w:rPr>
          <w:rFonts w:hint="eastAsia" w:ascii="宋体" w:hAnsi="宋体"/>
          <w:b/>
          <w:bCs/>
          <w:color w:val="auto"/>
          <w:sz w:val="24"/>
        </w:rPr>
        <w:t>16. 投标有效期</w:t>
      </w:r>
    </w:p>
    <w:p w14:paraId="73EC7BC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16.1投标有效期从提交投标文件的截止之日起计算。投标文件中承诺的投标有效期应当不少于</w:t>
      </w:r>
      <w:r>
        <w:rPr>
          <w:rFonts w:hint="eastAsia" w:ascii="宋体" w:hAnsi="宋体"/>
          <w:b/>
          <w:color w:val="auto"/>
          <w:szCs w:val="21"/>
        </w:rPr>
        <w:t>【投标须知前附表】</w:t>
      </w:r>
      <w:r>
        <w:rPr>
          <w:rFonts w:hint="eastAsia" w:ascii="宋体" w:hAnsi="宋体"/>
          <w:color w:val="auto"/>
          <w:szCs w:val="21"/>
        </w:rPr>
        <w:t>中载明的投标有效期。投标有效期不满足要求的，其</w:t>
      </w:r>
      <w:r>
        <w:rPr>
          <w:rFonts w:hint="eastAsia" w:ascii="宋体" w:hAnsi="宋体"/>
          <w:b/>
          <w:color w:val="auto"/>
          <w:szCs w:val="21"/>
        </w:rPr>
        <w:t>投标无效</w:t>
      </w:r>
      <w:r>
        <w:rPr>
          <w:rFonts w:hint="eastAsia" w:ascii="宋体" w:hAnsi="宋体"/>
          <w:color w:val="auto"/>
          <w:szCs w:val="21"/>
        </w:rPr>
        <w:t>。</w:t>
      </w:r>
    </w:p>
    <w:p w14:paraId="25C5F5E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16.2投标有效期内投标人撤销投标文件的，投标人应承担招标文件和法律规定的责任。</w:t>
      </w:r>
    </w:p>
    <w:p w14:paraId="2BBC3A85">
      <w:pPr>
        <w:adjustRightInd w:val="0"/>
        <w:snapToGrid w:val="0"/>
        <w:spacing w:line="360" w:lineRule="auto"/>
        <w:rPr>
          <w:rFonts w:ascii="宋体" w:hAnsi="宋体"/>
          <w:b/>
          <w:bCs/>
          <w:color w:val="auto"/>
          <w:sz w:val="24"/>
        </w:rPr>
      </w:pPr>
      <w:r>
        <w:rPr>
          <w:rFonts w:hint="eastAsia" w:ascii="宋体" w:hAnsi="宋体"/>
          <w:b/>
          <w:bCs/>
          <w:color w:val="auto"/>
          <w:sz w:val="24"/>
        </w:rPr>
        <w:t>17. 投标保证金（不要求递交）</w:t>
      </w:r>
    </w:p>
    <w:p w14:paraId="4826AA09">
      <w:pPr>
        <w:adjustRightInd w:val="0"/>
        <w:snapToGrid w:val="0"/>
        <w:spacing w:line="360" w:lineRule="auto"/>
        <w:rPr>
          <w:rFonts w:ascii="宋体" w:hAnsi="宋体"/>
          <w:b/>
          <w:color w:val="auto"/>
          <w:sz w:val="24"/>
        </w:rPr>
      </w:pPr>
      <w:r>
        <w:rPr>
          <w:rFonts w:hint="eastAsia" w:ascii="宋体" w:hAnsi="宋体"/>
          <w:b/>
          <w:color w:val="auto"/>
          <w:sz w:val="24"/>
        </w:rPr>
        <w:t>18.分包</w:t>
      </w:r>
    </w:p>
    <w:p w14:paraId="424ECF67">
      <w:pPr>
        <w:adjustRightInd w:val="0"/>
        <w:snapToGrid w:val="0"/>
        <w:spacing w:line="360" w:lineRule="auto"/>
        <w:ind w:firstLine="420" w:firstLineChars="200"/>
        <w:rPr>
          <w:rFonts w:ascii="宋体" w:hAnsi="宋体"/>
          <w:color w:val="auto"/>
        </w:rPr>
      </w:pPr>
      <w:r>
        <w:rPr>
          <w:rFonts w:hint="eastAsia" w:ascii="宋体" w:hAnsi="宋体"/>
          <w:color w:val="auto"/>
        </w:rPr>
        <w:t>18.1</w:t>
      </w:r>
      <w:r>
        <w:rPr>
          <w:rFonts w:hint="eastAsia" w:hAnsi="宋体"/>
          <w:b/>
          <w:bCs/>
          <w:color w:val="auto"/>
        </w:rPr>
        <w:t>【投标须知前附表】</w:t>
      </w:r>
      <w:r>
        <w:rPr>
          <w:rFonts w:hint="eastAsia" w:ascii="宋体" w:hAnsi="宋体"/>
          <w:color w:val="auto"/>
        </w:rPr>
        <w:t>规定投标人分包的，投标人分包承诺不符合招标文件中有关分包规定的，其</w:t>
      </w:r>
      <w:r>
        <w:rPr>
          <w:rFonts w:hint="eastAsia" w:ascii="宋体" w:hAnsi="宋体"/>
          <w:b/>
          <w:bCs/>
          <w:color w:val="auto"/>
        </w:rPr>
        <w:t>投标无效</w:t>
      </w:r>
      <w:r>
        <w:rPr>
          <w:rFonts w:hint="eastAsia" w:ascii="宋体" w:hAnsi="宋体"/>
          <w:color w:val="auto"/>
        </w:rPr>
        <w:t>。</w:t>
      </w:r>
    </w:p>
    <w:p w14:paraId="4060F0D0">
      <w:pPr>
        <w:adjustRightInd w:val="0"/>
        <w:snapToGrid w:val="0"/>
        <w:spacing w:line="360" w:lineRule="auto"/>
        <w:ind w:firstLine="420" w:firstLineChars="200"/>
        <w:rPr>
          <w:rFonts w:ascii="宋体" w:hAnsi="宋体"/>
          <w:color w:val="auto"/>
        </w:rPr>
      </w:pPr>
      <w:r>
        <w:rPr>
          <w:rFonts w:hint="eastAsia" w:ascii="宋体" w:hAnsi="宋体"/>
          <w:color w:val="auto"/>
        </w:rPr>
        <w:t>18.2投标人应在签订政府采购合同前向采购人提供分包合同，否则，采购人有权拒绝签订采购合同。</w:t>
      </w:r>
    </w:p>
    <w:p w14:paraId="65982ABA">
      <w:pPr>
        <w:adjustRightInd w:val="0"/>
        <w:snapToGrid w:val="0"/>
        <w:spacing w:line="360" w:lineRule="auto"/>
        <w:ind w:firstLine="420" w:firstLineChars="200"/>
        <w:rPr>
          <w:rFonts w:ascii="宋体" w:hAnsi="宋体"/>
          <w:color w:val="auto"/>
        </w:rPr>
      </w:pPr>
      <w:r>
        <w:rPr>
          <w:rFonts w:hint="eastAsia" w:ascii="宋体" w:hAnsi="宋体"/>
          <w:color w:val="auto"/>
        </w:rPr>
        <w:t>18.3享受中小企业扶持政策获得政府采购合同的，小微企业不得将合同分包给大中型企业，中型企业不得将合同分包给大型企业。</w:t>
      </w:r>
    </w:p>
    <w:p w14:paraId="2CBBAC93">
      <w:pPr>
        <w:adjustRightInd w:val="0"/>
        <w:snapToGrid w:val="0"/>
        <w:spacing w:line="360" w:lineRule="auto"/>
        <w:ind w:firstLine="420" w:firstLineChars="200"/>
        <w:rPr>
          <w:rFonts w:ascii="宋体" w:hAnsi="宋体"/>
          <w:color w:val="auto"/>
        </w:rPr>
      </w:pPr>
      <w:r>
        <w:rPr>
          <w:rFonts w:hint="eastAsia" w:ascii="宋体" w:hAnsi="宋体"/>
          <w:color w:val="auto"/>
        </w:rPr>
        <w:t>18.4分包供应商不得再次分包。</w:t>
      </w:r>
    </w:p>
    <w:p w14:paraId="325786C6">
      <w:pPr>
        <w:adjustRightInd w:val="0"/>
        <w:snapToGrid w:val="0"/>
        <w:spacing w:line="360" w:lineRule="auto"/>
        <w:rPr>
          <w:rFonts w:ascii="宋体" w:hAnsi="宋体"/>
          <w:b/>
          <w:bCs/>
          <w:color w:val="auto"/>
          <w:sz w:val="24"/>
        </w:rPr>
      </w:pPr>
      <w:r>
        <w:rPr>
          <w:rFonts w:hint="eastAsia" w:ascii="宋体" w:hAnsi="宋体"/>
          <w:b/>
          <w:bCs/>
          <w:color w:val="auto"/>
          <w:sz w:val="24"/>
        </w:rPr>
        <w:t>19. 投标文件的签署</w:t>
      </w:r>
    </w:p>
    <w:p w14:paraId="626F4E9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19.1投标文件份数，投标人应准备所投项目的电子投标文件一份。</w:t>
      </w:r>
    </w:p>
    <w:p w14:paraId="1D30945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19.2电子投标文件：投标人应按照电子招标文件要求制作投标文件，并在</w:t>
      </w:r>
      <w:r>
        <w:rPr>
          <w:rFonts w:hint="eastAsia" w:ascii="宋体" w:hAnsi="宋体"/>
          <w:color w:val="auto"/>
        </w:rPr>
        <w:t>指定处采用电子平台认可的CA数字证书</w:t>
      </w:r>
      <w:r>
        <w:rPr>
          <w:rFonts w:hint="eastAsia" w:ascii="宋体" w:hAnsi="宋体"/>
          <w:color w:val="auto"/>
          <w:szCs w:val="21"/>
        </w:rPr>
        <w:t>进行电子签名和盖章。</w:t>
      </w:r>
    </w:p>
    <w:p w14:paraId="567B26E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19.3投标人确认投标后，应从交易平台上下载“电子招标文件制作工具（</w:t>
      </w:r>
      <w:r>
        <w:rPr>
          <w:rStyle w:val="112"/>
          <w:rFonts w:ascii="宋体" w:hAnsi="宋体"/>
          <w:color w:val="auto"/>
          <w:szCs w:val="21"/>
        </w:rPr>
        <w:t>金润投标人工具箱）</w:t>
      </w:r>
      <w:r>
        <w:rPr>
          <w:rFonts w:hint="eastAsia" w:ascii="宋体" w:hAnsi="宋体"/>
          <w:color w:val="auto"/>
          <w:szCs w:val="21"/>
        </w:rPr>
        <w:t>”，并使用此工具编制电子投标文件，否则将可能影响电子投标文件的上传而导致投标无效。</w:t>
      </w:r>
    </w:p>
    <w:p w14:paraId="0CF8FDD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19.4投标人因自身原因导致电子投标文件无法导入电子评标系统的，该投标文件视为无效投标文件。</w:t>
      </w:r>
    </w:p>
    <w:p w14:paraId="66C881D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19.5电子招投标文件具有法律效力，若投标文件与招标文件要求不一致，其内容影响中标结果时，责任由投标人自行承担。</w:t>
      </w:r>
    </w:p>
    <w:p w14:paraId="1648030A">
      <w:pPr>
        <w:pStyle w:val="4"/>
        <w:adjustRightInd w:val="0"/>
        <w:snapToGrid w:val="0"/>
        <w:spacing w:before="120" w:beforeLines="50" w:after="0" w:line="360" w:lineRule="auto"/>
        <w:jc w:val="center"/>
        <w:rPr>
          <w:rFonts w:ascii="黑体" w:hAnsi="黑体" w:eastAsia="黑体"/>
          <w:color w:val="auto"/>
          <w:sz w:val="28"/>
          <w:szCs w:val="28"/>
        </w:rPr>
      </w:pPr>
      <w:bookmarkStart w:id="188" w:name="_Toc75289553"/>
      <w:bookmarkStart w:id="189" w:name="_Toc78314267"/>
      <w:bookmarkStart w:id="190" w:name="_Toc26194"/>
      <w:bookmarkStart w:id="191" w:name="_Toc21984"/>
      <w:bookmarkStart w:id="192" w:name="_Toc25125"/>
      <w:bookmarkStart w:id="193" w:name="_Toc15009"/>
      <w:bookmarkStart w:id="194" w:name="_Toc112704938"/>
      <w:bookmarkStart w:id="195" w:name="_Toc5715"/>
      <w:bookmarkStart w:id="196" w:name="_Toc85972935"/>
      <w:bookmarkStart w:id="197" w:name="_Toc5247"/>
      <w:bookmarkStart w:id="198" w:name="_Toc75289231"/>
      <w:bookmarkStart w:id="199" w:name="_Toc192951218"/>
      <w:bookmarkStart w:id="200" w:name="_Toc108341942"/>
      <w:bookmarkStart w:id="201" w:name="_Toc77676471"/>
      <w:bookmarkStart w:id="202" w:name="_Toc6925"/>
      <w:bookmarkStart w:id="203" w:name="_Toc94367885"/>
      <w:bookmarkStart w:id="204" w:name="_Toc192949608"/>
      <w:bookmarkStart w:id="205" w:name="_Toc154428395"/>
      <w:bookmarkStart w:id="206" w:name="_Toc95601370"/>
      <w:bookmarkStart w:id="207" w:name="_Toc15888490"/>
      <w:bookmarkStart w:id="208" w:name="_Toc171273676"/>
      <w:bookmarkStart w:id="209" w:name="_Toc19962"/>
      <w:bookmarkStart w:id="210" w:name="_Toc77199404"/>
      <w:bookmarkStart w:id="211" w:name="_Toc192949707"/>
      <w:bookmarkStart w:id="212" w:name="_Toc26148"/>
      <w:bookmarkStart w:id="213" w:name="_Toc117192453"/>
      <w:bookmarkStart w:id="214" w:name="_Toc114036717"/>
      <w:bookmarkStart w:id="215" w:name="_Toc100670673"/>
      <w:bookmarkStart w:id="216" w:name="_Toc78449960"/>
      <w:bookmarkStart w:id="217" w:name="_Toc100670426"/>
      <w:r>
        <w:rPr>
          <w:rFonts w:hint="eastAsia" w:ascii="黑体" w:hAnsi="黑体" w:eastAsia="黑体"/>
          <w:color w:val="auto"/>
          <w:sz w:val="28"/>
          <w:szCs w:val="28"/>
        </w:rPr>
        <w:t>四、投标</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03D87C6D">
      <w:pPr>
        <w:adjustRightInd w:val="0"/>
        <w:snapToGrid w:val="0"/>
        <w:spacing w:line="360" w:lineRule="auto"/>
        <w:rPr>
          <w:rFonts w:ascii="宋体" w:hAnsi="宋体"/>
          <w:b/>
          <w:bCs/>
          <w:color w:val="auto"/>
          <w:sz w:val="24"/>
        </w:rPr>
      </w:pPr>
      <w:r>
        <w:rPr>
          <w:rFonts w:hint="eastAsia" w:ascii="宋体" w:hAnsi="宋体"/>
          <w:b/>
          <w:color w:val="auto"/>
          <w:sz w:val="24"/>
        </w:rPr>
        <w:t>20.</w:t>
      </w:r>
      <w:r>
        <w:rPr>
          <w:rFonts w:hint="eastAsia" w:ascii="宋体" w:hAnsi="宋体"/>
          <w:b/>
          <w:bCs/>
          <w:color w:val="auto"/>
          <w:sz w:val="24"/>
        </w:rPr>
        <w:t xml:space="preserve"> 投标文件的密封和标记</w:t>
      </w:r>
    </w:p>
    <w:p w14:paraId="0790AAF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20.1娄底市公共资源交易电子服务平台发布的“电子投标文件制作工具（</w:t>
      </w:r>
      <w:r>
        <w:rPr>
          <w:rStyle w:val="112"/>
          <w:rFonts w:ascii="宋体" w:hAnsi="宋体"/>
          <w:color w:val="auto"/>
          <w:szCs w:val="21"/>
        </w:rPr>
        <w:t>金润投标人工具箱）</w:t>
      </w:r>
      <w:r>
        <w:rPr>
          <w:rFonts w:hint="eastAsia" w:ascii="宋体" w:hAnsi="宋体"/>
          <w:color w:val="auto"/>
          <w:szCs w:val="21"/>
        </w:rPr>
        <w:t>”的程序进行固化、加密。</w:t>
      </w:r>
    </w:p>
    <w:p w14:paraId="53493B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w:t>
      </w:r>
      <w:r>
        <w:rPr>
          <w:rFonts w:ascii="宋体" w:hAnsi="宋体"/>
          <w:color w:val="auto"/>
          <w:szCs w:val="21"/>
        </w:rPr>
        <w:t>.2</w:t>
      </w:r>
      <w:r>
        <w:rPr>
          <w:rFonts w:hint="eastAsia" w:ascii="宋体" w:hAnsi="宋体"/>
          <w:color w:val="auto"/>
        </w:rPr>
        <w:t>“电子标书软件加密锁” 具有唯一性，仅限于本单位在电子化招标投标活动中使用，不得转让和出借；</w:t>
      </w:r>
    </w:p>
    <w:p w14:paraId="2E19473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w:t>
      </w:r>
      <w:r>
        <w:rPr>
          <w:rFonts w:ascii="宋体" w:hAnsi="宋体"/>
          <w:color w:val="auto"/>
          <w:szCs w:val="21"/>
        </w:rPr>
        <w:t>.</w:t>
      </w:r>
      <w:r>
        <w:rPr>
          <w:rFonts w:hint="eastAsia" w:ascii="宋体" w:hAnsi="宋体"/>
          <w:color w:val="auto"/>
          <w:szCs w:val="21"/>
        </w:rPr>
        <w:t>3</w:t>
      </w:r>
      <w:r>
        <w:rPr>
          <w:rFonts w:hint="eastAsia" w:ascii="宋体" w:hAnsi="宋体"/>
          <w:color w:val="auto"/>
        </w:rPr>
        <w:t>投标人在编辑投标文件时，在投标文件目录中属于本节点内容的必须上传或填写在本节点的对应位置，未按要求填写或上传的，相应责任由投标人自行承担</w:t>
      </w:r>
      <w:r>
        <w:rPr>
          <w:rFonts w:hint="eastAsia" w:ascii="宋体" w:hAnsi="宋体"/>
          <w:color w:val="auto"/>
          <w:szCs w:val="21"/>
        </w:rPr>
        <w:t>。</w:t>
      </w:r>
    </w:p>
    <w:p w14:paraId="36B5EA7C">
      <w:pPr>
        <w:adjustRightInd w:val="0"/>
        <w:snapToGrid w:val="0"/>
        <w:spacing w:line="360" w:lineRule="auto"/>
        <w:ind w:firstLine="420" w:firstLineChars="200"/>
        <w:rPr>
          <w:rFonts w:ascii="宋体" w:hAnsi="宋体"/>
          <w:color w:val="auto"/>
          <w:szCs w:val="21"/>
        </w:rPr>
      </w:pPr>
      <w:r>
        <w:rPr>
          <w:rFonts w:hint="eastAsia" w:ascii="宋体" w:hAnsi="宋体"/>
          <w:color w:val="auto"/>
        </w:rPr>
        <w:t>20.4投标书编写完成后，必须用本系统自带的电子密钥进行加密，如果误选了非本项目的规则文件导致不能在开标时解密投标文件，该投标文件将被电子开标系统拒绝，将导致投标文件无效。</w:t>
      </w:r>
    </w:p>
    <w:p w14:paraId="1FDC3A52">
      <w:pPr>
        <w:adjustRightInd w:val="0"/>
        <w:snapToGrid w:val="0"/>
        <w:spacing w:line="360" w:lineRule="auto"/>
        <w:ind w:firstLine="420" w:firstLineChars="200"/>
        <w:rPr>
          <w:rFonts w:ascii="宋体" w:hAnsi="宋体"/>
          <w:color w:val="auto"/>
          <w:szCs w:val="21"/>
        </w:rPr>
      </w:pPr>
      <w:r>
        <w:rPr>
          <w:rFonts w:hint="eastAsia" w:ascii="宋体" w:hAnsi="宋体"/>
          <w:color w:val="auto"/>
        </w:rPr>
        <w:t>20.5如果开标时出现网络故障、技术故障，影响了招投标活动，采购人可采取措施如延期、延长上传的投标书和解密时间等，以保障招投标活动的公开、公平和公正，投标人不得对此持有异议</w:t>
      </w:r>
      <w:r>
        <w:rPr>
          <w:rFonts w:ascii="宋体" w:hAnsi="宋体"/>
          <w:color w:val="auto"/>
        </w:rPr>
        <w:t>。</w:t>
      </w:r>
    </w:p>
    <w:p w14:paraId="758449D5">
      <w:pPr>
        <w:adjustRightInd w:val="0"/>
        <w:snapToGrid w:val="0"/>
        <w:spacing w:line="360" w:lineRule="auto"/>
        <w:rPr>
          <w:rFonts w:ascii="宋体" w:hAnsi="宋体"/>
          <w:b/>
          <w:bCs/>
          <w:color w:val="auto"/>
          <w:sz w:val="24"/>
        </w:rPr>
      </w:pPr>
      <w:r>
        <w:rPr>
          <w:rFonts w:hint="eastAsia" w:ascii="宋体" w:hAnsi="宋体"/>
          <w:b/>
          <w:bCs/>
          <w:color w:val="auto"/>
          <w:sz w:val="24"/>
        </w:rPr>
        <w:t>21. 投标文件的递交</w:t>
      </w:r>
    </w:p>
    <w:p w14:paraId="2380264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21.1</w:t>
      </w:r>
      <w:r>
        <w:rPr>
          <w:rStyle w:val="112"/>
          <w:rFonts w:ascii="宋体" w:hAnsi="宋体"/>
          <w:color w:val="auto"/>
          <w:szCs w:val="21"/>
        </w:rPr>
        <w:t>实行网上投标，</w:t>
      </w:r>
      <w:r>
        <w:rPr>
          <w:rFonts w:ascii="宋体" w:hAnsi="宋体"/>
          <w:color w:val="auto"/>
        </w:rPr>
        <w:t>投标人必须</w:t>
      </w:r>
      <w:r>
        <w:rPr>
          <w:rFonts w:hint="eastAsia" w:ascii="宋体" w:hAnsi="宋体"/>
          <w:color w:val="auto"/>
        </w:rPr>
        <w:t>在</w:t>
      </w:r>
      <w:r>
        <w:rPr>
          <w:rFonts w:ascii="宋体" w:hAnsi="宋体"/>
          <w:color w:val="auto"/>
        </w:rPr>
        <w:t>采购文件规定的投标截止时间前完成</w:t>
      </w:r>
      <w:r>
        <w:rPr>
          <w:rFonts w:hint="eastAsia" w:ascii="宋体" w:hAnsi="宋体"/>
          <w:color w:val="auto"/>
          <w:szCs w:val="21"/>
        </w:rPr>
        <w:t>。</w:t>
      </w:r>
    </w:p>
    <w:p w14:paraId="0DBE8A3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21.2</w:t>
      </w:r>
      <w:r>
        <w:rPr>
          <w:rFonts w:ascii="宋体" w:hAnsi="宋体"/>
          <w:color w:val="auto"/>
        </w:rPr>
        <w:t>按本</w:t>
      </w:r>
      <w:r>
        <w:rPr>
          <w:rFonts w:hint="eastAsia" w:ascii="宋体" w:hAnsi="宋体"/>
          <w:color w:val="auto"/>
        </w:rPr>
        <w:t>章</w:t>
      </w:r>
      <w:r>
        <w:rPr>
          <w:rFonts w:ascii="宋体" w:hAnsi="宋体"/>
          <w:color w:val="auto"/>
        </w:rPr>
        <w:t>第</w:t>
      </w:r>
      <w:r>
        <w:rPr>
          <w:rFonts w:hint="eastAsia" w:ascii="宋体" w:hAnsi="宋体"/>
          <w:color w:val="auto"/>
        </w:rPr>
        <w:t>9</w:t>
      </w:r>
      <w:r>
        <w:rPr>
          <w:rFonts w:ascii="宋体" w:hAnsi="宋体"/>
          <w:color w:val="auto"/>
        </w:rPr>
        <w:t>条规定，招标文件发生实质性修改后，投标人须撤回原电子投标文件，根据最新招标文件重新制作投标文件并再次上传。</w:t>
      </w:r>
    </w:p>
    <w:p w14:paraId="5F648C01">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21.3</w:t>
      </w:r>
      <w:r>
        <w:rPr>
          <w:rFonts w:ascii="宋体" w:hAnsi="宋体"/>
          <w:color w:val="auto"/>
        </w:rPr>
        <w:t>投标截止时间</w:t>
      </w:r>
      <w:r>
        <w:rPr>
          <w:rFonts w:hint="eastAsia" w:ascii="宋体" w:hAnsi="宋体"/>
          <w:color w:val="auto"/>
        </w:rPr>
        <w:t>到达以后不再接收</w:t>
      </w:r>
      <w:r>
        <w:rPr>
          <w:rFonts w:ascii="宋体" w:hAnsi="宋体"/>
          <w:color w:val="auto"/>
        </w:rPr>
        <w:t>投标文件。</w:t>
      </w:r>
    </w:p>
    <w:p w14:paraId="53AACBA4">
      <w:pPr>
        <w:adjustRightInd w:val="0"/>
        <w:snapToGrid w:val="0"/>
        <w:spacing w:line="360" w:lineRule="auto"/>
        <w:rPr>
          <w:rFonts w:ascii="宋体" w:hAnsi="宋体"/>
          <w:b/>
          <w:bCs/>
          <w:color w:val="auto"/>
          <w:sz w:val="24"/>
        </w:rPr>
      </w:pPr>
      <w:r>
        <w:rPr>
          <w:rFonts w:hint="eastAsia" w:ascii="宋体" w:hAnsi="宋体"/>
          <w:b/>
          <w:bCs/>
          <w:color w:val="auto"/>
          <w:sz w:val="24"/>
        </w:rPr>
        <w:t>22. 投标文件的修改和撤回</w:t>
      </w:r>
    </w:p>
    <w:p w14:paraId="6308632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22.1投标人</w:t>
      </w:r>
      <w:r>
        <w:rPr>
          <w:rFonts w:hint="eastAsia" w:ascii="宋体" w:hAnsi="宋体"/>
          <w:color w:val="auto"/>
        </w:rPr>
        <w:t>在提交电子投标文件后可对其投标文件进行修改并重新上传投标文件或在网上进行撤销投标的操作。</w:t>
      </w:r>
    </w:p>
    <w:p w14:paraId="54336ED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22.2</w:t>
      </w:r>
      <w:r>
        <w:rPr>
          <w:rFonts w:hint="eastAsia" w:ascii="宋体" w:hAnsi="宋体"/>
          <w:color w:val="auto"/>
        </w:rPr>
        <w:t>投标截止时间以后不得修改投标文件。</w:t>
      </w:r>
    </w:p>
    <w:p w14:paraId="7252B167">
      <w:pPr>
        <w:adjustRightInd w:val="0"/>
        <w:snapToGrid w:val="0"/>
        <w:spacing w:line="360" w:lineRule="auto"/>
        <w:rPr>
          <w:rFonts w:ascii="宋体" w:hAnsi="宋体" w:cs="Arial"/>
          <w:b/>
          <w:color w:val="auto"/>
          <w:sz w:val="24"/>
        </w:rPr>
      </w:pPr>
      <w:r>
        <w:rPr>
          <w:rFonts w:hint="eastAsia" w:ascii="宋体" w:hAnsi="宋体"/>
          <w:b/>
          <w:bCs/>
          <w:color w:val="auto"/>
          <w:sz w:val="24"/>
        </w:rPr>
        <w:t>23.</w:t>
      </w:r>
      <w:r>
        <w:rPr>
          <w:rFonts w:hint="eastAsia" w:ascii="宋体" w:hAnsi="宋体" w:cs="Arial"/>
          <w:b/>
          <w:color w:val="auto"/>
          <w:sz w:val="24"/>
        </w:rPr>
        <w:t xml:space="preserve"> 串通</w:t>
      </w:r>
      <w:r>
        <w:rPr>
          <w:rFonts w:hint="eastAsia" w:ascii="宋体" w:hAnsi="宋体"/>
          <w:b/>
          <w:color w:val="auto"/>
          <w:sz w:val="24"/>
        </w:rPr>
        <w:t>投标行为</w:t>
      </w:r>
    </w:p>
    <w:p w14:paraId="05E1DE03">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23.1有下列情形之一的，属于恶意串通，对投标人依照政府采购法第七十七条第一款的规定追究法律责任：</w:t>
      </w:r>
    </w:p>
    <w:p w14:paraId="0006AEEB">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（1）投标人直接或者间接从采购人或者采购代理机构处获得其他投标人的相关情况并修改其投标文件；</w:t>
      </w:r>
    </w:p>
    <w:p w14:paraId="29590E0E">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（2）投标人按照采购人或者采购代理机构的授意撤换、修改投标文件；</w:t>
      </w:r>
    </w:p>
    <w:p w14:paraId="2B19AF7C">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（3）投标人之间协商报价、技术方案等投标文件的实质性内容；</w:t>
      </w:r>
    </w:p>
    <w:p w14:paraId="30EC7932">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（4）属于同一集团、协会、商会等组织成员的投标人按照该组织要求协同参加政府采购活动；</w:t>
      </w:r>
    </w:p>
    <w:p w14:paraId="3D44EDE6">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（5）投标人之间事先约定由某一特定投标人中标；</w:t>
      </w:r>
    </w:p>
    <w:p w14:paraId="5C595057">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（6）投标人之间商定部分投标人放弃参加政府采购活动或者放弃中标；</w:t>
      </w:r>
    </w:p>
    <w:p w14:paraId="13017523">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（7）投标人与采购人或者采购代理机构之间、投标人相互之间，为谋求特定投标人中标或者排斥其他投标人的其他串通行为。</w:t>
      </w:r>
    </w:p>
    <w:p w14:paraId="09185DE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23.2有下列情形之一的，视为投标人串通投标，其</w:t>
      </w:r>
      <w:r>
        <w:rPr>
          <w:rFonts w:hint="eastAsia" w:ascii="宋体" w:hAnsi="宋体"/>
          <w:b/>
          <w:color w:val="auto"/>
          <w:szCs w:val="21"/>
        </w:rPr>
        <w:t>投标无效</w:t>
      </w:r>
      <w:r>
        <w:rPr>
          <w:rFonts w:hint="eastAsia" w:ascii="宋体" w:hAnsi="宋体"/>
          <w:color w:val="auto"/>
          <w:szCs w:val="21"/>
        </w:rPr>
        <w:t>：</w:t>
      </w:r>
    </w:p>
    <w:p w14:paraId="441802C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（1）不同投标人的投标文件由同一单位或者个人编制；</w:t>
      </w:r>
    </w:p>
    <w:p w14:paraId="0EB46F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（2）不同投标人委托同一单位或者个人办理投标事宜；</w:t>
      </w:r>
    </w:p>
    <w:p w14:paraId="3BF34AD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（3）不同投标人的投标文件载明的项目管理成员或者联系人员为同一人；</w:t>
      </w:r>
    </w:p>
    <w:p w14:paraId="2A684B0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（4）不同投标人的投标文件异常一致或者投标报价呈规律性差异；</w:t>
      </w:r>
    </w:p>
    <w:p w14:paraId="456337F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（5）不同投标人的投标文件相互混装。</w:t>
      </w:r>
    </w:p>
    <w:p w14:paraId="740EEB62">
      <w:pPr>
        <w:pStyle w:val="4"/>
        <w:adjustRightInd w:val="0"/>
        <w:snapToGrid w:val="0"/>
        <w:spacing w:before="120" w:beforeLines="50" w:after="0" w:line="360" w:lineRule="auto"/>
        <w:jc w:val="center"/>
        <w:rPr>
          <w:rFonts w:ascii="黑体" w:hAnsi="黑体" w:eastAsia="黑体"/>
          <w:color w:val="auto"/>
          <w:sz w:val="28"/>
          <w:szCs w:val="28"/>
        </w:rPr>
      </w:pPr>
      <w:bookmarkStart w:id="218" w:name="_Toc31012"/>
      <w:bookmarkStart w:id="219" w:name="_Toc192951219"/>
      <w:bookmarkStart w:id="220" w:name="_Toc77199405"/>
      <w:bookmarkStart w:id="221" w:name="_Toc78449961"/>
      <w:bookmarkStart w:id="222" w:name="_Toc2710"/>
      <w:bookmarkStart w:id="223" w:name="_Toc21272"/>
      <w:bookmarkStart w:id="224" w:name="_Toc16138"/>
      <w:bookmarkStart w:id="225" w:name="_Toc94367886"/>
      <w:bookmarkStart w:id="226" w:name="_Toc3691"/>
      <w:bookmarkStart w:id="227" w:name="_Toc112704939"/>
      <w:bookmarkStart w:id="228" w:name="_Toc154428396"/>
      <w:bookmarkStart w:id="229" w:name="_Toc77676472"/>
      <w:bookmarkStart w:id="230" w:name="_Toc100670674"/>
      <w:bookmarkStart w:id="231" w:name="_Toc192949708"/>
      <w:bookmarkStart w:id="232" w:name="_Toc95601371"/>
      <w:bookmarkStart w:id="233" w:name="_Toc632"/>
      <w:bookmarkStart w:id="234" w:name="_Toc78314268"/>
      <w:bookmarkStart w:id="235" w:name="_Toc192949609"/>
      <w:bookmarkStart w:id="236" w:name="_Toc14793"/>
      <w:bookmarkStart w:id="237" w:name="_Toc117192454"/>
      <w:bookmarkStart w:id="238" w:name="_Toc29944"/>
      <w:bookmarkStart w:id="239" w:name="_Toc108341943"/>
      <w:bookmarkStart w:id="240" w:name="_Toc15888491"/>
      <w:bookmarkStart w:id="241" w:name="_Toc18046"/>
      <w:bookmarkStart w:id="242" w:name="_Toc114036718"/>
      <w:bookmarkStart w:id="243" w:name="_Toc85972936"/>
      <w:bookmarkStart w:id="244" w:name="_Toc75289554"/>
      <w:bookmarkStart w:id="245" w:name="_Toc100670427"/>
      <w:bookmarkStart w:id="246" w:name="_Toc75289232"/>
      <w:bookmarkStart w:id="247" w:name="_Toc171273677"/>
      <w:r>
        <w:rPr>
          <w:rFonts w:hint="eastAsia" w:ascii="黑体" w:hAnsi="黑体" w:eastAsia="黑体"/>
          <w:color w:val="auto"/>
          <w:sz w:val="28"/>
          <w:szCs w:val="28"/>
        </w:rPr>
        <w:t>五、开标，资格审查和评标</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4F0814A5">
      <w:pPr>
        <w:adjustRightInd w:val="0"/>
        <w:snapToGrid w:val="0"/>
        <w:spacing w:line="360" w:lineRule="auto"/>
        <w:rPr>
          <w:rFonts w:ascii="宋体" w:hAnsi="宋体"/>
          <w:b/>
          <w:bCs/>
          <w:color w:val="auto"/>
          <w:sz w:val="24"/>
        </w:rPr>
      </w:pPr>
      <w:r>
        <w:rPr>
          <w:rFonts w:hint="eastAsia" w:ascii="宋体" w:hAnsi="宋体"/>
          <w:b/>
          <w:bCs/>
          <w:color w:val="auto"/>
          <w:sz w:val="24"/>
        </w:rPr>
        <w:t>24. 开标</w:t>
      </w:r>
    </w:p>
    <w:p w14:paraId="6C473DE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24.1采购人、采购代理机构按</w:t>
      </w:r>
      <w:r>
        <w:rPr>
          <w:rFonts w:hint="eastAsia" w:ascii="宋体" w:hAnsi="宋体"/>
          <w:b/>
          <w:color w:val="auto"/>
          <w:szCs w:val="21"/>
        </w:rPr>
        <w:t>【投标须知前附表】</w:t>
      </w:r>
      <w:r>
        <w:rPr>
          <w:rFonts w:hint="eastAsia" w:ascii="宋体" w:hAnsi="宋体"/>
          <w:color w:val="auto"/>
          <w:szCs w:val="21"/>
        </w:rPr>
        <w:t>的规定组织网上开标，并邀请投标人网上参加。投标人未按时解密的视为自动放弃。</w:t>
      </w:r>
    </w:p>
    <w:p w14:paraId="1F24B11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24.2开标时，由系统宣读投标人名称、投标价格和</w:t>
      </w:r>
      <w:r>
        <w:rPr>
          <w:rFonts w:hint="eastAsia" w:ascii="宋体" w:hAnsi="宋体"/>
          <w:b/>
          <w:color w:val="auto"/>
          <w:szCs w:val="21"/>
        </w:rPr>
        <w:t>【投标须知前附表】</w:t>
      </w:r>
      <w:r>
        <w:rPr>
          <w:rFonts w:hint="eastAsia" w:ascii="宋体" w:hAnsi="宋体"/>
          <w:color w:val="auto"/>
          <w:szCs w:val="21"/>
        </w:rPr>
        <w:t>规定需要宣布的其他内容。投标人不足3家的，不得开标。</w:t>
      </w:r>
    </w:p>
    <w:p w14:paraId="4CD99BB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24.3开标过程由系统自动生成，采购人、采购代理机构签字后随采购文件一并存档。</w:t>
      </w:r>
    </w:p>
    <w:p w14:paraId="468C35C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24.4投标人对开标过程和开标记录有疑义，以及认为采购人、采购代理机构相关工作人员有《政府采购法实施条例》第九条第一款需要回避的情形的，可以提出询问或者回避申请。</w:t>
      </w:r>
    </w:p>
    <w:p w14:paraId="07F01D4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24.5采购人、采购代理机构对投标人提出的询问或者回避申请，按《政府采购法实施条例》有关规定及时处理。</w:t>
      </w:r>
    </w:p>
    <w:p w14:paraId="5FD8232F">
      <w:pPr>
        <w:adjustRightInd w:val="0"/>
        <w:snapToGrid w:val="0"/>
        <w:spacing w:line="360" w:lineRule="auto"/>
        <w:rPr>
          <w:rFonts w:ascii="宋体" w:hAnsi="宋体"/>
          <w:b/>
          <w:color w:val="auto"/>
          <w:sz w:val="24"/>
        </w:rPr>
      </w:pPr>
      <w:r>
        <w:rPr>
          <w:rStyle w:val="50"/>
          <w:rFonts w:hint="eastAsia" w:ascii="宋体" w:hAnsi="宋体" w:cs="Arial"/>
          <w:color w:val="auto"/>
          <w:sz w:val="24"/>
        </w:rPr>
        <w:t>25.</w:t>
      </w:r>
      <w:r>
        <w:rPr>
          <w:rFonts w:hint="eastAsia" w:ascii="宋体" w:hAnsi="宋体"/>
          <w:b/>
          <w:color w:val="auto"/>
          <w:sz w:val="24"/>
        </w:rPr>
        <w:t xml:space="preserve"> 资格审查</w:t>
      </w:r>
    </w:p>
    <w:p w14:paraId="4D0BE9D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25.1开标结束后，采购人、采购代理机构依法按照第三章“资格审查”规定组织资格审查。</w:t>
      </w:r>
    </w:p>
    <w:p w14:paraId="5D3E434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25.2资格审查结束后，采购人、采购代理机构应将资格审查结果告知评标委员会。资格审查不合格投标人不进入评标；资格审查合格投标人少于3家的，不得评标。</w:t>
      </w:r>
    </w:p>
    <w:p w14:paraId="376283CA">
      <w:pPr>
        <w:adjustRightInd w:val="0"/>
        <w:snapToGrid w:val="0"/>
        <w:spacing w:line="360" w:lineRule="auto"/>
        <w:rPr>
          <w:rFonts w:ascii="宋体" w:hAnsi="宋体"/>
          <w:b/>
          <w:color w:val="auto"/>
          <w:sz w:val="24"/>
        </w:rPr>
      </w:pPr>
      <w:r>
        <w:rPr>
          <w:rFonts w:hint="eastAsia" w:ascii="宋体" w:hAnsi="宋体"/>
          <w:b/>
          <w:bCs/>
          <w:color w:val="auto"/>
          <w:sz w:val="24"/>
        </w:rPr>
        <w:t>26.</w:t>
      </w:r>
      <w:r>
        <w:rPr>
          <w:rFonts w:hint="eastAsia" w:ascii="宋体" w:hAnsi="宋体"/>
          <w:b/>
          <w:color w:val="auto"/>
          <w:sz w:val="24"/>
        </w:rPr>
        <w:t xml:space="preserve"> 评标委员会</w:t>
      </w:r>
    </w:p>
    <w:p w14:paraId="352B543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26.1评标由依法组建的评标委员会负责，评标委员会由采购人代表和评审专家</w:t>
      </w:r>
      <w:r>
        <w:rPr>
          <w:rFonts w:hint="eastAsia" w:ascii="宋体" w:hAnsi="宋体" w:cs="宋体"/>
          <w:color w:val="auto"/>
          <w:szCs w:val="21"/>
        </w:rPr>
        <w:t>组成</w:t>
      </w:r>
      <w:r>
        <w:rPr>
          <w:rFonts w:hint="eastAsia" w:ascii="宋体" w:hAnsi="宋体"/>
          <w:color w:val="auto"/>
          <w:szCs w:val="21"/>
        </w:rPr>
        <w:t>。</w:t>
      </w:r>
    </w:p>
    <w:p w14:paraId="6422C05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26.2评标委员会成员有下列情形之一的，应当回避：</w:t>
      </w:r>
    </w:p>
    <w:p w14:paraId="143C80D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（1）参加采购活动前三年内,与投标人存在劳动关系,或者担任过投标人的董事、监事,或者是投标人的控股股东或实际控制人；</w:t>
      </w:r>
    </w:p>
    <w:p w14:paraId="11B6A80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（2）与投标人的法定代表人或者负责人有夫妻、直系血亲、三代以内旁系血亲或者近姻亲关系；</w:t>
      </w:r>
    </w:p>
    <w:p w14:paraId="3B5316D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（3）与投标人有其他可能影响政府采购活动公平、公正进行的关系。</w:t>
      </w:r>
    </w:p>
    <w:p w14:paraId="0133F83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26.3评标委员会负责具体评标事务，并独立履行下列职责：</w:t>
      </w:r>
    </w:p>
    <w:p w14:paraId="698E273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（1）审查、评价投标文件是否符合招标文件的商务、技术等实质性要求；</w:t>
      </w:r>
    </w:p>
    <w:p w14:paraId="1F0CAE0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（2）要求投标人对投标文件有关事项作出澄清或者说明；</w:t>
      </w:r>
    </w:p>
    <w:p w14:paraId="7897B5E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（3）对投标文件进行比较和评价；</w:t>
      </w:r>
    </w:p>
    <w:p w14:paraId="1A0C608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（4）确定中标候选人名单，以及根据采购人委托直接确定中标人。</w:t>
      </w:r>
    </w:p>
    <w:p w14:paraId="144B0724">
      <w:pPr>
        <w:adjustRightInd w:val="0"/>
        <w:snapToGrid w:val="0"/>
        <w:spacing w:line="360" w:lineRule="auto"/>
        <w:rPr>
          <w:rFonts w:ascii="宋体" w:hAnsi="宋体"/>
          <w:b/>
          <w:bCs/>
          <w:color w:val="auto"/>
          <w:sz w:val="24"/>
        </w:rPr>
      </w:pPr>
      <w:r>
        <w:rPr>
          <w:rFonts w:hint="eastAsia" w:ascii="宋体" w:hAnsi="宋体"/>
          <w:b/>
          <w:color w:val="auto"/>
          <w:sz w:val="24"/>
        </w:rPr>
        <w:t>27.</w:t>
      </w:r>
      <w:r>
        <w:rPr>
          <w:rFonts w:hint="eastAsia" w:ascii="宋体" w:hAnsi="宋体"/>
          <w:b/>
          <w:bCs/>
          <w:color w:val="auto"/>
          <w:sz w:val="24"/>
        </w:rPr>
        <w:t xml:space="preserve"> 评标</w:t>
      </w:r>
    </w:p>
    <w:p w14:paraId="107F2E82">
      <w:pPr>
        <w:adjustRightInd w:val="0"/>
        <w:snapToGrid w:val="0"/>
        <w:spacing w:line="360" w:lineRule="auto"/>
        <w:ind w:firstLine="420" w:firstLineChars="200"/>
        <w:rPr>
          <w:rFonts w:ascii="宋体" w:hAnsi="宋体"/>
          <w:color w:val="auto"/>
        </w:rPr>
      </w:pPr>
      <w:r>
        <w:rPr>
          <w:rFonts w:hint="eastAsia" w:ascii="宋体" w:hAnsi="宋体"/>
          <w:color w:val="auto"/>
        </w:rPr>
        <w:t>27.1评标委员会按照</w:t>
      </w:r>
      <w:r>
        <w:rPr>
          <w:rFonts w:hint="eastAsia" w:ascii="宋体" w:hAnsi="宋体"/>
          <w:bCs/>
          <w:color w:val="auto"/>
        </w:rPr>
        <w:t>第四章“评标方法及标准”</w:t>
      </w:r>
      <w:r>
        <w:rPr>
          <w:rFonts w:hint="eastAsia" w:ascii="宋体" w:hAnsi="宋体"/>
          <w:color w:val="auto"/>
        </w:rPr>
        <w:t>规定的评标方法、评审因素、标准和程序以及有关法律、法规及规章对投标文件进行评审。</w:t>
      </w:r>
    </w:p>
    <w:p w14:paraId="2001A131">
      <w:pPr>
        <w:pStyle w:val="4"/>
        <w:adjustRightInd w:val="0"/>
        <w:snapToGrid w:val="0"/>
        <w:spacing w:before="120" w:beforeLines="50" w:after="0" w:line="360" w:lineRule="auto"/>
        <w:jc w:val="center"/>
        <w:rPr>
          <w:rFonts w:ascii="黑体" w:hAnsi="黑体" w:eastAsia="黑体"/>
          <w:color w:val="auto"/>
          <w:sz w:val="28"/>
          <w:szCs w:val="28"/>
        </w:rPr>
      </w:pPr>
      <w:bookmarkStart w:id="248" w:name="_Toc78314269"/>
      <w:bookmarkStart w:id="249" w:name="_Toc28279"/>
      <w:bookmarkStart w:id="250" w:name="_Toc192949709"/>
      <w:bookmarkStart w:id="251" w:name="_Toc77199406"/>
      <w:bookmarkStart w:id="252" w:name="_Toc117192455"/>
      <w:bookmarkStart w:id="253" w:name="_Toc32692"/>
      <w:bookmarkStart w:id="254" w:name="_Toc75289555"/>
      <w:bookmarkStart w:id="255" w:name="_Toc192951220"/>
      <w:bookmarkStart w:id="256" w:name="_Toc21537"/>
      <w:bookmarkStart w:id="257" w:name="_Toc85972937"/>
      <w:bookmarkStart w:id="258" w:name="_Toc2789"/>
      <w:bookmarkStart w:id="259" w:name="_Toc75289233"/>
      <w:bookmarkStart w:id="260" w:name="_Toc100670675"/>
      <w:bookmarkStart w:id="261" w:name="_Toc154428397"/>
      <w:bookmarkStart w:id="262" w:name="_Toc94367887"/>
      <w:bookmarkStart w:id="263" w:name="_Toc192949610"/>
      <w:bookmarkStart w:id="264" w:name="_Toc1814"/>
      <w:bookmarkStart w:id="265" w:name="_Toc78449962"/>
      <w:bookmarkStart w:id="266" w:name="_Toc114036719"/>
      <w:bookmarkStart w:id="267" w:name="_Toc26097"/>
      <w:bookmarkStart w:id="268" w:name="_Toc14452"/>
      <w:bookmarkStart w:id="269" w:name="_Toc112704940"/>
      <w:bookmarkStart w:id="270" w:name="_Toc171273678"/>
      <w:bookmarkStart w:id="271" w:name="_Toc77676473"/>
      <w:bookmarkStart w:id="272" w:name="_Toc15888492"/>
      <w:bookmarkStart w:id="273" w:name="_Toc108341944"/>
      <w:bookmarkStart w:id="274" w:name="_Toc13364"/>
      <w:bookmarkStart w:id="275" w:name="_Toc95601372"/>
      <w:bookmarkStart w:id="276" w:name="_Toc7415"/>
      <w:bookmarkStart w:id="277" w:name="_Toc100670428"/>
      <w:r>
        <w:rPr>
          <w:rFonts w:hint="eastAsia" w:ascii="黑体" w:hAnsi="黑体" w:eastAsia="黑体"/>
          <w:color w:val="auto"/>
          <w:sz w:val="28"/>
          <w:szCs w:val="28"/>
        </w:rPr>
        <w:t>六、中标信息公布</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58DB6F6F">
      <w:pPr>
        <w:adjustRightInd w:val="0"/>
        <w:snapToGrid w:val="0"/>
        <w:spacing w:line="360" w:lineRule="auto"/>
        <w:rPr>
          <w:rFonts w:ascii="宋体" w:hAnsi="宋体"/>
          <w:b/>
          <w:bCs/>
          <w:color w:val="auto"/>
          <w:sz w:val="24"/>
        </w:rPr>
      </w:pPr>
      <w:r>
        <w:rPr>
          <w:rFonts w:hint="eastAsia" w:ascii="宋体" w:hAnsi="宋体"/>
          <w:b/>
          <w:color w:val="auto"/>
          <w:sz w:val="24"/>
        </w:rPr>
        <w:t>28.</w:t>
      </w:r>
      <w:r>
        <w:rPr>
          <w:rFonts w:hint="eastAsia" w:ascii="宋体" w:hAnsi="宋体"/>
          <w:b/>
          <w:bCs/>
          <w:color w:val="auto"/>
          <w:sz w:val="24"/>
        </w:rPr>
        <w:t>中标通知书与中标信息公布</w:t>
      </w:r>
    </w:p>
    <w:p w14:paraId="15E1F58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28.1采购代理机构应当在评标结束后2个工作日内将评标报告送采购人。</w:t>
      </w:r>
    </w:p>
    <w:p w14:paraId="56B0555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28.2采购人应当自收到评标报告之日起5个工作日内，在评标报告确定的中标候选人名单中按顺序确定中标人。中标候选人并列的，按照</w:t>
      </w:r>
      <w:r>
        <w:rPr>
          <w:rFonts w:hint="eastAsia" w:ascii="宋体" w:hAnsi="宋体"/>
          <w:b/>
          <w:color w:val="auto"/>
          <w:szCs w:val="21"/>
        </w:rPr>
        <w:t>【投标须知前附表】</w:t>
      </w:r>
      <w:r>
        <w:rPr>
          <w:rFonts w:hint="eastAsia" w:ascii="宋体" w:hAnsi="宋体"/>
          <w:color w:val="auto"/>
          <w:szCs w:val="21"/>
        </w:rPr>
        <w:t>规定的方式确定中标人；招标文件未规定的，采取随机抽取的方式确定。</w:t>
      </w:r>
    </w:p>
    <w:p w14:paraId="52844D7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28.3采购人、采购代理机构应当自采购人确定中标供应商之日起2个工作日内，发出中标通知书，并在招标公告指定媒体上公告中标结果，招标文件随中标结果同时公告，中标结果公告期限为1个工作日。</w:t>
      </w:r>
    </w:p>
    <w:p w14:paraId="21361D5E">
      <w:pPr>
        <w:adjustRightInd w:val="0"/>
        <w:snapToGrid w:val="0"/>
        <w:spacing w:line="360" w:lineRule="auto"/>
        <w:rPr>
          <w:rFonts w:ascii="宋体" w:hAnsi="宋体"/>
          <w:b/>
          <w:bCs/>
          <w:color w:val="auto"/>
          <w:sz w:val="24"/>
        </w:rPr>
      </w:pPr>
      <w:r>
        <w:rPr>
          <w:rFonts w:hint="eastAsia" w:ascii="宋体" w:hAnsi="宋体"/>
          <w:b/>
          <w:bCs/>
          <w:color w:val="auto"/>
          <w:sz w:val="24"/>
        </w:rPr>
        <w:t>29.</w:t>
      </w:r>
      <w:r>
        <w:rPr>
          <w:rFonts w:hint="eastAsia" w:ascii="宋体" w:hAnsi="宋体"/>
          <w:b/>
          <w:color w:val="auto"/>
          <w:sz w:val="24"/>
        </w:rPr>
        <w:t xml:space="preserve"> 投标人询问及</w:t>
      </w:r>
      <w:r>
        <w:rPr>
          <w:rFonts w:hint="eastAsia" w:ascii="宋体" w:hAnsi="宋体"/>
          <w:b/>
          <w:bCs/>
          <w:color w:val="auto"/>
          <w:sz w:val="24"/>
        </w:rPr>
        <w:t>质疑</w:t>
      </w:r>
    </w:p>
    <w:p w14:paraId="0884D0B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29.1投标人对政府采购活动事项有疑问的，可以向采购人、采购代理机构提出询问。采购人或者采购代理机构将在3个工作日内作出答复。</w:t>
      </w:r>
    </w:p>
    <w:p w14:paraId="03A9E3A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29.2投标人认为招标文件、采购过程和中标结果使自己的权益受到损害的，可以在知道或者应知其权益受到损害之日起7个工作日内，按照《湖南省财政厅关于印发＜政府采购质疑答复和投诉处理操作规程＞的通知》(湘财购〔20</w:t>
      </w:r>
      <w:r>
        <w:rPr>
          <w:rFonts w:hint="eastAsia" w:ascii="宋体" w:hAnsi="宋体"/>
          <w:color w:val="auto"/>
          <w:szCs w:val="21"/>
          <w:lang w:val="en-US" w:eastAsia="zh-CN"/>
        </w:rPr>
        <w:t>24</w:t>
      </w:r>
      <w:r>
        <w:rPr>
          <w:rFonts w:hint="eastAsia" w:ascii="宋体" w:hAnsi="宋体"/>
          <w:color w:val="auto"/>
          <w:szCs w:val="21"/>
        </w:rPr>
        <w:t>〕</w:t>
      </w:r>
      <w:r>
        <w:rPr>
          <w:rFonts w:hint="eastAsia" w:ascii="宋体" w:hAnsi="宋体"/>
          <w:color w:val="auto"/>
          <w:szCs w:val="21"/>
          <w:lang w:val="en-US" w:eastAsia="zh-CN"/>
        </w:rPr>
        <w:t>67</w:t>
      </w:r>
      <w:r>
        <w:rPr>
          <w:rFonts w:hint="eastAsia" w:ascii="宋体" w:hAnsi="宋体"/>
          <w:color w:val="auto"/>
          <w:szCs w:val="21"/>
        </w:rPr>
        <w:t>号)规定，以纸质书面形式向采购人、采购代理机构提出质疑。投标人应当在法定质疑期内一次性提出针对同一采购程序环节的质疑。</w:t>
      </w:r>
    </w:p>
    <w:p w14:paraId="420399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29.3投标人提出质疑的，应按照《湖南省财政厅关于印发＜政府采购质疑答复和投诉处理操作规程＞的通知》规定制作、签署、送达。采购人、采购代理机构接收质疑函的联系部门、联系电话和通讯地址见</w:t>
      </w:r>
      <w:r>
        <w:rPr>
          <w:rFonts w:hint="eastAsia" w:ascii="宋体" w:hAnsi="宋体"/>
          <w:b/>
          <w:color w:val="auto"/>
          <w:szCs w:val="21"/>
        </w:rPr>
        <w:t>【申请人须知前附表】</w:t>
      </w:r>
      <w:r>
        <w:rPr>
          <w:rFonts w:hint="eastAsia" w:ascii="宋体" w:hAnsi="宋体"/>
          <w:color w:val="auto"/>
          <w:szCs w:val="21"/>
        </w:rPr>
        <w:t xml:space="preserve">。  </w:t>
      </w:r>
    </w:p>
    <w:p w14:paraId="5EAE357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29.4采购人、采购代理机构按照《湖南省财政厅关于印发＜政府采购质疑答复和投诉处理操作规程＞的通知》规定进行质疑答复。</w:t>
      </w:r>
    </w:p>
    <w:p w14:paraId="7A82657E">
      <w:pPr>
        <w:adjustRightInd w:val="0"/>
        <w:snapToGrid w:val="0"/>
        <w:spacing w:line="360" w:lineRule="auto"/>
        <w:ind w:firstLine="420" w:firstLineChars="200"/>
        <w:rPr>
          <w:rFonts w:ascii="宋体" w:hAnsi="宋体"/>
          <w:b/>
          <w:bCs/>
          <w:color w:val="auto"/>
        </w:rPr>
      </w:pPr>
      <w:r>
        <w:rPr>
          <w:rFonts w:hint="eastAsia" w:ascii="宋体" w:hAnsi="宋体"/>
          <w:color w:val="auto"/>
          <w:szCs w:val="21"/>
        </w:rPr>
        <w:t>29</w:t>
      </w:r>
      <w:r>
        <w:rPr>
          <w:rFonts w:ascii="宋体" w:hAnsi="宋体"/>
          <w:color w:val="auto"/>
          <w:szCs w:val="21"/>
        </w:rPr>
        <w:t>.</w:t>
      </w:r>
      <w:r>
        <w:rPr>
          <w:rFonts w:hint="eastAsia" w:ascii="宋体" w:hAnsi="宋体"/>
          <w:color w:val="auto"/>
          <w:szCs w:val="21"/>
        </w:rPr>
        <w:t>5投标人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7BB289B8">
      <w:pPr>
        <w:pStyle w:val="4"/>
        <w:adjustRightInd w:val="0"/>
        <w:snapToGrid w:val="0"/>
        <w:spacing w:before="120" w:beforeLines="50" w:after="0" w:line="360" w:lineRule="auto"/>
        <w:jc w:val="center"/>
        <w:rPr>
          <w:rFonts w:ascii="黑体" w:hAnsi="黑体" w:eastAsia="黑体"/>
          <w:color w:val="auto"/>
          <w:sz w:val="28"/>
          <w:szCs w:val="28"/>
        </w:rPr>
      </w:pPr>
      <w:bookmarkStart w:id="278" w:name="_Toc85972938"/>
      <w:bookmarkStart w:id="279" w:name="_Toc171273679"/>
      <w:bookmarkStart w:id="280" w:name="_Toc15384"/>
      <w:bookmarkStart w:id="281" w:name="_Toc15888493"/>
      <w:bookmarkStart w:id="282" w:name="_Toc78449963"/>
      <w:bookmarkStart w:id="283" w:name="_Toc77676474"/>
      <w:bookmarkStart w:id="284" w:name="_Toc154428398"/>
      <w:bookmarkStart w:id="285" w:name="_Toc192949611"/>
      <w:bookmarkStart w:id="286" w:name="_Toc78314270"/>
      <w:bookmarkStart w:id="287" w:name="_Toc77199407"/>
      <w:bookmarkStart w:id="288" w:name="_Toc112704941"/>
      <w:bookmarkStart w:id="289" w:name="_Toc192951221"/>
      <w:bookmarkStart w:id="290" w:name="_Toc22567"/>
      <w:bookmarkStart w:id="291" w:name="_Toc94367888"/>
      <w:bookmarkStart w:id="292" w:name="_Toc114036720"/>
      <w:bookmarkStart w:id="293" w:name="_Toc75289556"/>
      <w:bookmarkStart w:id="294" w:name="_Toc100670676"/>
      <w:bookmarkStart w:id="295" w:name="_Toc100670429"/>
      <w:bookmarkStart w:id="296" w:name="_Toc954"/>
      <w:bookmarkStart w:id="297" w:name="_Toc192949710"/>
      <w:bookmarkStart w:id="298" w:name="_Toc117192456"/>
      <w:bookmarkStart w:id="299" w:name="_Toc14362"/>
      <w:bookmarkStart w:id="300" w:name="_Toc26834"/>
      <w:bookmarkStart w:id="301" w:name="_Toc95601373"/>
      <w:bookmarkStart w:id="302" w:name="_Toc108341945"/>
      <w:bookmarkStart w:id="303" w:name="_Toc75289234"/>
      <w:bookmarkStart w:id="304" w:name="_Toc3517"/>
      <w:bookmarkStart w:id="305" w:name="_Toc31762"/>
      <w:bookmarkStart w:id="306" w:name="_Toc806"/>
      <w:bookmarkStart w:id="307" w:name="_Toc28864"/>
      <w:r>
        <w:rPr>
          <w:rFonts w:hint="eastAsia" w:ascii="黑体" w:hAnsi="黑体" w:eastAsia="黑体"/>
          <w:color w:val="auto"/>
          <w:sz w:val="28"/>
          <w:szCs w:val="28"/>
        </w:rPr>
        <w:t>七、合同签订</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1290AC20">
      <w:pPr>
        <w:adjustRightInd w:val="0"/>
        <w:snapToGrid w:val="0"/>
        <w:spacing w:line="360" w:lineRule="auto"/>
        <w:rPr>
          <w:rFonts w:ascii="宋体" w:hAnsi="宋体"/>
          <w:b/>
          <w:bCs/>
          <w:color w:val="auto"/>
          <w:sz w:val="24"/>
        </w:rPr>
      </w:pPr>
      <w:r>
        <w:rPr>
          <w:rFonts w:hint="eastAsia" w:ascii="宋体" w:hAnsi="宋体"/>
          <w:b/>
          <w:bCs/>
          <w:color w:val="auto"/>
          <w:sz w:val="24"/>
        </w:rPr>
        <w:t>30. 签订合同</w:t>
      </w:r>
    </w:p>
    <w:p w14:paraId="0FA3718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30.1采购人应自中标通知书发出之日起30日内，按中标通知书指定的时间、地点与中标人签订政府采购合同。所签订的合同不得对招标文件确定的事项和中标人投标文件作实质性修改。</w:t>
      </w:r>
    </w:p>
    <w:p w14:paraId="7A80729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30.2招标文件、中标人的投标文件均为签订合同的依据。</w:t>
      </w:r>
    </w:p>
    <w:p w14:paraId="38A5A184">
      <w:pPr>
        <w:adjustRightInd w:val="0"/>
        <w:snapToGrid w:val="0"/>
        <w:spacing w:line="360" w:lineRule="auto"/>
        <w:ind w:firstLine="420" w:firstLineChars="200"/>
        <w:rPr>
          <w:rFonts w:ascii="宋体" w:hAnsi="宋体" w:cs="微软雅黑"/>
          <w:color w:val="auto"/>
          <w:kern w:val="0"/>
          <w:szCs w:val="21"/>
        </w:rPr>
      </w:pPr>
      <w:r>
        <w:rPr>
          <w:rFonts w:hint="eastAsia" w:ascii="宋体" w:hAnsi="宋体" w:cs="微软雅黑"/>
          <w:color w:val="auto"/>
          <w:kern w:val="0"/>
          <w:szCs w:val="21"/>
        </w:rPr>
        <w:t>30.3联</w:t>
      </w:r>
      <w:r>
        <w:rPr>
          <w:rFonts w:hint="eastAsia" w:ascii="宋体" w:hAnsi="宋体" w:cs="微软雅黑"/>
          <w:color w:val="auto"/>
          <w:spacing w:val="-2"/>
          <w:kern w:val="0"/>
          <w:szCs w:val="21"/>
        </w:rPr>
        <w:t>合</w:t>
      </w:r>
      <w:r>
        <w:rPr>
          <w:rFonts w:hint="eastAsia" w:ascii="宋体" w:hAnsi="宋体" w:cs="微软雅黑"/>
          <w:color w:val="auto"/>
          <w:kern w:val="0"/>
          <w:szCs w:val="21"/>
        </w:rPr>
        <w:t>体</w:t>
      </w:r>
      <w:r>
        <w:rPr>
          <w:rFonts w:hint="eastAsia" w:ascii="宋体" w:hAnsi="宋体" w:cs="微软雅黑"/>
          <w:color w:val="auto"/>
          <w:spacing w:val="-2"/>
          <w:kern w:val="0"/>
          <w:szCs w:val="21"/>
        </w:rPr>
        <w:t>中</w:t>
      </w:r>
      <w:r>
        <w:rPr>
          <w:rFonts w:hint="eastAsia" w:ascii="宋体" w:hAnsi="宋体" w:cs="微软雅黑"/>
          <w:color w:val="auto"/>
          <w:kern w:val="0"/>
          <w:szCs w:val="21"/>
        </w:rPr>
        <w:t>标的</w:t>
      </w:r>
      <w:r>
        <w:rPr>
          <w:rFonts w:hint="eastAsia" w:ascii="宋体" w:hAnsi="宋体" w:cs="微软雅黑"/>
          <w:color w:val="auto"/>
          <w:spacing w:val="-14"/>
          <w:kern w:val="0"/>
          <w:szCs w:val="21"/>
        </w:rPr>
        <w:t>，</w:t>
      </w:r>
      <w:r>
        <w:rPr>
          <w:rFonts w:hint="eastAsia" w:ascii="宋体" w:hAnsi="宋体" w:cs="微软雅黑"/>
          <w:color w:val="auto"/>
          <w:kern w:val="0"/>
          <w:szCs w:val="21"/>
        </w:rPr>
        <w:t>联</w:t>
      </w:r>
      <w:r>
        <w:rPr>
          <w:rFonts w:hint="eastAsia" w:ascii="宋体" w:hAnsi="宋体" w:cs="微软雅黑"/>
          <w:color w:val="auto"/>
          <w:spacing w:val="-2"/>
          <w:kern w:val="0"/>
          <w:szCs w:val="21"/>
        </w:rPr>
        <w:t>合</w:t>
      </w:r>
      <w:r>
        <w:rPr>
          <w:rFonts w:hint="eastAsia" w:ascii="宋体" w:hAnsi="宋体" w:cs="微软雅黑"/>
          <w:color w:val="auto"/>
          <w:kern w:val="0"/>
          <w:szCs w:val="21"/>
        </w:rPr>
        <w:t>体各</w:t>
      </w:r>
      <w:r>
        <w:rPr>
          <w:rFonts w:hint="eastAsia" w:ascii="宋体" w:hAnsi="宋体" w:cs="微软雅黑"/>
          <w:color w:val="auto"/>
          <w:spacing w:val="-2"/>
          <w:kern w:val="0"/>
          <w:szCs w:val="21"/>
        </w:rPr>
        <w:t>方</w:t>
      </w:r>
      <w:r>
        <w:rPr>
          <w:rFonts w:hint="eastAsia" w:ascii="宋体" w:hAnsi="宋体" w:cs="微软雅黑"/>
          <w:color w:val="auto"/>
          <w:kern w:val="0"/>
          <w:szCs w:val="21"/>
        </w:rPr>
        <w:t>应</w:t>
      </w:r>
      <w:r>
        <w:rPr>
          <w:rFonts w:hint="eastAsia" w:ascii="宋体" w:hAnsi="宋体" w:cs="微软雅黑"/>
          <w:color w:val="auto"/>
          <w:spacing w:val="-2"/>
          <w:kern w:val="0"/>
          <w:szCs w:val="21"/>
        </w:rPr>
        <w:t>当</w:t>
      </w:r>
      <w:r>
        <w:rPr>
          <w:rFonts w:hint="eastAsia" w:ascii="宋体" w:hAnsi="宋体" w:cs="微软雅黑"/>
          <w:color w:val="auto"/>
          <w:kern w:val="0"/>
          <w:szCs w:val="21"/>
        </w:rPr>
        <w:t>共</w:t>
      </w:r>
      <w:r>
        <w:rPr>
          <w:rFonts w:hint="eastAsia" w:ascii="宋体" w:hAnsi="宋体" w:cs="微软雅黑"/>
          <w:color w:val="auto"/>
          <w:spacing w:val="-2"/>
          <w:kern w:val="0"/>
          <w:szCs w:val="21"/>
        </w:rPr>
        <w:t>同</w:t>
      </w:r>
      <w:r>
        <w:rPr>
          <w:rFonts w:hint="eastAsia" w:ascii="宋体" w:hAnsi="宋体" w:cs="微软雅黑"/>
          <w:color w:val="auto"/>
          <w:kern w:val="0"/>
          <w:szCs w:val="21"/>
        </w:rPr>
        <w:t>与</w:t>
      </w:r>
      <w:r>
        <w:rPr>
          <w:rFonts w:hint="eastAsia" w:ascii="宋体" w:hAnsi="宋体" w:cs="微软雅黑"/>
          <w:color w:val="auto"/>
          <w:spacing w:val="-2"/>
          <w:kern w:val="0"/>
          <w:szCs w:val="21"/>
        </w:rPr>
        <w:t>采购人</w:t>
      </w:r>
      <w:r>
        <w:rPr>
          <w:rFonts w:hint="eastAsia" w:ascii="宋体" w:hAnsi="宋体" w:cs="微软雅黑"/>
          <w:color w:val="auto"/>
          <w:kern w:val="0"/>
          <w:szCs w:val="21"/>
        </w:rPr>
        <w:t>签订</w:t>
      </w:r>
      <w:r>
        <w:rPr>
          <w:rFonts w:hint="eastAsia" w:ascii="宋体" w:hAnsi="宋体" w:cs="微软雅黑"/>
          <w:color w:val="auto"/>
          <w:spacing w:val="-2"/>
          <w:kern w:val="0"/>
          <w:szCs w:val="21"/>
        </w:rPr>
        <w:t>合</w:t>
      </w:r>
      <w:r>
        <w:rPr>
          <w:rFonts w:hint="eastAsia" w:ascii="宋体" w:hAnsi="宋体" w:cs="微软雅黑"/>
          <w:color w:val="auto"/>
          <w:kern w:val="0"/>
          <w:szCs w:val="21"/>
        </w:rPr>
        <w:t>同</w:t>
      </w:r>
      <w:r>
        <w:rPr>
          <w:rFonts w:hint="eastAsia" w:ascii="宋体" w:hAnsi="宋体" w:cs="微软雅黑"/>
          <w:color w:val="auto"/>
          <w:spacing w:val="-14"/>
          <w:kern w:val="0"/>
          <w:szCs w:val="21"/>
        </w:rPr>
        <w:t>，</w:t>
      </w:r>
      <w:r>
        <w:rPr>
          <w:rFonts w:hint="eastAsia" w:ascii="宋体" w:hAnsi="宋体" w:cs="微软雅黑"/>
          <w:color w:val="auto"/>
          <w:kern w:val="0"/>
          <w:szCs w:val="21"/>
        </w:rPr>
        <w:t>就</w:t>
      </w:r>
      <w:r>
        <w:rPr>
          <w:rFonts w:hint="eastAsia" w:ascii="宋体" w:hAnsi="宋体" w:cs="微软雅黑"/>
          <w:color w:val="auto"/>
          <w:spacing w:val="-2"/>
          <w:kern w:val="0"/>
          <w:szCs w:val="21"/>
        </w:rPr>
        <w:t>中</w:t>
      </w:r>
      <w:r>
        <w:rPr>
          <w:rFonts w:hint="eastAsia" w:ascii="宋体" w:hAnsi="宋体" w:cs="微软雅黑"/>
          <w:color w:val="auto"/>
          <w:kern w:val="0"/>
          <w:szCs w:val="21"/>
        </w:rPr>
        <w:t>标</w:t>
      </w:r>
      <w:r>
        <w:rPr>
          <w:rFonts w:hint="eastAsia" w:ascii="宋体" w:hAnsi="宋体" w:cs="微软雅黑"/>
          <w:color w:val="auto"/>
          <w:spacing w:val="-2"/>
          <w:kern w:val="0"/>
          <w:szCs w:val="21"/>
        </w:rPr>
        <w:t>项</w:t>
      </w:r>
      <w:r>
        <w:rPr>
          <w:rFonts w:hint="eastAsia" w:ascii="宋体" w:hAnsi="宋体" w:cs="微软雅黑"/>
          <w:color w:val="auto"/>
          <w:kern w:val="0"/>
          <w:szCs w:val="21"/>
        </w:rPr>
        <w:t>目</w:t>
      </w:r>
      <w:r>
        <w:rPr>
          <w:rFonts w:hint="eastAsia" w:ascii="宋体" w:hAnsi="宋体" w:cs="微软雅黑"/>
          <w:color w:val="auto"/>
          <w:spacing w:val="-2"/>
          <w:kern w:val="0"/>
          <w:szCs w:val="21"/>
        </w:rPr>
        <w:t>向</w:t>
      </w:r>
      <w:r>
        <w:rPr>
          <w:rFonts w:hint="eastAsia" w:ascii="宋体" w:hAnsi="宋体" w:cs="微软雅黑"/>
          <w:color w:val="auto"/>
          <w:kern w:val="0"/>
          <w:szCs w:val="21"/>
        </w:rPr>
        <w:t>采购人承</w:t>
      </w:r>
      <w:r>
        <w:rPr>
          <w:rFonts w:hint="eastAsia" w:ascii="宋体" w:hAnsi="宋体" w:cs="微软雅黑"/>
          <w:color w:val="auto"/>
          <w:spacing w:val="-2"/>
          <w:kern w:val="0"/>
          <w:szCs w:val="21"/>
        </w:rPr>
        <w:t>担</w:t>
      </w:r>
      <w:r>
        <w:rPr>
          <w:rFonts w:hint="eastAsia" w:ascii="宋体" w:hAnsi="宋体" w:cs="微软雅黑"/>
          <w:color w:val="auto"/>
          <w:kern w:val="0"/>
          <w:szCs w:val="21"/>
        </w:rPr>
        <w:t>连带责</w:t>
      </w:r>
      <w:r>
        <w:rPr>
          <w:rFonts w:hint="eastAsia" w:ascii="宋体" w:hAnsi="宋体" w:cs="微软雅黑"/>
          <w:color w:val="auto"/>
          <w:spacing w:val="-2"/>
          <w:kern w:val="0"/>
          <w:szCs w:val="21"/>
        </w:rPr>
        <w:t>任</w:t>
      </w:r>
      <w:r>
        <w:rPr>
          <w:rFonts w:hint="eastAsia" w:ascii="宋体" w:hAnsi="宋体" w:cs="微软雅黑"/>
          <w:color w:val="auto"/>
          <w:kern w:val="0"/>
          <w:szCs w:val="21"/>
        </w:rPr>
        <w:t>。</w:t>
      </w:r>
    </w:p>
    <w:p w14:paraId="71DEBBDA">
      <w:pPr>
        <w:adjustRightInd w:val="0"/>
        <w:snapToGrid w:val="0"/>
        <w:spacing w:line="360" w:lineRule="auto"/>
        <w:ind w:firstLine="420" w:firstLineChars="200"/>
        <w:rPr>
          <w:rFonts w:ascii="宋体" w:hAnsi="宋体"/>
          <w:color w:val="auto"/>
          <w:szCs w:val="21"/>
        </w:rPr>
      </w:pPr>
      <w:r>
        <w:rPr>
          <w:rFonts w:ascii="宋体" w:hAnsi="宋体"/>
          <w:color w:val="auto"/>
          <w:szCs w:val="21"/>
        </w:rPr>
        <w:t>30.4</w:t>
      </w:r>
      <w:r>
        <w:rPr>
          <w:rFonts w:hint="eastAsia" w:ascii="宋体" w:hAnsi="宋体"/>
          <w:color w:val="auto"/>
          <w:szCs w:val="21"/>
        </w:rPr>
        <w:t>中标合同将在招标公告指定媒体上公告，但合同中涉及国家秘密、商业秘密的内容除外。</w:t>
      </w:r>
    </w:p>
    <w:p w14:paraId="30F1AA38">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30.5中标人</w:t>
      </w:r>
      <w:r>
        <w:rPr>
          <w:rFonts w:hint="eastAsia" w:ascii="宋体" w:hAnsi="宋体"/>
          <w:bCs/>
          <w:color w:val="auto"/>
          <w:szCs w:val="21"/>
        </w:rPr>
        <w:t>应当按照合同约定依法履行合同义务。政府采购合同的履行、违约责任和解决争议的方法等适用《中华人民共和国民法典》。</w:t>
      </w:r>
    </w:p>
    <w:p w14:paraId="62D9A687">
      <w:pPr>
        <w:adjustRightInd w:val="0"/>
        <w:snapToGrid w:val="0"/>
        <w:spacing w:line="360" w:lineRule="auto"/>
        <w:rPr>
          <w:rFonts w:ascii="宋体" w:hAnsi="宋体" w:cs="宋体"/>
          <w:b/>
          <w:color w:val="auto"/>
          <w:kern w:val="0"/>
          <w:sz w:val="24"/>
        </w:rPr>
      </w:pPr>
      <w:r>
        <w:rPr>
          <w:rFonts w:hint="eastAsia" w:ascii="宋体" w:hAnsi="宋体"/>
          <w:b/>
          <w:bCs/>
          <w:color w:val="auto"/>
          <w:sz w:val="24"/>
        </w:rPr>
        <w:t>31.</w:t>
      </w:r>
      <w:r>
        <w:rPr>
          <w:rFonts w:hint="eastAsia" w:ascii="宋体" w:hAnsi="宋体" w:cs="宋体"/>
          <w:b/>
          <w:color w:val="auto"/>
          <w:kern w:val="0"/>
          <w:sz w:val="24"/>
        </w:rPr>
        <w:t xml:space="preserve"> 履约担保</w:t>
      </w:r>
    </w:p>
    <w:p w14:paraId="27CD68DF">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31.1</w:t>
      </w:r>
      <w:r>
        <w:rPr>
          <w:rFonts w:hint="eastAsia" w:ascii="宋体" w:hAnsi="宋体"/>
          <w:color w:val="auto"/>
          <w:szCs w:val="21"/>
        </w:rPr>
        <w:t>招标文件要求中标人向采购人提交履约担保的，中标人应按照</w:t>
      </w:r>
      <w:r>
        <w:rPr>
          <w:rFonts w:hint="eastAsia" w:ascii="宋体" w:hAnsi="宋体"/>
          <w:b/>
          <w:color w:val="auto"/>
          <w:szCs w:val="21"/>
        </w:rPr>
        <w:t>【投标须知前附表】</w:t>
      </w:r>
      <w:r>
        <w:rPr>
          <w:rFonts w:hint="eastAsia" w:ascii="宋体" w:hAnsi="宋体"/>
          <w:color w:val="auto"/>
          <w:szCs w:val="21"/>
        </w:rPr>
        <w:t>的规定提交，</w:t>
      </w:r>
      <w:r>
        <w:rPr>
          <w:rFonts w:hint="eastAsia" w:ascii="宋体" w:hAnsi="宋体"/>
          <w:bCs/>
          <w:color w:val="auto"/>
          <w:szCs w:val="21"/>
        </w:rPr>
        <w:t>投标人可以保函、电子增信替代履约担保</w:t>
      </w:r>
      <w:r>
        <w:rPr>
          <w:rFonts w:hint="eastAsia" w:ascii="宋体" w:hAnsi="宋体"/>
          <w:color w:val="auto"/>
          <w:szCs w:val="21"/>
        </w:rPr>
        <w:t>。联合体中标的，履约担保由联合体各方或联合体中牵头人的名义提交。</w:t>
      </w:r>
    </w:p>
    <w:p w14:paraId="1513AE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31.2中标人</w:t>
      </w:r>
      <w:r>
        <w:rPr>
          <w:rFonts w:hint="eastAsia" w:ascii="宋体" w:hAnsi="宋体"/>
          <w:color w:val="auto"/>
          <w:spacing w:val="4"/>
          <w:szCs w:val="21"/>
        </w:rPr>
        <w:t>没有按照本章第31.1</w:t>
      </w:r>
      <w:r>
        <w:rPr>
          <w:rFonts w:hint="eastAsia" w:ascii="宋体" w:hAnsi="宋体" w:cs="宋体"/>
          <w:color w:val="auto"/>
          <w:kern w:val="0"/>
          <w:szCs w:val="21"/>
          <w:lang w:val="zh-CN"/>
        </w:rPr>
        <w:t>款</w:t>
      </w:r>
      <w:r>
        <w:rPr>
          <w:rFonts w:hint="eastAsia" w:ascii="宋体" w:hAnsi="宋体"/>
          <w:color w:val="auto"/>
          <w:spacing w:val="4"/>
          <w:szCs w:val="21"/>
        </w:rPr>
        <w:t>规定</w:t>
      </w:r>
      <w:r>
        <w:rPr>
          <w:rFonts w:hint="eastAsia" w:ascii="宋体" w:hAnsi="宋体"/>
          <w:color w:val="auto"/>
          <w:szCs w:val="21"/>
        </w:rPr>
        <w:t>提交履约担保的</w:t>
      </w:r>
      <w:r>
        <w:rPr>
          <w:rFonts w:hint="eastAsia" w:ascii="宋体" w:hAnsi="宋体"/>
          <w:color w:val="auto"/>
          <w:spacing w:val="4"/>
          <w:szCs w:val="21"/>
        </w:rPr>
        <w:t>，视为</w:t>
      </w:r>
      <w:r>
        <w:rPr>
          <w:rFonts w:hint="eastAsia" w:ascii="宋体" w:hAnsi="宋体"/>
          <w:b/>
          <w:color w:val="auto"/>
          <w:spacing w:val="4"/>
          <w:szCs w:val="21"/>
        </w:rPr>
        <w:t>放弃中标</w:t>
      </w:r>
      <w:r>
        <w:rPr>
          <w:rFonts w:hint="eastAsia" w:ascii="宋体" w:hAnsi="宋体"/>
          <w:color w:val="auto"/>
          <w:spacing w:val="2"/>
          <w:szCs w:val="21"/>
        </w:rPr>
        <w:t>。</w:t>
      </w:r>
    </w:p>
    <w:p w14:paraId="20EAECE8">
      <w:pPr>
        <w:adjustRightInd w:val="0"/>
        <w:snapToGrid w:val="0"/>
        <w:spacing w:line="360" w:lineRule="auto"/>
        <w:rPr>
          <w:rFonts w:ascii="宋体" w:hAnsi="宋体"/>
          <w:b/>
          <w:bCs/>
          <w:color w:val="auto"/>
          <w:sz w:val="24"/>
        </w:rPr>
      </w:pPr>
      <w:r>
        <w:rPr>
          <w:rFonts w:hint="eastAsia" w:ascii="宋体" w:hAnsi="宋体"/>
          <w:b/>
          <w:bCs/>
          <w:color w:val="auto"/>
          <w:sz w:val="24"/>
        </w:rPr>
        <w:t>32.</w:t>
      </w:r>
      <w:r>
        <w:rPr>
          <w:rFonts w:hint="eastAsia" w:ascii="宋体" w:hAnsi="宋体"/>
          <w:b/>
          <w:color w:val="auto"/>
          <w:sz w:val="24"/>
        </w:rPr>
        <w:t xml:space="preserve"> 政府采购合同履行中</w:t>
      </w:r>
      <w:r>
        <w:rPr>
          <w:rFonts w:hint="eastAsia" w:ascii="宋体" w:hAnsi="宋体"/>
          <w:b/>
          <w:bCs/>
          <w:color w:val="auto"/>
          <w:sz w:val="24"/>
        </w:rPr>
        <w:t>数量的变更</w:t>
      </w:r>
    </w:p>
    <w:p w14:paraId="5F792F19">
      <w:pPr>
        <w:adjustRightInd w:val="0"/>
        <w:snapToGrid w:val="0"/>
        <w:spacing w:line="360" w:lineRule="auto"/>
        <w:ind w:firstLine="420" w:firstLineChars="200"/>
        <w:rPr>
          <w:rFonts w:ascii="宋体" w:hAnsi="宋体"/>
          <w:color w:val="auto"/>
          <w:sz w:val="28"/>
          <w:szCs w:val="28"/>
        </w:rPr>
      </w:pPr>
      <w:r>
        <w:rPr>
          <w:rFonts w:hint="eastAsia" w:ascii="宋体" w:hAnsi="宋体"/>
          <w:color w:val="auto"/>
        </w:rPr>
        <w:t>32.1政府采购合同履行中，采购人需追加与合同标的相同的货物服务的，在不改变合同其他条款的前提下，可以与中标人协商签订补充合同，但所有补充合同的采购金额不得超过原合同采购金额的百分之十。</w:t>
      </w:r>
    </w:p>
    <w:p w14:paraId="17FAA6F6">
      <w:pPr>
        <w:pStyle w:val="4"/>
        <w:adjustRightInd w:val="0"/>
        <w:snapToGrid w:val="0"/>
        <w:spacing w:before="120" w:beforeLines="50" w:after="0" w:line="360" w:lineRule="auto"/>
        <w:jc w:val="center"/>
        <w:rPr>
          <w:rFonts w:ascii="黑体" w:hAnsi="黑体" w:eastAsia="黑体"/>
          <w:color w:val="auto"/>
          <w:sz w:val="28"/>
          <w:szCs w:val="28"/>
        </w:rPr>
      </w:pPr>
      <w:bookmarkStart w:id="308" w:name="_Toc75289557"/>
      <w:bookmarkStart w:id="309" w:name="_Toc15888494"/>
      <w:bookmarkStart w:id="310" w:name="_Toc75289235"/>
      <w:bookmarkStart w:id="311" w:name="_Toc77676475"/>
      <w:bookmarkStart w:id="312" w:name="_Toc77199408"/>
      <w:bookmarkStart w:id="313" w:name="_Toc112704942"/>
      <w:bookmarkStart w:id="314" w:name="_Toc24804"/>
      <w:bookmarkStart w:id="315" w:name="_Toc14398"/>
      <w:bookmarkStart w:id="316" w:name="_Toc3573"/>
      <w:bookmarkStart w:id="317" w:name="_Toc192949612"/>
      <w:bookmarkStart w:id="318" w:name="_Toc114036721"/>
      <w:bookmarkStart w:id="319" w:name="_Toc22363"/>
      <w:bookmarkStart w:id="320" w:name="_Toc171273680"/>
      <w:bookmarkStart w:id="321" w:name="_Toc17869"/>
      <w:bookmarkStart w:id="322" w:name="_Toc117192457"/>
      <w:bookmarkStart w:id="323" w:name="_Toc154428399"/>
      <w:bookmarkStart w:id="324" w:name="_Toc192951222"/>
      <w:bookmarkStart w:id="325" w:name="_Toc15010"/>
      <w:bookmarkStart w:id="326" w:name="_Toc192949711"/>
      <w:bookmarkStart w:id="327" w:name="_Toc26998"/>
      <w:bookmarkStart w:id="328" w:name="_Toc78314271"/>
      <w:bookmarkStart w:id="329" w:name="_Toc85972939"/>
      <w:bookmarkStart w:id="330" w:name="_Toc100670430"/>
      <w:bookmarkStart w:id="331" w:name="_Toc108341946"/>
      <w:bookmarkStart w:id="332" w:name="_Toc11939"/>
      <w:bookmarkStart w:id="333" w:name="_Toc94367889"/>
      <w:bookmarkStart w:id="334" w:name="_Toc100670677"/>
      <w:bookmarkStart w:id="335" w:name="_Toc95601374"/>
      <w:bookmarkStart w:id="336" w:name="_Toc78449964"/>
      <w:bookmarkStart w:id="337" w:name="_Toc15076"/>
      <w:r>
        <w:rPr>
          <w:rFonts w:hint="eastAsia" w:ascii="黑体" w:hAnsi="黑体" w:eastAsia="黑体"/>
          <w:color w:val="auto"/>
          <w:sz w:val="28"/>
          <w:szCs w:val="28"/>
        </w:rPr>
        <w:t>八、</w:t>
      </w:r>
      <w:bookmarkEnd w:id="308"/>
      <w:bookmarkEnd w:id="309"/>
      <w:bookmarkEnd w:id="310"/>
      <w:bookmarkEnd w:id="311"/>
      <w:bookmarkEnd w:id="312"/>
      <w:r>
        <w:rPr>
          <w:rFonts w:hint="eastAsia" w:ascii="黑体" w:hAnsi="黑体" w:eastAsia="黑体"/>
          <w:color w:val="auto"/>
          <w:sz w:val="28"/>
          <w:szCs w:val="28"/>
        </w:rPr>
        <w:t>政府采购政策</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9A2F904">
      <w:pPr>
        <w:adjustRightInd w:val="0"/>
        <w:snapToGrid w:val="0"/>
        <w:spacing w:line="360" w:lineRule="auto"/>
        <w:rPr>
          <w:rFonts w:ascii="宋体" w:hAnsi="宋体"/>
          <w:b/>
          <w:color w:val="auto"/>
          <w:sz w:val="24"/>
        </w:rPr>
      </w:pPr>
      <w:r>
        <w:rPr>
          <w:rFonts w:hint="eastAsia" w:ascii="宋体" w:hAnsi="宋体"/>
          <w:b/>
          <w:bCs/>
          <w:color w:val="auto"/>
          <w:sz w:val="24"/>
        </w:rPr>
        <w:t>33.</w:t>
      </w:r>
      <w:r>
        <w:rPr>
          <w:rFonts w:hint="eastAsia" w:ascii="宋体" w:hAnsi="宋体"/>
          <w:b/>
          <w:color w:val="auto"/>
          <w:sz w:val="24"/>
        </w:rPr>
        <w:t>政府采购政策</w:t>
      </w:r>
    </w:p>
    <w:p w14:paraId="20F4052D">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33.1优先采购：</w:t>
      </w:r>
    </w:p>
    <w:p w14:paraId="26FEDC33">
      <w:pPr>
        <w:adjustRightInd w:val="0"/>
        <w:snapToGrid w:val="0"/>
        <w:spacing w:line="360" w:lineRule="auto"/>
        <w:ind w:firstLine="420" w:firstLineChars="200"/>
        <w:rPr>
          <w:rFonts w:ascii="宋体" w:hAnsi="宋体"/>
          <w:color w:val="auto"/>
        </w:rPr>
      </w:pPr>
      <w:r>
        <w:rPr>
          <w:rFonts w:hint="eastAsia" w:ascii="宋体" w:hAnsi="宋体"/>
          <w:color w:val="auto"/>
        </w:rPr>
        <w:t>（1）</w:t>
      </w:r>
      <w:r>
        <w:rPr>
          <w:rFonts w:hint="eastAsia" w:ascii="宋体" w:hAnsi="宋体"/>
          <w:color w:val="auto"/>
          <w:szCs w:val="21"/>
        </w:rPr>
        <w:t>纳入财政部会同国务院有关部门发布的节能产品、环境标志产品政府采购品目清单，实施政府优先采购的，评审时按招标文件第四章第一节有关规定对该部分产品给予一定比例的价格折扣或者加分；</w:t>
      </w:r>
    </w:p>
    <w:p w14:paraId="31136358">
      <w:pPr>
        <w:adjustRightInd w:val="0"/>
        <w:snapToGrid w:val="0"/>
        <w:spacing w:line="360" w:lineRule="auto"/>
        <w:ind w:firstLine="420" w:firstLineChars="200"/>
        <w:rPr>
          <w:rFonts w:ascii="宋体" w:hAnsi="宋体"/>
          <w:color w:val="auto"/>
        </w:rPr>
      </w:pPr>
      <w:r>
        <w:rPr>
          <w:rFonts w:hint="eastAsia" w:ascii="宋体" w:hAnsi="宋体"/>
          <w:color w:val="auto"/>
        </w:rPr>
        <w:t>（2）纳入湖南省财政厅等有关部门发布的湖南省两型产品政府采购目录的，实施政府优先采购，评审时按</w:t>
      </w:r>
      <w:r>
        <w:rPr>
          <w:rFonts w:hint="eastAsia" w:ascii="宋体" w:hAnsi="宋体"/>
          <w:color w:val="auto"/>
          <w:szCs w:val="21"/>
        </w:rPr>
        <w:t>招标文件第四章第一节有关规定对该部分产品</w:t>
      </w:r>
      <w:r>
        <w:rPr>
          <w:rFonts w:hint="eastAsia" w:ascii="宋体" w:hAnsi="宋体"/>
          <w:color w:val="auto"/>
        </w:rPr>
        <w:t>给予一定比例的价格折扣或者加分。</w:t>
      </w:r>
    </w:p>
    <w:p w14:paraId="2A431276">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33.2强制采购：</w:t>
      </w:r>
    </w:p>
    <w:p w14:paraId="064222D8">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（1）纳入财政部会同国务院有关部门发布的节能产品政府采购品目清单，实施政府强制采购的（品目清单标注</w:t>
      </w:r>
      <w:r>
        <w:rPr>
          <w:rFonts w:hint="eastAsia" w:ascii="宋体" w:hAnsi="宋体" w:cs="宋体"/>
          <w:color w:val="auto"/>
          <w:kern w:val="0"/>
        </w:rPr>
        <w:sym w:font="Wingdings" w:char="F0AB"/>
      </w:r>
      <w:r>
        <w:rPr>
          <w:rFonts w:hint="eastAsia" w:ascii="宋体" w:hAnsi="宋体" w:cs="宋体"/>
          <w:color w:val="auto"/>
          <w:kern w:val="0"/>
        </w:rPr>
        <w:t>符号产品），投标人投标产品应当取得国家确定的认证机构出具的、处于有效期之内的节能产品认证证书，否则其</w:t>
      </w:r>
      <w:r>
        <w:rPr>
          <w:rFonts w:hint="eastAsia" w:ascii="宋体" w:hAnsi="宋体" w:cs="宋体"/>
          <w:b/>
          <w:color w:val="auto"/>
          <w:kern w:val="0"/>
          <w:szCs w:val="21"/>
        </w:rPr>
        <w:t>投标无效</w:t>
      </w:r>
      <w:r>
        <w:rPr>
          <w:rFonts w:hint="eastAsia" w:ascii="宋体" w:hAnsi="宋体" w:cs="宋体"/>
          <w:color w:val="auto"/>
          <w:kern w:val="0"/>
        </w:rPr>
        <w:t>。</w:t>
      </w:r>
    </w:p>
    <w:p w14:paraId="22678431">
      <w:pPr>
        <w:adjustRightInd w:val="0"/>
        <w:snapToGrid w:val="0"/>
        <w:spacing w:line="360" w:lineRule="auto"/>
        <w:ind w:firstLine="420" w:firstLineChars="200"/>
        <w:rPr>
          <w:rFonts w:ascii="宋体" w:hAnsi="宋体"/>
          <w:color w:val="auto"/>
        </w:rPr>
      </w:pPr>
      <w:r>
        <w:rPr>
          <w:rFonts w:hint="eastAsia" w:ascii="宋体" w:hAnsi="宋体"/>
          <w:color w:val="auto"/>
        </w:rPr>
        <w:t>33.3价格评审优惠：</w:t>
      </w:r>
    </w:p>
    <w:p w14:paraId="442BEE71">
      <w:pPr>
        <w:adjustRightInd w:val="0"/>
        <w:snapToGrid w:val="0"/>
        <w:spacing w:line="360" w:lineRule="auto"/>
        <w:ind w:firstLine="420" w:firstLineChars="200"/>
        <w:rPr>
          <w:rFonts w:ascii="宋体" w:hAnsi="宋体"/>
          <w:color w:val="auto"/>
        </w:rPr>
      </w:pPr>
      <w:r>
        <w:rPr>
          <w:rFonts w:hint="eastAsia" w:ascii="宋体" w:hAnsi="宋体"/>
          <w:color w:val="auto"/>
        </w:rPr>
        <w:t>（1）在政府采购活动中，供应商提供的货物、工程或者服务符合下列情形的：（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给予一定比例的价格折扣，用扣除后的价格参与评审；</w:t>
      </w:r>
    </w:p>
    <w:p w14:paraId="1677A637">
      <w:pPr>
        <w:adjustRightInd w:val="0"/>
        <w:snapToGrid w:val="0"/>
        <w:spacing w:line="360" w:lineRule="auto"/>
        <w:ind w:firstLine="420" w:firstLineChars="200"/>
        <w:rPr>
          <w:rFonts w:ascii="宋体" w:hAnsi="宋体"/>
          <w:color w:val="auto"/>
        </w:rPr>
      </w:pPr>
      <w:r>
        <w:rPr>
          <w:rFonts w:hint="eastAsia" w:ascii="宋体" w:hAnsi="宋体"/>
          <w:color w:val="auto"/>
        </w:rPr>
        <w:t>（2）对于经主管预算单位统筹后未预留份额专门面向中小企业采购的采购项目，以及预留份额项目中的非预留部分采购包，符合小微企业生产的货物或者提供的服务、工程情形的，给予一定比例的价格折扣，用扣除后的价格参与评审。</w:t>
      </w:r>
    </w:p>
    <w:p w14:paraId="7C248D84">
      <w:pPr>
        <w:adjustRightInd w:val="0"/>
        <w:snapToGrid w:val="0"/>
        <w:spacing w:line="360" w:lineRule="auto"/>
        <w:ind w:firstLine="420" w:firstLineChars="200"/>
        <w:rPr>
          <w:rFonts w:ascii="宋体" w:hAnsi="宋体"/>
          <w:color w:val="auto"/>
        </w:rPr>
      </w:pPr>
      <w:r>
        <w:rPr>
          <w:rFonts w:hint="eastAsia" w:ascii="宋体" w:hAnsi="宋体"/>
          <w:color w:val="auto"/>
        </w:rPr>
        <w:t>接受大中型企业与小微企业组成联合体或者允许大中型企业向一家或者多家小微企业分包的采购项目，对于联合协议或者分包意向协议约定小微企业的合同份额占到合同总金额40%以上的，给予一定比例的价格折扣，用扣除后的价格参与评审。以联合体形式参加政府采购活动，联合体各方均为中小企业的，联合体视同中小企业。其中，联合体各方均为小微企业的，联合体视同小微企业；</w:t>
      </w:r>
    </w:p>
    <w:p w14:paraId="13A2F793">
      <w:pPr>
        <w:adjustRightInd w:val="0"/>
        <w:snapToGrid w:val="0"/>
        <w:spacing w:line="360" w:lineRule="auto"/>
        <w:ind w:firstLine="420" w:firstLineChars="200"/>
        <w:rPr>
          <w:rFonts w:ascii="宋体" w:hAnsi="宋体"/>
          <w:color w:val="auto"/>
        </w:rPr>
      </w:pPr>
      <w:r>
        <w:rPr>
          <w:rFonts w:hint="eastAsia" w:ascii="宋体" w:hAnsi="宋体"/>
          <w:color w:val="auto"/>
        </w:rPr>
        <w:t>（3）符合中小企业划分标准的个体工商户视同中小企业，享受评审中价格扣除等促进中小企业发展的政府采购政策。</w:t>
      </w:r>
    </w:p>
    <w:p w14:paraId="20CA7F85">
      <w:pPr>
        <w:adjustRightInd w:val="0"/>
        <w:snapToGrid w:val="0"/>
        <w:spacing w:line="360" w:lineRule="auto"/>
        <w:ind w:firstLine="420" w:firstLineChars="200"/>
        <w:rPr>
          <w:rFonts w:ascii="宋体" w:hAnsi="宋体"/>
          <w:color w:val="auto"/>
        </w:rPr>
      </w:pPr>
      <w:r>
        <w:rPr>
          <w:rFonts w:hint="eastAsia" w:ascii="宋体" w:hAnsi="宋体"/>
          <w:color w:val="auto"/>
        </w:rPr>
        <w:t>（4）监狱企业、残疾人福利性单位视同小型、微型企业，享受评审中价格扣除等促进中小企业发展的政府采购政策。</w:t>
      </w:r>
    </w:p>
    <w:p w14:paraId="24433772">
      <w:pPr>
        <w:adjustRightInd w:val="0"/>
        <w:snapToGrid w:val="0"/>
        <w:spacing w:line="360" w:lineRule="auto"/>
        <w:ind w:firstLine="420" w:firstLineChars="200"/>
        <w:rPr>
          <w:rFonts w:ascii="宋体" w:hAnsi="宋体"/>
          <w:color w:val="auto"/>
        </w:rPr>
      </w:pPr>
      <w:r>
        <w:rPr>
          <w:rFonts w:hint="eastAsia" w:ascii="宋体" w:hAnsi="宋体"/>
          <w:color w:val="auto"/>
        </w:rPr>
        <w:t>（5）与大企业的负责人为同一人，或者与大企业存在直接控股、管理关系的中小企业，不享受评审中价格扣除等促进中小企业发展的政府采购政策。</w:t>
      </w:r>
    </w:p>
    <w:p w14:paraId="2134B3D9">
      <w:pPr>
        <w:adjustRightInd w:val="0"/>
        <w:snapToGrid w:val="0"/>
        <w:spacing w:line="360" w:lineRule="auto"/>
        <w:ind w:firstLine="420" w:firstLineChars="200"/>
        <w:rPr>
          <w:rFonts w:ascii="宋体" w:hAnsi="宋体"/>
          <w:color w:val="auto"/>
        </w:rPr>
      </w:pPr>
      <w:r>
        <w:rPr>
          <w:rFonts w:hint="eastAsia" w:ascii="宋体" w:hAnsi="宋体"/>
          <w:color w:val="auto"/>
        </w:rPr>
        <w:t>（6）本章第1.2款规定采购项目或者采购包属于“预留采购份额”的，预留部分不再享受本款“价格评审优惠”的小微企业扶持政策。</w:t>
      </w:r>
    </w:p>
    <w:p w14:paraId="58E17F5B">
      <w:pPr>
        <w:adjustRightInd w:val="0"/>
        <w:snapToGrid w:val="0"/>
        <w:spacing w:line="360" w:lineRule="auto"/>
        <w:ind w:firstLine="420" w:firstLineChars="200"/>
        <w:rPr>
          <w:rFonts w:ascii="宋体" w:hAnsi="宋体"/>
          <w:color w:val="auto"/>
        </w:rPr>
      </w:pPr>
      <w:r>
        <w:rPr>
          <w:rFonts w:hint="eastAsia" w:ascii="宋体" w:hAnsi="宋体"/>
          <w:color w:val="auto"/>
        </w:rPr>
        <w:t>33.4政府采购政策交叉与叠加</w:t>
      </w:r>
    </w:p>
    <w:p w14:paraId="6E857DCF">
      <w:pPr>
        <w:adjustRightInd w:val="0"/>
        <w:snapToGrid w:val="0"/>
        <w:spacing w:line="360" w:lineRule="auto"/>
        <w:ind w:firstLine="420" w:firstLineChars="200"/>
        <w:rPr>
          <w:rFonts w:ascii="宋体" w:hAnsi="宋体"/>
          <w:color w:val="auto"/>
        </w:rPr>
      </w:pPr>
      <w:r>
        <w:rPr>
          <w:rFonts w:hint="eastAsia" w:ascii="宋体" w:hAnsi="宋体"/>
          <w:color w:val="auto"/>
        </w:rPr>
        <w:t>（1）投标产品取得两个及以上优先采购产品认证的，评审时只有其中一项产品能享受优先采购优惠（投标人自行选择，并在投标文件中并填报相关信息及数据）</w:t>
      </w:r>
    </w:p>
    <w:p w14:paraId="13373EA0">
      <w:pPr>
        <w:adjustRightInd w:val="0"/>
        <w:snapToGrid w:val="0"/>
        <w:spacing w:line="360" w:lineRule="auto"/>
        <w:ind w:firstLine="420" w:firstLineChars="200"/>
        <w:rPr>
          <w:rFonts w:ascii="宋体" w:hAnsi="宋体"/>
          <w:color w:val="auto"/>
        </w:rPr>
      </w:pPr>
      <w:r>
        <w:rPr>
          <w:rFonts w:hint="eastAsia" w:ascii="宋体" w:hAnsi="宋体"/>
          <w:color w:val="auto"/>
        </w:rPr>
        <w:t>（2）投标人同时符合小型、微型企业及监狱企业、残疾人福利性单位要求的，评审时只有一种类型享受价格评审优惠政策；</w:t>
      </w:r>
    </w:p>
    <w:p w14:paraId="57809812">
      <w:pPr>
        <w:adjustRightInd w:val="0"/>
        <w:snapToGrid w:val="0"/>
        <w:spacing w:line="360" w:lineRule="auto"/>
        <w:ind w:firstLine="420" w:firstLineChars="200"/>
        <w:rPr>
          <w:rFonts w:ascii="宋体" w:hAnsi="宋体"/>
          <w:color w:val="auto"/>
        </w:rPr>
      </w:pPr>
      <w:r>
        <w:rPr>
          <w:rFonts w:hint="eastAsia" w:ascii="宋体" w:hAnsi="宋体"/>
          <w:color w:val="auto"/>
        </w:rPr>
        <w:t>（3）小型和微型企业的价格评审优惠可以与同时属于“节能产品”、“环境标志产品”及“两型产品”中的一项优先采购优惠累加计算。</w:t>
      </w:r>
    </w:p>
    <w:p w14:paraId="3DA0758F">
      <w:pPr>
        <w:adjustRightInd w:val="0"/>
        <w:snapToGrid w:val="0"/>
        <w:spacing w:line="360" w:lineRule="auto"/>
        <w:ind w:firstLine="420" w:firstLineChars="200"/>
        <w:rPr>
          <w:rFonts w:ascii="宋体" w:hAnsi="宋体"/>
          <w:color w:val="auto"/>
        </w:rPr>
      </w:pPr>
      <w:r>
        <w:rPr>
          <w:rFonts w:hint="eastAsia" w:ascii="宋体" w:hAnsi="宋体"/>
          <w:color w:val="auto"/>
        </w:rPr>
        <w:t>33.5在货物采购项目中，供应商提供的货物既有中小企业制造货物，也有大型企业制造货物的，不享受政府采购中小企业扶持政策。</w:t>
      </w:r>
    </w:p>
    <w:p w14:paraId="55B0DE66">
      <w:pPr>
        <w:adjustRightInd w:val="0"/>
        <w:snapToGrid w:val="0"/>
        <w:spacing w:line="360" w:lineRule="auto"/>
        <w:ind w:firstLine="420" w:firstLineChars="200"/>
        <w:rPr>
          <w:rFonts w:ascii="宋体" w:hAnsi="宋体"/>
          <w:color w:val="auto"/>
        </w:rPr>
      </w:pPr>
      <w:r>
        <w:rPr>
          <w:rFonts w:hint="eastAsia" w:ascii="宋体" w:hAnsi="宋体"/>
          <w:color w:val="auto"/>
        </w:rPr>
        <w:t>33.6投标人符合本章第33.1款、第33.2款、第33.3款规定的，应提供相关证明资料。</w:t>
      </w:r>
    </w:p>
    <w:p w14:paraId="0F76D118">
      <w:pPr>
        <w:adjustRightInd w:val="0"/>
        <w:snapToGrid w:val="0"/>
        <w:spacing w:line="360" w:lineRule="auto"/>
        <w:ind w:firstLine="420" w:firstLineChars="200"/>
        <w:rPr>
          <w:rFonts w:ascii="宋体" w:hAnsi="宋体"/>
          <w:color w:val="auto"/>
        </w:rPr>
      </w:pPr>
      <w:r>
        <w:rPr>
          <w:rFonts w:hint="eastAsia" w:ascii="宋体" w:hAnsi="宋体"/>
          <w:color w:val="auto"/>
        </w:rPr>
        <w:t>（1）节能产品、环境标志产品：提供国家确定的认证机构出具的、处于有效期之内的节能产品、环境标志产品认证证书。</w:t>
      </w:r>
    </w:p>
    <w:p w14:paraId="1F22E56B">
      <w:pPr>
        <w:adjustRightInd w:val="0"/>
        <w:snapToGrid w:val="0"/>
        <w:spacing w:line="360" w:lineRule="auto"/>
        <w:ind w:firstLine="420" w:firstLineChars="200"/>
        <w:rPr>
          <w:rFonts w:ascii="宋体" w:hAnsi="宋体"/>
          <w:color w:val="auto"/>
        </w:rPr>
      </w:pPr>
      <w:r>
        <w:rPr>
          <w:rFonts w:hint="eastAsia" w:ascii="宋体" w:hAnsi="宋体"/>
          <w:color w:val="auto"/>
        </w:rPr>
        <w:t>（2）两型产品：提供《湖南省两型产品政府采购目录》（最新一期）文件首页和投标产品所在页（截图）。</w:t>
      </w:r>
    </w:p>
    <w:p w14:paraId="2DC3D11F">
      <w:pPr>
        <w:adjustRightInd w:val="0"/>
        <w:snapToGrid w:val="0"/>
        <w:spacing w:line="360" w:lineRule="auto"/>
        <w:ind w:firstLine="420" w:firstLineChars="200"/>
        <w:rPr>
          <w:rFonts w:ascii="宋体" w:hAnsi="宋体"/>
          <w:color w:val="auto"/>
        </w:rPr>
      </w:pPr>
      <w:r>
        <w:rPr>
          <w:rFonts w:hint="eastAsia" w:ascii="宋体" w:hAnsi="宋体"/>
          <w:color w:val="auto"/>
        </w:rPr>
        <w:t>（3）中小企业：货物类采购项目，按《关于印发＜政府采购促进中小企业发展办法＞的通知》(财库[2020]46号) 和《关于印发中小企业划型标准规定的通知》（工信部联企业〔2011〕300号）文件规定提供中小企业声明函（格式）；服务类采购项目，按《湖南省财政厅关于政府采购促进中小企业发展的有关措施的通知》（湘财购[2022]17号）文件规定提供湖南省政府采购供应商资格承诺函（格式）</w:t>
      </w:r>
      <w:r>
        <w:rPr>
          <w:rFonts w:hint="eastAsia" w:ascii="宋体" w:hAnsi="宋体"/>
          <w:color w:val="auto"/>
          <w:szCs w:val="21"/>
        </w:rPr>
        <w:t>。</w:t>
      </w:r>
    </w:p>
    <w:p w14:paraId="1BE25348">
      <w:pPr>
        <w:adjustRightInd w:val="0"/>
        <w:snapToGrid w:val="0"/>
        <w:spacing w:line="360" w:lineRule="auto"/>
        <w:ind w:firstLine="420" w:firstLineChars="200"/>
        <w:rPr>
          <w:rFonts w:ascii="宋体" w:hAnsi="宋体"/>
          <w:color w:val="auto"/>
        </w:rPr>
      </w:pPr>
      <w:r>
        <w:rPr>
          <w:rFonts w:hint="eastAsia" w:ascii="宋体" w:hAnsi="宋体"/>
          <w:color w:val="auto"/>
        </w:rPr>
        <w:t>（4）监狱企业：按《关于政府采购支持监狱企业发展有关问题的通知》(财库〔2014〕68号)文件规定提供证明文件。</w:t>
      </w:r>
    </w:p>
    <w:p w14:paraId="2EB1A0B4">
      <w:pPr>
        <w:adjustRightInd w:val="0"/>
        <w:snapToGrid w:val="0"/>
        <w:spacing w:line="360" w:lineRule="auto"/>
        <w:ind w:firstLine="420" w:firstLineChars="200"/>
        <w:rPr>
          <w:rFonts w:ascii="宋体" w:hAnsi="宋体"/>
          <w:color w:val="auto"/>
        </w:rPr>
      </w:pPr>
      <w:r>
        <w:rPr>
          <w:rFonts w:hint="eastAsia" w:ascii="宋体" w:hAnsi="宋体"/>
          <w:color w:val="auto"/>
        </w:rPr>
        <w:t>（5）残疾人福利性单位：按《关于促进残疾人就业政府采购政策的通知》(财库〔2017〕141号)文件规定提供《残疾人福利性单位声明函》（格式）。</w:t>
      </w:r>
    </w:p>
    <w:p w14:paraId="174F3B2D">
      <w:pPr>
        <w:adjustRightInd w:val="0"/>
        <w:snapToGrid w:val="0"/>
        <w:spacing w:line="360" w:lineRule="auto"/>
        <w:ind w:firstLine="420" w:firstLineChars="200"/>
        <w:rPr>
          <w:rFonts w:ascii="宋体" w:hAnsi="宋体"/>
          <w:color w:val="auto"/>
        </w:rPr>
      </w:pPr>
      <w:r>
        <w:rPr>
          <w:rFonts w:hint="eastAsia" w:ascii="宋体" w:hAnsi="宋体"/>
          <w:color w:val="auto"/>
        </w:rPr>
        <w:t>33.7执行中小企业预留采购份额政策的规定：</w:t>
      </w:r>
    </w:p>
    <w:p w14:paraId="3F48ABBE">
      <w:pPr>
        <w:adjustRightInd w:val="0"/>
        <w:snapToGrid w:val="0"/>
        <w:spacing w:line="360" w:lineRule="auto"/>
        <w:ind w:firstLine="420" w:firstLineChars="200"/>
        <w:rPr>
          <w:rFonts w:ascii="宋体" w:hAnsi="宋体"/>
          <w:color w:val="auto"/>
        </w:rPr>
      </w:pPr>
      <w:r>
        <w:rPr>
          <w:rFonts w:hint="eastAsia" w:ascii="宋体" w:hAnsi="宋体"/>
          <w:color w:val="auto"/>
        </w:rPr>
        <w:t>（1）预留份额的采购项目或者采购包，应明确该项目或相关采购包专门面向中小企业采购，并作为供应商资格条件。</w:t>
      </w:r>
    </w:p>
    <w:p w14:paraId="30FFAD30">
      <w:pPr>
        <w:adjustRightInd w:val="0"/>
        <w:snapToGrid w:val="0"/>
        <w:spacing w:line="360" w:lineRule="auto"/>
        <w:ind w:firstLine="420" w:firstLineChars="200"/>
        <w:rPr>
          <w:rFonts w:ascii="宋体" w:hAnsi="宋体"/>
          <w:color w:val="auto"/>
        </w:rPr>
      </w:pPr>
      <w:r>
        <w:rPr>
          <w:rFonts w:hint="eastAsia" w:ascii="宋体" w:hAnsi="宋体"/>
          <w:color w:val="auto"/>
        </w:rPr>
        <w:t>（2）要求以联合体形式参加或者合同分包的，应明确联合协议或者分包意向协议中中小企业合同金额应当达到的比例，并作为供应商资格条件。</w:t>
      </w:r>
    </w:p>
    <w:p w14:paraId="462145CB">
      <w:pPr>
        <w:adjustRightInd w:val="0"/>
        <w:snapToGrid w:val="0"/>
        <w:spacing w:line="360" w:lineRule="auto"/>
        <w:ind w:firstLine="420" w:firstLineChars="200"/>
        <w:rPr>
          <w:rFonts w:ascii="宋体" w:hAnsi="宋体"/>
          <w:color w:val="auto"/>
        </w:rPr>
      </w:pPr>
      <w:r>
        <w:rPr>
          <w:rFonts w:hint="eastAsia" w:ascii="宋体" w:hAnsi="宋体"/>
          <w:color w:val="auto"/>
        </w:rPr>
        <w:t>（3）组成联合体或者接受分包合同的中小企业与联合体内其他企业(成员)、分包企业(投标人)之间不得存在直接控股、管理关系。</w:t>
      </w:r>
    </w:p>
    <w:p w14:paraId="428F5FAD">
      <w:pPr>
        <w:adjustRightInd w:val="0"/>
        <w:snapToGrid w:val="0"/>
        <w:spacing w:line="360" w:lineRule="auto"/>
        <w:ind w:firstLine="420" w:firstLineChars="200"/>
        <w:rPr>
          <w:rFonts w:ascii="宋体" w:hAnsi="宋体"/>
          <w:color w:val="auto"/>
        </w:rPr>
      </w:pPr>
      <w:r>
        <w:rPr>
          <w:rFonts w:hint="eastAsia" w:ascii="宋体" w:hAnsi="宋体"/>
          <w:color w:val="auto"/>
        </w:rPr>
        <w:t>33.8采购进口产品</w:t>
      </w:r>
    </w:p>
    <w:p w14:paraId="44E4094A">
      <w:pPr>
        <w:adjustRightInd w:val="0"/>
        <w:snapToGrid w:val="0"/>
        <w:spacing w:line="360" w:lineRule="auto"/>
        <w:ind w:firstLine="420" w:firstLineChars="200"/>
        <w:rPr>
          <w:rFonts w:ascii="宋体" w:hAnsi="宋体"/>
          <w:color w:val="auto"/>
        </w:rPr>
      </w:pPr>
      <w:r>
        <w:rPr>
          <w:rFonts w:hint="eastAsia" w:ascii="宋体" w:hAnsi="宋体" w:cs="宋体"/>
          <w:color w:val="auto"/>
          <w:kern w:val="0"/>
          <w:szCs w:val="21"/>
        </w:rPr>
        <w:t>进口产品是指符合《政府采购进口产品管理办法》（财库〔2007〕119号）和《关于政府采购进口产品管理有关问题的通知》（财办库〔2008〕248号）文件规定的产品。除</w:t>
      </w:r>
      <w:r>
        <w:rPr>
          <w:rFonts w:hint="eastAsia" w:ascii="宋体" w:hAnsi="宋体"/>
          <w:b/>
          <w:color w:val="auto"/>
          <w:szCs w:val="21"/>
        </w:rPr>
        <w:t>【投标须知前附表】</w:t>
      </w:r>
      <w:r>
        <w:rPr>
          <w:rFonts w:hint="eastAsia" w:ascii="宋体" w:hAnsi="宋体" w:cs="宋体"/>
          <w:color w:val="auto"/>
          <w:kern w:val="0"/>
          <w:szCs w:val="21"/>
        </w:rPr>
        <w:t>另有规定外，采购项目</w:t>
      </w:r>
      <w:r>
        <w:rPr>
          <w:rFonts w:hint="eastAsia" w:ascii="宋体" w:hAnsi="宋体" w:cs="宋体"/>
          <w:b/>
          <w:color w:val="auto"/>
          <w:kern w:val="0"/>
          <w:szCs w:val="21"/>
        </w:rPr>
        <w:t>拒绝进口产品参加投标</w:t>
      </w:r>
      <w:r>
        <w:rPr>
          <w:rFonts w:hint="eastAsia" w:ascii="宋体" w:hAnsi="宋体" w:cs="宋体"/>
          <w:color w:val="auto"/>
          <w:kern w:val="0"/>
          <w:szCs w:val="21"/>
        </w:rPr>
        <w:t>。本款规定同意购买进口产品的，不限制满足招标文件要求的国内产品参与投标竞争。</w:t>
      </w:r>
    </w:p>
    <w:p w14:paraId="0259CD97">
      <w:pPr>
        <w:adjustRightInd w:val="0"/>
        <w:snapToGrid w:val="0"/>
        <w:spacing w:line="360" w:lineRule="auto"/>
        <w:ind w:firstLine="420" w:firstLineChars="200"/>
        <w:rPr>
          <w:rFonts w:ascii="宋体" w:hAnsi="宋体"/>
          <w:color w:val="auto"/>
        </w:rPr>
      </w:pPr>
      <w:r>
        <w:rPr>
          <w:rFonts w:hint="eastAsia" w:ascii="宋体" w:hAnsi="宋体"/>
          <w:color w:val="auto"/>
        </w:rPr>
        <w:t>33.9投标人有融资、担保需求的，可登陆中国湖南政府采购网查询相关银行、担保机构业务。</w:t>
      </w:r>
    </w:p>
    <w:p w14:paraId="0C0C8F4D">
      <w:pPr>
        <w:pStyle w:val="4"/>
        <w:adjustRightInd w:val="0"/>
        <w:snapToGrid w:val="0"/>
        <w:spacing w:before="120" w:beforeLines="50" w:after="0" w:line="360" w:lineRule="auto"/>
        <w:jc w:val="center"/>
        <w:rPr>
          <w:rFonts w:ascii="黑体" w:hAnsi="黑体" w:eastAsia="黑体"/>
          <w:color w:val="auto"/>
          <w:sz w:val="28"/>
          <w:szCs w:val="28"/>
        </w:rPr>
      </w:pPr>
      <w:bookmarkStart w:id="338" w:name="_Toc24389"/>
      <w:bookmarkStart w:id="339" w:name="_Toc171273681"/>
      <w:bookmarkStart w:id="340" w:name="_Toc20651204"/>
      <w:bookmarkStart w:id="341" w:name="_Toc77676476"/>
      <w:bookmarkStart w:id="342" w:name="_Toc108341947"/>
      <w:bookmarkStart w:id="343" w:name="_Toc23090"/>
      <w:bookmarkStart w:id="344" w:name="_Toc112704943"/>
      <w:bookmarkStart w:id="345" w:name="_Toc77199409"/>
      <w:bookmarkStart w:id="346" w:name="_Toc7058"/>
      <w:bookmarkStart w:id="347" w:name="_Toc25181"/>
      <w:bookmarkStart w:id="348" w:name="_Toc19876"/>
      <w:bookmarkStart w:id="349" w:name="_Toc95601375"/>
      <w:bookmarkStart w:id="350" w:name="_Toc192951223"/>
      <w:bookmarkStart w:id="351" w:name="_Toc117192458"/>
      <w:bookmarkStart w:id="352" w:name="_Toc192949712"/>
      <w:bookmarkStart w:id="353" w:name="_Toc114036722"/>
      <w:bookmarkStart w:id="354" w:name="_Toc192949613"/>
      <w:bookmarkStart w:id="355" w:name="_Toc7914"/>
      <w:bookmarkStart w:id="356" w:name="_Toc4896"/>
      <w:bookmarkStart w:id="357" w:name="_Toc154428400"/>
      <w:bookmarkStart w:id="358" w:name="_Toc78314272"/>
      <w:bookmarkStart w:id="359" w:name="_Toc75289236"/>
      <w:bookmarkStart w:id="360" w:name="_Toc24822"/>
      <w:bookmarkStart w:id="361" w:name="_Toc100670678"/>
      <w:bookmarkStart w:id="362" w:name="_Toc75289558"/>
      <w:bookmarkStart w:id="363" w:name="_Toc94367890"/>
      <w:bookmarkStart w:id="364" w:name="_Toc13827"/>
      <w:bookmarkStart w:id="365" w:name="_Toc78449965"/>
      <w:bookmarkStart w:id="366" w:name="_Toc100670431"/>
      <w:bookmarkStart w:id="367" w:name="_Toc85972940"/>
      <w:r>
        <w:rPr>
          <w:rFonts w:hint="eastAsia" w:ascii="黑体" w:hAnsi="黑体" w:eastAsia="黑体"/>
          <w:color w:val="auto"/>
          <w:sz w:val="28"/>
          <w:szCs w:val="28"/>
        </w:rPr>
        <w:t>九、其他规定</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5664C08C">
      <w:pPr>
        <w:adjustRightInd w:val="0"/>
        <w:snapToGrid w:val="0"/>
        <w:spacing w:before="120" w:beforeLines="50" w:line="360" w:lineRule="auto"/>
        <w:rPr>
          <w:rFonts w:ascii="宋体" w:hAnsi="宋体"/>
          <w:b/>
          <w:color w:val="auto"/>
          <w:sz w:val="24"/>
        </w:rPr>
      </w:pPr>
      <w:r>
        <w:rPr>
          <w:rFonts w:hint="eastAsia" w:ascii="宋体" w:hAnsi="宋体"/>
          <w:b/>
          <w:bCs/>
          <w:color w:val="auto"/>
          <w:sz w:val="24"/>
        </w:rPr>
        <w:t>34.</w:t>
      </w:r>
      <w:r>
        <w:rPr>
          <w:rFonts w:hint="eastAsia" w:ascii="宋体" w:hAnsi="宋体"/>
          <w:b/>
          <w:color w:val="auto"/>
          <w:sz w:val="24"/>
        </w:rPr>
        <w:t>招标不足三家处理</w:t>
      </w:r>
    </w:p>
    <w:p w14:paraId="18C37CE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34.1公开招标数额标准以上的采购项目，投标截止后投标人不足3家或者通过资格审查或符合性审查的投标人不足3家的，除采购任务取消情形外，按照以下方式处理：</w:t>
      </w:r>
    </w:p>
    <w:p w14:paraId="7BED989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（1）招标文件存在不合理条款或者招标程序不符合规定的，采购人、采购代理机构改正后依法重新招标；</w:t>
      </w:r>
    </w:p>
    <w:p w14:paraId="670604E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（2）招标文件没有不合理条款、招标程序符合规定，需要采用其他采购方式采购的，采购人应当依法报财政部门批准。</w:t>
      </w:r>
    </w:p>
    <w:p w14:paraId="6321600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34.2属上款第（2）项情形的，评标委员会应出具招标文件没有不合理条款的论证意见。</w:t>
      </w:r>
    </w:p>
    <w:p w14:paraId="6187C0A8">
      <w:pPr>
        <w:adjustRightInd w:val="0"/>
        <w:snapToGrid w:val="0"/>
        <w:spacing w:line="360" w:lineRule="auto"/>
        <w:rPr>
          <w:rFonts w:ascii="宋体" w:hAnsi="宋体"/>
          <w:b/>
          <w:color w:val="auto"/>
          <w:sz w:val="24"/>
        </w:rPr>
      </w:pPr>
      <w:r>
        <w:rPr>
          <w:rFonts w:hint="eastAsia" w:ascii="宋体" w:hAnsi="宋体"/>
          <w:b/>
          <w:bCs/>
          <w:color w:val="auto"/>
          <w:sz w:val="24"/>
        </w:rPr>
        <w:t>35.</w:t>
      </w:r>
      <w:r>
        <w:rPr>
          <w:rFonts w:hint="eastAsia" w:ascii="宋体" w:hAnsi="宋体"/>
          <w:b/>
          <w:color w:val="auto"/>
          <w:sz w:val="24"/>
        </w:rPr>
        <w:t>需要补充的其他内容</w:t>
      </w:r>
    </w:p>
    <w:p w14:paraId="08CBA506">
      <w:pPr>
        <w:adjustRightInd w:val="0"/>
        <w:snapToGrid w:val="0"/>
        <w:spacing w:line="360" w:lineRule="auto"/>
        <w:ind w:firstLine="420" w:firstLineChars="200"/>
        <w:rPr>
          <w:rFonts w:ascii="宋体" w:hAnsi="宋体"/>
          <w:color w:val="auto"/>
        </w:rPr>
      </w:pPr>
      <w:r>
        <w:rPr>
          <w:rFonts w:hint="eastAsia" w:ascii="宋体" w:hAnsi="宋体"/>
          <w:color w:val="auto"/>
        </w:rPr>
        <w:t>35.1合同价款支付</w:t>
      </w:r>
    </w:p>
    <w:p w14:paraId="7C91B1E7">
      <w:pPr>
        <w:adjustRightInd w:val="0"/>
        <w:snapToGrid w:val="0"/>
        <w:spacing w:line="360" w:lineRule="auto"/>
        <w:ind w:firstLine="420" w:firstLineChars="200"/>
        <w:rPr>
          <w:rFonts w:ascii="宋体" w:hAnsi="宋体"/>
          <w:color w:val="auto"/>
        </w:rPr>
      </w:pPr>
      <w:r>
        <w:rPr>
          <w:rFonts w:hint="eastAsia" w:ascii="宋体" w:hAnsi="宋体"/>
          <w:color w:val="auto"/>
        </w:rPr>
        <w:t>（1）招标文件</w:t>
      </w:r>
      <w:r>
        <w:rPr>
          <w:rFonts w:hint="eastAsia" w:ascii="宋体" w:hAnsi="宋体"/>
          <w:bCs/>
          <w:color w:val="auto"/>
          <w:szCs w:val="21"/>
        </w:rPr>
        <w:t>规定支付合同预付款的，采购人应按</w:t>
      </w:r>
      <w:r>
        <w:rPr>
          <w:rFonts w:hint="eastAsia" w:ascii="宋体" w:hAnsi="宋体"/>
          <w:b/>
          <w:color w:val="auto"/>
          <w:szCs w:val="21"/>
        </w:rPr>
        <w:t>【投标须知前附表】</w:t>
      </w:r>
      <w:r>
        <w:rPr>
          <w:rFonts w:hint="eastAsia" w:ascii="宋体" w:hAnsi="宋体"/>
          <w:bCs/>
          <w:color w:val="auto"/>
          <w:szCs w:val="21"/>
        </w:rPr>
        <w:t>规定的支付比例和支付条件向符合要求的中标供应商及时支付相应款项，并在政府采购合同中进行明确。</w:t>
      </w:r>
    </w:p>
    <w:p w14:paraId="08DE1CEF">
      <w:pPr>
        <w:adjustRightInd w:val="0"/>
        <w:snapToGrid w:val="0"/>
        <w:spacing w:line="360" w:lineRule="auto"/>
        <w:ind w:firstLine="420" w:firstLineChars="200"/>
        <w:rPr>
          <w:rFonts w:ascii="宋体" w:hAnsi="宋体"/>
          <w:color w:val="auto"/>
        </w:rPr>
      </w:pPr>
      <w:r>
        <w:rPr>
          <w:rFonts w:hint="eastAsia" w:ascii="宋体" w:hAnsi="宋体"/>
          <w:color w:val="auto"/>
        </w:rPr>
        <w:t>（2）招标文件</w:t>
      </w:r>
      <w:r>
        <w:rPr>
          <w:rFonts w:hint="eastAsia" w:ascii="宋体" w:hAnsi="宋体"/>
          <w:bCs/>
          <w:color w:val="auto"/>
        </w:rPr>
        <w:t>规定需提交质量保证金的，采购人可以按</w:t>
      </w:r>
      <w:r>
        <w:rPr>
          <w:rFonts w:hint="eastAsia" w:ascii="宋体" w:hAnsi="宋体"/>
          <w:b/>
          <w:color w:val="auto"/>
        </w:rPr>
        <w:t>【投标须知前附表】</w:t>
      </w:r>
      <w:r>
        <w:rPr>
          <w:rFonts w:hint="eastAsia" w:ascii="宋体" w:hAnsi="宋体"/>
          <w:bCs/>
          <w:color w:val="auto"/>
        </w:rPr>
        <w:t>规定要求中标供应商提交质量保证金，并在政府采购合同中进行明确。</w:t>
      </w:r>
    </w:p>
    <w:p w14:paraId="7D437D27">
      <w:pPr>
        <w:adjustRightInd w:val="0"/>
        <w:snapToGrid w:val="0"/>
        <w:spacing w:line="360" w:lineRule="auto"/>
        <w:ind w:firstLine="420" w:firstLineChars="200"/>
        <w:rPr>
          <w:rFonts w:ascii="宋体" w:hAnsi="宋体"/>
          <w:color w:val="auto"/>
        </w:rPr>
      </w:pPr>
      <w:r>
        <w:rPr>
          <w:rFonts w:hint="eastAsia" w:ascii="宋体" w:hAnsi="宋体"/>
          <w:bCs/>
          <w:color w:val="auto"/>
        </w:rPr>
        <w:t>（3）投标人可以保函、电子增信替代预付款担保、质量保证金。</w:t>
      </w:r>
    </w:p>
    <w:p w14:paraId="52BCC18A">
      <w:pPr>
        <w:adjustRightInd w:val="0"/>
        <w:snapToGrid w:val="0"/>
        <w:spacing w:line="360" w:lineRule="auto"/>
        <w:ind w:firstLine="420" w:firstLineChars="200"/>
        <w:rPr>
          <w:rFonts w:ascii="宋体" w:hAnsi="宋体"/>
          <w:color w:val="auto"/>
          <w:szCs w:val="21"/>
        </w:rPr>
      </w:pPr>
      <w:r>
        <w:rPr>
          <w:rFonts w:hint="eastAsia" w:ascii="宋体" w:hAnsi="宋体"/>
          <w:color w:val="auto"/>
        </w:rPr>
        <w:t>35.2招标文件需要补充的其</w:t>
      </w:r>
      <w:r>
        <w:rPr>
          <w:rFonts w:hint="eastAsia" w:ascii="宋体" w:hAnsi="宋体"/>
          <w:color w:val="auto"/>
          <w:szCs w:val="21"/>
        </w:rPr>
        <w:t>他内容见</w:t>
      </w:r>
      <w:r>
        <w:rPr>
          <w:rFonts w:hint="eastAsia" w:ascii="宋体" w:hAnsi="宋体"/>
          <w:b/>
          <w:color w:val="auto"/>
          <w:szCs w:val="21"/>
        </w:rPr>
        <w:t>【投标须知前附表】</w:t>
      </w:r>
      <w:r>
        <w:rPr>
          <w:rFonts w:hint="eastAsia" w:ascii="宋体" w:hAnsi="宋体"/>
          <w:color w:val="auto"/>
          <w:szCs w:val="21"/>
        </w:rPr>
        <w:t>。</w:t>
      </w:r>
    </w:p>
    <w:p w14:paraId="3F8CF620">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bookmarkStart w:id="368" w:name="_Toc77676477"/>
      <w:bookmarkStart w:id="369" w:name="_Toc10200"/>
      <w:bookmarkStart w:id="370" w:name="_Toc117192459"/>
      <w:bookmarkStart w:id="371" w:name="_Toc75289559"/>
      <w:bookmarkStart w:id="372" w:name="_Toc31883"/>
      <w:bookmarkStart w:id="373" w:name="_Toc192951224"/>
      <w:bookmarkStart w:id="374" w:name="_Toc100670679"/>
      <w:bookmarkStart w:id="375" w:name="_Toc112704944"/>
      <w:bookmarkStart w:id="376" w:name="_Toc78314273"/>
      <w:bookmarkStart w:id="377" w:name="_Toc27253"/>
      <w:bookmarkStart w:id="378" w:name="_Toc192949713"/>
      <w:bookmarkStart w:id="379" w:name="_Toc95601376"/>
      <w:bookmarkStart w:id="380" w:name="_Toc77199410"/>
      <w:bookmarkStart w:id="381" w:name="_Toc171273682"/>
      <w:bookmarkStart w:id="382" w:name="_Toc100670432"/>
      <w:bookmarkStart w:id="383" w:name="_Toc27158"/>
      <w:bookmarkStart w:id="384" w:name="_Toc15888495"/>
      <w:bookmarkStart w:id="385" w:name="_Toc4260"/>
      <w:bookmarkStart w:id="386" w:name="_Toc27437"/>
      <w:bookmarkStart w:id="387" w:name="_Toc2265"/>
      <w:bookmarkStart w:id="388" w:name="_Toc94367891"/>
      <w:bookmarkStart w:id="389" w:name="_Toc192949614"/>
      <w:bookmarkStart w:id="390" w:name="_Toc114036723"/>
      <w:bookmarkStart w:id="391" w:name="_Toc85972941"/>
      <w:bookmarkStart w:id="392" w:name="_Toc1041"/>
      <w:bookmarkStart w:id="393" w:name="_Toc154428401"/>
      <w:bookmarkStart w:id="394" w:name="_Toc108341948"/>
      <w:bookmarkStart w:id="395" w:name="_Toc13277"/>
      <w:bookmarkStart w:id="396" w:name="_Toc78449966"/>
      <w:bookmarkStart w:id="397" w:name="_Toc75289237"/>
    </w:p>
    <w:p w14:paraId="04DB341E">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6E605D7A">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1938CFA8">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72DECD93">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A634F1B">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782A77AD">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82D146C">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0D627B42">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9193815">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061CA7CC">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66EE1B71">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7BC80BEE">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2B9D16A5">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4F6953CE">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D6FCC5F">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41EEAC1E">
      <w:pPr>
        <w:pStyle w:val="22"/>
        <w:adjustRightInd w:val="0"/>
        <w:snapToGrid w:val="0"/>
        <w:spacing w:before="120" w:beforeLines="50" w:line="360" w:lineRule="auto"/>
        <w:ind w:firstLine="2891" w:firstLineChars="900"/>
        <w:outlineLvl w:val="0"/>
        <w:rPr>
          <w:rFonts w:ascii="黑体" w:hAnsi="黑体" w:eastAsia="黑体"/>
          <w:b/>
          <w:color w:val="auto"/>
          <w:sz w:val="32"/>
          <w:szCs w:val="32"/>
        </w:rPr>
      </w:pPr>
      <w:r>
        <w:rPr>
          <w:rFonts w:hint="eastAsia" w:ascii="黑体" w:hAnsi="黑体" w:eastAsia="黑体"/>
          <w:b/>
          <w:color w:val="auto"/>
          <w:sz w:val="32"/>
          <w:szCs w:val="32"/>
        </w:rPr>
        <w:t>第三章 资格审查</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7BE96252">
      <w:pPr>
        <w:pStyle w:val="4"/>
        <w:adjustRightInd w:val="0"/>
        <w:snapToGrid w:val="0"/>
        <w:spacing w:before="0" w:after="0" w:line="360" w:lineRule="auto"/>
        <w:rPr>
          <w:rFonts w:ascii="宋体" w:hAnsi="宋体"/>
          <w:color w:val="auto"/>
          <w:sz w:val="24"/>
          <w:szCs w:val="24"/>
        </w:rPr>
      </w:pPr>
      <w:bookmarkStart w:id="398" w:name="_Toc17592"/>
      <w:bookmarkStart w:id="399" w:name="_Toc171273683"/>
      <w:bookmarkStart w:id="400" w:name="_Toc117192460"/>
      <w:bookmarkStart w:id="401" w:name="_Toc192949615"/>
      <w:bookmarkStart w:id="402" w:name="_Toc26009"/>
      <w:bookmarkStart w:id="403" w:name="_Toc28660"/>
      <w:bookmarkStart w:id="404" w:name="_Toc78449967"/>
      <w:bookmarkStart w:id="405" w:name="_Toc85972942"/>
      <w:bookmarkStart w:id="406" w:name="_Toc77199411"/>
      <w:bookmarkStart w:id="407" w:name="_Toc16503"/>
      <w:bookmarkStart w:id="408" w:name="_Toc75289238"/>
      <w:bookmarkStart w:id="409" w:name="_Toc75289560"/>
      <w:bookmarkStart w:id="410" w:name="_Toc31014"/>
      <w:bookmarkStart w:id="411" w:name="_Toc10036"/>
      <w:bookmarkStart w:id="412" w:name="_Toc32689"/>
      <w:bookmarkStart w:id="413" w:name="_Toc77676478"/>
      <w:bookmarkStart w:id="414" w:name="_Toc114036724"/>
      <w:bookmarkStart w:id="415" w:name="_Toc154428402"/>
      <w:bookmarkStart w:id="416" w:name="_Toc192951225"/>
      <w:bookmarkStart w:id="417" w:name="_Toc94367892"/>
      <w:bookmarkStart w:id="418" w:name="_Toc192949714"/>
      <w:bookmarkStart w:id="419" w:name="_Toc78314274"/>
      <w:bookmarkStart w:id="420" w:name="_Toc2273"/>
      <w:bookmarkStart w:id="421" w:name="_Toc15888496"/>
      <w:bookmarkStart w:id="422" w:name="_Toc112704945"/>
      <w:bookmarkStart w:id="423" w:name="_Toc100670433"/>
      <w:bookmarkStart w:id="424" w:name="_Toc21904"/>
      <w:bookmarkStart w:id="425" w:name="_Toc108341949"/>
      <w:bookmarkStart w:id="426" w:name="_Toc100670680"/>
      <w:bookmarkStart w:id="427" w:name="_Toc95601377"/>
      <w:r>
        <w:rPr>
          <w:rFonts w:hint="eastAsia" w:ascii="黑体" w:hAnsi="黑体" w:eastAsia="黑体"/>
          <w:color w:val="auto"/>
          <w:sz w:val="24"/>
          <w:szCs w:val="24"/>
        </w:rPr>
        <w:t>1．</w:t>
      </w:r>
      <w:r>
        <w:rPr>
          <w:rFonts w:hint="eastAsia" w:ascii="宋体" w:hAnsi="宋体"/>
          <w:color w:val="auto"/>
          <w:sz w:val="24"/>
          <w:szCs w:val="24"/>
        </w:rPr>
        <w:t>资格审查主体</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4BDBDA5D">
      <w:pPr>
        <w:adjustRightInd w:val="0"/>
        <w:snapToGrid w:val="0"/>
        <w:spacing w:line="360" w:lineRule="auto"/>
        <w:ind w:firstLine="417" w:firstLineChars="199"/>
        <w:rPr>
          <w:rFonts w:ascii="宋体" w:hAnsi="宋体"/>
          <w:color w:val="auto"/>
          <w:szCs w:val="21"/>
        </w:rPr>
      </w:pPr>
      <w:r>
        <w:rPr>
          <w:rFonts w:hint="eastAsia" w:ascii="宋体" w:hAnsi="宋体"/>
          <w:color w:val="auto"/>
          <w:szCs w:val="21"/>
        </w:rPr>
        <w:t>1.1资格审查主体：采购人、采购代理机构负责资格审查。</w:t>
      </w:r>
    </w:p>
    <w:p w14:paraId="352E3BC8">
      <w:pPr>
        <w:pStyle w:val="4"/>
        <w:adjustRightInd w:val="0"/>
        <w:snapToGrid w:val="0"/>
        <w:spacing w:before="0" w:after="0" w:line="360" w:lineRule="auto"/>
        <w:rPr>
          <w:rFonts w:ascii="宋体" w:hAnsi="宋体"/>
          <w:color w:val="auto"/>
          <w:sz w:val="24"/>
          <w:szCs w:val="24"/>
        </w:rPr>
      </w:pPr>
      <w:bookmarkStart w:id="428" w:name="_Toc100670434"/>
      <w:bookmarkStart w:id="429" w:name="_Toc108341950"/>
      <w:bookmarkStart w:id="430" w:name="_Toc94367893"/>
      <w:bookmarkStart w:id="431" w:name="_Toc78314275"/>
      <w:bookmarkStart w:id="432" w:name="_Toc154428403"/>
      <w:bookmarkStart w:id="433" w:name="_Toc192951226"/>
      <w:bookmarkStart w:id="434" w:name="_Toc13504"/>
      <w:bookmarkStart w:id="435" w:name="_Toc77199412"/>
      <w:bookmarkStart w:id="436" w:name="_Toc117192461"/>
      <w:bookmarkStart w:id="437" w:name="_Toc192949616"/>
      <w:bookmarkStart w:id="438" w:name="_Toc114036725"/>
      <w:bookmarkStart w:id="439" w:name="_Toc4781"/>
      <w:bookmarkStart w:id="440" w:name="_Toc22295"/>
      <w:bookmarkStart w:id="441" w:name="_Toc85972943"/>
      <w:bookmarkStart w:id="442" w:name="_Toc9152"/>
      <w:bookmarkStart w:id="443" w:name="_Toc78449968"/>
      <w:bookmarkStart w:id="444" w:name="_Toc75289239"/>
      <w:bookmarkStart w:id="445" w:name="_Toc112704946"/>
      <w:bookmarkStart w:id="446" w:name="_Toc192949715"/>
      <w:bookmarkStart w:id="447" w:name="_Toc26069"/>
      <w:bookmarkStart w:id="448" w:name="_Toc17087"/>
      <w:bookmarkStart w:id="449" w:name="_Toc95601378"/>
      <w:bookmarkStart w:id="450" w:name="_Toc100670681"/>
      <w:bookmarkStart w:id="451" w:name="_Toc171273684"/>
      <w:bookmarkStart w:id="452" w:name="_Toc7833"/>
      <w:bookmarkStart w:id="453" w:name="_Toc18648"/>
      <w:bookmarkStart w:id="454" w:name="_Toc15888497"/>
      <w:bookmarkStart w:id="455" w:name="_Toc75289561"/>
      <w:bookmarkStart w:id="456" w:name="_Toc748"/>
      <w:bookmarkStart w:id="457" w:name="_Toc77676479"/>
      <w:r>
        <w:rPr>
          <w:rFonts w:hint="eastAsia" w:ascii="宋体" w:hAnsi="宋体"/>
          <w:color w:val="auto"/>
          <w:sz w:val="24"/>
          <w:szCs w:val="24"/>
        </w:rPr>
        <w:t>2．资格审查</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14:paraId="3158804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2.1资格审查依据法律法规和招标文件的规定，对投标文件中的资格证明文件、投标报价等进行审查，以确定投标供应商是否具备投标资格。</w:t>
      </w:r>
    </w:p>
    <w:p w14:paraId="4F728BB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2.2采购人、采购代理机构按本章附表1“资格审查表”所列审查项目及审查标准，对投标人资格进行审查。</w:t>
      </w:r>
    </w:p>
    <w:p w14:paraId="533CB65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2.3在资格审查时，投标人存在下列情况之一的，资格审查不合格，其投标无效：</w:t>
      </w:r>
    </w:p>
    <w:p w14:paraId="15AA178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（1）不具备招标文件中规定的资格要求的，或提交的资格证明文件不符合招标文件要求的；</w:t>
      </w:r>
    </w:p>
    <w:p w14:paraId="0CF01BC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（2）联合体投标未提交联合体协议书，或未提交联合体各方资格证明文件的；</w:t>
      </w:r>
    </w:p>
    <w:p w14:paraId="56BB924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（3）投标文件的资格证明文件未按照招标文件要求签署、盖章的；</w:t>
      </w:r>
    </w:p>
    <w:p w14:paraId="4AD1725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（4）投标报价超过招标文件中规定的预算金额或者最高限价的；</w:t>
      </w:r>
    </w:p>
    <w:p w14:paraId="359B21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（5）法律、法规和招标文件规定的其他投标无效情形的。</w:t>
      </w:r>
    </w:p>
    <w:p w14:paraId="4841EC0F">
      <w:pPr>
        <w:adjustRightInd w:val="0"/>
        <w:snapToGrid w:val="0"/>
        <w:spacing w:line="360" w:lineRule="auto"/>
        <w:ind w:firstLine="420" w:firstLineChars="200"/>
        <w:rPr>
          <w:rFonts w:ascii="宋体" w:hAnsi="宋体"/>
          <w:b/>
          <w:color w:val="auto"/>
          <w:sz w:val="32"/>
          <w:szCs w:val="32"/>
        </w:rPr>
      </w:pPr>
      <w:r>
        <w:rPr>
          <w:rFonts w:hint="eastAsia" w:ascii="宋体" w:hAnsi="宋体"/>
          <w:color w:val="auto"/>
        </w:rPr>
        <w:t>2.4信用记录。开标结束后</w:t>
      </w:r>
      <w:r>
        <w:rPr>
          <w:rFonts w:hint="eastAsia" w:ascii="宋体" w:hAnsi="宋体"/>
          <w:color w:val="auto"/>
          <w:szCs w:val="21"/>
        </w:rPr>
        <w:t>资格审查时，采购人、采购代理机构将对投标人信用记录进行甄别。</w:t>
      </w:r>
    </w:p>
    <w:p w14:paraId="68FD7CC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（1）信用信息查询的查询渠道：信用中国网（www.creditchina.gov.cn）、中国政府采购网（www.ccgp.gov.cn）；</w:t>
      </w:r>
    </w:p>
    <w:p w14:paraId="1A32772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良信用记录是指：投标人在“信用中国”网站被列入失信被执行人和重大税收违法案件当事人名单，或在“中国政府采购网”网站被列入政府采购严重违法失信行为记录名单。投标人有上述不良信用记录的，其投标无效，其中，列入政府采购严重违法失信行为记录名单的，按处罚结果执行。</w:t>
      </w:r>
    </w:p>
    <w:p w14:paraId="188D850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（3）联合体形式投标的，联合体成员存在不良信用记录的，视同联合体存在不良信用记录。</w:t>
      </w:r>
    </w:p>
    <w:p w14:paraId="474E85D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（4）信用信息查询记录和证据留存具体方式：</w:t>
      </w:r>
      <w:r>
        <w:rPr>
          <w:rFonts w:hint="eastAsia" w:ascii="宋体" w:hAnsi="宋体"/>
          <w:color w:val="auto"/>
          <w:sz w:val="22"/>
          <w:szCs w:val="22"/>
        </w:rPr>
        <w:t>采购人、采购代理机构</w:t>
      </w:r>
      <w:r>
        <w:rPr>
          <w:rFonts w:ascii="宋体" w:hAnsi="宋体"/>
          <w:color w:val="auto"/>
          <w:sz w:val="22"/>
          <w:szCs w:val="22"/>
        </w:rPr>
        <w:t>经办人将查询网页</w:t>
      </w:r>
      <w:r>
        <w:rPr>
          <w:rFonts w:hint="eastAsia" w:ascii="宋体" w:hAnsi="宋体"/>
          <w:color w:val="auto"/>
          <w:sz w:val="22"/>
          <w:szCs w:val="22"/>
        </w:rPr>
        <w:t>截图、</w:t>
      </w:r>
      <w:r>
        <w:rPr>
          <w:rFonts w:ascii="宋体" w:hAnsi="宋体"/>
          <w:color w:val="auto"/>
          <w:sz w:val="22"/>
          <w:szCs w:val="22"/>
        </w:rPr>
        <w:t>打印、签字</w:t>
      </w:r>
      <w:r>
        <w:rPr>
          <w:rFonts w:hint="eastAsia" w:ascii="宋体" w:hAnsi="宋体"/>
          <w:color w:val="auto"/>
          <w:sz w:val="22"/>
          <w:szCs w:val="22"/>
        </w:rPr>
        <w:t>，作为查询记录和证据，与其他采购文件一并保存。</w:t>
      </w:r>
      <w:r>
        <w:rPr>
          <w:rFonts w:ascii="宋体" w:hAnsi="宋体"/>
          <w:color w:val="auto"/>
          <w:sz w:val="22"/>
          <w:szCs w:val="22"/>
        </w:rPr>
        <w:t>投标人不良信用记录以</w:t>
      </w:r>
      <w:r>
        <w:rPr>
          <w:rFonts w:hint="eastAsia" w:ascii="宋体" w:hAnsi="宋体"/>
          <w:color w:val="auto"/>
          <w:sz w:val="22"/>
          <w:szCs w:val="22"/>
        </w:rPr>
        <w:t>采购人、采购代理机构</w:t>
      </w:r>
      <w:r>
        <w:rPr>
          <w:rFonts w:ascii="宋体" w:hAnsi="宋体"/>
          <w:color w:val="auto"/>
          <w:sz w:val="22"/>
          <w:szCs w:val="22"/>
        </w:rPr>
        <w:t>查询结果为准</w:t>
      </w:r>
      <w:r>
        <w:rPr>
          <w:rFonts w:hint="eastAsia" w:ascii="宋体" w:hAnsi="宋体"/>
          <w:color w:val="auto"/>
          <w:sz w:val="22"/>
          <w:szCs w:val="22"/>
        </w:rPr>
        <w:t>。</w:t>
      </w:r>
    </w:p>
    <w:p w14:paraId="57F578C6">
      <w:pPr>
        <w:pStyle w:val="4"/>
        <w:adjustRightInd w:val="0"/>
        <w:snapToGrid w:val="0"/>
        <w:spacing w:before="0" w:after="0" w:line="360" w:lineRule="auto"/>
        <w:rPr>
          <w:rFonts w:ascii="宋体" w:hAnsi="宋体"/>
          <w:color w:val="auto"/>
          <w:sz w:val="24"/>
          <w:szCs w:val="24"/>
        </w:rPr>
      </w:pPr>
      <w:bookmarkStart w:id="458" w:name="_Toc85972944"/>
      <w:bookmarkStart w:id="459" w:name="_Toc95601379"/>
      <w:bookmarkStart w:id="460" w:name="_Toc77199413"/>
      <w:bookmarkStart w:id="461" w:name="_Toc22441"/>
      <w:bookmarkStart w:id="462" w:name="_Toc117192462"/>
      <w:bookmarkStart w:id="463" w:name="_Toc154428404"/>
      <w:bookmarkStart w:id="464" w:name="_Toc13377"/>
      <w:bookmarkStart w:id="465" w:name="_Toc78449969"/>
      <w:bookmarkStart w:id="466" w:name="_Toc17377"/>
      <w:bookmarkStart w:id="467" w:name="_Toc75289562"/>
      <w:bookmarkStart w:id="468" w:name="_Toc171273685"/>
      <w:bookmarkStart w:id="469" w:name="_Toc22906"/>
      <w:bookmarkStart w:id="470" w:name="_Toc31688"/>
      <w:bookmarkStart w:id="471" w:name="_Toc94367894"/>
      <w:bookmarkStart w:id="472" w:name="_Toc192949716"/>
      <w:bookmarkStart w:id="473" w:name="_Toc112704947"/>
      <w:bookmarkStart w:id="474" w:name="_Toc114036726"/>
      <w:bookmarkStart w:id="475" w:name="_Toc19334"/>
      <w:bookmarkStart w:id="476" w:name="_Toc77676480"/>
      <w:bookmarkStart w:id="477" w:name="_Toc100670435"/>
      <w:bookmarkStart w:id="478" w:name="_Toc1821"/>
      <w:bookmarkStart w:id="479" w:name="_Toc192951227"/>
      <w:bookmarkStart w:id="480" w:name="_Toc26424"/>
      <w:bookmarkStart w:id="481" w:name="_Toc11466"/>
      <w:bookmarkStart w:id="482" w:name="_Toc15888498"/>
      <w:bookmarkStart w:id="483" w:name="_Toc108341951"/>
      <w:bookmarkStart w:id="484" w:name="_Toc78314276"/>
      <w:bookmarkStart w:id="485" w:name="_Toc75289240"/>
      <w:bookmarkStart w:id="486" w:name="_Toc192949617"/>
      <w:bookmarkStart w:id="487" w:name="_Toc100670682"/>
      <w:r>
        <w:rPr>
          <w:rFonts w:hint="eastAsia" w:ascii="宋体" w:hAnsi="宋体"/>
          <w:color w:val="auto"/>
          <w:sz w:val="24"/>
          <w:szCs w:val="24"/>
        </w:rPr>
        <w:t>3．资格审查结果</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7FD6010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3.1未通过资格审查的投标人，采购人、采购代理机构应当告知其未通过的原因。</w:t>
      </w:r>
    </w:p>
    <w:p w14:paraId="39DF2D4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3.2资格审查结束后，采购人、采购代理机构应将资格审查结果告知评标委员会。</w:t>
      </w:r>
    </w:p>
    <w:p w14:paraId="4364FF28">
      <w:pPr>
        <w:adjustRightInd w:val="0"/>
        <w:snapToGrid w:val="0"/>
        <w:spacing w:line="360" w:lineRule="auto"/>
        <w:ind w:firstLine="420" w:firstLineChars="200"/>
        <w:rPr>
          <w:rFonts w:ascii="华文中宋" w:hAnsi="华文中宋" w:eastAsia="华文中宋"/>
          <w:color w:val="auto"/>
        </w:rPr>
      </w:pPr>
      <w:r>
        <w:rPr>
          <w:rFonts w:ascii="华文中宋" w:hAnsi="华文中宋" w:eastAsia="华文中宋"/>
          <w:color w:val="auto"/>
        </w:rPr>
        <w:br w:type="page"/>
      </w:r>
      <w:bookmarkStart w:id="488" w:name="_Toc15888500"/>
    </w:p>
    <w:p w14:paraId="3A3CF9BF">
      <w:pPr>
        <w:adjustRightInd w:val="0"/>
        <w:snapToGrid w:val="0"/>
        <w:spacing w:line="360" w:lineRule="auto"/>
        <w:jc w:val="both"/>
        <w:rPr>
          <w:rFonts w:hint="eastAsia" w:ascii="黑体" w:hAnsi="黑体"/>
          <w:b/>
          <w:color w:val="auto"/>
          <w:szCs w:val="21"/>
          <w:lang w:val="en-US" w:eastAsia="zh-CN"/>
        </w:rPr>
      </w:pPr>
      <w:r>
        <w:rPr>
          <w:rFonts w:hint="eastAsia" w:ascii="黑体" w:hAnsi="黑体"/>
          <w:b/>
          <w:color w:val="auto"/>
          <w:szCs w:val="21"/>
        </w:rPr>
        <w:t>附表1</w:t>
      </w:r>
      <w:r>
        <w:rPr>
          <w:rFonts w:ascii="黑体" w:hAnsi="黑体"/>
          <w:b/>
          <w:color w:val="auto"/>
          <w:szCs w:val="21"/>
        </w:rPr>
        <w:t>资格审查表</w:t>
      </w:r>
      <w:bookmarkEnd w:id="488"/>
      <w:r>
        <w:rPr>
          <w:rFonts w:hint="eastAsia" w:ascii="黑体" w:hAnsi="黑体"/>
          <w:b/>
          <w:color w:val="auto"/>
          <w:szCs w:val="21"/>
          <w:lang w:val="en-US" w:eastAsia="zh-CN"/>
        </w:rPr>
        <w:t xml:space="preserve"> </w:t>
      </w:r>
    </w:p>
    <w:p w14:paraId="3C2DA8F7">
      <w:pPr>
        <w:adjustRightInd w:val="0"/>
        <w:snapToGrid w:val="0"/>
        <w:spacing w:line="360" w:lineRule="auto"/>
        <w:jc w:val="center"/>
        <w:rPr>
          <w:rFonts w:hint="eastAsia" w:ascii="黑体" w:hAnsi="黑体"/>
          <w:b/>
          <w:color w:val="auto"/>
          <w:szCs w:val="21"/>
          <w:lang w:val="en-US" w:eastAsia="zh-CN"/>
        </w:rPr>
      </w:pPr>
      <w:r>
        <w:rPr>
          <w:rFonts w:ascii="黑体" w:hAnsi="黑体"/>
          <w:b/>
          <w:color w:val="auto"/>
          <w:szCs w:val="21"/>
        </w:rPr>
        <w:t>资格审查表</w:t>
      </w:r>
    </w:p>
    <w:p w14:paraId="1D4A1518">
      <w:pPr>
        <w:adjustRightInd w:val="0"/>
        <w:snapToGrid w:val="0"/>
        <w:spacing w:line="360" w:lineRule="auto"/>
        <w:rPr>
          <w:rFonts w:ascii="黑体" w:hAnsi="黑体" w:eastAsia="黑体"/>
          <w:color w:val="auto"/>
          <w:sz w:val="28"/>
          <w:szCs w:val="28"/>
        </w:rPr>
      </w:pPr>
      <w:r>
        <w:rPr>
          <w:rFonts w:hint="eastAsia" w:ascii="宋体" w:hAnsi="宋体"/>
          <w:color w:val="auto"/>
          <w:szCs w:val="21"/>
        </w:rPr>
        <w:t>项目名称：</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 xml:space="preserve">                 政府采购计划编号：</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tbl>
      <w:tblPr>
        <w:tblStyle w:val="47"/>
        <w:tblW w:w="858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4"/>
        <w:gridCol w:w="2118"/>
        <w:gridCol w:w="5822"/>
      </w:tblGrid>
      <w:tr w14:paraId="4DD986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90" w:hRule="atLeast"/>
          <w:jc w:val="center"/>
        </w:trPr>
        <w:tc>
          <w:tcPr>
            <w:tcW w:w="644" w:type="dxa"/>
            <w:tcBorders>
              <w:right w:val="single" w:color="auto" w:sz="4" w:space="0"/>
            </w:tcBorders>
            <w:noWrap w:val="0"/>
            <w:vAlign w:val="center"/>
          </w:tcPr>
          <w:p w14:paraId="46C97160">
            <w:pPr>
              <w:adjustRightInd w:val="0"/>
              <w:snapToGrid w:val="0"/>
              <w:spacing w:line="360" w:lineRule="exact"/>
              <w:jc w:val="center"/>
              <w:rPr>
                <w:rFonts w:ascii="宋体" w:hAnsi="宋体"/>
                <w:b/>
                <w:color w:val="auto"/>
                <w:kern w:val="0"/>
                <w:szCs w:val="21"/>
              </w:rPr>
            </w:pPr>
            <w:r>
              <w:rPr>
                <w:rFonts w:hint="eastAsia" w:ascii="宋体" w:hAnsi="宋体"/>
                <w:b/>
                <w:color w:val="auto"/>
                <w:kern w:val="0"/>
                <w:szCs w:val="21"/>
              </w:rPr>
              <w:t>序号</w:t>
            </w:r>
          </w:p>
        </w:tc>
        <w:tc>
          <w:tcPr>
            <w:tcW w:w="2118" w:type="dxa"/>
            <w:tcBorders>
              <w:left w:val="single" w:color="auto" w:sz="4" w:space="0"/>
            </w:tcBorders>
            <w:noWrap w:val="0"/>
            <w:vAlign w:val="center"/>
          </w:tcPr>
          <w:p w14:paraId="0D288A0A">
            <w:pPr>
              <w:adjustRightInd w:val="0"/>
              <w:snapToGrid w:val="0"/>
              <w:spacing w:line="360" w:lineRule="exact"/>
              <w:jc w:val="center"/>
              <w:rPr>
                <w:rFonts w:ascii="宋体" w:hAnsi="宋体"/>
                <w:b/>
                <w:color w:val="auto"/>
                <w:kern w:val="0"/>
                <w:szCs w:val="21"/>
              </w:rPr>
            </w:pPr>
            <w:r>
              <w:rPr>
                <w:rFonts w:hint="eastAsia" w:ascii="宋体" w:hAnsi="宋体"/>
                <w:b/>
                <w:color w:val="auto"/>
                <w:kern w:val="0"/>
                <w:szCs w:val="21"/>
              </w:rPr>
              <w:t>评审项目名称</w:t>
            </w:r>
          </w:p>
        </w:tc>
        <w:tc>
          <w:tcPr>
            <w:tcW w:w="5822" w:type="dxa"/>
            <w:noWrap w:val="0"/>
            <w:vAlign w:val="center"/>
          </w:tcPr>
          <w:p w14:paraId="57E16397">
            <w:pPr>
              <w:adjustRightInd w:val="0"/>
              <w:snapToGrid w:val="0"/>
              <w:spacing w:line="360" w:lineRule="exact"/>
              <w:jc w:val="center"/>
              <w:rPr>
                <w:rFonts w:ascii="宋体" w:hAnsi="宋体"/>
                <w:b/>
                <w:color w:val="auto"/>
                <w:kern w:val="0"/>
                <w:szCs w:val="21"/>
              </w:rPr>
            </w:pPr>
            <w:r>
              <w:rPr>
                <w:rFonts w:hint="eastAsia" w:ascii="宋体" w:hAnsi="宋体"/>
                <w:b/>
                <w:color w:val="auto"/>
                <w:kern w:val="0"/>
                <w:szCs w:val="21"/>
              </w:rPr>
              <w:t>评审标准</w:t>
            </w:r>
          </w:p>
        </w:tc>
      </w:tr>
      <w:tr w14:paraId="6B216F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644" w:type="dxa"/>
            <w:tcBorders>
              <w:right w:val="single" w:color="auto" w:sz="4" w:space="0"/>
            </w:tcBorders>
            <w:noWrap w:val="0"/>
            <w:vAlign w:val="center"/>
          </w:tcPr>
          <w:p w14:paraId="0BC231EA">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1</w:t>
            </w:r>
          </w:p>
        </w:tc>
        <w:tc>
          <w:tcPr>
            <w:tcW w:w="2118" w:type="dxa"/>
            <w:tcBorders>
              <w:left w:val="single" w:color="auto" w:sz="4" w:space="0"/>
            </w:tcBorders>
            <w:noWrap w:val="0"/>
            <w:vAlign w:val="center"/>
          </w:tcPr>
          <w:p w14:paraId="1579C365">
            <w:pPr>
              <w:adjustRightInd w:val="0"/>
              <w:snapToGrid w:val="0"/>
              <w:jc w:val="center"/>
              <w:rPr>
                <w:rFonts w:ascii="宋体" w:hAnsi="宋体"/>
                <w:color w:val="auto"/>
                <w:kern w:val="0"/>
                <w:szCs w:val="21"/>
              </w:rPr>
            </w:pPr>
            <w:r>
              <w:rPr>
                <w:rFonts w:hint="eastAsia" w:ascii="宋体" w:hAnsi="宋体"/>
                <w:color w:val="auto"/>
                <w:kern w:val="0"/>
                <w:szCs w:val="21"/>
              </w:rPr>
              <w:t>营业执照</w:t>
            </w:r>
          </w:p>
        </w:tc>
        <w:tc>
          <w:tcPr>
            <w:tcW w:w="5822" w:type="dxa"/>
            <w:noWrap w:val="0"/>
            <w:vAlign w:val="center"/>
          </w:tcPr>
          <w:p w14:paraId="6032D5AC">
            <w:pPr>
              <w:adjustRightInd w:val="0"/>
              <w:snapToGrid w:val="0"/>
              <w:rPr>
                <w:rFonts w:ascii="宋体" w:hAnsi="宋体"/>
                <w:color w:val="auto"/>
                <w:kern w:val="0"/>
                <w:szCs w:val="21"/>
              </w:rPr>
            </w:pPr>
            <w:r>
              <w:rPr>
                <w:rFonts w:hint="eastAsia" w:ascii="宋体" w:hAnsi="宋体"/>
                <w:color w:val="auto"/>
                <w:szCs w:val="21"/>
              </w:rPr>
              <w:t>营业执照（或法人登记证书）扫描件</w:t>
            </w:r>
          </w:p>
        </w:tc>
      </w:tr>
      <w:tr w14:paraId="69A6E7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44" w:type="dxa"/>
            <w:tcBorders>
              <w:right w:val="single" w:color="auto" w:sz="4" w:space="0"/>
            </w:tcBorders>
            <w:noWrap w:val="0"/>
            <w:vAlign w:val="center"/>
          </w:tcPr>
          <w:p w14:paraId="1FAB8747">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2</w:t>
            </w:r>
          </w:p>
        </w:tc>
        <w:tc>
          <w:tcPr>
            <w:tcW w:w="2118" w:type="dxa"/>
            <w:tcBorders>
              <w:left w:val="single" w:color="auto" w:sz="4" w:space="0"/>
            </w:tcBorders>
            <w:noWrap w:val="0"/>
            <w:vAlign w:val="center"/>
          </w:tcPr>
          <w:p w14:paraId="15E674F3">
            <w:pPr>
              <w:adjustRightInd w:val="0"/>
              <w:snapToGrid w:val="0"/>
              <w:jc w:val="center"/>
              <w:rPr>
                <w:rFonts w:ascii="宋体" w:hAnsi="宋体"/>
                <w:color w:val="auto"/>
                <w:kern w:val="0"/>
                <w:szCs w:val="21"/>
              </w:rPr>
            </w:pPr>
            <w:r>
              <w:rPr>
                <w:rFonts w:ascii="宋体" w:hAnsi="宋体"/>
                <w:color w:val="auto"/>
                <w:kern w:val="0"/>
                <w:szCs w:val="21"/>
              </w:rPr>
              <w:t>基本资格条件</w:t>
            </w:r>
          </w:p>
        </w:tc>
        <w:tc>
          <w:tcPr>
            <w:tcW w:w="5822" w:type="dxa"/>
            <w:noWrap w:val="0"/>
            <w:vAlign w:val="center"/>
          </w:tcPr>
          <w:p w14:paraId="6BDA1AFD">
            <w:pPr>
              <w:adjustRightInd w:val="0"/>
              <w:snapToGrid w:val="0"/>
              <w:rPr>
                <w:rFonts w:ascii="宋体" w:hAnsi="宋体"/>
                <w:color w:val="auto"/>
                <w:szCs w:val="21"/>
              </w:rPr>
            </w:pPr>
            <w:r>
              <w:rPr>
                <w:rFonts w:ascii="宋体" w:hAnsi="宋体"/>
                <w:color w:val="auto"/>
                <w:szCs w:val="21"/>
              </w:rPr>
              <w:t>是否提供</w:t>
            </w:r>
            <w:r>
              <w:rPr>
                <w:rFonts w:hint="eastAsia" w:ascii="宋体" w:hAnsi="宋体"/>
                <w:color w:val="auto"/>
                <w:szCs w:val="21"/>
              </w:rPr>
              <w:t>湖南省政府采购供应商资格承诺函</w:t>
            </w:r>
          </w:p>
        </w:tc>
      </w:tr>
      <w:tr w14:paraId="7A35E7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644" w:type="dxa"/>
            <w:tcBorders>
              <w:right w:val="single" w:color="auto" w:sz="4" w:space="0"/>
            </w:tcBorders>
            <w:noWrap w:val="0"/>
            <w:vAlign w:val="center"/>
          </w:tcPr>
          <w:p w14:paraId="7424B303">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3</w:t>
            </w:r>
          </w:p>
        </w:tc>
        <w:tc>
          <w:tcPr>
            <w:tcW w:w="2118" w:type="dxa"/>
            <w:tcBorders>
              <w:left w:val="single" w:color="auto" w:sz="4" w:space="0"/>
            </w:tcBorders>
            <w:noWrap w:val="0"/>
            <w:vAlign w:val="center"/>
          </w:tcPr>
          <w:p w14:paraId="054CE3C8">
            <w:pPr>
              <w:adjustRightInd w:val="0"/>
              <w:snapToGrid w:val="0"/>
              <w:jc w:val="center"/>
              <w:rPr>
                <w:rFonts w:ascii="宋体" w:hAnsi="宋体"/>
                <w:color w:val="auto"/>
                <w:kern w:val="0"/>
                <w:szCs w:val="21"/>
              </w:rPr>
            </w:pPr>
            <w:r>
              <w:rPr>
                <w:rFonts w:hint="eastAsia" w:ascii="宋体" w:hAnsi="宋体"/>
                <w:color w:val="auto"/>
                <w:kern w:val="1"/>
                <w:szCs w:val="21"/>
              </w:rPr>
              <w:t>特定资格</w:t>
            </w:r>
          </w:p>
        </w:tc>
        <w:tc>
          <w:tcPr>
            <w:tcW w:w="5822" w:type="dxa"/>
            <w:noWrap w:val="0"/>
            <w:vAlign w:val="center"/>
          </w:tcPr>
          <w:p w14:paraId="7BB8CDE2">
            <w:pPr>
              <w:adjustRightInd w:val="0"/>
              <w:snapToGrid w:val="0"/>
              <w:spacing w:line="360" w:lineRule="exact"/>
              <w:rPr>
                <w:rFonts w:ascii="宋体" w:hAnsi="宋体"/>
                <w:color w:val="auto"/>
                <w:kern w:val="1"/>
                <w:szCs w:val="21"/>
              </w:rPr>
            </w:pPr>
            <w:r>
              <w:rPr>
                <w:rFonts w:hint="eastAsia" w:ascii="宋体" w:hAnsi="宋体"/>
                <w:color w:val="auto"/>
                <w:kern w:val="1"/>
                <w:szCs w:val="21"/>
              </w:rPr>
              <w:t>是否满足招标文件的要求</w:t>
            </w:r>
          </w:p>
        </w:tc>
      </w:tr>
      <w:tr w14:paraId="1BC1A3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atLeast"/>
          <w:jc w:val="center"/>
        </w:trPr>
        <w:tc>
          <w:tcPr>
            <w:tcW w:w="644" w:type="dxa"/>
            <w:tcBorders>
              <w:right w:val="single" w:color="auto" w:sz="4" w:space="0"/>
            </w:tcBorders>
            <w:noWrap w:val="0"/>
            <w:vAlign w:val="center"/>
          </w:tcPr>
          <w:p w14:paraId="3BED9DD2">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4</w:t>
            </w:r>
          </w:p>
        </w:tc>
        <w:tc>
          <w:tcPr>
            <w:tcW w:w="2118" w:type="dxa"/>
            <w:tcBorders>
              <w:left w:val="single" w:color="auto" w:sz="4" w:space="0"/>
            </w:tcBorders>
            <w:noWrap w:val="0"/>
            <w:vAlign w:val="center"/>
          </w:tcPr>
          <w:p w14:paraId="152AE539">
            <w:pPr>
              <w:adjustRightInd w:val="0"/>
              <w:snapToGrid w:val="0"/>
              <w:jc w:val="center"/>
              <w:rPr>
                <w:rFonts w:ascii="宋体" w:hAnsi="宋体"/>
                <w:color w:val="auto"/>
                <w:kern w:val="0"/>
                <w:szCs w:val="21"/>
              </w:rPr>
            </w:pPr>
            <w:r>
              <w:rPr>
                <w:rFonts w:hint="eastAsia" w:ascii="宋体" w:hAnsi="宋体"/>
                <w:color w:val="auto"/>
                <w:kern w:val="0"/>
                <w:szCs w:val="21"/>
              </w:rPr>
              <w:t>联合体</w:t>
            </w:r>
          </w:p>
        </w:tc>
        <w:tc>
          <w:tcPr>
            <w:tcW w:w="5822" w:type="dxa"/>
            <w:noWrap w:val="0"/>
            <w:vAlign w:val="center"/>
          </w:tcPr>
          <w:p w14:paraId="40EEEBA3">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是否联合体投标，联合体投标的是否满足招标文件的要求</w:t>
            </w:r>
          </w:p>
        </w:tc>
      </w:tr>
      <w:tr w14:paraId="4EAC8F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644" w:type="dxa"/>
            <w:tcBorders>
              <w:right w:val="single" w:color="auto" w:sz="4" w:space="0"/>
            </w:tcBorders>
            <w:noWrap w:val="0"/>
            <w:vAlign w:val="center"/>
          </w:tcPr>
          <w:p w14:paraId="2FE9E91C">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5</w:t>
            </w:r>
          </w:p>
        </w:tc>
        <w:tc>
          <w:tcPr>
            <w:tcW w:w="2118" w:type="dxa"/>
            <w:tcBorders>
              <w:left w:val="single" w:color="auto" w:sz="4" w:space="0"/>
            </w:tcBorders>
            <w:noWrap w:val="0"/>
            <w:vAlign w:val="center"/>
          </w:tcPr>
          <w:p w14:paraId="2E311B44">
            <w:pPr>
              <w:adjustRightInd w:val="0"/>
              <w:snapToGrid w:val="0"/>
              <w:jc w:val="center"/>
              <w:rPr>
                <w:rFonts w:ascii="宋体" w:hAnsi="宋体"/>
                <w:color w:val="auto"/>
                <w:kern w:val="0"/>
                <w:szCs w:val="21"/>
              </w:rPr>
            </w:pPr>
            <w:r>
              <w:rPr>
                <w:rFonts w:hint="eastAsia" w:ascii="宋体" w:hAnsi="宋体"/>
                <w:color w:val="auto"/>
                <w:kern w:val="0"/>
                <w:szCs w:val="21"/>
              </w:rPr>
              <w:t>文件的签署、盖章</w:t>
            </w:r>
          </w:p>
        </w:tc>
        <w:tc>
          <w:tcPr>
            <w:tcW w:w="5822" w:type="dxa"/>
            <w:noWrap w:val="0"/>
            <w:vAlign w:val="center"/>
          </w:tcPr>
          <w:p w14:paraId="6E5A4983">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资格证明文件的签署、盖章</w:t>
            </w:r>
            <w:r>
              <w:rPr>
                <w:rFonts w:hint="eastAsia" w:ascii="宋体" w:hAnsi="宋体"/>
                <w:color w:val="auto"/>
                <w:kern w:val="1"/>
                <w:szCs w:val="21"/>
              </w:rPr>
              <w:t>是否满足招标文件的要求</w:t>
            </w:r>
          </w:p>
        </w:tc>
      </w:tr>
      <w:tr w14:paraId="493DB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atLeast"/>
          <w:jc w:val="center"/>
        </w:trPr>
        <w:tc>
          <w:tcPr>
            <w:tcW w:w="644" w:type="dxa"/>
            <w:tcBorders>
              <w:right w:val="single" w:color="auto" w:sz="4" w:space="0"/>
            </w:tcBorders>
            <w:noWrap w:val="0"/>
            <w:vAlign w:val="center"/>
          </w:tcPr>
          <w:p w14:paraId="67D52CE4">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6</w:t>
            </w:r>
          </w:p>
        </w:tc>
        <w:tc>
          <w:tcPr>
            <w:tcW w:w="2118" w:type="dxa"/>
            <w:tcBorders>
              <w:left w:val="single" w:color="auto" w:sz="4" w:space="0"/>
            </w:tcBorders>
            <w:noWrap w:val="0"/>
            <w:vAlign w:val="center"/>
          </w:tcPr>
          <w:p w14:paraId="05D88C6C">
            <w:pPr>
              <w:adjustRightInd w:val="0"/>
              <w:snapToGrid w:val="0"/>
              <w:jc w:val="center"/>
              <w:rPr>
                <w:rFonts w:ascii="宋体" w:hAnsi="宋体"/>
                <w:color w:val="auto"/>
                <w:kern w:val="0"/>
                <w:szCs w:val="21"/>
              </w:rPr>
            </w:pPr>
            <w:r>
              <w:rPr>
                <w:rFonts w:hint="eastAsia" w:ascii="宋体" w:hAnsi="宋体"/>
                <w:color w:val="auto"/>
                <w:kern w:val="0"/>
                <w:szCs w:val="21"/>
              </w:rPr>
              <w:t>投标报价</w:t>
            </w:r>
          </w:p>
        </w:tc>
        <w:tc>
          <w:tcPr>
            <w:tcW w:w="5822" w:type="dxa"/>
            <w:noWrap w:val="0"/>
            <w:vAlign w:val="center"/>
          </w:tcPr>
          <w:p w14:paraId="375ADB8C">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投标报价</w:t>
            </w:r>
            <w:r>
              <w:rPr>
                <w:rFonts w:hint="eastAsia" w:ascii="宋体" w:hAnsi="宋体"/>
                <w:color w:val="auto"/>
                <w:kern w:val="1"/>
                <w:szCs w:val="21"/>
              </w:rPr>
              <w:t>是否满足招标文件的要求</w:t>
            </w:r>
          </w:p>
        </w:tc>
      </w:tr>
      <w:tr w14:paraId="64DBA3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atLeast"/>
          <w:jc w:val="center"/>
        </w:trPr>
        <w:tc>
          <w:tcPr>
            <w:tcW w:w="644" w:type="dxa"/>
            <w:tcBorders>
              <w:right w:val="single" w:color="auto" w:sz="4" w:space="0"/>
            </w:tcBorders>
            <w:noWrap w:val="0"/>
            <w:vAlign w:val="center"/>
          </w:tcPr>
          <w:p w14:paraId="5137D69D">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7</w:t>
            </w:r>
          </w:p>
        </w:tc>
        <w:tc>
          <w:tcPr>
            <w:tcW w:w="2118" w:type="dxa"/>
            <w:tcBorders>
              <w:left w:val="single" w:color="auto" w:sz="4" w:space="0"/>
            </w:tcBorders>
            <w:noWrap w:val="0"/>
            <w:vAlign w:val="center"/>
          </w:tcPr>
          <w:p w14:paraId="1BF61285">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信用记录</w:t>
            </w:r>
          </w:p>
        </w:tc>
        <w:tc>
          <w:tcPr>
            <w:tcW w:w="5822" w:type="dxa"/>
            <w:noWrap w:val="0"/>
            <w:vAlign w:val="center"/>
          </w:tcPr>
          <w:p w14:paraId="08D71E73">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是否存在不良信用记录</w:t>
            </w:r>
          </w:p>
        </w:tc>
      </w:tr>
      <w:tr w14:paraId="0B21BC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44" w:type="dxa"/>
            <w:tcBorders>
              <w:right w:val="single" w:color="auto" w:sz="4" w:space="0"/>
            </w:tcBorders>
            <w:noWrap w:val="0"/>
            <w:vAlign w:val="center"/>
          </w:tcPr>
          <w:p w14:paraId="36897624">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8</w:t>
            </w:r>
          </w:p>
        </w:tc>
        <w:tc>
          <w:tcPr>
            <w:tcW w:w="2118" w:type="dxa"/>
            <w:tcBorders>
              <w:left w:val="single" w:color="auto" w:sz="4" w:space="0"/>
            </w:tcBorders>
            <w:noWrap w:val="0"/>
            <w:vAlign w:val="center"/>
          </w:tcPr>
          <w:p w14:paraId="2A2499E2">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其他</w:t>
            </w:r>
          </w:p>
        </w:tc>
        <w:tc>
          <w:tcPr>
            <w:tcW w:w="5822" w:type="dxa"/>
            <w:noWrap w:val="0"/>
            <w:vAlign w:val="center"/>
          </w:tcPr>
          <w:p w14:paraId="498553BB">
            <w:pPr>
              <w:adjustRightInd w:val="0"/>
              <w:snapToGrid w:val="0"/>
              <w:spacing w:before="156" w:beforeLines="50" w:line="360" w:lineRule="auto"/>
              <w:rPr>
                <w:rFonts w:ascii="宋体" w:hAnsi="宋体"/>
                <w:color w:val="auto"/>
                <w:kern w:val="0"/>
                <w:szCs w:val="21"/>
              </w:rPr>
            </w:pPr>
            <w:r>
              <w:rPr>
                <w:rFonts w:hint="eastAsia" w:ascii="宋体" w:hAnsi="宋体"/>
                <w:color w:val="auto"/>
                <w:szCs w:val="21"/>
              </w:rPr>
              <w:t>法律、法规和招标文件规定的其他投标无效情形的。</w:t>
            </w:r>
          </w:p>
        </w:tc>
      </w:tr>
    </w:tbl>
    <w:p w14:paraId="2C97924D">
      <w:pPr>
        <w:widowControl/>
        <w:jc w:val="left"/>
        <w:rPr>
          <w:rFonts w:ascii="黑体" w:hAnsi="黑体" w:eastAsia="黑体"/>
          <w:bCs/>
          <w:color w:val="auto"/>
          <w:szCs w:val="21"/>
        </w:rPr>
      </w:pPr>
      <w:r>
        <w:rPr>
          <w:rFonts w:ascii="黑体" w:hAnsi="黑体"/>
          <w:b/>
          <w:color w:val="auto"/>
          <w:szCs w:val="21"/>
        </w:rPr>
        <w:br w:type="page"/>
      </w:r>
    </w:p>
    <w:p w14:paraId="048EBBB0">
      <w:pPr>
        <w:pStyle w:val="5"/>
        <w:adjustRightInd w:val="0"/>
        <w:snapToGrid w:val="0"/>
        <w:spacing w:before="0" w:after="0" w:line="360" w:lineRule="auto"/>
        <w:rPr>
          <w:rFonts w:ascii="黑体" w:hAnsi="黑体"/>
          <w:b w:val="0"/>
          <w:color w:val="auto"/>
          <w:sz w:val="21"/>
          <w:szCs w:val="21"/>
        </w:rPr>
      </w:pPr>
      <w:bookmarkStart w:id="489" w:name="_Toc75289243"/>
      <w:bookmarkStart w:id="490" w:name="_Toc15888501"/>
      <w:r>
        <w:rPr>
          <w:rFonts w:hint="eastAsia" w:ascii="黑体" w:hAnsi="黑体"/>
          <w:b w:val="0"/>
          <w:color w:val="auto"/>
          <w:sz w:val="21"/>
          <w:szCs w:val="21"/>
        </w:rPr>
        <w:t>附表2 资格审查结果一览表</w:t>
      </w:r>
      <w:bookmarkEnd w:id="489"/>
      <w:bookmarkEnd w:id="490"/>
    </w:p>
    <w:p w14:paraId="782334D9">
      <w:pPr>
        <w:pStyle w:val="3"/>
        <w:jc w:val="center"/>
        <w:rPr>
          <w:rFonts w:ascii="黑体" w:hAnsi="黑体" w:eastAsia="黑体"/>
          <w:b w:val="0"/>
          <w:color w:val="auto"/>
          <w:sz w:val="28"/>
          <w:szCs w:val="28"/>
        </w:rPr>
      </w:pPr>
      <w:bookmarkStart w:id="491" w:name="_Toc192951229"/>
      <w:bookmarkStart w:id="492" w:name="_Toc192949619"/>
      <w:bookmarkStart w:id="493" w:name="_Toc154428406"/>
      <w:bookmarkStart w:id="494" w:name="_Toc192949718"/>
      <w:bookmarkStart w:id="495" w:name="_Toc9892"/>
      <w:bookmarkStart w:id="496" w:name="_Toc75289565"/>
      <w:bookmarkStart w:id="497" w:name="_Toc108341954"/>
      <w:bookmarkStart w:id="498" w:name="_Toc1046"/>
      <w:bookmarkStart w:id="499" w:name="_Toc23350"/>
      <w:bookmarkStart w:id="500" w:name="_Toc139"/>
      <w:bookmarkStart w:id="501" w:name="_Toc112704949"/>
      <w:bookmarkStart w:id="502" w:name="_Toc77199416"/>
      <w:bookmarkStart w:id="503" w:name="_Toc85972947"/>
      <w:bookmarkStart w:id="504" w:name="_Toc3070"/>
      <w:bookmarkStart w:id="505" w:name="_Toc78314279"/>
      <w:bookmarkStart w:id="506" w:name="_Toc12303"/>
      <w:bookmarkStart w:id="507" w:name="_Toc95601382"/>
      <w:bookmarkStart w:id="508" w:name="_Toc100670438"/>
      <w:bookmarkStart w:id="509" w:name="_Toc29993"/>
      <w:bookmarkStart w:id="510" w:name="_Toc75289244"/>
      <w:bookmarkStart w:id="511" w:name="_Toc114036728"/>
      <w:bookmarkStart w:id="512" w:name="_Toc100670685"/>
      <w:bookmarkStart w:id="513" w:name="_Toc77676483"/>
      <w:bookmarkStart w:id="514" w:name="_Toc117192464"/>
      <w:bookmarkStart w:id="515" w:name="_Toc25986"/>
      <w:bookmarkStart w:id="516" w:name="_Toc78449972"/>
      <w:bookmarkStart w:id="517" w:name="_Toc94367897"/>
      <w:bookmarkStart w:id="518" w:name="_Toc171273687"/>
      <w:bookmarkStart w:id="519" w:name="_Toc27760"/>
      <w:r>
        <w:rPr>
          <w:rFonts w:hint="eastAsia" w:ascii="黑体" w:hAnsi="黑体" w:eastAsia="黑体"/>
          <w:b w:val="0"/>
          <w:color w:val="auto"/>
          <w:sz w:val="28"/>
          <w:szCs w:val="28"/>
        </w:rPr>
        <w:t>资格审查结果一览表</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37E4B04B">
      <w:pPr>
        <w:adjustRightInd w:val="0"/>
        <w:snapToGrid w:val="0"/>
        <w:spacing w:line="360" w:lineRule="auto"/>
        <w:rPr>
          <w:rFonts w:ascii="宋体" w:hAnsi="宋体"/>
          <w:color w:val="auto"/>
          <w:szCs w:val="21"/>
        </w:rPr>
      </w:pPr>
      <w:r>
        <w:rPr>
          <w:rFonts w:hint="eastAsia" w:ascii="宋体" w:hAnsi="宋体"/>
          <w:color w:val="auto"/>
          <w:szCs w:val="21"/>
        </w:rPr>
        <w:t>项目名称：                                           政府采购计划编号：</w:t>
      </w:r>
    </w:p>
    <w:tbl>
      <w:tblPr>
        <w:tblStyle w:val="47"/>
        <w:tblW w:w="874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642"/>
      </w:tblGrid>
      <w:tr w14:paraId="233588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vAlign w:val="center"/>
          </w:tcPr>
          <w:p w14:paraId="1F5DD2EA">
            <w:pPr>
              <w:jc w:val="center"/>
              <w:rPr>
                <w:rFonts w:ascii="宋体" w:hAnsi="宋体"/>
                <w:b/>
                <w:color w:val="auto"/>
                <w:kern w:val="0"/>
                <w:szCs w:val="21"/>
              </w:rPr>
            </w:pPr>
            <w:r>
              <w:rPr>
                <w:rFonts w:hint="eastAsia" w:ascii="宋体" w:hAnsi="宋体"/>
                <w:b/>
                <w:color w:val="auto"/>
                <w:kern w:val="0"/>
                <w:szCs w:val="21"/>
              </w:rPr>
              <w:t>序号</w:t>
            </w:r>
          </w:p>
        </w:tc>
        <w:tc>
          <w:tcPr>
            <w:tcW w:w="2963" w:type="dxa"/>
            <w:vAlign w:val="center"/>
          </w:tcPr>
          <w:p w14:paraId="3FEFE692">
            <w:pPr>
              <w:jc w:val="center"/>
              <w:rPr>
                <w:rFonts w:ascii="宋体" w:hAnsi="宋体"/>
                <w:b/>
                <w:color w:val="auto"/>
                <w:kern w:val="0"/>
                <w:szCs w:val="21"/>
              </w:rPr>
            </w:pPr>
            <w:r>
              <w:rPr>
                <w:rFonts w:hint="eastAsia" w:ascii="宋体" w:hAnsi="宋体"/>
                <w:b/>
                <w:color w:val="auto"/>
                <w:kern w:val="0"/>
                <w:szCs w:val="21"/>
              </w:rPr>
              <w:t>投标人名称</w:t>
            </w:r>
          </w:p>
        </w:tc>
        <w:tc>
          <w:tcPr>
            <w:tcW w:w="2439" w:type="dxa"/>
            <w:vAlign w:val="center"/>
          </w:tcPr>
          <w:p w14:paraId="422C2A0B">
            <w:pPr>
              <w:jc w:val="center"/>
              <w:rPr>
                <w:rFonts w:ascii="宋体" w:hAnsi="宋体"/>
                <w:b/>
                <w:color w:val="auto"/>
                <w:kern w:val="0"/>
                <w:szCs w:val="21"/>
              </w:rPr>
            </w:pPr>
            <w:r>
              <w:rPr>
                <w:rFonts w:hint="eastAsia" w:ascii="宋体" w:hAnsi="宋体"/>
                <w:b/>
                <w:color w:val="auto"/>
                <w:kern w:val="0"/>
                <w:szCs w:val="21"/>
              </w:rPr>
              <w:t>资格审查结果</w:t>
            </w:r>
          </w:p>
          <w:p w14:paraId="3B3F93FE">
            <w:pPr>
              <w:jc w:val="center"/>
              <w:rPr>
                <w:rFonts w:ascii="宋体" w:hAnsi="宋体"/>
                <w:b/>
                <w:color w:val="auto"/>
                <w:kern w:val="0"/>
                <w:szCs w:val="21"/>
              </w:rPr>
            </w:pPr>
            <w:r>
              <w:rPr>
                <w:rFonts w:hint="eastAsia" w:ascii="宋体" w:hAnsi="宋体"/>
                <w:b/>
                <w:color w:val="auto"/>
                <w:kern w:val="0"/>
                <w:szCs w:val="21"/>
              </w:rPr>
              <w:t>（合格/不合格）</w:t>
            </w:r>
          </w:p>
        </w:tc>
        <w:tc>
          <w:tcPr>
            <w:tcW w:w="2642" w:type="dxa"/>
            <w:vAlign w:val="center"/>
          </w:tcPr>
          <w:p w14:paraId="43D390D3">
            <w:pPr>
              <w:jc w:val="center"/>
              <w:rPr>
                <w:rFonts w:ascii="宋体" w:hAnsi="宋体"/>
                <w:b/>
                <w:color w:val="auto"/>
                <w:kern w:val="0"/>
                <w:szCs w:val="21"/>
              </w:rPr>
            </w:pPr>
            <w:r>
              <w:rPr>
                <w:rFonts w:hint="eastAsia" w:ascii="宋体" w:hAnsi="宋体"/>
                <w:b/>
                <w:color w:val="auto"/>
                <w:kern w:val="0"/>
                <w:szCs w:val="21"/>
              </w:rPr>
              <w:t>资格审查不合格原因</w:t>
            </w:r>
          </w:p>
        </w:tc>
      </w:tr>
      <w:tr w14:paraId="6AA48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F0B9821">
            <w:pPr>
              <w:adjustRightInd w:val="0"/>
              <w:snapToGrid w:val="0"/>
              <w:spacing w:line="360" w:lineRule="auto"/>
              <w:rPr>
                <w:rFonts w:ascii="宋体" w:hAnsi="宋体"/>
                <w:color w:val="auto"/>
                <w:kern w:val="0"/>
                <w:sz w:val="24"/>
              </w:rPr>
            </w:pPr>
          </w:p>
        </w:tc>
        <w:tc>
          <w:tcPr>
            <w:tcW w:w="2963" w:type="dxa"/>
          </w:tcPr>
          <w:p w14:paraId="6C2118AD">
            <w:pPr>
              <w:adjustRightInd w:val="0"/>
              <w:snapToGrid w:val="0"/>
              <w:spacing w:line="360" w:lineRule="auto"/>
              <w:rPr>
                <w:rFonts w:ascii="宋体" w:hAnsi="宋体"/>
                <w:color w:val="auto"/>
                <w:kern w:val="0"/>
                <w:sz w:val="24"/>
              </w:rPr>
            </w:pPr>
          </w:p>
        </w:tc>
        <w:tc>
          <w:tcPr>
            <w:tcW w:w="2439" w:type="dxa"/>
          </w:tcPr>
          <w:p w14:paraId="2C279E02">
            <w:pPr>
              <w:adjustRightInd w:val="0"/>
              <w:snapToGrid w:val="0"/>
              <w:spacing w:line="360" w:lineRule="auto"/>
              <w:rPr>
                <w:rFonts w:ascii="宋体" w:hAnsi="宋体"/>
                <w:color w:val="auto"/>
                <w:kern w:val="0"/>
                <w:sz w:val="24"/>
              </w:rPr>
            </w:pPr>
          </w:p>
        </w:tc>
        <w:tc>
          <w:tcPr>
            <w:tcW w:w="2642" w:type="dxa"/>
          </w:tcPr>
          <w:p w14:paraId="3038D88C">
            <w:pPr>
              <w:adjustRightInd w:val="0"/>
              <w:snapToGrid w:val="0"/>
              <w:spacing w:line="360" w:lineRule="auto"/>
              <w:rPr>
                <w:rFonts w:ascii="宋体" w:hAnsi="宋体"/>
                <w:color w:val="auto"/>
                <w:kern w:val="0"/>
                <w:sz w:val="24"/>
              </w:rPr>
            </w:pPr>
          </w:p>
        </w:tc>
      </w:tr>
      <w:tr w14:paraId="20EADD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15A731E">
            <w:pPr>
              <w:adjustRightInd w:val="0"/>
              <w:snapToGrid w:val="0"/>
              <w:spacing w:line="360" w:lineRule="auto"/>
              <w:rPr>
                <w:rFonts w:ascii="宋体" w:hAnsi="宋体"/>
                <w:color w:val="auto"/>
                <w:kern w:val="0"/>
                <w:sz w:val="24"/>
              </w:rPr>
            </w:pPr>
          </w:p>
        </w:tc>
        <w:tc>
          <w:tcPr>
            <w:tcW w:w="2963" w:type="dxa"/>
          </w:tcPr>
          <w:p w14:paraId="03CD032F">
            <w:pPr>
              <w:adjustRightInd w:val="0"/>
              <w:snapToGrid w:val="0"/>
              <w:spacing w:line="360" w:lineRule="auto"/>
              <w:rPr>
                <w:rFonts w:ascii="宋体" w:hAnsi="宋体"/>
                <w:color w:val="auto"/>
                <w:kern w:val="0"/>
                <w:sz w:val="24"/>
              </w:rPr>
            </w:pPr>
          </w:p>
        </w:tc>
        <w:tc>
          <w:tcPr>
            <w:tcW w:w="2439" w:type="dxa"/>
          </w:tcPr>
          <w:p w14:paraId="20CE5C7A">
            <w:pPr>
              <w:adjustRightInd w:val="0"/>
              <w:snapToGrid w:val="0"/>
              <w:spacing w:line="360" w:lineRule="auto"/>
              <w:rPr>
                <w:rFonts w:ascii="宋体" w:hAnsi="宋体"/>
                <w:color w:val="auto"/>
                <w:kern w:val="0"/>
                <w:sz w:val="24"/>
              </w:rPr>
            </w:pPr>
          </w:p>
        </w:tc>
        <w:tc>
          <w:tcPr>
            <w:tcW w:w="2642" w:type="dxa"/>
          </w:tcPr>
          <w:p w14:paraId="7ABAFC0E">
            <w:pPr>
              <w:adjustRightInd w:val="0"/>
              <w:snapToGrid w:val="0"/>
              <w:spacing w:line="360" w:lineRule="auto"/>
              <w:rPr>
                <w:rFonts w:ascii="宋体" w:hAnsi="宋体"/>
                <w:color w:val="auto"/>
                <w:kern w:val="0"/>
                <w:sz w:val="24"/>
              </w:rPr>
            </w:pPr>
          </w:p>
        </w:tc>
      </w:tr>
      <w:tr w14:paraId="2A885C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68BE747">
            <w:pPr>
              <w:adjustRightInd w:val="0"/>
              <w:snapToGrid w:val="0"/>
              <w:spacing w:line="360" w:lineRule="auto"/>
              <w:rPr>
                <w:rFonts w:ascii="宋体" w:hAnsi="宋体"/>
                <w:color w:val="auto"/>
                <w:kern w:val="0"/>
                <w:sz w:val="24"/>
              </w:rPr>
            </w:pPr>
          </w:p>
        </w:tc>
        <w:tc>
          <w:tcPr>
            <w:tcW w:w="2963" w:type="dxa"/>
          </w:tcPr>
          <w:p w14:paraId="527DFCD6">
            <w:pPr>
              <w:adjustRightInd w:val="0"/>
              <w:snapToGrid w:val="0"/>
              <w:spacing w:line="360" w:lineRule="auto"/>
              <w:rPr>
                <w:rFonts w:ascii="宋体" w:hAnsi="宋体"/>
                <w:color w:val="auto"/>
                <w:kern w:val="0"/>
                <w:sz w:val="24"/>
              </w:rPr>
            </w:pPr>
          </w:p>
        </w:tc>
        <w:tc>
          <w:tcPr>
            <w:tcW w:w="2439" w:type="dxa"/>
          </w:tcPr>
          <w:p w14:paraId="2A91DA47">
            <w:pPr>
              <w:adjustRightInd w:val="0"/>
              <w:snapToGrid w:val="0"/>
              <w:spacing w:line="360" w:lineRule="auto"/>
              <w:rPr>
                <w:rFonts w:ascii="宋体" w:hAnsi="宋体"/>
                <w:color w:val="auto"/>
                <w:kern w:val="0"/>
                <w:sz w:val="24"/>
              </w:rPr>
            </w:pPr>
          </w:p>
        </w:tc>
        <w:tc>
          <w:tcPr>
            <w:tcW w:w="2642" w:type="dxa"/>
          </w:tcPr>
          <w:p w14:paraId="6F5F3100">
            <w:pPr>
              <w:adjustRightInd w:val="0"/>
              <w:snapToGrid w:val="0"/>
              <w:spacing w:line="360" w:lineRule="auto"/>
              <w:rPr>
                <w:rFonts w:ascii="宋体" w:hAnsi="宋体"/>
                <w:color w:val="auto"/>
                <w:kern w:val="0"/>
                <w:sz w:val="24"/>
              </w:rPr>
            </w:pPr>
          </w:p>
        </w:tc>
      </w:tr>
      <w:tr w14:paraId="26F8DD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C7C8867">
            <w:pPr>
              <w:adjustRightInd w:val="0"/>
              <w:snapToGrid w:val="0"/>
              <w:spacing w:line="360" w:lineRule="auto"/>
              <w:rPr>
                <w:rFonts w:ascii="宋体" w:hAnsi="宋体"/>
                <w:color w:val="auto"/>
                <w:kern w:val="0"/>
                <w:sz w:val="24"/>
              </w:rPr>
            </w:pPr>
          </w:p>
        </w:tc>
        <w:tc>
          <w:tcPr>
            <w:tcW w:w="2963" w:type="dxa"/>
          </w:tcPr>
          <w:p w14:paraId="25848FB0">
            <w:pPr>
              <w:adjustRightInd w:val="0"/>
              <w:snapToGrid w:val="0"/>
              <w:spacing w:line="360" w:lineRule="auto"/>
              <w:rPr>
                <w:rFonts w:ascii="宋体" w:hAnsi="宋体"/>
                <w:color w:val="auto"/>
                <w:kern w:val="0"/>
                <w:sz w:val="24"/>
              </w:rPr>
            </w:pPr>
          </w:p>
        </w:tc>
        <w:tc>
          <w:tcPr>
            <w:tcW w:w="2439" w:type="dxa"/>
          </w:tcPr>
          <w:p w14:paraId="0EB744B5">
            <w:pPr>
              <w:adjustRightInd w:val="0"/>
              <w:snapToGrid w:val="0"/>
              <w:spacing w:line="360" w:lineRule="auto"/>
              <w:rPr>
                <w:rFonts w:ascii="宋体" w:hAnsi="宋体"/>
                <w:color w:val="auto"/>
                <w:kern w:val="0"/>
                <w:sz w:val="24"/>
              </w:rPr>
            </w:pPr>
          </w:p>
        </w:tc>
        <w:tc>
          <w:tcPr>
            <w:tcW w:w="2642" w:type="dxa"/>
          </w:tcPr>
          <w:p w14:paraId="508AA019">
            <w:pPr>
              <w:adjustRightInd w:val="0"/>
              <w:snapToGrid w:val="0"/>
              <w:spacing w:line="360" w:lineRule="auto"/>
              <w:rPr>
                <w:rFonts w:ascii="宋体" w:hAnsi="宋体"/>
                <w:color w:val="auto"/>
                <w:kern w:val="0"/>
                <w:sz w:val="24"/>
              </w:rPr>
            </w:pPr>
          </w:p>
        </w:tc>
      </w:tr>
      <w:tr w14:paraId="3D4ABD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042E5558">
            <w:pPr>
              <w:adjustRightInd w:val="0"/>
              <w:snapToGrid w:val="0"/>
              <w:spacing w:line="360" w:lineRule="auto"/>
              <w:rPr>
                <w:rFonts w:ascii="宋体" w:hAnsi="宋体"/>
                <w:color w:val="auto"/>
                <w:kern w:val="0"/>
                <w:sz w:val="24"/>
              </w:rPr>
            </w:pPr>
          </w:p>
        </w:tc>
        <w:tc>
          <w:tcPr>
            <w:tcW w:w="2963" w:type="dxa"/>
          </w:tcPr>
          <w:p w14:paraId="141E2FD4">
            <w:pPr>
              <w:adjustRightInd w:val="0"/>
              <w:snapToGrid w:val="0"/>
              <w:spacing w:line="360" w:lineRule="auto"/>
              <w:rPr>
                <w:rFonts w:ascii="宋体" w:hAnsi="宋体"/>
                <w:color w:val="auto"/>
                <w:kern w:val="0"/>
                <w:sz w:val="24"/>
              </w:rPr>
            </w:pPr>
          </w:p>
        </w:tc>
        <w:tc>
          <w:tcPr>
            <w:tcW w:w="2439" w:type="dxa"/>
          </w:tcPr>
          <w:p w14:paraId="0B18928C">
            <w:pPr>
              <w:adjustRightInd w:val="0"/>
              <w:snapToGrid w:val="0"/>
              <w:spacing w:line="360" w:lineRule="auto"/>
              <w:rPr>
                <w:rFonts w:ascii="宋体" w:hAnsi="宋体"/>
                <w:color w:val="auto"/>
                <w:kern w:val="0"/>
                <w:sz w:val="24"/>
              </w:rPr>
            </w:pPr>
          </w:p>
        </w:tc>
        <w:tc>
          <w:tcPr>
            <w:tcW w:w="2642" w:type="dxa"/>
          </w:tcPr>
          <w:p w14:paraId="3724C504">
            <w:pPr>
              <w:adjustRightInd w:val="0"/>
              <w:snapToGrid w:val="0"/>
              <w:spacing w:line="360" w:lineRule="auto"/>
              <w:rPr>
                <w:rFonts w:ascii="宋体" w:hAnsi="宋体"/>
                <w:color w:val="auto"/>
                <w:kern w:val="0"/>
                <w:sz w:val="24"/>
              </w:rPr>
            </w:pPr>
          </w:p>
        </w:tc>
      </w:tr>
      <w:tr w14:paraId="5F191C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07F95F90">
            <w:pPr>
              <w:adjustRightInd w:val="0"/>
              <w:snapToGrid w:val="0"/>
              <w:spacing w:line="360" w:lineRule="auto"/>
              <w:rPr>
                <w:rFonts w:ascii="宋体" w:hAnsi="宋体"/>
                <w:color w:val="auto"/>
                <w:kern w:val="0"/>
                <w:sz w:val="24"/>
              </w:rPr>
            </w:pPr>
          </w:p>
        </w:tc>
        <w:tc>
          <w:tcPr>
            <w:tcW w:w="2963" w:type="dxa"/>
          </w:tcPr>
          <w:p w14:paraId="0B17AB57">
            <w:pPr>
              <w:adjustRightInd w:val="0"/>
              <w:snapToGrid w:val="0"/>
              <w:spacing w:line="360" w:lineRule="auto"/>
              <w:rPr>
                <w:rFonts w:ascii="宋体" w:hAnsi="宋体"/>
                <w:color w:val="auto"/>
                <w:kern w:val="0"/>
                <w:sz w:val="24"/>
              </w:rPr>
            </w:pPr>
          </w:p>
        </w:tc>
        <w:tc>
          <w:tcPr>
            <w:tcW w:w="2439" w:type="dxa"/>
          </w:tcPr>
          <w:p w14:paraId="2D4C0EA2">
            <w:pPr>
              <w:adjustRightInd w:val="0"/>
              <w:snapToGrid w:val="0"/>
              <w:spacing w:line="360" w:lineRule="auto"/>
              <w:rPr>
                <w:rFonts w:ascii="宋体" w:hAnsi="宋体"/>
                <w:color w:val="auto"/>
                <w:kern w:val="0"/>
                <w:sz w:val="24"/>
              </w:rPr>
            </w:pPr>
          </w:p>
        </w:tc>
        <w:tc>
          <w:tcPr>
            <w:tcW w:w="2642" w:type="dxa"/>
          </w:tcPr>
          <w:p w14:paraId="711A05AA">
            <w:pPr>
              <w:adjustRightInd w:val="0"/>
              <w:snapToGrid w:val="0"/>
              <w:spacing w:line="360" w:lineRule="auto"/>
              <w:rPr>
                <w:rFonts w:ascii="宋体" w:hAnsi="宋体"/>
                <w:color w:val="auto"/>
                <w:kern w:val="0"/>
                <w:sz w:val="24"/>
              </w:rPr>
            </w:pPr>
          </w:p>
        </w:tc>
      </w:tr>
      <w:tr w14:paraId="0B9071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C145356">
            <w:pPr>
              <w:adjustRightInd w:val="0"/>
              <w:snapToGrid w:val="0"/>
              <w:spacing w:line="360" w:lineRule="auto"/>
              <w:rPr>
                <w:rFonts w:ascii="宋体" w:hAnsi="宋体"/>
                <w:color w:val="auto"/>
                <w:kern w:val="0"/>
                <w:sz w:val="24"/>
              </w:rPr>
            </w:pPr>
          </w:p>
        </w:tc>
        <w:tc>
          <w:tcPr>
            <w:tcW w:w="2963" w:type="dxa"/>
          </w:tcPr>
          <w:p w14:paraId="4ED1C02B">
            <w:pPr>
              <w:adjustRightInd w:val="0"/>
              <w:snapToGrid w:val="0"/>
              <w:spacing w:line="360" w:lineRule="auto"/>
              <w:rPr>
                <w:rFonts w:ascii="宋体" w:hAnsi="宋体"/>
                <w:color w:val="auto"/>
                <w:kern w:val="0"/>
                <w:sz w:val="24"/>
              </w:rPr>
            </w:pPr>
          </w:p>
        </w:tc>
        <w:tc>
          <w:tcPr>
            <w:tcW w:w="2439" w:type="dxa"/>
          </w:tcPr>
          <w:p w14:paraId="5F7510C3">
            <w:pPr>
              <w:adjustRightInd w:val="0"/>
              <w:snapToGrid w:val="0"/>
              <w:spacing w:line="360" w:lineRule="auto"/>
              <w:rPr>
                <w:rFonts w:ascii="宋体" w:hAnsi="宋体"/>
                <w:color w:val="auto"/>
                <w:kern w:val="0"/>
                <w:sz w:val="24"/>
              </w:rPr>
            </w:pPr>
          </w:p>
        </w:tc>
        <w:tc>
          <w:tcPr>
            <w:tcW w:w="2642" w:type="dxa"/>
          </w:tcPr>
          <w:p w14:paraId="5981D3D3">
            <w:pPr>
              <w:adjustRightInd w:val="0"/>
              <w:snapToGrid w:val="0"/>
              <w:spacing w:line="360" w:lineRule="auto"/>
              <w:rPr>
                <w:rFonts w:ascii="宋体" w:hAnsi="宋体"/>
                <w:color w:val="auto"/>
                <w:kern w:val="0"/>
                <w:sz w:val="24"/>
              </w:rPr>
            </w:pPr>
          </w:p>
        </w:tc>
      </w:tr>
      <w:tr w14:paraId="11A5AE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4EE5247">
            <w:pPr>
              <w:adjustRightInd w:val="0"/>
              <w:snapToGrid w:val="0"/>
              <w:spacing w:line="360" w:lineRule="auto"/>
              <w:rPr>
                <w:rFonts w:ascii="宋体" w:hAnsi="宋体"/>
                <w:color w:val="auto"/>
                <w:kern w:val="0"/>
                <w:sz w:val="24"/>
              </w:rPr>
            </w:pPr>
          </w:p>
        </w:tc>
        <w:tc>
          <w:tcPr>
            <w:tcW w:w="2963" w:type="dxa"/>
          </w:tcPr>
          <w:p w14:paraId="464631E9">
            <w:pPr>
              <w:adjustRightInd w:val="0"/>
              <w:snapToGrid w:val="0"/>
              <w:spacing w:line="360" w:lineRule="auto"/>
              <w:rPr>
                <w:rFonts w:ascii="宋体" w:hAnsi="宋体"/>
                <w:color w:val="auto"/>
                <w:kern w:val="0"/>
                <w:sz w:val="24"/>
              </w:rPr>
            </w:pPr>
          </w:p>
        </w:tc>
        <w:tc>
          <w:tcPr>
            <w:tcW w:w="2439" w:type="dxa"/>
          </w:tcPr>
          <w:p w14:paraId="4B4A7670">
            <w:pPr>
              <w:adjustRightInd w:val="0"/>
              <w:snapToGrid w:val="0"/>
              <w:spacing w:line="360" w:lineRule="auto"/>
              <w:rPr>
                <w:rFonts w:ascii="宋体" w:hAnsi="宋体"/>
                <w:color w:val="auto"/>
                <w:kern w:val="0"/>
                <w:sz w:val="24"/>
              </w:rPr>
            </w:pPr>
          </w:p>
        </w:tc>
        <w:tc>
          <w:tcPr>
            <w:tcW w:w="2642" w:type="dxa"/>
          </w:tcPr>
          <w:p w14:paraId="32FEBA30">
            <w:pPr>
              <w:adjustRightInd w:val="0"/>
              <w:snapToGrid w:val="0"/>
              <w:spacing w:line="360" w:lineRule="auto"/>
              <w:rPr>
                <w:rFonts w:ascii="宋体" w:hAnsi="宋体"/>
                <w:color w:val="auto"/>
                <w:kern w:val="0"/>
                <w:sz w:val="24"/>
              </w:rPr>
            </w:pPr>
          </w:p>
        </w:tc>
      </w:tr>
      <w:tr w14:paraId="6F2E65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BDFE1A3">
            <w:pPr>
              <w:adjustRightInd w:val="0"/>
              <w:snapToGrid w:val="0"/>
              <w:spacing w:line="360" w:lineRule="auto"/>
              <w:rPr>
                <w:rFonts w:ascii="宋体" w:hAnsi="宋体"/>
                <w:color w:val="auto"/>
                <w:kern w:val="0"/>
                <w:sz w:val="24"/>
              </w:rPr>
            </w:pPr>
          </w:p>
        </w:tc>
        <w:tc>
          <w:tcPr>
            <w:tcW w:w="2963" w:type="dxa"/>
          </w:tcPr>
          <w:p w14:paraId="39548B57">
            <w:pPr>
              <w:adjustRightInd w:val="0"/>
              <w:snapToGrid w:val="0"/>
              <w:spacing w:line="360" w:lineRule="auto"/>
              <w:rPr>
                <w:rFonts w:ascii="宋体" w:hAnsi="宋体"/>
                <w:color w:val="auto"/>
                <w:kern w:val="0"/>
                <w:sz w:val="24"/>
              </w:rPr>
            </w:pPr>
          </w:p>
        </w:tc>
        <w:tc>
          <w:tcPr>
            <w:tcW w:w="2439" w:type="dxa"/>
          </w:tcPr>
          <w:p w14:paraId="63095D4B">
            <w:pPr>
              <w:adjustRightInd w:val="0"/>
              <w:snapToGrid w:val="0"/>
              <w:spacing w:line="360" w:lineRule="auto"/>
              <w:rPr>
                <w:rFonts w:ascii="宋体" w:hAnsi="宋体"/>
                <w:color w:val="auto"/>
                <w:kern w:val="0"/>
                <w:sz w:val="24"/>
              </w:rPr>
            </w:pPr>
          </w:p>
        </w:tc>
        <w:tc>
          <w:tcPr>
            <w:tcW w:w="2642" w:type="dxa"/>
          </w:tcPr>
          <w:p w14:paraId="65F7394A">
            <w:pPr>
              <w:adjustRightInd w:val="0"/>
              <w:snapToGrid w:val="0"/>
              <w:spacing w:line="360" w:lineRule="auto"/>
              <w:rPr>
                <w:rFonts w:ascii="宋体" w:hAnsi="宋体"/>
                <w:color w:val="auto"/>
                <w:kern w:val="0"/>
                <w:sz w:val="24"/>
              </w:rPr>
            </w:pPr>
          </w:p>
        </w:tc>
      </w:tr>
    </w:tbl>
    <w:p w14:paraId="6E68A148">
      <w:pPr>
        <w:adjustRightInd w:val="0"/>
        <w:snapToGrid w:val="0"/>
        <w:spacing w:line="360" w:lineRule="auto"/>
        <w:rPr>
          <w:rFonts w:ascii="宋体" w:hAnsi="宋体"/>
          <w:color w:val="auto"/>
          <w:szCs w:val="21"/>
        </w:rPr>
      </w:pPr>
      <w:r>
        <w:rPr>
          <w:rFonts w:hint="eastAsia" w:ascii="宋体" w:hAnsi="宋体"/>
          <w:color w:val="auto"/>
          <w:szCs w:val="21"/>
        </w:rPr>
        <w:t>采购人（签字）：</w:t>
      </w:r>
    </w:p>
    <w:p w14:paraId="57118137">
      <w:pPr>
        <w:adjustRightInd w:val="0"/>
        <w:snapToGrid w:val="0"/>
        <w:spacing w:line="360" w:lineRule="auto"/>
        <w:rPr>
          <w:rFonts w:ascii="宋体" w:hAnsi="宋体"/>
          <w:color w:val="auto"/>
          <w:szCs w:val="21"/>
        </w:rPr>
      </w:pPr>
      <w:r>
        <w:rPr>
          <w:rFonts w:hint="eastAsia" w:ascii="宋体" w:hAnsi="宋体"/>
          <w:color w:val="auto"/>
          <w:szCs w:val="21"/>
        </w:rPr>
        <w:t>采购代理机构（签字）：</w:t>
      </w:r>
    </w:p>
    <w:p w14:paraId="673CFC85">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55DBC4DB">
      <w:pPr>
        <w:widowControl/>
        <w:jc w:val="left"/>
        <w:rPr>
          <w:rFonts w:ascii="宋体" w:hAnsi="宋体"/>
          <w:color w:val="auto"/>
          <w:sz w:val="24"/>
        </w:rPr>
      </w:pPr>
      <w:r>
        <w:rPr>
          <w:rFonts w:ascii="宋体" w:hAnsi="宋体"/>
          <w:color w:val="auto"/>
          <w:sz w:val="24"/>
        </w:rPr>
        <w:br w:type="page"/>
      </w:r>
    </w:p>
    <w:p w14:paraId="378E9455">
      <w:pPr>
        <w:pStyle w:val="5"/>
        <w:adjustRightInd w:val="0"/>
        <w:snapToGrid w:val="0"/>
        <w:spacing w:before="0" w:after="0" w:line="360" w:lineRule="auto"/>
        <w:rPr>
          <w:rFonts w:ascii="黑体" w:hAnsi="黑体"/>
          <w:b w:val="0"/>
          <w:color w:val="auto"/>
          <w:sz w:val="21"/>
          <w:szCs w:val="21"/>
        </w:rPr>
      </w:pPr>
      <w:bookmarkStart w:id="520" w:name="_Toc15888502"/>
      <w:bookmarkStart w:id="521" w:name="_Toc75289245"/>
      <w:r>
        <w:rPr>
          <w:rFonts w:hint="eastAsia" w:ascii="黑体" w:hAnsi="黑体"/>
          <w:b w:val="0"/>
          <w:color w:val="auto"/>
          <w:sz w:val="21"/>
          <w:szCs w:val="21"/>
        </w:rPr>
        <w:t>附表3 资格审查合格投标人名单</w:t>
      </w:r>
      <w:bookmarkEnd w:id="520"/>
      <w:bookmarkEnd w:id="521"/>
    </w:p>
    <w:p w14:paraId="24277C37">
      <w:pPr>
        <w:pStyle w:val="3"/>
        <w:jc w:val="center"/>
        <w:rPr>
          <w:rFonts w:ascii="黑体" w:hAnsi="黑体" w:eastAsia="黑体"/>
          <w:b w:val="0"/>
          <w:color w:val="auto"/>
          <w:sz w:val="28"/>
          <w:szCs w:val="28"/>
        </w:rPr>
      </w:pPr>
      <w:bookmarkStart w:id="522" w:name="_Toc85972948"/>
      <w:bookmarkStart w:id="523" w:name="_Toc112704950"/>
      <w:bookmarkStart w:id="524" w:name="_Toc75289246"/>
      <w:bookmarkStart w:id="525" w:name="_Toc21722"/>
      <w:bookmarkStart w:id="526" w:name="_Toc95601383"/>
      <w:bookmarkStart w:id="527" w:name="_Toc100670686"/>
      <w:bookmarkStart w:id="528" w:name="_Toc77676484"/>
      <w:bookmarkStart w:id="529" w:name="_Toc114036729"/>
      <w:bookmarkStart w:id="530" w:name="_Toc192949719"/>
      <w:bookmarkStart w:id="531" w:name="_Toc17514"/>
      <w:bookmarkStart w:id="532" w:name="_Toc100670439"/>
      <w:bookmarkStart w:id="533" w:name="_Toc117192465"/>
      <w:bookmarkStart w:id="534" w:name="_Toc22523"/>
      <w:bookmarkStart w:id="535" w:name="_Toc27671"/>
      <w:bookmarkStart w:id="536" w:name="_Toc192949620"/>
      <w:bookmarkStart w:id="537" w:name="_Toc30583"/>
      <w:bookmarkStart w:id="538" w:name="_Toc9924"/>
      <w:bookmarkStart w:id="539" w:name="_Toc192951230"/>
      <w:bookmarkStart w:id="540" w:name="_Toc75289566"/>
      <w:bookmarkStart w:id="541" w:name="_Toc77199417"/>
      <w:bookmarkStart w:id="542" w:name="_Toc25207"/>
      <w:bookmarkStart w:id="543" w:name="_Toc154428407"/>
      <w:bookmarkStart w:id="544" w:name="_Toc94367898"/>
      <w:bookmarkStart w:id="545" w:name="_Toc78449973"/>
      <w:bookmarkStart w:id="546" w:name="_Toc108341955"/>
      <w:bookmarkStart w:id="547" w:name="_Toc78314280"/>
      <w:bookmarkStart w:id="548" w:name="_Toc2402"/>
      <w:bookmarkStart w:id="549" w:name="_Toc171273688"/>
      <w:bookmarkStart w:id="550" w:name="_Toc8492"/>
      <w:r>
        <w:rPr>
          <w:rFonts w:hint="eastAsia" w:ascii="黑体" w:hAnsi="黑体" w:eastAsia="黑体"/>
          <w:b w:val="0"/>
          <w:color w:val="auto"/>
          <w:sz w:val="28"/>
          <w:szCs w:val="28"/>
        </w:rPr>
        <w:t>资格审查合格投标人名单</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3FE05D20">
      <w:pPr>
        <w:adjustRightInd w:val="0"/>
        <w:snapToGrid w:val="0"/>
        <w:spacing w:line="360" w:lineRule="auto"/>
        <w:rPr>
          <w:rFonts w:ascii="华文中宋" w:hAnsi="华文中宋" w:eastAsia="华文中宋"/>
          <w:color w:val="auto"/>
          <w:sz w:val="32"/>
          <w:szCs w:val="32"/>
        </w:rPr>
      </w:pPr>
      <w:r>
        <w:rPr>
          <w:rFonts w:hint="eastAsia" w:ascii="宋体" w:hAnsi="宋体"/>
          <w:color w:val="auto"/>
          <w:szCs w:val="21"/>
        </w:rPr>
        <w:t>项目名称：                                        政府采购计划编号：</w:t>
      </w:r>
    </w:p>
    <w:tbl>
      <w:tblPr>
        <w:tblStyle w:val="47"/>
        <w:tblW w:w="860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613"/>
      </w:tblGrid>
      <w:tr w14:paraId="4C258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jc w:val="center"/>
        </w:trPr>
        <w:tc>
          <w:tcPr>
            <w:tcW w:w="993" w:type="dxa"/>
            <w:vAlign w:val="center"/>
          </w:tcPr>
          <w:p w14:paraId="0FD71283">
            <w:pPr>
              <w:jc w:val="center"/>
              <w:rPr>
                <w:b/>
                <w:color w:val="auto"/>
                <w:kern w:val="0"/>
                <w:szCs w:val="21"/>
              </w:rPr>
            </w:pPr>
            <w:r>
              <w:rPr>
                <w:rFonts w:hint="eastAsia"/>
                <w:b/>
                <w:color w:val="auto"/>
                <w:kern w:val="0"/>
                <w:szCs w:val="21"/>
              </w:rPr>
              <w:t>序号</w:t>
            </w:r>
          </w:p>
        </w:tc>
        <w:tc>
          <w:tcPr>
            <w:tcW w:w="7613" w:type="dxa"/>
            <w:vAlign w:val="center"/>
          </w:tcPr>
          <w:p w14:paraId="2E246C28">
            <w:pPr>
              <w:jc w:val="center"/>
              <w:rPr>
                <w:b/>
                <w:color w:val="auto"/>
                <w:kern w:val="0"/>
                <w:szCs w:val="21"/>
              </w:rPr>
            </w:pPr>
            <w:r>
              <w:rPr>
                <w:rFonts w:hint="eastAsia"/>
                <w:b/>
                <w:color w:val="auto"/>
                <w:kern w:val="0"/>
                <w:szCs w:val="21"/>
              </w:rPr>
              <w:t>合格投标人名称</w:t>
            </w:r>
          </w:p>
        </w:tc>
      </w:tr>
      <w:tr w14:paraId="4C6D6B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2DE0DEE">
            <w:pPr>
              <w:adjustRightInd w:val="0"/>
              <w:snapToGrid w:val="0"/>
              <w:spacing w:line="360" w:lineRule="auto"/>
              <w:rPr>
                <w:rFonts w:ascii="宋体" w:hAnsi="宋体"/>
                <w:color w:val="auto"/>
                <w:kern w:val="0"/>
                <w:szCs w:val="21"/>
              </w:rPr>
            </w:pPr>
          </w:p>
        </w:tc>
        <w:tc>
          <w:tcPr>
            <w:tcW w:w="7613" w:type="dxa"/>
          </w:tcPr>
          <w:p w14:paraId="41A4B0C9">
            <w:pPr>
              <w:adjustRightInd w:val="0"/>
              <w:snapToGrid w:val="0"/>
              <w:spacing w:line="360" w:lineRule="auto"/>
              <w:rPr>
                <w:rFonts w:ascii="宋体" w:hAnsi="宋体"/>
                <w:color w:val="auto"/>
                <w:kern w:val="0"/>
                <w:szCs w:val="21"/>
              </w:rPr>
            </w:pPr>
          </w:p>
        </w:tc>
      </w:tr>
      <w:tr w14:paraId="3091D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0F604AB">
            <w:pPr>
              <w:adjustRightInd w:val="0"/>
              <w:snapToGrid w:val="0"/>
              <w:spacing w:line="360" w:lineRule="auto"/>
              <w:rPr>
                <w:rFonts w:ascii="宋体" w:hAnsi="宋体"/>
                <w:color w:val="auto"/>
                <w:kern w:val="0"/>
                <w:sz w:val="24"/>
              </w:rPr>
            </w:pPr>
          </w:p>
        </w:tc>
        <w:tc>
          <w:tcPr>
            <w:tcW w:w="7613" w:type="dxa"/>
          </w:tcPr>
          <w:p w14:paraId="535B069A">
            <w:pPr>
              <w:adjustRightInd w:val="0"/>
              <w:snapToGrid w:val="0"/>
              <w:spacing w:line="360" w:lineRule="auto"/>
              <w:rPr>
                <w:rFonts w:ascii="宋体" w:hAnsi="宋体"/>
                <w:color w:val="auto"/>
                <w:kern w:val="0"/>
                <w:sz w:val="24"/>
              </w:rPr>
            </w:pPr>
          </w:p>
        </w:tc>
      </w:tr>
      <w:tr w14:paraId="64C63D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6A74DEC4">
            <w:pPr>
              <w:adjustRightInd w:val="0"/>
              <w:snapToGrid w:val="0"/>
              <w:spacing w:line="360" w:lineRule="auto"/>
              <w:rPr>
                <w:rFonts w:ascii="宋体" w:hAnsi="宋体"/>
                <w:color w:val="auto"/>
                <w:kern w:val="0"/>
                <w:sz w:val="24"/>
              </w:rPr>
            </w:pPr>
          </w:p>
        </w:tc>
        <w:tc>
          <w:tcPr>
            <w:tcW w:w="7613" w:type="dxa"/>
          </w:tcPr>
          <w:p w14:paraId="0FEF5E46">
            <w:pPr>
              <w:adjustRightInd w:val="0"/>
              <w:snapToGrid w:val="0"/>
              <w:spacing w:line="360" w:lineRule="auto"/>
              <w:rPr>
                <w:rFonts w:ascii="宋体" w:hAnsi="宋体"/>
                <w:color w:val="auto"/>
                <w:kern w:val="0"/>
                <w:sz w:val="24"/>
              </w:rPr>
            </w:pPr>
          </w:p>
        </w:tc>
      </w:tr>
      <w:tr w14:paraId="2818FE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3816B49">
            <w:pPr>
              <w:adjustRightInd w:val="0"/>
              <w:snapToGrid w:val="0"/>
              <w:spacing w:line="360" w:lineRule="auto"/>
              <w:rPr>
                <w:rFonts w:ascii="宋体" w:hAnsi="宋体"/>
                <w:color w:val="auto"/>
                <w:kern w:val="0"/>
                <w:sz w:val="24"/>
              </w:rPr>
            </w:pPr>
          </w:p>
        </w:tc>
        <w:tc>
          <w:tcPr>
            <w:tcW w:w="7613" w:type="dxa"/>
          </w:tcPr>
          <w:p w14:paraId="0AA87AE2">
            <w:pPr>
              <w:adjustRightInd w:val="0"/>
              <w:snapToGrid w:val="0"/>
              <w:spacing w:line="360" w:lineRule="auto"/>
              <w:rPr>
                <w:rFonts w:ascii="宋体" w:hAnsi="宋体"/>
                <w:color w:val="auto"/>
                <w:kern w:val="0"/>
                <w:sz w:val="24"/>
              </w:rPr>
            </w:pPr>
          </w:p>
        </w:tc>
      </w:tr>
      <w:tr w14:paraId="7596FE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3DD66668">
            <w:pPr>
              <w:adjustRightInd w:val="0"/>
              <w:snapToGrid w:val="0"/>
              <w:spacing w:line="360" w:lineRule="auto"/>
              <w:rPr>
                <w:rFonts w:ascii="宋体" w:hAnsi="宋体"/>
                <w:color w:val="auto"/>
                <w:kern w:val="0"/>
                <w:sz w:val="24"/>
              </w:rPr>
            </w:pPr>
          </w:p>
        </w:tc>
        <w:tc>
          <w:tcPr>
            <w:tcW w:w="7613" w:type="dxa"/>
          </w:tcPr>
          <w:p w14:paraId="2E25F8DB">
            <w:pPr>
              <w:adjustRightInd w:val="0"/>
              <w:snapToGrid w:val="0"/>
              <w:spacing w:line="360" w:lineRule="auto"/>
              <w:rPr>
                <w:rFonts w:ascii="宋体" w:hAnsi="宋体"/>
                <w:color w:val="auto"/>
                <w:kern w:val="0"/>
                <w:sz w:val="24"/>
              </w:rPr>
            </w:pPr>
          </w:p>
        </w:tc>
      </w:tr>
      <w:tr w14:paraId="145335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0E72DC3F">
            <w:pPr>
              <w:adjustRightInd w:val="0"/>
              <w:snapToGrid w:val="0"/>
              <w:spacing w:line="360" w:lineRule="auto"/>
              <w:rPr>
                <w:rFonts w:ascii="宋体" w:hAnsi="宋体"/>
                <w:color w:val="auto"/>
                <w:kern w:val="0"/>
                <w:sz w:val="24"/>
              </w:rPr>
            </w:pPr>
          </w:p>
        </w:tc>
        <w:tc>
          <w:tcPr>
            <w:tcW w:w="7613" w:type="dxa"/>
          </w:tcPr>
          <w:p w14:paraId="3AEFBB9A">
            <w:pPr>
              <w:adjustRightInd w:val="0"/>
              <w:snapToGrid w:val="0"/>
              <w:spacing w:line="360" w:lineRule="auto"/>
              <w:rPr>
                <w:rFonts w:ascii="宋体" w:hAnsi="宋体"/>
                <w:color w:val="auto"/>
                <w:kern w:val="0"/>
                <w:sz w:val="24"/>
              </w:rPr>
            </w:pPr>
          </w:p>
        </w:tc>
      </w:tr>
    </w:tbl>
    <w:p w14:paraId="5FD25C66">
      <w:pPr>
        <w:adjustRightInd w:val="0"/>
        <w:snapToGrid w:val="0"/>
        <w:spacing w:line="360" w:lineRule="auto"/>
        <w:rPr>
          <w:rFonts w:ascii="宋体" w:hAnsi="宋体"/>
          <w:color w:val="auto"/>
          <w:szCs w:val="21"/>
        </w:rPr>
      </w:pPr>
      <w:r>
        <w:rPr>
          <w:rFonts w:hint="eastAsia" w:ascii="宋体" w:hAnsi="宋体"/>
          <w:color w:val="auto"/>
          <w:szCs w:val="21"/>
        </w:rPr>
        <w:t>采购人（签字）：</w:t>
      </w:r>
    </w:p>
    <w:p w14:paraId="27BECFF8">
      <w:pPr>
        <w:adjustRightInd w:val="0"/>
        <w:snapToGrid w:val="0"/>
        <w:spacing w:line="360" w:lineRule="auto"/>
        <w:rPr>
          <w:rFonts w:ascii="宋体" w:hAnsi="宋体"/>
          <w:color w:val="auto"/>
          <w:szCs w:val="21"/>
        </w:rPr>
      </w:pPr>
      <w:r>
        <w:rPr>
          <w:rFonts w:hint="eastAsia" w:ascii="宋体" w:hAnsi="宋体"/>
          <w:color w:val="auto"/>
          <w:szCs w:val="21"/>
        </w:rPr>
        <w:t>采购代理机构（签字）：</w:t>
      </w:r>
    </w:p>
    <w:p w14:paraId="50142F42">
      <w:pPr>
        <w:jc w:val="left"/>
        <w:rPr>
          <w:rFonts w:ascii="宋体" w:hAnsi="宋体"/>
          <w:color w:val="auto"/>
          <w:szCs w:val="21"/>
        </w:rPr>
      </w:pPr>
      <w:r>
        <w:rPr>
          <w:rFonts w:hint="eastAsia" w:ascii="宋体" w:hAnsi="宋体"/>
          <w:color w:val="auto"/>
          <w:szCs w:val="21"/>
        </w:rPr>
        <w:t>日期：年月日</w:t>
      </w:r>
    </w:p>
    <w:p w14:paraId="3D54A430">
      <w:pPr>
        <w:pStyle w:val="2"/>
        <w:rPr>
          <w:rFonts w:ascii="黑体" w:hAnsi="华文中宋" w:eastAsia="黑体"/>
          <w:b w:val="0"/>
          <w:color w:val="auto"/>
          <w:sz w:val="28"/>
          <w:szCs w:val="28"/>
        </w:rPr>
      </w:pPr>
      <w:r>
        <w:rPr>
          <w:rFonts w:ascii="宋体" w:hAnsi="宋体"/>
          <w:color w:val="auto"/>
        </w:rPr>
        <w:br w:type="page"/>
      </w:r>
      <w:bookmarkStart w:id="551" w:name="_Toc13381"/>
      <w:bookmarkStart w:id="552" w:name="_Toc108341956"/>
      <w:bookmarkStart w:id="553" w:name="_Toc78449974"/>
      <w:bookmarkStart w:id="554" w:name="_Toc78314281"/>
      <w:bookmarkStart w:id="555" w:name="_Toc112704951"/>
      <w:bookmarkStart w:id="556" w:name="_Toc14422"/>
      <w:bookmarkStart w:id="557" w:name="_Toc17872"/>
      <w:bookmarkStart w:id="558" w:name="_Toc75289567"/>
      <w:bookmarkStart w:id="559" w:name="_Toc11584"/>
      <w:bookmarkStart w:id="560" w:name="_Toc15888503"/>
      <w:bookmarkStart w:id="561" w:name="_Toc30163"/>
      <w:bookmarkStart w:id="562" w:name="_Toc192949621"/>
      <w:bookmarkStart w:id="563" w:name="_Toc94367899"/>
      <w:bookmarkStart w:id="564" w:name="_Toc100670440"/>
      <w:bookmarkStart w:id="565" w:name="_Toc77199418"/>
      <w:bookmarkStart w:id="566" w:name="_Toc95601384"/>
      <w:bookmarkStart w:id="567" w:name="_Toc100670687"/>
      <w:bookmarkStart w:id="568" w:name="_Toc85972949"/>
      <w:bookmarkStart w:id="569" w:name="_Toc117192466"/>
      <w:bookmarkStart w:id="570" w:name="_Toc27876"/>
      <w:bookmarkStart w:id="571" w:name="_Toc14796"/>
      <w:bookmarkStart w:id="572" w:name="_Toc77676485"/>
      <w:bookmarkStart w:id="573" w:name="_Toc171273689"/>
      <w:bookmarkStart w:id="574" w:name="_Toc12120"/>
      <w:bookmarkStart w:id="575" w:name="_Toc114036730"/>
      <w:bookmarkStart w:id="576" w:name="_Toc192951231"/>
      <w:bookmarkStart w:id="577" w:name="_Toc75289247"/>
      <w:bookmarkStart w:id="578" w:name="_Toc12756"/>
      <w:bookmarkStart w:id="579" w:name="_Toc154428408"/>
      <w:bookmarkStart w:id="580" w:name="_Toc192949720"/>
      <w:r>
        <w:rPr>
          <w:rFonts w:hint="eastAsia" w:ascii="黑体" w:hAnsi="华文中宋" w:eastAsia="黑体"/>
          <w:b w:val="0"/>
          <w:color w:val="auto"/>
          <w:sz w:val="32"/>
          <w:szCs w:val="32"/>
        </w:rPr>
        <w:t>第四章  评标方法及标准</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03012100">
      <w:pPr>
        <w:pStyle w:val="3"/>
        <w:jc w:val="center"/>
        <w:rPr>
          <w:rFonts w:ascii="黑体" w:hAnsi="华文中宋" w:eastAsia="黑体"/>
          <w:color w:val="auto"/>
          <w:sz w:val="28"/>
          <w:szCs w:val="28"/>
        </w:rPr>
      </w:pPr>
      <w:bookmarkStart w:id="581" w:name="_Toc19127"/>
      <w:bookmarkStart w:id="582" w:name="_Toc192949721"/>
      <w:bookmarkStart w:id="583" w:name="_Toc30053"/>
      <w:bookmarkStart w:id="584" w:name="_Toc78314282"/>
      <w:bookmarkStart w:id="585" w:name="_Toc94367900"/>
      <w:bookmarkStart w:id="586" w:name="_Toc77199419"/>
      <w:bookmarkStart w:id="587" w:name="_Toc5245"/>
      <w:bookmarkStart w:id="588" w:name="_Toc3037"/>
      <w:bookmarkStart w:id="589" w:name="_Toc75289568"/>
      <w:bookmarkStart w:id="590" w:name="_Toc154428409"/>
      <w:bookmarkStart w:id="591" w:name="_Toc192949622"/>
      <w:bookmarkStart w:id="592" w:name="_Toc100670688"/>
      <w:bookmarkStart w:id="593" w:name="_Toc15888504"/>
      <w:bookmarkStart w:id="594" w:name="_Toc114036731"/>
      <w:bookmarkStart w:id="595" w:name="_Toc171273690"/>
      <w:bookmarkStart w:id="596" w:name="_Toc77676486"/>
      <w:bookmarkStart w:id="597" w:name="_Toc100670441"/>
      <w:bookmarkStart w:id="598" w:name="_Toc7665"/>
      <w:bookmarkStart w:id="599" w:name="_Toc804"/>
      <w:bookmarkStart w:id="600" w:name="_Toc9756"/>
      <w:bookmarkStart w:id="601" w:name="_Toc85972950"/>
      <w:bookmarkStart w:id="602" w:name="_Toc12520"/>
      <w:bookmarkStart w:id="603" w:name="_Toc78449975"/>
      <w:bookmarkStart w:id="604" w:name="_Toc95601385"/>
      <w:bookmarkStart w:id="605" w:name="_Toc75289248"/>
      <w:bookmarkStart w:id="606" w:name="_Toc108341957"/>
      <w:bookmarkStart w:id="607" w:name="_Toc112704952"/>
      <w:bookmarkStart w:id="608" w:name="_Toc117192467"/>
      <w:bookmarkStart w:id="609" w:name="_Toc30214"/>
      <w:bookmarkStart w:id="610" w:name="_Toc192951232"/>
      <w:r>
        <w:rPr>
          <w:rFonts w:hint="eastAsia" w:ascii="黑体" w:hAnsi="华文中宋" w:eastAsia="黑体"/>
          <w:b w:val="0"/>
          <w:bCs w:val="0"/>
          <w:color w:val="auto"/>
          <w:sz w:val="28"/>
          <w:szCs w:val="28"/>
        </w:rPr>
        <w:t>第一</w:t>
      </w:r>
      <w:r>
        <w:rPr>
          <w:rFonts w:hint="eastAsia" w:ascii="黑体" w:hAnsi="华文中宋" w:eastAsia="黑体"/>
          <w:color w:val="auto"/>
          <w:sz w:val="28"/>
          <w:szCs w:val="28"/>
        </w:rPr>
        <w:t>节  评标方法及标准前附表</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6C8697A8">
      <w:pPr>
        <w:adjustRightInd w:val="0"/>
        <w:snapToGrid w:val="0"/>
        <w:jc w:val="right"/>
        <w:rPr>
          <w:rFonts w:ascii="宋体" w:hAnsi="宋体"/>
          <w:bCs/>
          <w:i/>
          <w:color w:val="auto"/>
          <w:szCs w:val="21"/>
        </w:rPr>
      </w:pPr>
      <w:r>
        <w:rPr>
          <w:rFonts w:hint="eastAsia" w:ascii="宋体" w:hAnsi="宋体"/>
          <w:bCs/>
          <w:i/>
          <w:color w:val="auto"/>
          <w:szCs w:val="21"/>
        </w:rPr>
        <w:t>本项目启用的条款在“编列内容规定”栏内以“</w:t>
      </w:r>
      <w:r>
        <w:rPr>
          <w:rFonts w:hint="eastAsia" w:ascii="宋体" w:hAnsi="宋体"/>
          <w:color w:val="auto"/>
          <w:szCs w:val="21"/>
        </w:rPr>
        <w:sym w:font="Wingdings" w:char="00FE"/>
      </w:r>
      <w:r>
        <w:rPr>
          <w:rFonts w:hint="eastAsia" w:ascii="宋体" w:hAnsi="宋体"/>
          <w:bCs/>
          <w:i/>
          <w:color w:val="auto"/>
          <w:szCs w:val="21"/>
        </w:rPr>
        <w:t>”标注。</w:t>
      </w:r>
    </w:p>
    <w:tbl>
      <w:tblPr>
        <w:tblStyle w:val="47"/>
        <w:tblW w:w="860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68"/>
        <w:gridCol w:w="1984"/>
        <w:gridCol w:w="5054"/>
      </w:tblGrid>
      <w:tr w14:paraId="5FA3C6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568" w:type="dxa"/>
            <w:vAlign w:val="center"/>
          </w:tcPr>
          <w:p w14:paraId="7570FBEA">
            <w:pPr>
              <w:adjustRightInd w:val="0"/>
              <w:snapToGrid w:val="0"/>
              <w:spacing w:line="360" w:lineRule="exact"/>
              <w:jc w:val="center"/>
              <w:rPr>
                <w:b/>
                <w:color w:val="auto"/>
              </w:rPr>
            </w:pPr>
            <w:r>
              <w:rPr>
                <w:rFonts w:hint="eastAsia"/>
                <w:b/>
                <w:color w:val="auto"/>
              </w:rPr>
              <w:t>条款号</w:t>
            </w:r>
          </w:p>
        </w:tc>
        <w:tc>
          <w:tcPr>
            <w:tcW w:w="1984" w:type="dxa"/>
            <w:vAlign w:val="center"/>
          </w:tcPr>
          <w:p w14:paraId="07465EFC">
            <w:pPr>
              <w:adjustRightInd w:val="0"/>
              <w:snapToGrid w:val="0"/>
              <w:spacing w:line="360" w:lineRule="exact"/>
              <w:jc w:val="center"/>
              <w:rPr>
                <w:b/>
                <w:color w:val="auto"/>
              </w:rPr>
            </w:pPr>
            <w:r>
              <w:rPr>
                <w:rFonts w:hint="eastAsia"/>
                <w:b/>
                <w:color w:val="auto"/>
              </w:rPr>
              <w:t>条款名称</w:t>
            </w:r>
          </w:p>
        </w:tc>
        <w:tc>
          <w:tcPr>
            <w:tcW w:w="5054" w:type="dxa"/>
            <w:vAlign w:val="center"/>
          </w:tcPr>
          <w:p w14:paraId="17BA3C8E">
            <w:pPr>
              <w:adjustRightInd w:val="0"/>
              <w:snapToGrid w:val="0"/>
              <w:spacing w:line="360" w:lineRule="exact"/>
              <w:jc w:val="center"/>
              <w:rPr>
                <w:b/>
                <w:color w:val="auto"/>
              </w:rPr>
            </w:pPr>
            <w:r>
              <w:rPr>
                <w:rFonts w:hint="eastAsia"/>
                <w:b/>
                <w:color w:val="auto"/>
              </w:rPr>
              <w:t>编列内容规定</w:t>
            </w:r>
          </w:p>
        </w:tc>
      </w:tr>
      <w:tr w14:paraId="6EA561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1568" w:type="dxa"/>
            <w:vAlign w:val="center"/>
          </w:tcPr>
          <w:p w14:paraId="4C6C38BD">
            <w:pPr>
              <w:adjustRightInd w:val="0"/>
              <w:snapToGrid w:val="0"/>
              <w:spacing w:line="360" w:lineRule="exact"/>
              <w:jc w:val="center"/>
              <w:rPr>
                <w:rFonts w:ascii="宋体" w:hAnsi="宋体"/>
                <w:color w:val="auto"/>
                <w:szCs w:val="21"/>
              </w:rPr>
            </w:pPr>
            <w:r>
              <w:rPr>
                <w:rFonts w:hint="eastAsia" w:ascii="宋体" w:hAnsi="宋体"/>
                <w:color w:val="auto"/>
                <w:szCs w:val="21"/>
              </w:rPr>
              <w:t>第1.3</w:t>
            </w:r>
            <w:r>
              <w:rPr>
                <w:rFonts w:hint="eastAsia" w:ascii="宋体" w:hAnsi="宋体" w:cs="宋体"/>
                <w:color w:val="auto"/>
                <w:kern w:val="0"/>
                <w:szCs w:val="21"/>
                <w:lang w:val="zh-CN"/>
              </w:rPr>
              <w:t>款</w:t>
            </w:r>
          </w:p>
        </w:tc>
        <w:tc>
          <w:tcPr>
            <w:tcW w:w="1984" w:type="dxa"/>
            <w:vAlign w:val="center"/>
          </w:tcPr>
          <w:p w14:paraId="1FAFAAF5">
            <w:pPr>
              <w:adjustRightInd w:val="0"/>
              <w:snapToGrid w:val="0"/>
              <w:spacing w:line="360" w:lineRule="exact"/>
              <w:jc w:val="center"/>
              <w:rPr>
                <w:rFonts w:ascii="宋体" w:hAnsi="宋体"/>
                <w:color w:val="auto"/>
                <w:szCs w:val="21"/>
              </w:rPr>
            </w:pPr>
            <w:r>
              <w:rPr>
                <w:rFonts w:hint="eastAsia" w:ascii="宋体" w:hAnsi="宋体"/>
                <w:color w:val="auto"/>
                <w:szCs w:val="21"/>
              </w:rPr>
              <w:t>评标方法</w:t>
            </w:r>
          </w:p>
        </w:tc>
        <w:tc>
          <w:tcPr>
            <w:tcW w:w="5054" w:type="dxa"/>
            <w:vAlign w:val="center"/>
          </w:tcPr>
          <w:p w14:paraId="62BE72FB">
            <w:pPr>
              <w:widowControl/>
              <w:adjustRightInd w:val="0"/>
              <w:snapToGrid w:val="0"/>
              <w:jc w:val="center"/>
              <w:rPr>
                <w:rFonts w:ascii="宋体" w:hAnsi="宋体" w:cs="宋体"/>
                <w:color w:val="auto"/>
                <w:kern w:val="0"/>
                <w:szCs w:val="21"/>
              </w:rPr>
            </w:pPr>
            <w:r>
              <w:rPr>
                <w:rFonts w:hint="eastAsia" w:ascii="宋体" w:hAnsi="宋体" w:cs="宋体"/>
                <w:color w:val="auto"/>
                <w:kern w:val="0"/>
                <w:szCs w:val="21"/>
              </w:rPr>
              <w:t>综合评分法</w:t>
            </w:r>
          </w:p>
        </w:tc>
      </w:tr>
      <w:tr w14:paraId="42BF69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1568" w:type="dxa"/>
            <w:vAlign w:val="center"/>
          </w:tcPr>
          <w:p w14:paraId="38759B6C">
            <w:pPr>
              <w:adjustRightInd w:val="0"/>
              <w:snapToGrid w:val="0"/>
              <w:spacing w:line="360" w:lineRule="exact"/>
              <w:jc w:val="center"/>
              <w:rPr>
                <w:rFonts w:ascii="宋体" w:hAnsi="宋体"/>
                <w:color w:val="auto"/>
                <w:kern w:val="0"/>
                <w:szCs w:val="21"/>
              </w:rPr>
            </w:pPr>
            <w:r>
              <w:rPr>
                <w:rFonts w:hint="eastAsia" w:ascii="宋体" w:hAnsi="宋体"/>
                <w:color w:val="auto"/>
                <w:kern w:val="0"/>
                <w:szCs w:val="21"/>
              </w:rPr>
              <w:t>第3.4</w:t>
            </w:r>
            <w:r>
              <w:rPr>
                <w:rFonts w:hint="eastAsia" w:ascii="宋体" w:hAnsi="宋体"/>
                <w:color w:val="auto"/>
                <w:kern w:val="0"/>
                <w:szCs w:val="21"/>
                <w:lang w:val="zh-CN"/>
              </w:rPr>
              <w:t>款</w:t>
            </w:r>
          </w:p>
        </w:tc>
        <w:tc>
          <w:tcPr>
            <w:tcW w:w="1984" w:type="dxa"/>
            <w:vAlign w:val="center"/>
          </w:tcPr>
          <w:p w14:paraId="0DD1426A">
            <w:pPr>
              <w:widowControl/>
              <w:adjustRightInd w:val="0"/>
              <w:snapToGrid w:val="0"/>
              <w:jc w:val="center"/>
              <w:rPr>
                <w:rFonts w:ascii="宋体" w:hAnsi="宋体"/>
                <w:color w:val="auto"/>
                <w:kern w:val="0"/>
                <w:szCs w:val="21"/>
              </w:rPr>
            </w:pPr>
            <w:r>
              <w:rPr>
                <w:rFonts w:hint="eastAsia" w:ascii="宋体" w:hAnsi="宋体"/>
                <w:color w:val="000000" w:themeColor="text1"/>
                <w:szCs w:val="21"/>
                <w:lang w:val="en-US" w:eastAsia="zh-CN"/>
                <w14:textFill>
                  <w14:solidFill>
                    <w14:schemeClr w14:val="tx1"/>
                  </w14:solidFill>
                </w14:textFill>
              </w:rPr>
              <w:t>非单一产品采购项目的核心产品</w:t>
            </w:r>
          </w:p>
        </w:tc>
        <w:tc>
          <w:tcPr>
            <w:tcW w:w="5054" w:type="dxa"/>
            <w:vAlign w:val="center"/>
          </w:tcPr>
          <w:p w14:paraId="78F06B41">
            <w:pPr>
              <w:widowControl/>
              <w:adjustRightInd w:val="0"/>
              <w:snapToGrid w:val="0"/>
              <w:spacing w:line="360" w:lineRule="exact"/>
              <w:jc w:val="both"/>
              <w:rPr>
                <w:rFonts w:hint="default" w:ascii="宋体" w:hAnsi="宋体" w:eastAsia="宋体" w:cs="Times New Roman"/>
                <w:color w:val="auto"/>
                <w:kern w:val="0"/>
                <w:sz w:val="21"/>
                <w:szCs w:val="21"/>
                <w:lang w:val="en-US" w:eastAsia="zh-CN" w:bidi="ar-SA"/>
              </w:rPr>
            </w:pPr>
            <w:r>
              <w:rPr>
                <w:rFonts w:hint="default" w:ascii="宋体" w:hAnsi="宋体" w:eastAsia="宋体" w:cs="Times New Roman"/>
                <w:color w:val="auto"/>
                <w:kern w:val="0"/>
                <w:sz w:val="21"/>
                <w:szCs w:val="21"/>
                <w:lang w:val="en-US" w:eastAsia="zh-CN" w:bidi="ar-SA"/>
              </w:rPr>
              <w:t>DR机、</w:t>
            </w:r>
            <w:r>
              <w:rPr>
                <w:rFonts w:hint="eastAsia" w:ascii="宋体" w:hAnsi="宋体" w:cs="Times New Roman"/>
                <w:color w:val="auto"/>
                <w:kern w:val="0"/>
                <w:sz w:val="21"/>
                <w:szCs w:val="21"/>
                <w:lang w:val="en-US" w:eastAsia="zh-CN" w:bidi="ar-SA"/>
              </w:rPr>
              <w:t>C臂机</w:t>
            </w:r>
            <w:r>
              <w:rPr>
                <w:rFonts w:hint="default" w:ascii="宋体" w:hAnsi="宋体" w:eastAsia="宋体" w:cs="Times New Roman"/>
                <w:color w:val="auto"/>
                <w:kern w:val="0"/>
                <w:sz w:val="21"/>
                <w:szCs w:val="21"/>
                <w:lang w:val="en-US" w:eastAsia="zh-CN" w:bidi="ar-SA"/>
              </w:rPr>
              <w:t>、</w:t>
            </w:r>
            <w:r>
              <w:rPr>
                <w:rFonts w:hint="eastAsia" w:ascii="宋体" w:hAnsi="宋体" w:cs="Times New Roman"/>
                <w:color w:val="auto"/>
                <w:kern w:val="0"/>
                <w:sz w:val="21"/>
                <w:szCs w:val="21"/>
                <w:lang w:val="en-US" w:eastAsia="zh-CN" w:bidi="ar-SA"/>
              </w:rPr>
              <w:t>胃肠子镜系统</w:t>
            </w:r>
          </w:p>
          <w:p w14:paraId="6C88AB3A">
            <w:pPr>
              <w:widowControl/>
              <w:adjustRightInd w:val="0"/>
              <w:snapToGrid w:val="0"/>
              <w:spacing w:line="360" w:lineRule="exact"/>
              <w:jc w:val="center"/>
              <w:rPr>
                <w:rFonts w:hint="default" w:eastAsia="宋体"/>
                <w:color w:val="auto"/>
                <w:lang w:val="en-US" w:eastAsia="zh-CN"/>
              </w:rPr>
            </w:pPr>
          </w:p>
        </w:tc>
      </w:tr>
      <w:tr w14:paraId="3F7426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0346C928">
            <w:pPr>
              <w:adjustRightInd w:val="0"/>
              <w:snapToGrid w:val="0"/>
              <w:spacing w:line="360" w:lineRule="exact"/>
              <w:jc w:val="center"/>
              <w:rPr>
                <w:rFonts w:ascii="宋体" w:hAnsi="宋体"/>
                <w:color w:val="auto"/>
                <w:szCs w:val="21"/>
              </w:rPr>
            </w:pPr>
            <w:r>
              <w:rPr>
                <w:rFonts w:hint="eastAsia" w:ascii="宋体" w:hAnsi="宋体"/>
                <w:color w:val="auto"/>
                <w:szCs w:val="21"/>
              </w:rPr>
              <w:t>第4.2</w:t>
            </w:r>
            <w:r>
              <w:rPr>
                <w:rFonts w:hint="eastAsia" w:ascii="宋体" w:hAnsi="宋体" w:cs="宋体"/>
                <w:color w:val="auto"/>
                <w:kern w:val="0"/>
                <w:szCs w:val="21"/>
                <w:lang w:val="zh-CN"/>
              </w:rPr>
              <w:t>款</w:t>
            </w:r>
          </w:p>
        </w:tc>
        <w:tc>
          <w:tcPr>
            <w:tcW w:w="1984" w:type="dxa"/>
            <w:vAlign w:val="center"/>
          </w:tcPr>
          <w:p w14:paraId="7DE1EFA9">
            <w:pPr>
              <w:adjustRightInd w:val="0"/>
              <w:snapToGrid w:val="0"/>
              <w:spacing w:line="360" w:lineRule="exact"/>
              <w:jc w:val="center"/>
              <w:rPr>
                <w:rFonts w:ascii="宋体" w:hAnsi="宋体"/>
                <w:color w:val="auto"/>
                <w:szCs w:val="21"/>
              </w:rPr>
            </w:pPr>
            <w:r>
              <w:rPr>
                <w:rFonts w:hint="eastAsia" w:ascii="宋体" w:hAnsi="宋体"/>
                <w:color w:val="auto"/>
                <w:szCs w:val="21"/>
              </w:rPr>
              <w:t>投标文件报价出现前后不一致的修正</w:t>
            </w:r>
          </w:p>
        </w:tc>
        <w:tc>
          <w:tcPr>
            <w:tcW w:w="5054" w:type="dxa"/>
            <w:vAlign w:val="center"/>
          </w:tcPr>
          <w:p w14:paraId="272E3ABD">
            <w:pPr>
              <w:pStyle w:val="22"/>
              <w:adjustRightInd w:val="0"/>
              <w:snapToGrid w:val="0"/>
              <w:spacing w:line="360" w:lineRule="exact"/>
              <w:rPr>
                <w:rFonts w:hAnsi="宋体"/>
                <w:color w:val="auto"/>
                <w:kern w:val="2"/>
                <w:sz w:val="21"/>
              </w:rPr>
            </w:pPr>
            <w:r>
              <w:rPr>
                <w:rFonts w:hint="eastAsia" w:hAnsi="宋体"/>
                <w:color w:val="auto"/>
                <w:sz w:val="21"/>
              </w:rPr>
              <w:t>按第二节“评标方法及标准”第4.2条规定修正</w:t>
            </w:r>
          </w:p>
        </w:tc>
      </w:tr>
      <w:tr w14:paraId="6BC97A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3221FF7D">
            <w:pPr>
              <w:adjustRightInd w:val="0"/>
              <w:snapToGrid w:val="0"/>
              <w:spacing w:line="360" w:lineRule="exact"/>
              <w:jc w:val="center"/>
              <w:rPr>
                <w:rFonts w:ascii="宋体" w:hAnsi="宋体"/>
                <w:color w:val="auto"/>
                <w:szCs w:val="21"/>
              </w:rPr>
            </w:pPr>
            <w:r>
              <w:rPr>
                <w:rFonts w:hint="eastAsia" w:ascii="宋体" w:hAnsi="宋体"/>
                <w:color w:val="auto"/>
                <w:szCs w:val="21"/>
              </w:rPr>
              <w:t>第5.2</w:t>
            </w:r>
            <w:r>
              <w:rPr>
                <w:rFonts w:hint="eastAsia" w:ascii="宋体" w:hAnsi="宋体" w:cs="宋体"/>
                <w:color w:val="auto"/>
                <w:kern w:val="0"/>
                <w:szCs w:val="21"/>
                <w:lang w:val="zh-CN"/>
              </w:rPr>
              <w:t>款</w:t>
            </w:r>
          </w:p>
        </w:tc>
        <w:tc>
          <w:tcPr>
            <w:tcW w:w="1984" w:type="dxa"/>
            <w:vAlign w:val="center"/>
          </w:tcPr>
          <w:p w14:paraId="6D8B211A">
            <w:pPr>
              <w:adjustRightInd w:val="0"/>
              <w:snapToGrid w:val="0"/>
              <w:spacing w:line="360" w:lineRule="exact"/>
              <w:jc w:val="center"/>
              <w:rPr>
                <w:rFonts w:ascii="宋体" w:hAnsi="宋体"/>
                <w:bCs/>
                <w:color w:val="auto"/>
                <w:szCs w:val="21"/>
              </w:rPr>
            </w:pPr>
            <w:r>
              <w:rPr>
                <w:rFonts w:hint="eastAsia" w:ascii="宋体" w:hAnsi="宋体"/>
                <w:bCs/>
                <w:color w:val="auto"/>
                <w:szCs w:val="21"/>
              </w:rPr>
              <w:t>相同品牌产品评审得分相同的规定</w:t>
            </w:r>
          </w:p>
        </w:tc>
        <w:tc>
          <w:tcPr>
            <w:tcW w:w="5054" w:type="dxa"/>
            <w:vAlign w:val="center"/>
          </w:tcPr>
          <w:p w14:paraId="70237B77">
            <w:pPr>
              <w:adjustRightInd w:val="0"/>
              <w:snapToGrid w:val="0"/>
              <w:spacing w:line="360" w:lineRule="exact"/>
              <w:rPr>
                <w:rFonts w:ascii="宋体" w:hAnsi="宋体"/>
                <w:color w:val="auto"/>
                <w:szCs w:val="21"/>
              </w:rPr>
            </w:pPr>
            <w:r>
              <w:rPr>
                <w:rFonts w:hint="eastAsia" w:ascii="宋体" w:hAnsi="宋体"/>
                <w:color w:val="auto"/>
                <w:szCs w:val="21"/>
              </w:rPr>
              <w:t>得分相同的，按投标报价由低到高顺序排列。得分且投标报价相同的，按技术指标优劣顺序排列。</w:t>
            </w:r>
          </w:p>
        </w:tc>
      </w:tr>
      <w:tr w14:paraId="2E5EFF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7D3990BB">
            <w:pPr>
              <w:adjustRightInd w:val="0"/>
              <w:snapToGrid w:val="0"/>
              <w:spacing w:line="360" w:lineRule="exact"/>
              <w:jc w:val="center"/>
              <w:rPr>
                <w:rFonts w:ascii="宋体" w:hAnsi="宋体"/>
                <w:color w:val="auto"/>
                <w:szCs w:val="21"/>
              </w:rPr>
            </w:pPr>
            <w:r>
              <w:rPr>
                <w:rFonts w:hint="eastAsia" w:ascii="宋体" w:hAnsi="宋体"/>
                <w:color w:val="auto"/>
                <w:szCs w:val="21"/>
              </w:rPr>
              <w:t>第5.4（1）</w:t>
            </w:r>
            <w:r>
              <w:rPr>
                <w:rFonts w:hint="eastAsia" w:ascii="宋体" w:hAnsi="宋体" w:cs="宋体"/>
                <w:color w:val="auto"/>
                <w:kern w:val="0"/>
                <w:szCs w:val="21"/>
                <w:lang w:val="zh-CN"/>
              </w:rPr>
              <w:t>项</w:t>
            </w:r>
          </w:p>
        </w:tc>
        <w:tc>
          <w:tcPr>
            <w:tcW w:w="1984" w:type="dxa"/>
            <w:vAlign w:val="center"/>
          </w:tcPr>
          <w:p w14:paraId="57D42B06">
            <w:pPr>
              <w:adjustRightInd w:val="0"/>
              <w:snapToGrid w:val="0"/>
              <w:spacing w:line="360" w:lineRule="exact"/>
              <w:jc w:val="center"/>
              <w:rPr>
                <w:rFonts w:ascii="宋体" w:hAnsi="宋体"/>
                <w:bCs/>
                <w:color w:val="auto"/>
                <w:szCs w:val="21"/>
              </w:rPr>
            </w:pPr>
            <w:r>
              <w:rPr>
                <w:rFonts w:hint="eastAsia" w:ascii="宋体" w:hAnsi="宋体"/>
                <w:color w:val="auto"/>
                <w:szCs w:val="21"/>
              </w:rPr>
              <w:t>价格评审优惠</w:t>
            </w:r>
          </w:p>
        </w:tc>
        <w:tc>
          <w:tcPr>
            <w:tcW w:w="5054" w:type="dxa"/>
            <w:vAlign w:val="center"/>
          </w:tcPr>
          <w:p w14:paraId="74488FC3">
            <w:pPr>
              <w:adjustRightInd w:val="0"/>
              <w:snapToGri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给予小型和微型企业产品的价格给予10%-20%的扣除，用扣除后的价格参与评审，本项目具体扣除比例为</w:t>
            </w:r>
            <w:r>
              <w:rPr>
                <w:rFonts w:hint="eastAsia" w:ascii="宋体" w:hAnsi="宋体"/>
                <w:color w:val="auto"/>
                <w:szCs w:val="21"/>
                <w:u w:val="single"/>
              </w:rPr>
              <w:t xml:space="preserve"> 10 </w:t>
            </w:r>
            <w:r>
              <w:rPr>
                <w:rFonts w:hint="eastAsia" w:ascii="宋体" w:hAnsi="宋体"/>
                <w:color w:val="auto"/>
                <w:szCs w:val="21"/>
              </w:rPr>
              <w:t>％。</w:t>
            </w:r>
          </w:p>
          <w:p w14:paraId="07A92A25">
            <w:pPr>
              <w:spacing w:line="360" w:lineRule="exact"/>
              <w:rPr>
                <w:color w:val="auto"/>
                <w:szCs w:val="21"/>
              </w:rPr>
            </w:pPr>
            <w:bookmarkStart w:id="611" w:name="_Toc117192468"/>
            <w:bookmarkStart w:id="612" w:name="_Toc5096"/>
            <w:bookmarkStart w:id="613" w:name="_Toc10451"/>
            <w:bookmarkStart w:id="614" w:name="_Toc112704953"/>
            <w:bookmarkStart w:id="615" w:name="_Toc29159"/>
            <w:bookmarkStart w:id="616" w:name="_Toc114036732"/>
            <w:r>
              <w:rPr>
                <w:rFonts w:hint="eastAsia" w:ascii="宋体" w:hAnsi="宋体"/>
                <w:color w:val="auto"/>
                <w:szCs w:val="21"/>
              </w:rPr>
              <w:sym w:font="Wingdings" w:char="00A8"/>
            </w:r>
            <w:r>
              <w:rPr>
                <w:rFonts w:hint="eastAsia" w:ascii="宋体" w:hAnsi="宋体"/>
                <w:color w:val="auto"/>
                <w:szCs w:val="21"/>
              </w:rPr>
              <w:t>联合协议或者分包意向协议约定小微企业的合同份额占到合同总金额40%以上的，对联合体或者大中型企业的报价给予4%-6%的扣除，本项目具体扣除比例为</w:t>
            </w:r>
            <w:r>
              <w:rPr>
                <w:rFonts w:hint="eastAsia" w:ascii="宋体" w:hAnsi="宋体"/>
                <w:color w:val="auto"/>
                <w:szCs w:val="21"/>
                <w:u w:val="single"/>
              </w:rPr>
              <w:t xml:space="preserve"> / </w:t>
            </w:r>
            <w:r>
              <w:rPr>
                <w:rFonts w:hint="eastAsia" w:ascii="宋体" w:hAnsi="宋体"/>
                <w:color w:val="auto"/>
                <w:szCs w:val="21"/>
              </w:rPr>
              <w:t>%；</w:t>
            </w:r>
            <w:bookmarkEnd w:id="611"/>
            <w:bookmarkEnd w:id="612"/>
            <w:bookmarkEnd w:id="613"/>
            <w:bookmarkEnd w:id="614"/>
            <w:bookmarkEnd w:id="615"/>
            <w:bookmarkEnd w:id="616"/>
          </w:p>
          <w:p w14:paraId="6655EA37">
            <w:pPr>
              <w:adjustRightInd w:val="0"/>
              <w:snapToGrid w:val="0"/>
              <w:spacing w:line="360" w:lineRule="exact"/>
              <w:rPr>
                <w:rFonts w:ascii="宋体" w:hAnsi="宋体"/>
                <w:color w:val="auto"/>
                <w:szCs w:val="21"/>
              </w:rPr>
            </w:pPr>
            <w:r>
              <w:rPr>
                <w:rFonts w:hint="eastAsia" w:ascii="宋体" w:hAnsi="宋体"/>
                <w:color w:val="auto"/>
                <w:szCs w:val="21"/>
              </w:rPr>
              <w:t>（注：监狱企业、残疾人福利性单位视同小型、微型企业，享受评审中价格扣除等促进中小企业发展的政府采购政策）</w:t>
            </w:r>
          </w:p>
        </w:tc>
      </w:tr>
      <w:tr w14:paraId="31DE57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1568" w:type="dxa"/>
            <w:vMerge w:val="restart"/>
            <w:vAlign w:val="center"/>
          </w:tcPr>
          <w:p w14:paraId="659AE6A0">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第5.4（2）</w:t>
            </w:r>
            <w:r>
              <w:rPr>
                <w:rFonts w:hint="eastAsia" w:ascii="宋体" w:hAnsi="宋体" w:cs="宋体"/>
                <w:color w:val="auto"/>
                <w:kern w:val="0"/>
                <w:szCs w:val="21"/>
                <w:lang w:val="zh-CN"/>
              </w:rPr>
              <w:t>项</w:t>
            </w:r>
          </w:p>
        </w:tc>
        <w:tc>
          <w:tcPr>
            <w:tcW w:w="1984" w:type="dxa"/>
            <w:vMerge w:val="restart"/>
            <w:vAlign w:val="center"/>
          </w:tcPr>
          <w:p w14:paraId="31461D57">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优先采购</w:t>
            </w:r>
          </w:p>
        </w:tc>
        <w:tc>
          <w:tcPr>
            <w:tcW w:w="5054" w:type="dxa"/>
            <w:tcBorders>
              <w:bottom w:val="single" w:color="auto" w:sz="4" w:space="0"/>
            </w:tcBorders>
            <w:vAlign w:val="center"/>
          </w:tcPr>
          <w:p w14:paraId="4F0CD56C">
            <w:pPr>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 xml:space="preserve">(1)节能产品、环境标志产品：提供国家确定的认 </w:t>
            </w:r>
          </w:p>
          <w:p w14:paraId="0E0B04AA">
            <w:pPr>
              <w:spacing w:line="360" w:lineRule="exact"/>
              <w:rPr>
                <w:rFonts w:ascii="宋体" w:hAnsi="宋体"/>
                <w:color w:val="auto"/>
                <w:szCs w:val="21"/>
              </w:rPr>
            </w:pPr>
            <w:r>
              <w:rPr>
                <w:rFonts w:hint="eastAsia" w:ascii="宋体" w:hAnsi="宋体"/>
                <w:color w:val="auto"/>
                <w:szCs w:val="21"/>
              </w:rPr>
              <w:t xml:space="preserve">证机构出具的、处于有效期之内的节能产品、环境标志产品认证证书（复印件）。采用综合评分法，对于 </w:t>
            </w:r>
          </w:p>
          <w:p w14:paraId="40E4DBC3">
            <w:pPr>
              <w:spacing w:line="360" w:lineRule="exact"/>
              <w:rPr>
                <w:rFonts w:ascii="宋体" w:hAnsi="宋体"/>
                <w:color w:val="auto"/>
                <w:szCs w:val="21"/>
              </w:rPr>
            </w:pPr>
            <w:r>
              <w:rPr>
                <w:rFonts w:hint="eastAsia" w:ascii="宋体" w:hAnsi="宋体"/>
                <w:color w:val="auto"/>
                <w:szCs w:val="21"/>
              </w:rPr>
              <w:t>价格分和技术分，</w:t>
            </w:r>
            <w:r>
              <w:rPr>
                <w:rFonts w:hint="eastAsia" w:ascii="宋体" w:hAnsi="宋体"/>
                <w:color w:val="FF0000"/>
                <w:szCs w:val="21"/>
              </w:rPr>
              <w:t>分别给予总分值 4%的加分</w:t>
            </w:r>
            <w:r>
              <w:rPr>
                <w:rFonts w:hint="eastAsia" w:ascii="宋体" w:hAnsi="宋体"/>
                <w:color w:val="auto"/>
                <w:szCs w:val="21"/>
              </w:rPr>
              <w:t>。</w:t>
            </w:r>
          </w:p>
        </w:tc>
      </w:tr>
      <w:tr w14:paraId="3B881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1568" w:type="dxa"/>
            <w:vMerge w:val="continue"/>
            <w:vAlign w:val="center"/>
          </w:tcPr>
          <w:p w14:paraId="56E3E3EE">
            <w:pPr>
              <w:adjustRightInd w:val="0"/>
              <w:snapToGrid w:val="0"/>
              <w:spacing w:before="120" w:beforeLines="50" w:line="360" w:lineRule="auto"/>
              <w:jc w:val="center"/>
              <w:rPr>
                <w:rFonts w:ascii="宋体" w:hAnsi="宋体"/>
                <w:color w:val="auto"/>
                <w:szCs w:val="21"/>
              </w:rPr>
            </w:pPr>
          </w:p>
        </w:tc>
        <w:tc>
          <w:tcPr>
            <w:tcW w:w="1984" w:type="dxa"/>
            <w:vMerge w:val="continue"/>
            <w:tcBorders>
              <w:bottom w:val="single" w:color="auto" w:sz="4" w:space="0"/>
            </w:tcBorders>
            <w:vAlign w:val="center"/>
          </w:tcPr>
          <w:p w14:paraId="0021B67C">
            <w:pPr>
              <w:adjustRightInd w:val="0"/>
              <w:snapToGrid w:val="0"/>
              <w:spacing w:before="120" w:beforeLines="50" w:line="360" w:lineRule="auto"/>
              <w:jc w:val="center"/>
              <w:rPr>
                <w:rFonts w:ascii="宋体" w:hAnsi="宋体"/>
                <w:color w:val="auto"/>
                <w:szCs w:val="21"/>
              </w:rPr>
            </w:pPr>
          </w:p>
        </w:tc>
        <w:tc>
          <w:tcPr>
            <w:tcW w:w="5054" w:type="dxa"/>
            <w:tcBorders>
              <w:top w:val="single" w:color="auto" w:sz="4" w:space="0"/>
              <w:bottom w:val="single" w:color="auto" w:sz="4" w:space="0"/>
            </w:tcBorders>
            <w:vAlign w:val="center"/>
          </w:tcPr>
          <w:p w14:paraId="29961C1D">
            <w:pPr>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 xml:space="preserve">(1)投标供应商提供的产品取得两个及以上优先 </w:t>
            </w:r>
          </w:p>
          <w:p w14:paraId="4E11E6D3">
            <w:pPr>
              <w:spacing w:line="360" w:lineRule="exact"/>
              <w:rPr>
                <w:rFonts w:ascii="宋体" w:hAnsi="宋体"/>
                <w:color w:val="auto"/>
                <w:szCs w:val="21"/>
              </w:rPr>
            </w:pPr>
            <w:r>
              <w:rPr>
                <w:rFonts w:hint="eastAsia" w:ascii="宋体" w:hAnsi="宋体"/>
                <w:color w:val="auto"/>
                <w:szCs w:val="21"/>
              </w:rPr>
              <w:t xml:space="preserve">采购产品认证的，评审时只有其中一项产品能够享受 </w:t>
            </w:r>
          </w:p>
          <w:p w14:paraId="7AA7E049">
            <w:pPr>
              <w:spacing w:line="360" w:lineRule="exact"/>
              <w:rPr>
                <w:rFonts w:ascii="宋体" w:hAnsi="宋体"/>
                <w:color w:val="auto"/>
                <w:szCs w:val="21"/>
              </w:rPr>
            </w:pPr>
            <w:r>
              <w:rPr>
                <w:rFonts w:hint="eastAsia" w:ascii="宋体" w:hAnsi="宋体"/>
                <w:color w:val="auto"/>
                <w:szCs w:val="21"/>
              </w:rPr>
              <w:t xml:space="preserve">优先采购优惠（投标供应商自行选择，并在响应文件 </w:t>
            </w:r>
          </w:p>
          <w:p w14:paraId="6C6A0EA8">
            <w:pPr>
              <w:spacing w:line="360" w:lineRule="exact"/>
              <w:rPr>
                <w:rFonts w:ascii="宋体" w:hAnsi="宋体"/>
                <w:color w:val="auto"/>
                <w:szCs w:val="21"/>
              </w:rPr>
            </w:pPr>
            <w:r>
              <w:rPr>
                <w:rFonts w:hint="eastAsia" w:ascii="宋体" w:hAnsi="宋体"/>
                <w:color w:val="auto"/>
                <w:szCs w:val="21"/>
              </w:rPr>
              <w:t xml:space="preserve">中并填报相关信息及数据） </w:t>
            </w:r>
          </w:p>
          <w:p w14:paraId="4D50425E">
            <w:pPr>
              <w:spacing w:line="360" w:lineRule="exact"/>
              <w:rPr>
                <w:rFonts w:ascii="宋体" w:hAnsi="宋体"/>
                <w:color w:val="auto"/>
                <w:szCs w:val="21"/>
              </w:rPr>
            </w:pPr>
            <w:r>
              <w:rPr>
                <w:rFonts w:hint="eastAsia" w:ascii="宋体" w:hAnsi="宋体"/>
                <w:color w:val="auto"/>
                <w:szCs w:val="21"/>
              </w:rPr>
              <w:t xml:space="preserve">(2)小型和微型企业 的价格评审优惠可以与同时属于 </w:t>
            </w:r>
          </w:p>
          <w:p w14:paraId="48D0836E">
            <w:pPr>
              <w:spacing w:line="360" w:lineRule="exact"/>
              <w:rPr>
                <w:rFonts w:ascii="宋体" w:hAnsi="宋体"/>
                <w:color w:val="auto"/>
                <w:szCs w:val="21"/>
              </w:rPr>
            </w:pPr>
            <w:r>
              <w:rPr>
                <w:rFonts w:hint="eastAsia" w:ascii="宋体" w:hAnsi="宋体"/>
                <w:color w:val="auto"/>
                <w:szCs w:val="21"/>
              </w:rPr>
              <w:t xml:space="preserve">“节能产品”、“环境标志产品”中的一项优先采购 </w:t>
            </w:r>
          </w:p>
          <w:p w14:paraId="3F8C7F09">
            <w:pPr>
              <w:spacing w:line="360" w:lineRule="exact"/>
              <w:rPr>
                <w:rFonts w:ascii="宋体" w:hAnsi="宋体"/>
                <w:color w:val="auto"/>
                <w:szCs w:val="21"/>
              </w:rPr>
            </w:pPr>
            <w:r>
              <w:rPr>
                <w:rFonts w:hint="eastAsia" w:ascii="宋体" w:hAnsi="宋体"/>
                <w:color w:val="auto"/>
                <w:szCs w:val="21"/>
              </w:rPr>
              <w:t>优惠累加计算。</w:t>
            </w:r>
          </w:p>
        </w:tc>
      </w:tr>
      <w:tr w14:paraId="7B8C69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1568" w:type="dxa"/>
            <w:vMerge w:val="continue"/>
            <w:vAlign w:val="center"/>
          </w:tcPr>
          <w:p w14:paraId="62DC744E">
            <w:pPr>
              <w:adjustRightInd w:val="0"/>
              <w:snapToGrid w:val="0"/>
              <w:spacing w:before="120" w:beforeLines="50" w:line="360" w:lineRule="auto"/>
              <w:jc w:val="center"/>
              <w:rPr>
                <w:rFonts w:ascii="宋体" w:hAnsi="宋体"/>
                <w:color w:val="auto"/>
                <w:szCs w:val="21"/>
              </w:rPr>
            </w:pPr>
          </w:p>
        </w:tc>
        <w:tc>
          <w:tcPr>
            <w:tcW w:w="1984" w:type="dxa"/>
            <w:tcBorders>
              <w:top w:val="single" w:color="auto" w:sz="4" w:space="0"/>
            </w:tcBorders>
            <w:vAlign w:val="center"/>
          </w:tcPr>
          <w:p w14:paraId="376AA9EF">
            <w:pPr>
              <w:snapToGrid w:val="0"/>
              <w:spacing w:line="360" w:lineRule="exact"/>
              <w:jc w:val="center"/>
              <w:rPr>
                <w:rStyle w:val="112"/>
                <w:rFonts w:ascii="宋体" w:hAnsi="宋体"/>
                <w:color w:val="auto"/>
                <w:szCs w:val="21"/>
              </w:rPr>
            </w:pPr>
            <w:r>
              <w:rPr>
                <w:rFonts w:hint="eastAsia" w:ascii="宋体" w:hAnsi="宋体"/>
                <w:color w:val="auto"/>
                <w:szCs w:val="21"/>
              </w:rPr>
              <w:t>技术、价格分值调整计算方法</w:t>
            </w:r>
          </w:p>
        </w:tc>
        <w:tc>
          <w:tcPr>
            <w:tcW w:w="5054" w:type="dxa"/>
            <w:tcBorders>
              <w:top w:val="single" w:color="auto" w:sz="4" w:space="0"/>
            </w:tcBorders>
            <w:vAlign w:val="center"/>
          </w:tcPr>
          <w:p w14:paraId="519298F5">
            <w:pPr>
              <w:adjustRightInd w:val="0"/>
              <w:snapToGrid w:val="0"/>
              <w:spacing w:line="360" w:lineRule="exact"/>
              <w:rPr>
                <w:rFonts w:ascii="宋体" w:hAnsi="宋体" w:cs="宋体"/>
                <w:color w:val="auto"/>
                <w:szCs w:val="21"/>
              </w:rPr>
            </w:pPr>
            <w:r>
              <w:rPr>
                <w:rFonts w:hint="eastAsia" w:ascii="宋体" w:hAnsi="宋体" w:cs="宋体"/>
                <w:color w:val="auto"/>
                <w:szCs w:val="21"/>
              </w:rPr>
              <w:t>1、节能产品：</w:t>
            </w:r>
          </w:p>
          <w:p w14:paraId="751BAC6F">
            <w:pPr>
              <w:adjustRightInd w:val="0"/>
              <w:spacing w:line="360" w:lineRule="exact"/>
              <w:rPr>
                <w:rFonts w:ascii="宋体" w:hAnsi="宋体"/>
                <w:color w:val="auto"/>
                <w:szCs w:val="21"/>
              </w:rPr>
            </w:pPr>
            <w:r>
              <w:rPr>
                <w:rFonts w:hint="eastAsia" w:ascii="宋体" w:hAnsi="宋体"/>
                <w:color w:val="auto"/>
                <w:szCs w:val="21"/>
                <w:highlight w:val="white"/>
              </w:rPr>
              <w:t>技术加分＝技术分值× 加分比例×（节能产品报价÷总报价）；</w:t>
            </w:r>
          </w:p>
          <w:p w14:paraId="5D420E88">
            <w:pPr>
              <w:adjustRightInd w:val="0"/>
              <w:snapToGrid w:val="0"/>
              <w:spacing w:line="360" w:lineRule="exact"/>
              <w:ind w:left="210" w:hanging="210" w:hangingChars="100"/>
              <w:rPr>
                <w:rFonts w:ascii="宋体" w:hAnsi="宋体" w:cs="宋体"/>
                <w:color w:val="auto"/>
                <w:spacing w:val="-5"/>
                <w:szCs w:val="21"/>
              </w:rPr>
            </w:pPr>
            <w:r>
              <w:rPr>
                <w:rFonts w:hint="eastAsia" w:ascii="宋体" w:hAnsi="宋体"/>
                <w:color w:val="auto"/>
                <w:szCs w:val="21"/>
                <w:highlight w:val="white"/>
              </w:rPr>
              <w:t>价格加分＝价格分值×加分比例×（节能产品报价÷总报价）。</w:t>
            </w:r>
          </w:p>
          <w:p w14:paraId="7051B7EC">
            <w:pPr>
              <w:adjustRightInd w:val="0"/>
              <w:snapToGrid w:val="0"/>
              <w:spacing w:line="360" w:lineRule="exact"/>
              <w:rPr>
                <w:rFonts w:ascii="宋体" w:hAnsi="宋体" w:cs="宋体"/>
                <w:color w:val="auto"/>
                <w:szCs w:val="21"/>
              </w:rPr>
            </w:pPr>
            <w:r>
              <w:rPr>
                <w:rFonts w:hint="eastAsia" w:ascii="宋体" w:hAnsi="宋体" w:cs="宋体"/>
                <w:color w:val="auto"/>
                <w:szCs w:val="21"/>
              </w:rPr>
              <w:t>2、环境标志产品：</w:t>
            </w:r>
          </w:p>
          <w:p w14:paraId="4C1795BD">
            <w:pPr>
              <w:adjustRightInd w:val="0"/>
              <w:spacing w:line="360" w:lineRule="exact"/>
              <w:rPr>
                <w:rFonts w:ascii="宋体" w:hAnsi="宋体"/>
                <w:color w:val="auto"/>
                <w:szCs w:val="21"/>
              </w:rPr>
            </w:pPr>
            <w:r>
              <w:rPr>
                <w:rFonts w:hint="eastAsia" w:ascii="宋体" w:hAnsi="宋体"/>
                <w:color w:val="auto"/>
                <w:szCs w:val="21"/>
                <w:highlight w:val="white"/>
              </w:rPr>
              <w:t>技术加分＝技术分值×加分比例×（环境标志产品报价÷总报价）；</w:t>
            </w:r>
          </w:p>
          <w:p w14:paraId="7651504F">
            <w:pPr>
              <w:adjustRightInd w:val="0"/>
              <w:snapToGrid w:val="0"/>
              <w:spacing w:line="360" w:lineRule="exact"/>
              <w:ind w:hanging="1"/>
              <w:rPr>
                <w:rStyle w:val="112"/>
                <w:rFonts w:ascii="宋体" w:hAnsi="宋体"/>
                <w:color w:val="auto"/>
                <w:szCs w:val="21"/>
              </w:rPr>
            </w:pPr>
            <w:r>
              <w:rPr>
                <w:rFonts w:hint="eastAsia" w:ascii="宋体" w:hAnsi="宋体"/>
                <w:color w:val="auto"/>
                <w:szCs w:val="21"/>
                <w:highlight w:val="white"/>
              </w:rPr>
              <w:t>价格加分＝价格分值×加分比例×（环境标志产品报价÷总报价）</w:t>
            </w:r>
            <w:r>
              <w:rPr>
                <w:rFonts w:hint="eastAsia" w:ascii="宋体" w:hAnsi="宋体" w:cs="宋体"/>
                <w:color w:val="auto"/>
                <w:szCs w:val="21"/>
              </w:rPr>
              <w:t>。</w:t>
            </w:r>
          </w:p>
        </w:tc>
      </w:tr>
      <w:tr w14:paraId="36026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527B0168">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第6.1</w:t>
            </w:r>
            <w:r>
              <w:rPr>
                <w:rFonts w:hint="eastAsia" w:ascii="宋体" w:hAnsi="宋体" w:cs="宋体"/>
                <w:color w:val="auto"/>
                <w:kern w:val="0"/>
                <w:szCs w:val="21"/>
                <w:lang w:val="zh-CN"/>
              </w:rPr>
              <w:t>款</w:t>
            </w:r>
          </w:p>
        </w:tc>
        <w:tc>
          <w:tcPr>
            <w:tcW w:w="1984" w:type="dxa"/>
            <w:vAlign w:val="center"/>
          </w:tcPr>
          <w:p w14:paraId="756607A7">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中标候选人并列的确定中标人的方式</w:t>
            </w:r>
          </w:p>
        </w:tc>
        <w:tc>
          <w:tcPr>
            <w:tcW w:w="5054" w:type="dxa"/>
            <w:vAlign w:val="center"/>
          </w:tcPr>
          <w:p w14:paraId="07FD7DFB">
            <w:pPr>
              <w:adjustRightInd w:val="0"/>
              <w:snapToGrid w:val="0"/>
              <w:spacing w:line="360" w:lineRule="exact"/>
              <w:rPr>
                <w:rFonts w:ascii="宋体" w:hAnsi="宋体"/>
                <w:color w:val="auto"/>
                <w:szCs w:val="21"/>
              </w:rPr>
            </w:pPr>
            <w:r>
              <w:rPr>
                <w:rFonts w:hint="eastAsia" w:ascii="宋体" w:hAnsi="宋体"/>
                <w:color w:val="auto"/>
                <w:szCs w:val="21"/>
              </w:rPr>
              <w:t>完全满足采购文件实质性需求且综合得分最高的单位为中标单位，得分相同的，按投标报价由低到高顺序排列；得分且投标报价相同的，按技术指标优劣顺序排列。</w:t>
            </w:r>
          </w:p>
        </w:tc>
      </w:tr>
    </w:tbl>
    <w:p w14:paraId="73CCC354">
      <w:pPr>
        <w:pStyle w:val="3"/>
        <w:spacing w:after="120" w:afterLines="50"/>
        <w:jc w:val="center"/>
        <w:rPr>
          <w:rFonts w:ascii="黑体" w:hAnsi="黑体" w:eastAsia="黑体"/>
          <w:b w:val="0"/>
          <w:color w:val="auto"/>
          <w:sz w:val="28"/>
          <w:szCs w:val="28"/>
        </w:rPr>
      </w:pPr>
      <w:r>
        <w:rPr>
          <w:rFonts w:ascii="宋体" w:hAnsi="宋体"/>
          <w:color w:val="auto"/>
        </w:rPr>
        <w:br w:type="page"/>
      </w:r>
      <w:bookmarkStart w:id="617" w:name="_Toc108341958"/>
      <w:bookmarkStart w:id="618" w:name="_Toc192951233"/>
      <w:bookmarkStart w:id="619" w:name="_Toc15888507"/>
      <w:bookmarkStart w:id="620" w:name="_Toc31907"/>
      <w:bookmarkStart w:id="621" w:name="_Toc100670442"/>
      <w:bookmarkStart w:id="622" w:name="_Toc78314283"/>
      <w:bookmarkStart w:id="623" w:name="_Toc14977"/>
      <w:bookmarkStart w:id="624" w:name="_Toc11713"/>
      <w:bookmarkStart w:id="625" w:name="_Toc30695"/>
      <w:bookmarkStart w:id="626" w:name="_Toc23580"/>
      <w:bookmarkStart w:id="627" w:name="_Toc171273691"/>
      <w:bookmarkStart w:id="628" w:name="_Toc154428410"/>
      <w:bookmarkStart w:id="629" w:name="_Toc75289569"/>
      <w:bookmarkStart w:id="630" w:name="_Toc117192469"/>
      <w:bookmarkStart w:id="631" w:name="_Toc75289249"/>
      <w:bookmarkStart w:id="632" w:name="_Toc12839"/>
      <w:bookmarkStart w:id="633" w:name="_Toc85972951"/>
      <w:bookmarkStart w:id="634" w:name="_Toc112704954"/>
      <w:bookmarkStart w:id="635" w:name="_Toc15853"/>
      <w:bookmarkStart w:id="636" w:name="_Toc100670689"/>
      <w:bookmarkStart w:id="637" w:name="_Toc77676487"/>
      <w:bookmarkStart w:id="638" w:name="_Toc192949722"/>
      <w:bookmarkStart w:id="639" w:name="_Toc77199420"/>
      <w:bookmarkStart w:id="640" w:name="_Toc94367901"/>
      <w:bookmarkStart w:id="641" w:name="_Toc114036733"/>
      <w:bookmarkStart w:id="642" w:name="_Toc3815"/>
      <w:bookmarkStart w:id="643" w:name="_Toc29406"/>
      <w:bookmarkStart w:id="644" w:name="_Toc192949623"/>
      <w:bookmarkStart w:id="645" w:name="_Toc78449976"/>
      <w:bookmarkStart w:id="646" w:name="_Toc95601386"/>
      <w:r>
        <w:rPr>
          <w:rFonts w:hint="eastAsia" w:ascii="黑体" w:hAnsi="黑体" w:eastAsia="黑体"/>
          <w:b w:val="0"/>
          <w:color w:val="auto"/>
          <w:sz w:val="28"/>
          <w:szCs w:val="28"/>
        </w:rPr>
        <w:t>第二节  评标方法及标准</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4A6076D9">
      <w:pPr>
        <w:pStyle w:val="4"/>
        <w:adjustRightInd w:val="0"/>
        <w:snapToGrid w:val="0"/>
        <w:spacing w:before="0" w:after="0" w:line="360" w:lineRule="auto"/>
        <w:rPr>
          <w:rFonts w:ascii="宋体" w:hAnsi="宋体"/>
          <w:color w:val="auto"/>
          <w:sz w:val="24"/>
          <w:szCs w:val="24"/>
        </w:rPr>
      </w:pPr>
      <w:bookmarkStart w:id="647" w:name="_Toc77199421"/>
      <w:bookmarkStart w:id="648" w:name="_Toc100670690"/>
      <w:bookmarkStart w:id="649" w:name="_Toc94367902"/>
      <w:bookmarkStart w:id="650" w:name="_Toc154428411"/>
      <w:bookmarkStart w:id="651" w:name="_Toc75289250"/>
      <w:bookmarkStart w:id="652" w:name="_Toc78314284"/>
      <w:bookmarkStart w:id="653" w:name="_Toc85972952"/>
      <w:bookmarkStart w:id="654" w:name="_Toc2358"/>
      <w:bookmarkStart w:id="655" w:name="_Toc75289570"/>
      <w:bookmarkStart w:id="656" w:name="_Toc95601387"/>
      <w:bookmarkStart w:id="657" w:name="_Toc20549"/>
      <w:bookmarkStart w:id="658" w:name="_Toc78449977"/>
      <w:bookmarkStart w:id="659" w:name="_Toc100670443"/>
      <w:bookmarkStart w:id="660" w:name="_Toc192949624"/>
      <w:bookmarkStart w:id="661" w:name="_Toc112704955"/>
      <w:bookmarkStart w:id="662" w:name="_Toc108341959"/>
      <w:bookmarkStart w:id="663" w:name="_Toc1198"/>
      <w:bookmarkStart w:id="664" w:name="_Toc5884"/>
      <w:bookmarkStart w:id="665" w:name="_Toc23844"/>
      <w:bookmarkStart w:id="666" w:name="_Toc77676488"/>
      <w:bookmarkStart w:id="667" w:name="_Toc9225"/>
      <w:bookmarkStart w:id="668" w:name="_Toc2060"/>
      <w:bookmarkStart w:id="669" w:name="_Toc192949723"/>
      <w:bookmarkStart w:id="670" w:name="_Toc15888508"/>
      <w:bookmarkStart w:id="671" w:name="_Toc114036734"/>
      <w:bookmarkStart w:id="672" w:name="_Toc117192470"/>
      <w:bookmarkStart w:id="673" w:name="_Toc18591"/>
      <w:bookmarkStart w:id="674" w:name="_Toc171273692"/>
      <w:bookmarkStart w:id="675" w:name="_Toc20274"/>
      <w:bookmarkStart w:id="676" w:name="_Toc192951234"/>
      <w:r>
        <w:rPr>
          <w:rFonts w:hint="eastAsia" w:ascii="宋体" w:hAnsi="宋体"/>
          <w:color w:val="auto"/>
          <w:sz w:val="24"/>
          <w:szCs w:val="24"/>
        </w:rPr>
        <w:t>1．评标方法</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1F91487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1.1综合评分法，指投标文件满足招标文件全部实质性要求，且按照评审因素的量化指标评审得分最高的投标人为中标候选人的评标方法。</w:t>
      </w:r>
    </w:p>
    <w:p w14:paraId="5F7C8F13">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1.2最低评标价，是指投标文件满足招标文件全部实质性要求，且投标报价最低的投标人为中标候选人的评标方法。</w:t>
      </w:r>
    </w:p>
    <w:p w14:paraId="3D89C1E3">
      <w:pPr>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1.3本采购项目评标方法见本章第一节</w:t>
      </w:r>
      <w:r>
        <w:rPr>
          <w:rFonts w:hint="eastAsia" w:ascii="宋体" w:hAnsi="宋体"/>
          <w:b/>
          <w:color w:val="auto"/>
          <w:szCs w:val="21"/>
        </w:rPr>
        <w:t>【评标方法及标准前附表】</w:t>
      </w:r>
      <w:r>
        <w:rPr>
          <w:rFonts w:hint="eastAsia" w:ascii="宋体" w:hAnsi="宋体"/>
          <w:color w:val="auto"/>
          <w:szCs w:val="21"/>
        </w:rPr>
        <w:t>。</w:t>
      </w:r>
    </w:p>
    <w:p w14:paraId="2BDAB923">
      <w:pPr>
        <w:pStyle w:val="4"/>
        <w:adjustRightInd w:val="0"/>
        <w:snapToGrid w:val="0"/>
        <w:spacing w:before="0" w:after="0" w:line="360" w:lineRule="auto"/>
        <w:rPr>
          <w:rFonts w:ascii="宋体" w:hAnsi="宋体"/>
          <w:bCs w:val="0"/>
          <w:color w:val="auto"/>
          <w:sz w:val="24"/>
          <w:szCs w:val="24"/>
        </w:rPr>
      </w:pPr>
      <w:bookmarkStart w:id="677" w:name="_Toc112704956"/>
      <w:bookmarkStart w:id="678" w:name="_Toc94367903"/>
      <w:bookmarkStart w:id="679" w:name="_Toc192951235"/>
      <w:bookmarkStart w:id="680" w:name="_Toc75289571"/>
      <w:bookmarkStart w:id="681" w:name="_Toc28336"/>
      <w:bookmarkStart w:id="682" w:name="_Toc114036735"/>
      <w:bookmarkStart w:id="683" w:name="_Toc100670444"/>
      <w:bookmarkStart w:id="684" w:name="_Toc6540"/>
      <w:bookmarkStart w:id="685" w:name="_Toc192949625"/>
      <w:bookmarkStart w:id="686" w:name="_Toc78449978"/>
      <w:bookmarkStart w:id="687" w:name="_Toc20959"/>
      <w:bookmarkStart w:id="688" w:name="_Toc9186"/>
      <w:bookmarkStart w:id="689" w:name="_Toc154428412"/>
      <w:bookmarkStart w:id="690" w:name="_Toc75289251"/>
      <w:bookmarkStart w:id="691" w:name="_Toc108341960"/>
      <w:bookmarkStart w:id="692" w:name="_Toc77676489"/>
      <w:bookmarkStart w:id="693" w:name="_Toc85972953"/>
      <w:bookmarkStart w:id="694" w:name="_Toc15888509"/>
      <w:bookmarkStart w:id="695" w:name="_Toc117192471"/>
      <w:bookmarkStart w:id="696" w:name="_Toc95601388"/>
      <w:bookmarkStart w:id="697" w:name="_Toc11555"/>
      <w:bookmarkStart w:id="698" w:name="_Toc27639"/>
      <w:bookmarkStart w:id="699" w:name="_Toc77199422"/>
      <w:bookmarkStart w:id="700" w:name="_Toc100670691"/>
      <w:bookmarkStart w:id="701" w:name="_Toc18042"/>
      <w:bookmarkStart w:id="702" w:name="_Toc4535"/>
      <w:bookmarkStart w:id="703" w:name="_Toc10283"/>
      <w:bookmarkStart w:id="704" w:name="_Toc78314285"/>
      <w:bookmarkStart w:id="705" w:name="_Toc171273693"/>
      <w:bookmarkStart w:id="706" w:name="_Toc192949724"/>
      <w:r>
        <w:rPr>
          <w:rFonts w:hint="eastAsia" w:ascii="宋体" w:hAnsi="宋体"/>
          <w:bCs w:val="0"/>
          <w:color w:val="auto"/>
          <w:sz w:val="24"/>
          <w:szCs w:val="24"/>
        </w:rPr>
        <w:t>2．评标程序</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14:paraId="7A9C50CB">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2.1评标程序分为投标文件符合性审查、澄清有关问题、比较和评价、推荐中标候选人。</w:t>
      </w:r>
    </w:p>
    <w:p w14:paraId="60E5EA57">
      <w:pPr>
        <w:pStyle w:val="4"/>
        <w:adjustRightInd w:val="0"/>
        <w:snapToGrid w:val="0"/>
        <w:spacing w:before="0" w:after="0" w:line="360" w:lineRule="auto"/>
        <w:rPr>
          <w:rFonts w:ascii="宋体" w:hAnsi="宋体"/>
          <w:bCs w:val="0"/>
          <w:color w:val="auto"/>
          <w:sz w:val="24"/>
          <w:szCs w:val="24"/>
        </w:rPr>
      </w:pPr>
      <w:bookmarkStart w:id="707" w:name="_Toc75289252"/>
      <w:bookmarkStart w:id="708" w:name="_Toc100670692"/>
      <w:bookmarkStart w:id="709" w:name="_Toc100670445"/>
      <w:bookmarkStart w:id="710" w:name="_Toc114036736"/>
      <w:bookmarkStart w:id="711" w:name="_Toc6923"/>
      <w:bookmarkStart w:id="712" w:name="_Toc20203"/>
      <w:bookmarkStart w:id="713" w:name="_Toc94367904"/>
      <w:bookmarkStart w:id="714" w:name="_Toc15888510"/>
      <w:bookmarkStart w:id="715" w:name="_Toc77676490"/>
      <w:bookmarkStart w:id="716" w:name="_Toc112704957"/>
      <w:bookmarkStart w:id="717" w:name="_Toc75289572"/>
      <w:bookmarkStart w:id="718" w:name="_Toc15208"/>
      <w:bookmarkStart w:id="719" w:name="_Toc28097"/>
      <w:bookmarkStart w:id="720" w:name="_Toc192949626"/>
      <w:bookmarkStart w:id="721" w:name="_Toc78314286"/>
      <w:bookmarkStart w:id="722" w:name="_Toc108341961"/>
      <w:bookmarkStart w:id="723" w:name="_Toc11770"/>
      <w:bookmarkStart w:id="724" w:name="_Toc78449979"/>
      <w:bookmarkStart w:id="725" w:name="_Toc154428413"/>
      <w:bookmarkStart w:id="726" w:name="_Toc117192472"/>
      <w:bookmarkStart w:id="727" w:name="_Toc171273694"/>
      <w:bookmarkStart w:id="728" w:name="_Toc7194"/>
      <w:bookmarkStart w:id="729" w:name="_Toc74"/>
      <w:bookmarkStart w:id="730" w:name="_Toc77199423"/>
      <w:bookmarkStart w:id="731" w:name="_Toc24196"/>
      <w:bookmarkStart w:id="732" w:name="_Toc192949725"/>
      <w:bookmarkStart w:id="733" w:name="_Toc85972954"/>
      <w:bookmarkStart w:id="734" w:name="_Toc192951236"/>
      <w:bookmarkStart w:id="735" w:name="_Toc12331"/>
      <w:bookmarkStart w:id="736" w:name="_Toc95601389"/>
      <w:r>
        <w:rPr>
          <w:rFonts w:hint="eastAsia" w:ascii="宋体" w:hAnsi="宋体"/>
          <w:bCs w:val="0"/>
          <w:color w:val="auto"/>
          <w:sz w:val="24"/>
          <w:szCs w:val="24"/>
        </w:rPr>
        <w:t>3．投标文件符合性审查</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14:paraId="2213BBC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3.1资格审查结束后，评标委员会依法按照本章第三节“投标文件的符合性审查”规定进行投标文件符合性。</w:t>
      </w:r>
    </w:p>
    <w:p w14:paraId="03143D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3.2符合性审查合格投标人少于3家的，应予废标。</w:t>
      </w:r>
    </w:p>
    <w:p w14:paraId="257FA36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3.3单一产品采购项目：提供相同品牌产品的不同投标人参加同一合同项下投标的，按一家投标人计算。提供不同品牌产品的投标人不足三家的，应予废标。</w:t>
      </w:r>
    </w:p>
    <w:p w14:paraId="68E6353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3.4非单一产品采购项目：采购人或者采购代理机构将在</w:t>
      </w:r>
      <w:r>
        <w:rPr>
          <w:rFonts w:hint="eastAsia" w:ascii="宋体" w:hAnsi="宋体"/>
          <w:b/>
          <w:color w:val="auto"/>
          <w:szCs w:val="21"/>
        </w:rPr>
        <w:t>【评标方法及标准前附表】</w:t>
      </w:r>
      <w:r>
        <w:rPr>
          <w:rFonts w:hint="eastAsia" w:ascii="宋体" w:hAnsi="宋体"/>
          <w:color w:val="auto"/>
          <w:szCs w:val="21"/>
        </w:rPr>
        <w:t>中载明核心产品。多家投标人提供的核心产品品牌相同的，视为相同品牌，按本章本节第3.3款规定处理。</w:t>
      </w:r>
    </w:p>
    <w:p w14:paraId="579AD4E8">
      <w:pPr>
        <w:pStyle w:val="4"/>
        <w:adjustRightInd w:val="0"/>
        <w:snapToGrid w:val="0"/>
        <w:spacing w:before="0" w:after="0" w:line="360" w:lineRule="auto"/>
        <w:rPr>
          <w:rFonts w:ascii="宋体" w:hAnsi="宋体"/>
          <w:bCs w:val="0"/>
          <w:color w:val="auto"/>
          <w:sz w:val="24"/>
          <w:szCs w:val="24"/>
        </w:rPr>
      </w:pPr>
      <w:bookmarkStart w:id="737" w:name="_Toc15888511"/>
      <w:bookmarkStart w:id="738" w:name="_Toc75289253"/>
      <w:bookmarkStart w:id="739" w:name="_Toc117192473"/>
      <w:bookmarkStart w:id="740" w:name="_Toc77676491"/>
      <w:bookmarkStart w:id="741" w:name="_Toc114036737"/>
      <w:bookmarkStart w:id="742" w:name="_Toc78449980"/>
      <w:bookmarkStart w:id="743" w:name="_Toc77199424"/>
      <w:bookmarkStart w:id="744" w:name="_Toc112704958"/>
      <w:bookmarkStart w:id="745" w:name="_Toc100670693"/>
      <w:bookmarkStart w:id="746" w:name="_Toc16112"/>
      <w:bookmarkStart w:id="747" w:name="_Toc85972955"/>
      <w:bookmarkStart w:id="748" w:name="_Toc75289573"/>
      <w:bookmarkStart w:id="749" w:name="_Toc154428414"/>
      <w:bookmarkStart w:id="750" w:name="_Toc1997"/>
      <w:bookmarkStart w:id="751" w:name="_Toc171273695"/>
      <w:bookmarkStart w:id="752" w:name="_Toc95601390"/>
      <w:bookmarkStart w:id="753" w:name="_Toc17260"/>
      <w:bookmarkStart w:id="754" w:name="_Toc192951237"/>
      <w:bookmarkStart w:id="755" w:name="_Toc12018"/>
      <w:bookmarkStart w:id="756" w:name="_Toc94367905"/>
      <w:bookmarkStart w:id="757" w:name="_Toc78314287"/>
      <w:bookmarkStart w:id="758" w:name="_Toc7079"/>
      <w:bookmarkStart w:id="759" w:name="_Toc23422"/>
      <w:bookmarkStart w:id="760" w:name="_Toc100670446"/>
      <w:bookmarkStart w:id="761" w:name="_Toc11656"/>
      <w:bookmarkStart w:id="762" w:name="_Toc192949726"/>
      <w:bookmarkStart w:id="763" w:name="_Toc331"/>
      <w:bookmarkStart w:id="764" w:name="_Toc23510"/>
      <w:bookmarkStart w:id="765" w:name="_Toc108341962"/>
      <w:bookmarkStart w:id="766" w:name="_Toc192949627"/>
      <w:r>
        <w:rPr>
          <w:rFonts w:hint="eastAsia" w:ascii="宋体" w:hAnsi="宋体"/>
          <w:bCs w:val="0"/>
          <w:color w:val="auto"/>
          <w:sz w:val="24"/>
          <w:szCs w:val="24"/>
        </w:rPr>
        <w:t>4．</w:t>
      </w:r>
      <w:bookmarkEnd w:id="737"/>
      <w:r>
        <w:rPr>
          <w:rFonts w:hint="eastAsia" w:ascii="宋体" w:hAnsi="宋体"/>
          <w:bCs w:val="0"/>
          <w:color w:val="auto"/>
          <w:sz w:val="24"/>
          <w:szCs w:val="24"/>
        </w:rPr>
        <w:t>投标文件的澄清</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14:paraId="66E036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4.1对于投标文件中含义不明确、同类问题表述不一致或者有明显文字和计算错误的内容，评标委员会应当要求投标人作出必要的澄清、说明或者补正。</w:t>
      </w:r>
    </w:p>
    <w:p w14:paraId="1C08D2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4.2投标文件的投标报价出现前后不一致的，除</w:t>
      </w:r>
      <w:r>
        <w:rPr>
          <w:rFonts w:hint="eastAsia" w:ascii="宋体" w:hAnsi="宋体"/>
          <w:b/>
          <w:color w:val="auto"/>
          <w:szCs w:val="21"/>
        </w:rPr>
        <w:t>【评标方法及标准前附表】</w:t>
      </w:r>
      <w:r>
        <w:rPr>
          <w:rFonts w:hint="eastAsia" w:ascii="宋体" w:hAnsi="宋体"/>
          <w:color w:val="auto"/>
          <w:szCs w:val="21"/>
        </w:rPr>
        <w:t>另有规定外，按照下列规定修正：</w:t>
      </w:r>
    </w:p>
    <w:p w14:paraId="2972C17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（1）投标文件中开标一览表内容与投标文件中相应内容不一致的，以开标一览表为准；</w:t>
      </w:r>
    </w:p>
    <w:p w14:paraId="7AD90D7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（2）大写金额和小写金额不一致的，以大写金额为准；</w:t>
      </w:r>
    </w:p>
    <w:p w14:paraId="44D8166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（3）单价金额小数点或者百分比有明显错位的，以开标一览表的总价为准，并修改单价；</w:t>
      </w:r>
    </w:p>
    <w:p w14:paraId="46F5E8B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（4）总价金额与按单价汇总金额不一致的，以单价金额计算结果为准。</w:t>
      </w:r>
    </w:p>
    <w:p w14:paraId="72EBC51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4.3投标文件报价同时出现两种以上不一致的，按照前款规定的顺序修正。修正后的报价由投标人代表签字或者加盖单位章确认后产生约束力，投标人不确认的，其投标无效。</w:t>
      </w:r>
    </w:p>
    <w:p w14:paraId="3F63F19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4.4投标人的澄清、说明或者补正应当采用书面形式，并加盖公章，或者由法定代表人或其授权的代表签字，并按评标委员会的通知要求递交。投标人的澄清、说明或者补正不得超出投标文件的范围或者改变投标文件的实质性内容。</w:t>
      </w:r>
    </w:p>
    <w:p w14:paraId="5A4038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4.5有效的书面澄清材料，是投标文件的补充材料，成为投标文件的组成部分。</w:t>
      </w:r>
    </w:p>
    <w:p w14:paraId="36B2914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4.6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投标无效处理。</w:t>
      </w:r>
    </w:p>
    <w:p w14:paraId="6CCD3F86">
      <w:pPr>
        <w:pStyle w:val="4"/>
        <w:adjustRightInd w:val="0"/>
        <w:snapToGrid w:val="0"/>
        <w:spacing w:before="0" w:after="0" w:line="360" w:lineRule="auto"/>
        <w:rPr>
          <w:rFonts w:ascii="宋体" w:hAnsi="宋体"/>
          <w:bCs w:val="0"/>
          <w:color w:val="auto"/>
          <w:sz w:val="24"/>
          <w:szCs w:val="24"/>
        </w:rPr>
      </w:pPr>
      <w:bookmarkStart w:id="767" w:name="_Toc100670694"/>
      <w:bookmarkStart w:id="768" w:name="_Toc18267"/>
      <w:bookmarkStart w:id="769" w:name="_Toc11082"/>
      <w:bookmarkStart w:id="770" w:name="_Toc95601391"/>
      <w:bookmarkStart w:id="771" w:name="_Toc192949727"/>
      <w:bookmarkStart w:id="772" w:name="_Toc75289254"/>
      <w:bookmarkStart w:id="773" w:name="_Toc77199425"/>
      <w:bookmarkStart w:id="774" w:name="_Toc78449981"/>
      <w:bookmarkStart w:id="775" w:name="_Toc2762"/>
      <w:bookmarkStart w:id="776" w:name="_Toc154428415"/>
      <w:bookmarkStart w:id="777" w:name="_Toc14375"/>
      <w:bookmarkStart w:id="778" w:name="_Toc85972956"/>
      <w:bookmarkStart w:id="779" w:name="_Toc77676492"/>
      <w:bookmarkStart w:id="780" w:name="_Toc75289574"/>
      <w:bookmarkStart w:id="781" w:name="_Toc114036738"/>
      <w:bookmarkStart w:id="782" w:name="_Toc192951238"/>
      <w:bookmarkStart w:id="783" w:name="_Toc117192474"/>
      <w:bookmarkStart w:id="784" w:name="_Toc108341963"/>
      <w:bookmarkStart w:id="785" w:name="_Toc171273696"/>
      <w:bookmarkStart w:id="786" w:name="_Toc15888512"/>
      <w:bookmarkStart w:id="787" w:name="_Toc94367906"/>
      <w:bookmarkStart w:id="788" w:name="_Toc192949628"/>
      <w:bookmarkStart w:id="789" w:name="_Toc30333"/>
      <w:bookmarkStart w:id="790" w:name="_Toc3752"/>
      <w:bookmarkStart w:id="791" w:name="_Toc27743"/>
      <w:bookmarkStart w:id="792" w:name="_Toc112704959"/>
      <w:bookmarkStart w:id="793" w:name="_Toc100670447"/>
      <w:bookmarkStart w:id="794" w:name="_Toc30844"/>
      <w:bookmarkStart w:id="795" w:name="_Toc1304"/>
      <w:bookmarkStart w:id="796" w:name="_Toc78314288"/>
      <w:r>
        <w:rPr>
          <w:rFonts w:hint="eastAsia" w:ascii="宋体" w:hAnsi="宋体"/>
          <w:bCs w:val="0"/>
          <w:color w:val="auto"/>
          <w:sz w:val="24"/>
          <w:szCs w:val="24"/>
        </w:rPr>
        <w:t>5．投标文件的比较与评价</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02ED4056">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5.1评标委员会依法按照本章第四节“投标文件的比较与评价”规定，对资格性检查和符合性检查合格的投标文件进行比较和评价。</w:t>
      </w:r>
    </w:p>
    <w:p w14:paraId="5CB0C1C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5.2单一产品采购项目：</w:t>
      </w:r>
    </w:p>
    <w:p w14:paraId="2364DCC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综合评分法：提供相同品牌产品且通过资格审查、符合性审查的不同投标人参加同一合同项下投标的，评审后得分最高的同品牌投标人获得中标人推荐资格；评审得分相同的，按照</w:t>
      </w:r>
      <w:r>
        <w:rPr>
          <w:rFonts w:hint="eastAsia" w:ascii="宋体" w:hAnsi="宋体"/>
          <w:b/>
          <w:color w:val="auto"/>
          <w:szCs w:val="21"/>
        </w:rPr>
        <w:t>【评标方法及标准前附表】</w:t>
      </w:r>
      <w:r>
        <w:rPr>
          <w:rFonts w:hint="eastAsia" w:ascii="宋体" w:hAnsi="宋体"/>
          <w:color w:val="auto"/>
          <w:szCs w:val="21"/>
        </w:rPr>
        <w:t>规定的方式确定一个投标人获得中标人推荐资格，招标文件未规定的采取随机抽取方式确定，其他同品牌投标人</w:t>
      </w:r>
      <w:r>
        <w:rPr>
          <w:rFonts w:hint="eastAsia" w:ascii="宋体" w:hAnsi="宋体"/>
          <w:b/>
          <w:color w:val="auto"/>
          <w:szCs w:val="21"/>
        </w:rPr>
        <w:t>不作为中标候选人</w:t>
      </w:r>
      <w:r>
        <w:rPr>
          <w:rFonts w:hint="eastAsia" w:ascii="宋体" w:hAnsi="宋体"/>
          <w:color w:val="auto"/>
          <w:szCs w:val="21"/>
        </w:rPr>
        <w:t>。</w:t>
      </w:r>
    </w:p>
    <w:p w14:paraId="370ADE68">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5.3非单一产品采购项目：多家投标人提供的核心产品品牌相同的，视为相同品牌，按本章本节第 5.2 款规定处理。</w:t>
      </w:r>
    </w:p>
    <w:p w14:paraId="1EC1149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5.4政府采购政策：</w:t>
      </w:r>
    </w:p>
    <w:p w14:paraId="7861C89D">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（1）</w:t>
      </w:r>
      <w:r>
        <w:rPr>
          <w:rFonts w:hint="eastAsia" w:ascii="宋体" w:hAnsi="宋体"/>
          <w:bCs/>
          <w:color w:val="auto"/>
          <w:szCs w:val="21"/>
        </w:rPr>
        <w:t>价格评审优惠：</w:t>
      </w:r>
      <w:r>
        <w:rPr>
          <w:rFonts w:hint="eastAsia" w:ascii="宋体" w:hAnsi="宋体"/>
          <w:color w:val="auto"/>
          <w:szCs w:val="21"/>
        </w:rPr>
        <w:t>按</w:t>
      </w:r>
      <w:r>
        <w:rPr>
          <w:rFonts w:hint="eastAsia" w:ascii="宋体" w:hAnsi="宋体"/>
          <w:b/>
          <w:color w:val="auto"/>
          <w:szCs w:val="21"/>
        </w:rPr>
        <w:t>【评标方法及标准前附表】</w:t>
      </w:r>
      <w:r>
        <w:rPr>
          <w:rFonts w:hint="eastAsia" w:ascii="宋体" w:hAnsi="宋体"/>
          <w:color w:val="auto"/>
          <w:szCs w:val="21"/>
        </w:rPr>
        <w:t>及第二章“投标须知”的相关规定给予相应比例的价格折扣。</w:t>
      </w:r>
    </w:p>
    <w:p w14:paraId="14DE3A8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（2）优先采购：</w:t>
      </w:r>
      <w:r>
        <w:rPr>
          <w:rFonts w:hint="eastAsia" w:ascii="宋体" w:hAnsi="宋体"/>
          <w:bCs/>
          <w:color w:val="auto"/>
          <w:szCs w:val="21"/>
        </w:rPr>
        <w:t>评审时按</w:t>
      </w:r>
      <w:r>
        <w:rPr>
          <w:rFonts w:hint="eastAsia" w:ascii="宋体" w:hAnsi="宋体"/>
          <w:b/>
          <w:color w:val="auto"/>
          <w:szCs w:val="21"/>
        </w:rPr>
        <w:t>【评标方法及标准前附表】</w:t>
      </w:r>
      <w:r>
        <w:rPr>
          <w:rFonts w:hint="eastAsia" w:ascii="宋体" w:hAnsi="宋体"/>
          <w:bCs/>
          <w:color w:val="auto"/>
          <w:szCs w:val="21"/>
        </w:rPr>
        <w:t>及第二章</w:t>
      </w:r>
      <w:r>
        <w:rPr>
          <w:rFonts w:hint="eastAsia" w:ascii="宋体" w:hAnsi="宋体"/>
          <w:color w:val="auto"/>
          <w:szCs w:val="21"/>
        </w:rPr>
        <w:t>“投标须知”</w:t>
      </w:r>
      <w:r>
        <w:rPr>
          <w:rFonts w:hint="eastAsia" w:ascii="宋体" w:hAnsi="宋体"/>
          <w:bCs/>
          <w:color w:val="auto"/>
          <w:szCs w:val="21"/>
        </w:rPr>
        <w:t>的相关规定给予</w:t>
      </w:r>
      <w:r>
        <w:rPr>
          <w:rFonts w:hint="eastAsia" w:ascii="宋体" w:hAnsi="宋体"/>
          <w:color w:val="auto"/>
          <w:szCs w:val="21"/>
        </w:rPr>
        <w:t>相应比例的</w:t>
      </w:r>
      <w:r>
        <w:rPr>
          <w:rFonts w:hint="eastAsia" w:ascii="宋体" w:hAnsi="宋体"/>
          <w:bCs/>
          <w:color w:val="auto"/>
          <w:szCs w:val="21"/>
        </w:rPr>
        <w:t>价格折扣或者加分。</w:t>
      </w:r>
    </w:p>
    <w:p w14:paraId="14BF6899">
      <w:pPr>
        <w:pStyle w:val="4"/>
        <w:adjustRightInd w:val="0"/>
        <w:snapToGrid w:val="0"/>
        <w:spacing w:before="0" w:after="0" w:line="360" w:lineRule="auto"/>
        <w:rPr>
          <w:rFonts w:ascii="宋体" w:hAnsi="宋体"/>
          <w:color w:val="auto"/>
          <w:sz w:val="24"/>
          <w:szCs w:val="24"/>
        </w:rPr>
      </w:pPr>
      <w:bookmarkStart w:id="797" w:name="_Toc15888513"/>
      <w:bookmarkStart w:id="798" w:name="_Toc75289575"/>
      <w:bookmarkStart w:id="799" w:name="_Toc6957"/>
      <w:bookmarkStart w:id="800" w:name="_Toc20127"/>
      <w:bookmarkStart w:id="801" w:name="_Toc100670695"/>
      <w:bookmarkStart w:id="802" w:name="_Toc94367907"/>
      <w:bookmarkStart w:id="803" w:name="_Toc11688"/>
      <w:bookmarkStart w:id="804" w:name="_Toc77199426"/>
      <w:bookmarkStart w:id="805" w:name="_Toc171273697"/>
      <w:bookmarkStart w:id="806" w:name="_Toc192951239"/>
      <w:bookmarkStart w:id="807" w:name="_Toc112704960"/>
      <w:bookmarkStart w:id="808" w:name="_Toc117192475"/>
      <w:bookmarkStart w:id="809" w:name="_Toc85972957"/>
      <w:bookmarkStart w:id="810" w:name="_Toc114036739"/>
      <w:bookmarkStart w:id="811" w:name="_Toc78314289"/>
      <w:bookmarkStart w:id="812" w:name="_Toc6114"/>
      <w:bookmarkStart w:id="813" w:name="_Toc78449982"/>
      <w:bookmarkStart w:id="814" w:name="_Toc192949728"/>
      <w:bookmarkStart w:id="815" w:name="_Toc11557"/>
      <w:bookmarkStart w:id="816" w:name="_Toc18950"/>
      <w:bookmarkStart w:id="817" w:name="_Toc108341964"/>
      <w:bookmarkStart w:id="818" w:name="_Toc28149"/>
      <w:bookmarkStart w:id="819" w:name="_Toc154428416"/>
      <w:bookmarkStart w:id="820" w:name="_Toc100670448"/>
      <w:bookmarkStart w:id="821" w:name="_Toc75289255"/>
      <w:bookmarkStart w:id="822" w:name="_Toc95601392"/>
      <w:bookmarkStart w:id="823" w:name="_Toc10825"/>
      <w:bookmarkStart w:id="824" w:name="_Toc32465"/>
      <w:bookmarkStart w:id="825" w:name="_Toc77676493"/>
      <w:bookmarkStart w:id="826" w:name="_Toc192949629"/>
      <w:r>
        <w:rPr>
          <w:rFonts w:hint="eastAsia" w:ascii="宋体" w:hAnsi="宋体"/>
          <w:bCs w:val="0"/>
          <w:color w:val="auto"/>
          <w:sz w:val="24"/>
          <w:szCs w:val="24"/>
        </w:rPr>
        <w:t>6．</w:t>
      </w:r>
      <w:bookmarkEnd w:id="797"/>
      <w:r>
        <w:rPr>
          <w:rFonts w:hint="eastAsia" w:ascii="黑体" w:hAnsi="黑体" w:eastAsia="黑体"/>
          <w:color w:val="auto"/>
          <w:sz w:val="24"/>
          <w:szCs w:val="24"/>
        </w:rPr>
        <w:t>推荐中标候选人</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5D77E558">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6.1</w:t>
      </w:r>
      <w:r>
        <w:rPr>
          <w:rFonts w:hint="eastAsia" w:ascii="宋体" w:hAnsi="宋体"/>
          <w:bCs/>
          <w:color w:val="auto"/>
          <w:szCs w:val="21"/>
        </w:rPr>
        <w:t>评标结果按评审后得分由高到低顺序排列。得分相同的，按投标报价由低到高顺序排列。得分且投标报价相同的并列，按</w:t>
      </w:r>
      <w:r>
        <w:rPr>
          <w:rFonts w:hint="eastAsia" w:ascii="宋体" w:hAnsi="宋体"/>
          <w:b/>
          <w:bCs/>
          <w:color w:val="auto"/>
          <w:szCs w:val="21"/>
        </w:rPr>
        <w:t>【评标方法及标准前附表】</w:t>
      </w:r>
      <w:r>
        <w:rPr>
          <w:rFonts w:hint="eastAsia" w:ascii="宋体" w:hAnsi="宋体"/>
          <w:bCs/>
          <w:color w:val="auto"/>
          <w:szCs w:val="21"/>
        </w:rPr>
        <w:t>规定的方式确定中标人；招标文件未规定的，采取随机抽取的方式确定。</w:t>
      </w:r>
    </w:p>
    <w:p w14:paraId="3402F1DD">
      <w:pPr>
        <w:pStyle w:val="4"/>
        <w:adjustRightInd w:val="0"/>
        <w:snapToGrid w:val="0"/>
        <w:spacing w:before="0" w:after="0" w:line="360" w:lineRule="auto"/>
        <w:rPr>
          <w:rFonts w:ascii="宋体" w:hAnsi="宋体"/>
          <w:color w:val="auto"/>
          <w:sz w:val="24"/>
          <w:szCs w:val="24"/>
        </w:rPr>
      </w:pPr>
      <w:bookmarkStart w:id="827" w:name="_Toc25137"/>
      <w:bookmarkStart w:id="828" w:name="_Toc85972958"/>
      <w:bookmarkStart w:id="829" w:name="_Toc114036740"/>
      <w:bookmarkStart w:id="830" w:name="_Toc9509"/>
      <w:bookmarkStart w:id="831" w:name="_Toc117192476"/>
      <w:bookmarkStart w:id="832" w:name="_Toc75289576"/>
      <w:bookmarkStart w:id="833" w:name="_Toc154428417"/>
      <w:bookmarkStart w:id="834" w:name="_Toc95601393"/>
      <w:bookmarkStart w:id="835" w:name="_Toc192951240"/>
      <w:bookmarkStart w:id="836" w:name="_Toc192949729"/>
      <w:bookmarkStart w:id="837" w:name="_Toc112704961"/>
      <w:bookmarkStart w:id="838" w:name="_Toc75289256"/>
      <w:bookmarkStart w:id="839" w:name="_Toc4001"/>
      <w:bookmarkStart w:id="840" w:name="_Toc78449983"/>
      <w:bookmarkStart w:id="841" w:name="_Toc100670696"/>
      <w:bookmarkStart w:id="842" w:name="_Toc1805"/>
      <w:bookmarkStart w:id="843" w:name="_Toc192949630"/>
      <w:bookmarkStart w:id="844" w:name="_Toc13145"/>
      <w:bookmarkStart w:id="845" w:name="_Toc108341965"/>
      <w:bookmarkStart w:id="846" w:name="_Toc30406"/>
      <w:bookmarkStart w:id="847" w:name="_Toc100670449"/>
      <w:bookmarkStart w:id="848" w:name="_Toc94367908"/>
      <w:bookmarkStart w:id="849" w:name="_Toc27789"/>
      <w:bookmarkStart w:id="850" w:name="_Toc15888514"/>
      <w:bookmarkStart w:id="851" w:name="_Toc171273698"/>
      <w:bookmarkStart w:id="852" w:name="_Toc77199427"/>
      <w:bookmarkStart w:id="853" w:name="_Toc25347"/>
      <w:bookmarkStart w:id="854" w:name="_Toc77676494"/>
      <w:bookmarkStart w:id="855" w:name="_Toc78314290"/>
      <w:bookmarkStart w:id="856" w:name="_Toc26541"/>
      <w:r>
        <w:rPr>
          <w:rFonts w:hint="eastAsia" w:ascii="宋体" w:hAnsi="宋体"/>
          <w:bCs w:val="0"/>
          <w:color w:val="auto"/>
          <w:sz w:val="24"/>
          <w:szCs w:val="24"/>
        </w:rPr>
        <w:t>7．</w:t>
      </w:r>
      <w:r>
        <w:rPr>
          <w:rFonts w:hint="eastAsia" w:ascii="宋体" w:hAnsi="宋体"/>
          <w:color w:val="auto"/>
          <w:sz w:val="24"/>
          <w:szCs w:val="24"/>
        </w:rPr>
        <w:t>编写评标报告</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14:paraId="27F6C72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7.1评标</w:t>
      </w:r>
      <w:r>
        <w:rPr>
          <w:rFonts w:hint="eastAsia" w:ascii="宋体" w:hAnsi="宋体"/>
          <w:bCs/>
          <w:color w:val="auto"/>
          <w:szCs w:val="21"/>
        </w:rPr>
        <w:t>委员会</w:t>
      </w:r>
      <w:r>
        <w:rPr>
          <w:rFonts w:hint="eastAsia" w:ascii="宋体" w:hAnsi="宋体"/>
          <w:color w:val="auto"/>
          <w:szCs w:val="21"/>
        </w:rPr>
        <w:t>根据全体评标成员签字的原始评标记录和评标结果编写评标报告。</w:t>
      </w:r>
    </w:p>
    <w:p w14:paraId="74E67D6E">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7.2</w:t>
      </w:r>
      <w:r>
        <w:rPr>
          <w:rFonts w:hint="eastAsia" w:ascii="宋体" w:hAnsi="宋体"/>
          <w:bCs/>
          <w:color w:val="auto"/>
          <w:szCs w:val="21"/>
        </w:rPr>
        <w:t>评标委员会成员对需要共同认定的事项存在争议的，应当按照少数服从多数的原则作出结论。持不同意见的评标委员会成员应当在评标报告上签署不同意见及理由，否则视为同意评标报告。</w:t>
      </w:r>
    </w:p>
    <w:p w14:paraId="21EEEF8D">
      <w:pPr>
        <w:pStyle w:val="4"/>
        <w:adjustRightInd w:val="0"/>
        <w:snapToGrid w:val="0"/>
        <w:spacing w:before="0" w:after="0" w:line="360" w:lineRule="auto"/>
        <w:rPr>
          <w:rFonts w:ascii="宋体" w:hAnsi="宋体"/>
          <w:bCs w:val="0"/>
          <w:color w:val="auto"/>
          <w:sz w:val="24"/>
          <w:szCs w:val="24"/>
        </w:rPr>
      </w:pPr>
      <w:bookmarkStart w:id="857" w:name="_Toc192951241"/>
      <w:bookmarkStart w:id="858" w:name="_Toc192949631"/>
      <w:bookmarkStart w:id="859" w:name="_Toc31514"/>
      <w:bookmarkStart w:id="860" w:name="_Toc100670697"/>
      <w:bookmarkStart w:id="861" w:name="_Toc18052"/>
      <w:bookmarkStart w:id="862" w:name="_Toc154428418"/>
      <w:bookmarkStart w:id="863" w:name="_Toc85972959"/>
      <w:bookmarkStart w:id="864" w:name="_Toc112704962"/>
      <w:bookmarkStart w:id="865" w:name="_Toc77199428"/>
      <w:bookmarkStart w:id="866" w:name="_Toc4696"/>
      <w:bookmarkStart w:id="867" w:name="_Toc75289577"/>
      <w:bookmarkStart w:id="868" w:name="_Toc15651"/>
      <w:bookmarkStart w:id="869" w:name="_Toc5438"/>
      <w:bookmarkStart w:id="870" w:name="_Toc117192477"/>
      <w:bookmarkStart w:id="871" w:name="_Toc95601394"/>
      <w:bookmarkStart w:id="872" w:name="_Toc7517"/>
      <w:bookmarkStart w:id="873" w:name="_Toc108341966"/>
      <w:bookmarkStart w:id="874" w:name="_Toc78449984"/>
      <w:bookmarkStart w:id="875" w:name="_Toc114036741"/>
      <w:bookmarkStart w:id="876" w:name="_Toc78314291"/>
      <w:bookmarkStart w:id="877" w:name="_Toc100670450"/>
      <w:bookmarkStart w:id="878" w:name="_Toc75289257"/>
      <w:bookmarkStart w:id="879" w:name="_Toc19859"/>
      <w:bookmarkStart w:id="880" w:name="_Toc171273699"/>
      <w:bookmarkStart w:id="881" w:name="_Toc94367909"/>
      <w:bookmarkStart w:id="882" w:name="_Toc192949730"/>
      <w:bookmarkStart w:id="883" w:name="_Toc15888515"/>
      <w:bookmarkStart w:id="884" w:name="_Toc77676495"/>
      <w:bookmarkStart w:id="885" w:name="_Toc17910"/>
      <w:bookmarkStart w:id="886" w:name="_Toc29415"/>
      <w:r>
        <w:rPr>
          <w:rFonts w:hint="eastAsia" w:ascii="宋体" w:hAnsi="宋体"/>
          <w:bCs w:val="0"/>
          <w:color w:val="auto"/>
          <w:sz w:val="24"/>
          <w:szCs w:val="24"/>
        </w:rPr>
        <w:t>8．</w:t>
      </w:r>
      <w:r>
        <w:rPr>
          <w:rFonts w:hint="eastAsia" w:ascii="宋体" w:hAnsi="宋体"/>
          <w:color w:val="auto"/>
          <w:sz w:val="24"/>
          <w:szCs w:val="24"/>
        </w:rPr>
        <w:t>评标报告</w:t>
      </w:r>
      <w:r>
        <w:rPr>
          <w:rFonts w:hint="eastAsia" w:ascii="宋体" w:hAnsi="宋体"/>
          <w:bCs w:val="0"/>
          <w:color w:val="auto"/>
          <w:sz w:val="24"/>
          <w:szCs w:val="24"/>
        </w:rPr>
        <w:t>复核</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74F200D6">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8.1汇总结束后，评标委员会应当进行复核，特别要对拟推荐为中标候选供应商的、报价最低的、投标文件被认定为无效的进行重点复核。</w:t>
      </w:r>
    </w:p>
    <w:p w14:paraId="4823014D">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8.2汇总完成后，除下列情形外，任何人不得修改评标结果：</w:t>
      </w:r>
    </w:p>
    <w:p w14:paraId="392BC11E">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（1）分值汇总计算错误的；</w:t>
      </w:r>
    </w:p>
    <w:p w14:paraId="1A8CA757">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（2）分项评分超出评分标准范围的；</w:t>
      </w:r>
    </w:p>
    <w:p w14:paraId="693FDD4B">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（3）评标委员会成员对客观评审因素评分不一致的；</w:t>
      </w:r>
    </w:p>
    <w:p w14:paraId="0DBE38DE">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（4）经评标委员会认定评分畸高、畸低的。</w:t>
      </w:r>
    </w:p>
    <w:p w14:paraId="4E6BF9AD">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8.3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7020F8E9">
      <w:pPr>
        <w:pStyle w:val="4"/>
        <w:adjustRightInd w:val="0"/>
        <w:snapToGrid w:val="0"/>
        <w:spacing w:before="0" w:after="0" w:line="360" w:lineRule="auto"/>
        <w:rPr>
          <w:rFonts w:ascii="宋体" w:hAnsi="宋体"/>
          <w:bCs w:val="0"/>
          <w:color w:val="auto"/>
          <w:sz w:val="24"/>
          <w:szCs w:val="24"/>
        </w:rPr>
      </w:pPr>
      <w:bookmarkStart w:id="887" w:name="_Toc75289578"/>
      <w:bookmarkStart w:id="888" w:name="_Toc114036742"/>
      <w:bookmarkStart w:id="889" w:name="_Toc29760"/>
      <w:bookmarkStart w:id="890" w:name="_Toc94367910"/>
      <w:bookmarkStart w:id="891" w:name="_Toc95601395"/>
      <w:bookmarkStart w:id="892" w:name="_Toc85972960"/>
      <w:bookmarkStart w:id="893" w:name="_Toc1995"/>
      <w:bookmarkStart w:id="894" w:name="_Toc192949632"/>
      <w:bookmarkStart w:id="895" w:name="_Toc15888516"/>
      <w:bookmarkStart w:id="896" w:name="_Toc192951242"/>
      <w:bookmarkStart w:id="897" w:name="_Toc4199"/>
      <w:bookmarkStart w:id="898" w:name="_Toc192949731"/>
      <w:bookmarkStart w:id="899" w:name="_Toc154428419"/>
      <w:bookmarkStart w:id="900" w:name="_Toc171273700"/>
      <w:bookmarkStart w:id="901" w:name="_Toc117192478"/>
      <w:bookmarkStart w:id="902" w:name="_Toc78314292"/>
      <w:bookmarkStart w:id="903" w:name="_Toc1037"/>
      <w:bookmarkStart w:id="904" w:name="_Toc77199429"/>
      <w:bookmarkStart w:id="905" w:name="_Toc108341967"/>
      <w:bookmarkStart w:id="906" w:name="_Toc78449985"/>
      <w:bookmarkStart w:id="907" w:name="_Toc579"/>
      <w:bookmarkStart w:id="908" w:name="_Toc17938"/>
      <w:bookmarkStart w:id="909" w:name="_Toc13438"/>
      <w:bookmarkStart w:id="910" w:name="_Toc75289258"/>
      <w:bookmarkStart w:id="911" w:name="_Toc100670698"/>
      <w:bookmarkStart w:id="912" w:name="_Toc8186"/>
      <w:bookmarkStart w:id="913" w:name="_Toc18897"/>
      <w:bookmarkStart w:id="914" w:name="_Toc77676496"/>
      <w:bookmarkStart w:id="915" w:name="_Toc112704963"/>
      <w:bookmarkStart w:id="916" w:name="_Toc100670451"/>
      <w:r>
        <w:rPr>
          <w:rFonts w:hint="eastAsia" w:ascii="宋体" w:hAnsi="宋体"/>
          <w:color w:val="auto"/>
          <w:sz w:val="24"/>
          <w:szCs w:val="24"/>
        </w:rPr>
        <w:t>9．</w:t>
      </w:r>
      <w:r>
        <w:rPr>
          <w:rFonts w:hint="eastAsia" w:ascii="宋体" w:hAnsi="宋体"/>
          <w:bCs w:val="0"/>
          <w:color w:val="auto"/>
          <w:sz w:val="24"/>
          <w:szCs w:val="24"/>
        </w:rPr>
        <w:t>停止评标</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0A2F3322">
      <w:pPr>
        <w:adjustRightInd w:val="0"/>
        <w:snapToGrid w:val="0"/>
        <w:spacing w:line="360" w:lineRule="auto"/>
        <w:ind w:firstLine="420" w:firstLineChars="200"/>
        <w:rPr>
          <w:rFonts w:ascii="宋体" w:hAnsi="宋体" w:cs="宋体"/>
          <w:color w:val="auto"/>
          <w:kern w:val="0"/>
          <w:szCs w:val="21"/>
        </w:rPr>
      </w:pPr>
      <w:r>
        <w:rPr>
          <w:rFonts w:hint="eastAsia" w:ascii="宋体" w:hAnsi="宋体"/>
          <w:bCs/>
          <w:color w:val="auto"/>
          <w:szCs w:val="21"/>
        </w:rPr>
        <w:t>9.1</w:t>
      </w:r>
      <w:r>
        <w:rPr>
          <w:rFonts w:hint="eastAsia" w:ascii="宋体" w:hAnsi="宋体" w:cs="宋体"/>
          <w:color w:val="auto"/>
          <w:kern w:val="0"/>
          <w:szCs w:val="21"/>
        </w:rPr>
        <w:t>评标委员会发现招标文件存在歧义、重大缺陷导致评标工作无法进行，或者招标文件内容违反国家有关强制性规定的，应当停止评标工作，与采购人、者采购代理机构沟通并作书面记录。采购人、采购代理机构确认后，应当修改招标文件，重新组织采购活动。</w:t>
      </w:r>
    </w:p>
    <w:p w14:paraId="53F4628F">
      <w:pPr>
        <w:pStyle w:val="4"/>
        <w:spacing w:before="0" w:after="0" w:line="360" w:lineRule="auto"/>
        <w:rPr>
          <w:rFonts w:ascii="宋体" w:hAnsi="宋体"/>
          <w:color w:val="auto"/>
          <w:sz w:val="24"/>
          <w:szCs w:val="24"/>
        </w:rPr>
      </w:pPr>
      <w:bookmarkStart w:id="917" w:name="_Toc100670699"/>
      <w:bookmarkStart w:id="918" w:name="_Toc5621"/>
      <w:bookmarkStart w:id="919" w:name="_Toc7652"/>
      <w:bookmarkStart w:id="920" w:name="_Toc9527"/>
      <w:bookmarkStart w:id="921" w:name="_Toc8439"/>
      <w:bookmarkStart w:id="922" w:name="_Toc117192479"/>
      <w:bookmarkStart w:id="923" w:name="_Toc192951243"/>
      <w:bookmarkStart w:id="924" w:name="_Toc23574"/>
      <w:bookmarkStart w:id="925" w:name="_Toc108341968"/>
      <w:bookmarkStart w:id="926" w:name="_Toc20409"/>
      <w:bookmarkStart w:id="927" w:name="_Toc171273701"/>
      <w:bookmarkStart w:id="928" w:name="_Toc192949732"/>
      <w:bookmarkStart w:id="929" w:name="_Toc192949633"/>
      <w:bookmarkStart w:id="930" w:name="_Toc22852"/>
      <w:bookmarkStart w:id="931" w:name="_Toc16752"/>
      <w:bookmarkStart w:id="932" w:name="_Toc10068"/>
      <w:bookmarkStart w:id="933" w:name="_Toc154428420"/>
      <w:bookmarkStart w:id="934" w:name="_Toc114036743"/>
      <w:bookmarkStart w:id="935" w:name="_Toc112704964"/>
      <w:r>
        <w:rPr>
          <w:rFonts w:hint="eastAsia" w:ascii="宋体" w:hAnsi="宋体"/>
          <w:color w:val="auto"/>
          <w:sz w:val="24"/>
          <w:szCs w:val="24"/>
        </w:rPr>
        <w:t>10.废标</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710DBE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10.1 根据有关法律法规和招标文件的有关规定，如出现下列情况之一的，应予以废标：</w:t>
      </w:r>
    </w:p>
    <w:p w14:paraId="3FA0E5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（1）符合专业条件的投标人或者对招标文件作实质响应的投标人不足三家的；</w:t>
      </w:r>
    </w:p>
    <w:p w14:paraId="3D89EC4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（2）出现影响采购公正的违法、违规行为的；</w:t>
      </w:r>
    </w:p>
    <w:p w14:paraId="631A1E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（3）投标人的报价均超过招标人项目采购预算，采购人不能支付的；</w:t>
      </w:r>
    </w:p>
    <w:p w14:paraId="611C86D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（4）因重大变故，采购任务取消的。</w:t>
      </w:r>
    </w:p>
    <w:p w14:paraId="659D5606">
      <w:pPr>
        <w:pStyle w:val="4"/>
        <w:keepNext w:val="0"/>
        <w:keepLines w:val="0"/>
        <w:adjustRightInd w:val="0"/>
        <w:snapToGrid w:val="0"/>
        <w:spacing w:before="0" w:after="0" w:line="360" w:lineRule="auto"/>
        <w:rPr>
          <w:rFonts w:ascii="宋体" w:hAnsi="宋体"/>
          <w:bCs w:val="0"/>
          <w:color w:val="auto"/>
          <w:sz w:val="24"/>
          <w:szCs w:val="24"/>
        </w:rPr>
      </w:pPr>
      <w:bookmarkStart w:id="936" w:name="_Toc16261"/>
      <w:bookmarkStart w:id="937" w:name="_Toc171273702"/>
      <w:bookmarkStart w:id="938" w:name="_Toc23741"/>
      <w:bookmarkStart w:id="939" w:name="_Toc75289259"/>
      <w:bookmarkStart w:id="940" w:name="_Toc31053"/>
      <w:bookmarkStart w:id="941" w:name="_Toc94367911"/>
      <w:bookmarkStart w:id="942" w:name="_Toc78314293"/>
      <w:bookmarkStart w:id="943" w:name="_Toc75289579"/>
      <w:bookmarkStart w:id="944" w:name="_Toc3589"/>
      <w:bookmarkStart w:id="945" w:name="_Toc20651225"/>
      <w:bookmarkStart w:id="946" w:name="_Toc192951244"/>
      <w:bookmarkStart w:id="947" w:name="_Toc100670700"/>
      <w:bookmarkStart w:id="948" w:name="_Toc100670452"/>
      <w:bookmarkStart w:id="949" w:name="_Toc77199430"/>
      <w:bookmarkStart w:id="950" w:name="_Toc112704965"/>
      <w:bookmarkStart w:id="951" w:name="_Toc41"/>
      <w:bookmarkStart w:id="952" w:name="_Toc17868"/>
      <w:bookmarkStart w:id="953" w:name="_Toc108341969"/>
      <w:bookmarkStart w:id="954" w:name="_Toc78449986"/>
      <w:bookmarkStart w:id="955" w:name="_Toc154428421"/>
      <w:bookmarkStart w:id="956" w:name="_Toc85972961"/>
      <w:bookmarkStart w:id="957" w:name="_Toc2443"/>
      <w:bookmarkStart w:id="958" w:name="_Toc95601396"/>
      <w:bookmarkStart w:id="959" w:name="_Toc77676497"/>
      <w:bookmarkStart w:id="960" w:name="_Toc114036744"/>
      <w:bookmarkStart w:id="961" w:name="_Toc3469"/>
      <w:bookmarkStart w:id="962" w:name="_Toc23842"/>
      <w:bookmarkStart w:id="963" w:name="_Toc117192480"/>
      <w:bookmarkStart w:id="964" w:name="_Toc192949733"/>
      <w:bookmarkStart w:id="965" w:name="_Toc192949634"/>
      <w:r>
        <w:rPr>
          <w:rFonts w:hint="eastAsia" w:ascii="宋体" w:hAnsi="宋体" w:cs="宋体"/>
          <w:color w:val="auto"/>
          <w:sz w:val="24"/>
          <w:szCs w:val="24"/>
        </w:rPr>
        <w:t>11．重新组建评标委员会进行评标</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14:paraId="57A5B0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11.1评标委员会或者其成员存在下列情形导致评标结果无效的，采购人、采购代理机构可以重新组建评标委员会进行评标，并书面报告本级财政部门，但采购合同已经履行的除外：</w:t>
      </w:r>
    </w:p>
    <w:p w14:paraId="179E3DD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（1）评标委员会组成不符合《政府采购货物和服务招标投标管理办法》规定的；</w:t>
      </w:r>
    </w:p>
    <w:p w14:paraId="6C36109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（2）有《政府采购货物和服务招标投标管理办法》第六十二条第一至五项情形的；</w:t>
      </w:r>
    </w:p>
    <w:p w14:paraId="582A077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（3）评标委员会及其成员独立评标受到非法干预的；</w:t>
      </w:r>
    </w:p>
    <w:p w14:paraId="6496AB1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（4）有政府采购法实施条例第七十五条规定的违法行为的。</w:t>
      </w:r>
    </w:p>
    <w:p w14:paraId="301A2D8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11.2有违法违规行为的原评标委员会成员不得参加重新组建的评标委员会。</w:t>
      </w:r>
    </w:p>
    <w:p w14:paraId="32DD156F">
      <w:pPr>
        <w:pStyle w:val="3"/>
        <w:adjustRightInd w:val="0"/>
        <w:snapToGrid w:val="0"/>
        <w:spacing w:before="120" w:beforeLines="50"/>
        <w:jc w:val="center"/>
        <w:rPr>
          <w:rFonts w:ascii="黑体" w:hAnsi="华文中宋" w:eastAsia="黑体"/>
          <w:color w:val="auto"/>
          <w:sz w:val="28"/>
          <w:szCs w:val="28"/>
        </w:rPr>
      </w:pPr>
      <w:r>
        <w:rPr>
          <w:rFonts w:ascii="黑体" w:hAnsi="华文中宋" w:eastAsia="黑体"/>
          <w:b w:val="0"/>
          <w:color w:val="auto"/>
          <w:sz w:val="32"/>
        </w:rPr>
        <w:br w:type="page"/>
      </w:r>
      <w:bookmarkStart w:id="966" w:name="_Toc192949635"/>
      <w:bookmarkStart w:id="967" w:name="_Toc17200"/>
      <w:bookmarkStart w:id="968" w:name="_Toc31160"/>
      <w:bookmarkStart w:id="969" w:name="_Toc78314294"/>
      <w:bookmarkStart w:id="970" w:name="_Toc4097"/>
      <w:bookmarkStart w:id="971" w:name="_Toc77199431"/>
      <w:bookmarkStart w:id="972" w:name="_Toc117192481"/>
      <w:bookmarkStart w:id="973" w:name="_Toc114036745"/>
      <w:bookmarkStart w:id="974" w:name="_Toc95601397"/>
      <w:bookmarkStart w:id="975" w:name="_Toc20019"/>
      <w:bookmarkStart w:id="976" w:name="_Toc31670"/>
      <w:bookmarkStart w:id="977" w:name="_Toc171273703"/>
      <w:bookmarkStart w:id="978" w:name="_Toc112704966"/>
      <w:bookmarkStart w:id="979" w:name="_Toc94367912"/>
      <w:bookmarkStart w:id="980" w:name="_Toc192951245"/>
      <w:bookmarkStart w:id="981" w:name="_Toc14254"/>
      <w:bookmarkStart w:id="982" w:name="_Toc100670701"/>
      <w:bookmarkStart w:id="983" w:name="_Toc108341970"/>
      <w:bookmarkStart w:id="984" w:name="_Toc75289580"/>
      <w:bookmarkStart w:id="985" w:name="_Toc75289260"/>
      <w:bookmarkStart w:id="986" w:name="_Toc100670453"/>
      <w:bookmarkStart w:id="987" w:name="_Toc154428422"/>
      <w:bookmarkStart w:id="988" w:name="_Toc28351"/>
      <w:bookmarkStart w:id="989" w:name="_Toc78449987"/>
      <w:bookmarkStart w:id="990" w:name="_Toc192949734"/>
      <w:bookmarkStart w:id="991" w:name="_Toc85972962"/>
      <w:bookmarkStart w:id="992" w:name="_Toc18586"/>
      <w:bookmarkStart w:id="993" w:name="_Toc20651226"/>
      <w:bookmarkStart w:id="994" w:name="_Toc77676498"/>
      <w:bookmarkStart w:id="995" w:name="_Toc28432"/>
      <w:r>
        <w:rPr>
          <w:rFonts w:hint="eastAsia" w:ascii="黑体" w:hAnsi="华文中宋" w:eastAsia="黑体"/>
          <w:color w:val="auto"/>
          <w:sz w:val="28"/>
          <w:szCs w:val="28"/>
        </w:rPr>
        <w:t>第三节 投标文件的符合性审查</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14:paraId="1A2DF937">
      <w:pPr>
        <w:adjustRightInd w:val="0"/>
        <w:snapToGrid w:val="0"/>
        <w:spacing w:line="360" w:lineRule="auto"/>
        <w:rPr>
          <w:rFonts w:ascii="宋体" w:hAnsi="宋体"/>
          <w:b/>
          <w:color w:val="auto"/>
          <w:sz w:val="24"/>
        </w:rPr>
      </w:pPr>
      <w:r>
        <w:rPr>
          <w:rFonts w:hint="eastAsia" w:ascii="宋体" w:hAnsi="宋体"/>
          <w:b/>
          <w:color w:val="auto"/>
          <w:sz w:val="24"/>
        </w:rPr>
        <w:t>1.符合性审查</w:t>
      </w:r>
    </w:p>
    <w:p w14:paraId="7E7470CA">
      <w:pPr>
        <w:adjustRightInd w:val="0"/>
        <w:snapToGrid w:val="0"/>
        <w:spacing w:line="360" w:lineRule="auto"/>
        <w:ind w:firstLine="420" w:firstLineChars="200"/>
        <w:rPr>
          <w:rFonts w:ascii="宋体" w:hAnsi="宋体"/>
          <w:color w:val="auto"/>
        </w:rPr>
      </w:pPr>
      <w:r>
        <w:rPr>
          <w:rFonts w:hint="eastAsia" w:ascii="宋体" w:hAnsi="宋体"/>
          <w:color w:val="auto"/>
        </w:rPr>
        <w:t>1.1</w:t>
      </w:r>
      <w:r>
        <w:rPr>
          <w:rFonts w:hint="eastAsia" w:ascii="宋体" w:hAnsi="宋体"/>
          <w:color w:val="auto"/>
          <w:szCs w:val="21"/>
        </w:rPr>
        <w:t>评标委员会应按本章本节附表1“符合性审查表”所列审查项目及审查标准，</w:t>
      </w:r>
      <w:r>
        <w:rPr>
          <w:rFonts w:hint="eastAsia" w:ascii="宋体" w:hAnsi="宋体"/>
          <w:color w:val="auto"/>
        </w:rPr>
        <w:t>对符合资格条件的投标人的投标文件进行符合性审查，以确定其是否满足招标文件的实质性要求。</w:t>
      </w:r>
    </w:p>
    <w:p w14:paraId="1B3E1EC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依据招标文件的规定，从投标文件的有效性、完整性和对招标文件的响应程度进行审查，以确定是否对招标文件的实质性要求作出响应。评标委员会判断投标文件的响应性只根据投标文件的内容，而不依据外部的证据。</w:t>
      </w:r>
    </w:p>
    <w:p w14:paraId="30093D1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（2）投标人不得通过修正或撤销不合要求的偏离从而使其投标成为实质上响应的投标。</w:t>
      </w:r>
    </w:p>
    <w:p w14:paraId="71E9DF13">
      <w:pPr>
        <w:adjustRightInd w:val="0"/>
        <w:snapToGrid w:val="0"/>
        <w:spacing w:line="360" w:lineRule="auto"/>
        <w:ind w:firstLine="420" w:firstLineChars="200"/>
        <w:rPr>
          <w:rFonts w:ascii="宋体" w:hAnsi="宋体"/>
          <w:color w:val="auto"/>
        </w:rPr>
      </w:pPr>
      <w:r>
        <w:rPr>
          <w:rFonts w:hint="eastAsia" w:ascii="宋体" w:hAnsi="宋体"/>
          <w:color w:val="auto"/>
          <w:kern w:val="0"/>
          <w:szCs w:val="21"/>
        </w:rPr>
        <w:t>1.2</w:t>
      </w:r>
      <w:r>
        <w:rPr>
          <w:rFonts w:hint="eastAsia" w:ascii="宋体" w:hAnsi="宋体"/>
          <w:color w:val="auto"/>
        </w:rPr>
        <w:t>未通过符合性审查的投标人，其投标将被认定为投标无效，不能进入下一阶段评审。通过符合性审查的投标人数量不足 3 家的，不得作进一步的比较和评价。</w:t>
      </w:r>
    </w:p>
    <w:p w14:paraId="333F2075">
      <w:pPr>
        <w:adjustRightInd w:val="0"/>
        <w:snapToGrid w:val="0"/>
        <w:spacing w:line="360" w:lineRule="auto"/>
        <w:rPr>
          <w:rFonts w:ascii="宋体" w:hAnsi="宋体"/>
          <w:b/>
          <w:color w:val="auto"/>
          <w:sz w:val="24"/>
        </w:rPr>
      </w:pPr>
      <w:r>
        <w:rPr>
          <w:rFonts w:hint="eastAsia" w:ascii="宋体" w:hAnsi="宋体"/>
          <w:b/>
          <w:color w:val="auto"/>
          <w:sz w:val="24"/>
        </w:rPr>
        <w:t>2.投标无效</w:t>
      </w:r>
    </w:p>
    <w:p w14:paraId="4F5F0A2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2.1投标人存在下列情况之一的，符合性审查不合格，投标无效：</w:t>
      </w:r>
    </w:p>
    <w:p w14:paraId="2464455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（1）投标文件中商务技术文件未按照招标文件规定要求签署、盖章的；</w:t>
      </w:r>
    </w:p>
    <w:p w14:paraId="332D020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（2）投标文件没有对招标文件的实质性要求和条件作出响应，或者对招标文件的偏离超出招标文件规定的偏离范围和幅度；</w:t>
      </w:r>
    </w:p>
    <w:p w14:paraId="4BB9D2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（3）投标有效期不足的；</w:t>
      </w:r>
    </w:p>
    <w:p w14:paraId="59181C8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（4）投标文件含有采购人不能接受的附加条件的；</w:t>
      </w:r>
    </w:p>
    <w:p w14:paraId="601FF4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（5）不符合本节第1.1款规定符合性审查标准的；</w:t>
      </w:r>
    </w:p>
    <w:p w14:paraId="73712CA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（6）法律、法规和招标文件规定的其他投标无效情形的。</w:t>
      </w:r>
    </w:p>
    <w:p w14:paraId="392BD57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2.2在评标过程中发现投标人有不遵循公平竞争的原则，恶意串通，妨碍其他投标人的竞争行为，损害采购人或者其他投标人的合法权益的，评标委员会应当认定其投标无效，并书面报告本级财政部门。</w:t>
      </w:r>
    </w:p>
    <w:p w14:paraId="17C8CFA5">
      <w:pPr>
        <w:pStyle w:val="4"/>
        <w:adjustRightInd w:val="0"/>
        <w:snapToGrid w:val="0"/>
        <w:spacing w:before="120" w:beforeLines="50" w:after="0" w:line="360" w:lineRule="auto"/>
        <w:rPr>
          <w:color w:val="auto"/>
          <w:sz w:val="21"/>
          <w:szCs w:val="21"/>
        </w:rPr>
      </w:pPr>
      <w:r>
        <w:rPr>
          <w:rFonts w:ascii="宋体" w:hAnsi="宋体"/>
          <w:color w:val="auto"/>
        </w:rPr>
        <w:br w:type="page"/>
      </w:r>
      <w:bookmarkStart w:id="996" w:name="_Toc192949636"/>
      <w:bookmarkStart w:id="997" w:name="_Toc154428423"/>
      <w:bookmarkStart w:id="998" w:name="_Toc29308"/>
      <w:bookmarkStart w:id="999" w:name="_Toc11979"/>
      <w:bookmarkStart w:id="1000" w:name="_Toc20651227"/>
      <w:bookmarkStart w:id="1001" w:name="_Toc94367913"/>
      <w:bookmarkStart w:id="1002" w:name="_Toc75289261"/>
      <w:bookmarkStart w:id="1003" w:name="_Toc108341971"/>
      <w:bookmarkStart w:id="1004" w:name="_Toc10772"/>
      <w:bookmarkStart w:id="1005" w:name="_Toc95601398"/>
      <w:bookmarkStart w:id="1006" w:name="_Toc85972963"/>
      <w:bookmarkStart w:id="1007" w:name="_Toc78314295"/>
      <w:bookmarkStart w:id="1008" w:name="_Toc77199432"/>
      <w:bookmarkStart w:id="1009" w:name="_Toc100670702"/>
      <w:bookmarkStart w:id="1010" w:name="_Toc192951246"/>
      <w:bookmarkStart w:id="1011" w:name="_Toc13317"/>
      <w:bookmarkStart w:id="1012" w:name="_Toc7594"/>
      <w:bookmarkStart w:id="1013" w:name="_Toc117192482"/>
      <w:bookmarkStart w:id="1014" w:name="_Toc100670454"/>
      <w:bookmarkStart w:id="1015" w:name="_Toc27396"/>
      <w:bookmarkStart w:id="1016" w:name="_Toc171273704"/>
      <w:bookmarkStart w:id="1017" w:name="_Toc75289581"/>
      <w:bookmarkStart w:id="1018" w:name="_Toc3547"/>
      <w:bookmarkStart w:id="1019" w:name="_Toc112704967"/>
      <w:bookmarkStart w:id="1020" w:name="_Toc114036746"/>
      <w:bookmarkStart w:id="1021" w:name="_Toc77676499"/>
      <w:bookmarkStart w:id="1022" w:name="_Toc13390"/>
      <w:bookmarkStart w:id="1023" w:name="_Toc78449988"/>
      <w:bookmarkStart w:id="1024" w:name="_Toc24187"/>
      <w:bookmarkStart w:id="1025" w:name="_Toc192949735"/>
      <w:r>
        <w:rPr>
          <w:rFonts w:hint="eastAsia"/>
          <w:color w:val="auto"/>
          <w:sz w:val="21"/>
          <w:szCs w:val="21"/>
        </w:rPr>
        <w:t>附表1 符合性审查表</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14:paraId="3543E8A0">
      <w:pPr>
        <w:adjustRightInd w:val="0"/>
        <w:snapToGrid w:val="0"/>
        <w:spacing w:before="156" w:beforeLines="50" w:line="360" w:lineRule="auto"/>
        <w:jc w:val="center"/>
        <w:rPr>
          <w:rFonts w:ascii="黑体" w:hAnsi="黑体" w:eastAsia="黑体"/>
          <w:b/>
          <w:color w:val="auto"/>
          <w:sz w:val="28"/>
          <w:szCs w:val="28"/>
        </w:rPr>
      </w:pPr>
      <w:r>
        <w:rPr>
          <w:rFonts w:hint="eastAsia" w:ascii="黑体" w:hAnsi="黑体" w:eastAsia="黑体"/>
          <w:b/>
          <w:color w:val="auto"/>
          <w:sz w:val="28"/>
          <w:szCs w:val="28"/>
        </w:rPr>
        <w:t>符合性审查表</w:t>
      </w:r>
    </w:p>
    <w:p w14:paraId="5D11FA4F">
      <w:pPr>
        <w:adjustRightInd w:val="0"/>
        <w:snapToGrid w:val="0"/>
        <w:spacing w:before="156" w:beforeLines="50" w:line="360" w:lineRule="auto"/>
        <w:rPr>
          <w:rFonts w:ascii="宋体" w:hAnsi="宋体"/>
          <w:color w:val="auto"/>
          <w:szCs w:val="21"/>
        </w:rPr>
      </w:pPr>
      <w:r>
        <w:rPr>
          <w:rFonts w:hint="eastAsia" w:ascii="宋体" w:hAnsi="宋体"/>
          <w:color w:val="auto"/>
          <w:szCs w:val="21"/>
        </w:rPr>
        <w:t xml:space="preserve">项目名称：                                           政府采购计划编号： </w:t>
      </w:r>
    </w:p>
    <w:tbl>
      <w:tblPr>
        <w:tblStyle w:val="476"/>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4060"/>
        <w:gridCol w:w="4317"/>
      </w:tblGrid>
      <w:tr w14:paraId="297415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noWrap w:val="0"/>
            <w:vAlign w:val="center"/>
          </w:tcPr>
          <w:p w14:paraId="09EA22DB">
            <w:pPr>
              <w:snapToGrid w:val="0"/>
              <w:spacing w:before="156" w:line="360" w:lineRule="auto"/>
              <w:textAlignment w:val="baseline"/>
              <w:rPr>
                <w:rFonts w:ascii="宋体" w:hAnsi="宋体" w:cs="宋体"/>
                <w:b/>
                <w:color w:val="auto"/>
                <w:kern w:val="0"/>
                <w:sz w:val="20"/>
                <w:szCs w:val="21"/>
              </w:rPr>
            </w:pPr>
            <w:r>
              <w:rPr>
                <w:rFonts w:hint="eastAsia" w:ascii="宋体" w:hAnsi="宋体" w:cs="宋体"/>
                <w:b/>
                <w:color w:val="auto"/>
                <w:kern w:val="0"/>
                <w:szCs w:val="21"/>
              </w:rPr>
              <w:t>序号</w:t>
            </w:r>
          </w:p>
        </w:tc>
        <w:tc>
          <w:tcPr>
            <w:tcW w:w="4060" w:type="dxa"/>
            <w:noWrap w:val="0"/>
            <w:vAlign w:val="center"/>
          </w:tcPr>
          <w:p w14:paraId="6592B0EB">
            <w:pPr>
              <w:snapToGrid w:val="0"/>
              <w:spacing w:before="156" w:line="360" w:lineRule="auto"/>
              <w:textAlignment w:val="baseline"/>
              <w:rPr>
                <w:rFonts w:ascii="宋体" w:hAnsi="宋体" w:cs="宋体"/>
                <w:b/>
                <w:color w:val="auto"/>
                <w:kern w:val="0"/>
                <w:sz w:val="20"/>
                <w:szCs w:val="21"/>
              </w:rPr>
            </w:pPr>
            <w:r>
              <w:rPr>
                <w:rFonts w:hint="eastAsia" w:ascii="宋体" w:hAnsi="宋体" w:cs="宋体"/>
                <w:b/>
                <w:color w:val="auto"/>
                <w:kern w:val="0"/>
                <w:szCs w:val="21"/>
              </w:rPr>
              <w:t>审查项目</w:t>
            </w:r>
          </w:p>
        </w:tc>
        <w:tc>
          <w:tcPr>
            <w:tcW w:w="4317" w:type="dxa"/>
            <w:noWrap w:val="0"/>
            <w:vAlign w:val="center"/>
          </w:tcPr>
          <w:p w14:paraId="1C548B2E">
            <w:pPr>
              <w:snapToGrid w:val="0"/>
              <w:spacing w:before="156" w:line="360" w:lineRule="auto"/>
              <w:textAlignment w:val="baseline"/>
              <w:rPr>
                <w:rFonts w:ascii="宋体" w:hAnsi="宋体" w:cs="宋体"/>
                <w:b/>
                <w:color w:val="auto"/>
                <w:kern w:val="0"/>
                <w:sz w:val="20"/>
                <w:szCs w:val="21"/>
              </w:rPr>
            </w:pPr>
            <w:r>
              <w:rPr>
                <w:rFonts w:hint="eastAsia" w:ascii="宋体" w:hAnsi="宋体" w:cs="宋体"/>
                <w:b/>
                <w:color w:val="auto"/>
                <w:kern w:val="0"/>
                <w:szCs w:val="21"/>
              </w:rPr>
              <w:t>审查标准</w:t>
            </w:r>
          </w:p>
        </w:tc>
      </w:tr>
      <w:tr w14:paraId="46A551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65ECE9BD">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1</w:t>
            </w:r>
          </w:p>
        </w:tc>
        <w:tc>
          <w:tcPr>
            <w:tcW w:w="4060" w:type="dxa"/>
            <w:noWrap w:val="0"/>
            <w:vAlign w:val="center"/>
          </w:tcPr>
          <w:p w14:paraId="1728677E">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投标文件中商务技术文件是否按照招标文件规定要求签署、盖章的</w:t>
            </w:r>
          </w:p>
        </w:tc>
        <w:tc>
          <w:tcPr>
            <w:tcW w:w="4317" w:type="dxa"/>
            <w:noWrap w:val="0"/>
            <w:vAlign w:val="center"/>
          </w:tcPr>
          <w:p w14:paraId="509AF1D9">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投标文件是否存在商务技术文件没有按照招标文件规定要求签署、盖章的</w:t>
            </w:r>
          </w:p>
        </w:tc>
      </w:tr>
      <w:tr w14:paraId="0C4F2B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00BAFDD">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2</w:t>
            </w:r>
          </w:p>
        </w:tc>
        <w:tc>
          <w:tcPr>
            <w:tcW w:w="4060" w:type="dxa"/>
            <w:noWrap w:val="0"/>
            <w:vAlign w:val="center"/>
          </w:tcPr>
          <w:p w14:paraId="218FFE72">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投标有效期不足的</w:t>
            </w:r>
          </w:p>
        </w:tc>
        <w:tc>
          <w:tcPr>
            <w:tcW w:w="4317" w:type="dxa"/>
            <w:noWrap w:val="0"/>
            <w:vAlign w:val="center"/>
          </w:tcPr>
          <w:p w14:paraId="1D9DABC6">
            <w:pPr>
              <w:snapToGrid w:val="0"/>
              <w:spacing w:before="156" w:line="360" w:lineRule="auto"/>
              <w:textAlignment w:val="baseline"/>
              <w:rPr>
                <w:rFonts w:ascii="宋体" w:hAnsi="宋体"/>
                <w:color w:val="auto"/>
                <w:sz w:val="20"/>
                <w:szCs w:val="21"/>
              </w:rPr>
            </w:pPr>
            <w:r>
              <w:rPr>
                <w:rFonts w:hint="eastAsia" w:ascii="宋体" w:hAnsi="宋体"/>
                <w:color w:val="auto"/>
                <w:szCs w:val="21"/>
              </w:rPr>
              <w:t>90日（日历日）</w:t>
            </w:r>
          </w:p>
        </w:tc>
      </w:tr>
      <w:tr w14:paraId="7A91AB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3A09B295">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3</w:t>
            </w:r>
          </w:p>
        </w:tc>
        <w:tc>
          <w:tcPr>
            <w:tcW w:w="4060" w:type="dxa"/>
            <w:noWrap w:val="0"/>
            <w:vAlign w:val="center"/>
          </w:tcPr>
          <w:p w14:paraId="56980E1A">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投标人递交的投标报价唯一性</w:t>
            </w:r>
          </w:p>
        </w:tc>
        <w:tc>
          <w:tcPr>
            <w:tcW w:w="4317" w:type="dxa"/>
            <w:noWrap w:val="0"/>
            <w:vAlign w:val="center"/>
          </w:tcPr>
          <w:p w14:paraId="16EAB4A3">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投标人是否存在递交的投标报价前后不一致</w:t>
            </w:r>
          </w:p>
        </w:tc>
      </w:tr>
      <w:tr w14:paraId="117CE4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5E8633F7">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4</w:t>
            </w:r>
          </w:p>
        </w:tc>
        <w:tc>
          <w:tcPr>
            <w:tcW w:w="4060" w:type="dxa"/>
            <w:noWrap w:val="0"/>
            <w:vAlign w:val="center"/>
          </w:tcPr>
          <w:p w14:paraId="052D00EE">
            <w:pPr>
              <w:snapToGrid w:val="0"/>
              <w:spacing w:line="360" w:lineRule="exact"/>
              <w:textAlignment w:val="baseline"/>
              <w:rPr>
                <w:rFonts w:ascii="宋体" w:hAnsi="宋体"/>
                <w:color w:val="auto"/>
                <w:kern w:val="0"/>
                <w:sz w:val="20"/>
                <w:szCs w:val="21"/>
              </w:rPr>
            </w:pPr>
            <w:r>
              <w:rPr>
                <w:rFonts w:hint="eastAsia" w:ascii="宋体" w:hAnsi="宋体" w:cs="宋体"/>
                <w:color w:val="auto"/>
                <w:szCs w:val="21"/>
              </w:rPr>
              <w:t>投标范围</w:t>
            </w:r>
            <w:r>
              <w:rPr>
                <w:rFonts w:hint="eastAsia" w:ascii="宋体" w:hAnsi="宋体" w:cs="宋体"/>
                <w:bCs/>
                <w:color w:val="auto"/>
                <w:szCs w:val="21"/>
              </w:rPr>
              <w:t>（服务要求及标准）</w:t>
            </w:r>
            <w:r>
              <w:rPr>
                <w:rFonts w:hint="eastAsia" w:ascii="宋体" w:hAnsi="宋体" w:cs="宋体"/>
                <w:color w:val="auto"/>
                <w:szCs w:val="21"/>
              </w:rPr>
              <w:t>满足招标文件要求</w:t>
            </w:r>
          </w:p>
        </w:tc>
        <w:tc>
          <w:tcPr>
            <w:tcW w:w="4317" w:type="dxa"/>
            <w:noWrap w:val="0"/>
            <w:vAlign w:val="center"/>
          </w:tcPr>
          <w:p w14:paraId="28AFDF35">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投标范围是否存在（服务要求及标准）不满足招标文件要求</w:t>
            </w:r>
          </w:p>
        </w:tc>
      </w:tr>
      <w:tr w14:paraId="6D009C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1291F99C">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5</w:t>
            </w:r>
          </w:p>
        </w:tc>
        <w:tc>
          <w:tcPr>
            <w:tcW w:w="4060" w:type="dxa"/>
            <w:noWrap w:val="0"/>
            <w:vAlign w:val="center"/>
          </w:tcPr>
          <w:p w14:paraId="77DAC60C">
            <w:pPr>
              <w:snapToGrid w:val="0"/>
              <w:spacing w:line="360" w:lineRule="exact"/>
              <w:textAlignment w:val="baseline"/>
              <w:rPr>
                <w:rFonts w:ascii="宋体" w:hAnsi="宋体"/>
                <w:color w:val="auto"/>
                <w:kern w:val="0"/>
                <w:sz w:val="20"/>
                <w:szCs w:val="21"/>
              </w:rPr>
            </w:pPr>
            <w:r>
              <w:rPr>
                <w:rFonts w:hint="eastAsia" w:ascii="宋体" w:hAnsi="宋体"/>
                <w:color w:val="auto"/>
                <w:szCs w:val="21"/>
              </w:rPr>
              <w:t>投标文件没有对招标文件的实质性要求和条件作出响应，或者对招标文件的偏离超出招标文件规定的偏离范围和幅度</w:t>
            </w:r>
          </w:p>
        </w:tc>
        <w:tc>
          <w:tcPr>
            <w:tcW w:w="4317" w:type="dxa"/>
            <w:noWrap w:val="0"/>
            <w:vAlign w:val="center"/>
          </w:tcPr>
          <w:p w14:paraId="2D1488E9">
            <w:pPr>
              <w:snapToGrid w:val="0"/>
              <w:spacing w:before="156" w:line="360" w:lineRule="auto"/>
              <w:textAlignment w:val="baseline"/>
              <w:rPr>
                <w:rFonts w:ascii="宋体" w:hAnsi="宋体"/>
                <w:color w:val="auto"/>
                <w:sz w:val="20"/>
                <w:szCs w:val="21"/>
              </w:rPr>
            </w:pPr>
            <w:r>
              <w:rPr>
                <w:rFonts w:hint="eastAsia" w:ascii="宋体" w:hAnsi="宋体" w:eastAsia="宋体"/>
                <w:color w:val="FF0000"/>
                <w:szCs w:val="21"/>
              </w:rPr>
              <w:t>幅度：</w:t>
            </w:r>
            <w:r>
              <w:rPr>
                <w:rFonts w:hint="eastAsia" w:ascii="宋体" w:hAnsi="宋体"/>
                <w:color w:val="FF0000"/>
                <w:szCs w:val="21"/>
              </w:rPr>
              <w:t>一般商务和技术条款偏离项数之和≥</w:t>
            </w:r>
            <w:r>
              <w:rPr>
                <w:rFonts w:hint="eastAsia" w:ascii="宋体" w:hAnsi="宋体"/>
                <w:color w:val="auto"/>
                <w:szCs w:val="21"/>
                <w:u w:val="single"/>
              </w:rPr>
              <w:t xml:space="preserve"> </w:t>
            </w:r>
            <w:r>
              <w:rPr>
                <w:rFonts w:hint="eastAsia" w:ascii="宋体" w:hAnsi="宋体"/>
                <w:b/>
                <w:bCs/>
                <w:color w:val="auto"/>
                <w:szCs w:val="21"/>
                <w:u w:val="single"/>
                <w:lang w:val="en-US" w:eastAsia="zh-CN"/>
              </w:rPr>
              <w:t>50</w:t>
            </w:r>
            <w:r>
              <w:rPr>
                <w:rFonts w:ascii="宋体" w:hAnsi="宋体"/>
                <w:b/>
                <w:bCs/>
                <w:color w:val="auto"/>
                <w:szCs w:val="21"/>
                <w:u w:val="single"/>
                <w:lang w:val="en"/>
              </w:rPr>
              <w:t xml:space="preserve"> </w:t>
            </w:r>
            <w:r>
              <w:rPr>
                <w:rFonts w:hint="eastAsia" w:ascii="宋体" w:hAnsi="宋体"/>
                <w:color w:val="FF0000"/>
                <w:szCs w:val="21"/>
              </w:rPr>
              <w:t>项将导致无效投标。所称条款数（最高项数）的统计方法为：招标文件中，凡编排有单独的中文序数或阿拉伯数字等字符的条款算一项商务或技术要求项数，相同内容的条款不重复计算项数(不含评分因素)</w:t>
            </w:r>
          </w:p>
        </w:tc>
      </w:tr>
      <w:tr w14:paraId="5E083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6017EACE">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6</w:t>
            </w:r>
          </w:p>
        </w:tc>
        <w:tc>
          <w:tcPr>
            <w:tcW w:w="4060" w:type="dxa"/>
            <w:noWrap w:val="0"/>
            <w:vAlign w:val="center"/>
          </w:tcPr>
          <w:p w14:paraId="2DE52757">
            <w:pPr>
              <w:snapToGrid w:val="0"/>
              <w:spacing w:line="360" w:lineRule="exact"/>
              <w:textAlignment w:val="baseline"/>
              <w:rPr>
                <w:rFonts w:ascii="宋体" w:hAnsi="宋体" w:cs="宋体"/>
                <w:color w:val="auto"/>
                <w:kern w:val="0"/>
                <w:sz w:val="20"/>
                <w:szCs w:val="21"/>
              </w:rPr>
            </w:pPr>
            <w:r>
              <w:rPr>
                <w:rFonts w:hint="eastAsia" w:ascii="宋体" w:hAnsi="宋体"/>
                <w:color w:val="auto"/>
              </w:rPr>
              <w:t>招标文件中</w:t>
            </w:r>
            <w:r>
              <w:rPr>
                <w:rFonts w:hint="eastAsia" w:ascii="宋体" w:hAnsi="宋体" w:cs="宋体"/>
                <w:color w:val="auto"/>
                <w:szCs w:val="21"/>
              </w:rPr>
              <w:t>用“拒绝 ”、“不接受 ”、“无效 ”、“不得 ”等文件规定或标注 “★”符号的条款为实质性要求条款（即重要条款），对其中任何一条的偏离，在评标时将其视为无效投标</w:t>
            </w:r>
          </w:p>
        </w:tc>
        <w:tc>
          <w:tcPr>
            <w:tcW w:w="4317" w:type="dxa"/>
            <w:noWrap w:val="0"/>
            <w:vAlign w:val="center"/>
          </w:tcPr>
          <w:p w14:paraId="0AE95B0C">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投标文件是否对招标文件中所述的条款做出实质性响应</w:t>
            </w:r>
          </w:p>
        </w:tc>
      </w:tr>
      <w:tr w14:paraId="287D36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c>
          <w:tcPr>
            <w:tcW w:w="683" w:type="dxa"/>
            <w:noWrap w:val="0"/>
            <w:vAlign w:val="center"/>
          </w:tcPr>
          <w:p w14:paraId="237CB992">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7</w:t>
            </w:r>
          </w:p>
        </w:tc>
        <w:tc>
          <w:tcPr>
            <w:tcW w:w="4060" w:type="dxa"/>
            <w:noWrap w:val="0"/>
            <w:vAlign w:val="center"/>
          </w:tcPr>
          <w:p w14:paraId="1E872F94">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投标文件含有采购人不能接受的附加条件的</w:t>
            </w:r>
          </w:p>
        </w:tc>
        <w:tc>
          <w:tcPr>
            <w:tcW w:w="4317" w:type="dxa"/>
            <w:noWrap w:val="0"/>
            <w:vAlign w:val="center"/>
          </w:tcPr>
          <w:p w14:paraId="0065F255">
            <w:pPr>
              <w:snapToGrid w:val="0"/>
              <w:spacing w:before="156" w:line="360" w:lineRule="auto"/>
              <w:textAlignment w:val="baseline"/>
              <w:rPr>
                <w:rFonts w:ascii="宋体" w:hAnsi="宋体"/>
                <w:color w:val="auto"/>
                <w:sz w:val="20"/>
                <w:szCs w:val="21"/>
              </w:rPr>
            </w:pPr>
            <w:r>
              <w:rPr>
                <w:rFonts w:ascii="宋体" w:hAnsi="宋体"/>
                <w:color w:val="auto"/>
                <w:szCs w:val="21"/>
              </w:rPr>
              <w:t>是否存在</w:t>
            </w:r>
            <w:r>
              <w:rPr>
                <w:rFonts w:hint="eastAsia" w:ascii="宋体" w:hAnsi="宋体"/>
                <w:color w:val="auto"/>
                <w:szCs w:val="21"/>
              </w:rPr>
              <w:t>投标文件含有采购人不能接受的附加条件的</w:t>
            </w:r>
          </w:p>
        </w:tc>
      </w:tr>
      <w:tr w14:paraId="2B8B75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4BACBDD8">
            <w:pPr>
              <w:snapToGrid w:val="0"/>
              <w:spacing w:before="156" w:line="360" w:lineRule="auto"/>
              <w:textAlignment w:val="baseline"/>
              <w:rPr>
                <w:rFonts w:ascii="宋体" w:hAnsi="宋体"/>
                <w:color w:val="auto"/>
                <w:kern w:val="0"/>
                <w:sz w:val="20"/>
                <w:szCs w:val="21"/>
              </w:rPr>
            </w:pPr>
            <w:r>
              <w:rPr>
                <w:rFonts w:hint="eastAsia" w:ascii="宋体" w:hAnsi="宋体"/>
                <w:color w:val="auto"/>
                <w:kern w:val="0"/>
                <w:szCs w:val="21"/>
              </w:rPr>
              <w:t>8</w:t>
            </w:r>
          </w:p>
        </w:tc>
        <w:tc>
          <w:tcPr>
            <w:tcW w:w="4060" w:type="dxa"/>
            <w:noWrap w:val="0"/>
            <w:vAlign w:val="center"/>
          </w:tcPr>
          <w:p w14:paraId="7B141B11">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法律、法规和招标文件规定的其他投标无效情形的</w:t>
            </w:r>
          </w:p>
        </w:tc>
        <w:tc>
          <w:tcPr>
            <w:tcW w:w="4317" w:type="dxa"/>
            <w:noWrap w:val="0"/>
            <w:vAlign w:val="center"/>
          </w:tcPr>
          <w:p w14:paraId="54EFEDEC">
            <w:pPr>
              <w:snapToGrid w:val="0"/>
              <w:spacing w:before="156" w:line="360" w:lineRule="auto"/>
              <w:textAlignment w:val="baseline"/>
              <w:rPr>
                <w:rFonts w:ascii="宋体" w:hAnsi="宋体"/>
                <w:color w:val="auto"/>
                <w:sz w:val="20"/>
                <w:szCs w:val="21"/>
              </w:rPr>
            </w:pPr>
            <w:r>
              <w:rPr>
                <w:rFonts w:hint="eastAsia" w:ascii="宋体" w:hAnsi="宋体"/>
                <w:color w:val="auto"/>
                <w:szCs w:val="21"/>
              </w:rPr>
              <w:t>是否存在有招标文件规定的其他投标无效情形</w:t>
            </w:r>
          </w:p>
        </w:tc>
      </w:tr>
      <w:tr w14:paraId="57157A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5E8B282E">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 w:val="20"/>
                <w:szCs w:val="21"/>
              </w:rPr>
              <w:t>结论</w:t>
            </w:r>
          </w:p>
        </w:tc>
        <w:tc>
          <w:tcPr>
            <w:tcW w:w="8377" w:type="dxa"/>
            <w:gridSpan w:val="2"/>
            <w:noWrap w:val="0"/>
            <w:vAlign w:val="center"/>
          </w:tcPr>
          <w:p w14:paraId="3C903EB2">
            <w:pPr>
              <w:snapToGrid w:val="0"/>
              <w:spacing w:before="156" w:line="360" w:lineRule="auto"/>
              <w:textAlignment w:val="baseline"/>
              <w:rPr>
                <w:rFonts w:ascii="宋体" w:hAnsi="宋体" w:cs="宋体"/>
                <w:color w:val="auto"/>
                <w:kern w:val="0"/>
                <w:sz w:val="20"/>
                <w:szCs w:val="21"/>
              </w:rPr>
            </w:pPr>
          </w:p>
        </w:tc>
      </w:tr>
    </w:tbl>
    <w:p w14:paraId="38A3A6C6">
      <w:pPr>
        <w:pStyle w:val="22"/>
        <w:adjustRightInd w:val="0"/>
        <w:snapToGrid w:val="0"/>
        <w:ind w:firstLine="422" w:firstLineChars="200"/>
        <w:rPr>
          <w:rFonts w:hAnsi="宋体"/>
          <w:b/>
          <w:color w:val="auto"/>
          <w:sz w:val="21"/>
        </w:rPr>
      </w:pPr>
      <w:r>
        <w:rPr>
          <w:rFonts w:hAnsi="宋体"/>
          <w:b/>
          <w:color w:val="auto"/>
          <w:sz w:val="21"/>
        </w:rPr>
        <w:br w:type="page"/>
      </w:r>
    </w:p>
    <w:p w14:paraId="2D3DA61C">
      <w:pPr>
        <w:pStyle w:val="5"/>
        <w:adjustRightInd w:val="0"/>
        <w:snapToGrid w:val="0"/>
        <w:spacing w:before="0" w:after="0" w:line="360" w:lineRule="auto"/>
        <w:rPr>
          <w:rFonts w:ascii="黑体" w:hAnsi="黑体"/>
          <w:b w:val="0"/>
          <w:color w:val="auto"/>
          <w:sz w:val="21"/>
          <w:szCs w:val="21"/>
        </w:rPr>
      </w:pPr>
      <w:bookmarkStart w:id="1026" w:name="_Toc15888518"/>
      <w:bookmarkStart w:id="1027" w:name="_Toc75289263"/>
      <w:r>
        <w:rPr>
          <w:rFonts w:hint="eastAsia" w:ascii="黑体" w:hAnsi="黑体"/>
          <w:b w:val="0"/>
          <w:color w:val="auto"/>
          <w:sz w:val="21"/>
          <w:szCs w:val="21"/>
        </w:rPr>
        <w:t>附表2 符合性审查结果一览表</w:t>
      </w:r>
      <w:bookmarkEnd w:id="1026"/>
      <w:bookmarkEnd w:id="1027"/>
    </w:p>
    <w:p w14:paraId="24162BC5">
      <w:pPr>
        <w:pStyle w:val="4"/>
        <w:jc w:val="center"/>
        <w:rPr>
          <w:rFonts w:ascii="黑体" w:hAnsi="黑体" w:eastAsia="黑体"/>
          <w:b w:val="0"/>
          <w:color w:val="auto"/>
          <w:sz w:val="28"/>
          <w:szCs w:val="28"/>
        </w:rPr>
      </w:pPr>
      <w:bookmarkStart w:id="1028" w:name="_Toc192951248"/>
      <w:bookmarkStart w:id="1029" w:name="_Toc117192484"/>
      <w:bookmarkStart w:id="1030" w:name="_Toc112704969"/>
      <w:bookmarkStart w:id="1031" w:name="_Toc154428425"/>
      <w:bookmarkStart w:id="1032" w:name="_Toc20968"/>
      <w:bookmarkStart w:id="1033" w:name="_Toc78449990"/>
      <w:bookmarkStart w:id="1034" w:name="_Toc95601400"/>
      <w:bookmarkStart w:id="1035" w:name="_Toc77199434"/>
      <w:bookmarkStart w:id="1036" w:name="_Toc14390"/>
      <w:bookmarkStart w:id="1037" w:name="_Toc114036748"/>
      <w:bookmarkStart w:id="1038" w:name="_Toc32232"/>
      <w:bookmarkStart w:id="1039" w:name="_Toc100670704"/>
      <w:bookmarkStart w:id="1040" w:name="_Toc171273706"/>
      <w:bookmarkStart w:id="1041" w:name="_Toc75289264"/>
      <w:bookmarkStart w:id="1042" w:name="_Toc77676501"/>
      <w:bookmarkStart w:id="1043" w:name="_Toc75289583"/>
      <w:bookmarkStart w:id="1044" w:name="_Toc192949737"/>
      <w:bookmarkStart w:id="1045" w:name="_Toc10299"/>
      <w:bookmarkStart w:id="1046" w:name="_Toc21099"/>
      <w:bookmarkStart w:id="1047" w:name="_Toc108341973"/>
      <w:bookmarkStart w:id="1048" w:name="_Toc94367915"/>
      <w:bookmarkStart w:id="1049" w:name="_Toc85972965"/>
      <w:bookmarkStart w:id="1050" w:name="_Toc13692"/>
      <w:bookmarkStart w:id="1051" w:name="_Toc13195"/>
      <w:bookmarkStart w:id="1052" w:name="_Toc15630"/>
      <w:bookmarkStart w:id="1053" w:name="_Toc2995"/>
      <w:bookmarkStart w:id="1054" w:name="_Toc192949638"/>
      <w:bookmarkStart w:id="1055" w:name="_Toc100670456"/>
      <w:bookmarkStart w:id="1056" w:name="_Toc78314297"/>
      <w:r>
        <w:rPr>
          <w:rFonts w:hint="eastAsia" w:ascii="黑体" w:hAnsi="黑体" w:eastAsia="黑体"/>
          <w:b w:val="0"/>
          <w:color w:val="auto"/>
          <w:sz w:val="28"/>
          <w:szCs w:val="28"/>
        </w:rPr>
        <w:t>符合性审查结果一览表</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14:paraId="75C531BF">
      <w:pPr>
        <w:adjustRightInd w:val="0"/>
        <w:snapToGrid w:val="0"/>
        <w:spacing w:line="360" w:lineRule="auto"/>
        <w:rPr>
          <w:rFonts w:ascii="宋体" w:hAnsi="宋体"/>
          <w:color w:val="auto"/>
          <w:szCs w:val="21"/>
        </w:rPr>
      </w:pPr>
      <w:r>
        <w:rPr>
          <w:rFonts w:hint="eastAsia" w:ascii="宋体" w:hAnsi="宋体"/>
          <w:color w:val="auto"/>
          <w:szCs w:val="21"/>
        </w:rPr>
        <w:t>项目名称：                                           政府采购计划编号：</w:t>
      </w:r>
    </w:p>
    <w:tbl>
      <w:tblPr>
        <w:tblStyle w:val="47"/>
        <w:tblW w:w="87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699"/>
      </w:tblGrid>
      <w:tr w14:paraId="4294F9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vAlign w:val="center"/>
          </w:tcPr>
          <w:p w14:paraId="1AE58724">
            <w:pPr>
              <w:jc w:val="center"/>
              <w:rPr>
                <w:rFonts w:ascii="宋体" w:hAnsi="宋体"/>
                <w:b/>
                <w:color w:val="auto"/>
                <w:kern w:val="0"/>
                <w:szCs w:val="21"/>
              </w:rPr>
            </w:pPr>
            <w:r>
              <w:rPr>
                <w:rFonts w:hint="eastAsia" w:ascii="宋体" w:hAnsi="宋体"/>
                <w:b/>
                <w:color w:val="auto"/>
                <w:kern w:val="0"/>
                <w:szCs w:val="21"/>
              </w:rPr>
              <w:t>序号</w:t>
            </w:r>
          </w:p>
        </w:tc>
        <w:tc>
          <w:tcPr>
            <w:tcW w:w="2963" w:type="dxa"/>
            <w:vAlign w:val="center"/>
          </w:tcPr>
          <w:p w14:paraId="1007E357">
            <w:pPr>
              <w:jc w:val="center"/>
              <w:rPr>
                <w:rFonts w:ascii="宋体" w:hAnsi="宋体"/>
                <w:b/>
                <w:color w:val="auto"/>
                <w:kern w:val="0"/>
                <w:szCs w:val="21"/>
              </w:rPr>
            </w:pPr>
            <w:r>
              <w:rPr>
                <w:rFonts w:hint="eastAsia" w:ascii="宋体" w:hAnsi="宋体"/>
                <w:b/>
                <w:color w:val="auto"/>
                <w:kern w:val="0"/>
                <w:szCs w:val="21"/>
              </w:rPr>
              <w:t>投标人名称</w:t>
            </w:r>
          </w:p>
        </w:tc>
        <w:tc>
          <w:tcPr>
            <w:tcW w:w="2439" w:type="dxa"/>
            <w:vAlign w:val="center"/>
          </w:tcPr>
          <w:p w14:paraId="4127FB01">
            <w:pPr>
              <w:jc w:val="center"/>
              <w:rPr>
                <w:rFonts w:ascii="宋体" w:hAnsi="宋体"/>
                <w:b/>
                <w:color w:val="auto"/>
                <w:kern w:val="0"/>
                <w:szCs w:val="21"/>
              </w:rPr>
            </w:pPr>
            <w:r>
              <w:rPr>
                <w:rFonts w:hint="eastAsia" w:ascii="宋体" w:hAnsi="宋体"/>
                <w:b/>
                <w:color w:val="auto"/>
                <w:kern w:val="0"/>
                <w:szCs w:val="21"/>
              </w:rPr>
              <w:t>符合性审查结果</w:t>
            </w:r>
          </w:p>
          <w:p w14:paraId="0A18C6C5">
            <w:pPr>
              <w:jc w:val="center"/>
              <w:rPr>
                <w:rFonts w:ascii="宋体" w:hAnsi="宋体"/>
                <w:b/>
                <w:color w:val="auto"/>
                <w:kern w:val="0"/>
                <w:szCs w:val="21"/>
              </w:rPr>
            </w:pPr>
            <w:r>
              <w:rPr>
                <w:rFonts w:hint="eastAsia" w:ascii="宋体" w:hAnsi="宋体"/>
                <w:b/>
                <w:color w:val="auto"/>
                <w:kern w:val="0"/>
                <w:szCs w:val="21"/>
              </w:rPr>
              <w:t>（合格/不合格）</w:t>
            </w:r>
          </w:p>
        </w:tc>
        <w:tc>
          <w:tcPr>
            <w:tcW w:w="2699" w:type="dxa"/>
            <w:vAlign w:val="center"/>
          </w:tcPr>
          <w:p w14:paraId="29CB002E">
            <w:pPr>
              <w:jc w:val="center"/>
              <w:rPr>
                <w:rFonts w:ascii="宋体" w:hAnsi="宋体"/>
                <w:b/>
                <w:color w:val="auto"/>
                <w:kern w:val="0"/>
                <w:szCs w:val="21"/>
              </w:rPr>
            </w:pPr>
            <w:r>
              <w:rPr>
                <w:rFonts w:hint="eastAsia" w:ascii="宋体" w:hAnsi="宋体"/>
                <w:b/>
                <w:color w:val="auto"/>
                <w:kern w:val="0"/>
                <w:szCs w:val="21"/>
              </w:rPr>
              <w:t>符合性审查不合格原因</w:t>
            </w:r>
          </w:p>
        </w:tc>
      </w:tr>
      <w:tr w14:paraId="71A936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7F325C4">
            <w:pPr>
              <w:adjustRightInd w:val="0"/>
              <w:snapToGrid w:val="0"/>
              <w:spacing w:line="360" w:lineRule="auto"/>
              <w:rPr>
                <w:rFonts w:ascii="宋体" w:hAnsi="宋体"/>
                <w:color w:val="auto"/>
                <w:kern w:val="0"/>
                <w:sz w:val="24"/>
              </w:rPr>
            </w:pPr>
          </w:p>
        </w:tc>
        <w:tc>
          <w:tcPr>
            <w:tcW w:w="2963" w:type="dxa"/>
          </w:tcPr>
          <w:p w14:paraId="684D389C">
            <w:pPr>
              <w:adjustRightInd w:val="0"/>
              <w:snapToGrid w:val="0"/>
              <w:spacing w:line="360" w:lineRule="auto"/>
              <w:rPr>
                <w:rFonts w:ascii="宋体" w:hAnsi="宋体"/>
                <w:color w:val="auto"/>
                <w:kern w:val="0"/>
                <w:sz w:val="24"/>
              </w:rPr>
            </w:pPr>
          </w:p>
        </w:tc>
        <w:tc>
          <w:tcPr>
            <w:tcW w:w="2439" w:type="dxa"/>
          </w:tcPr>
          <w:p w14:paraId="08FEA59F">
            <w:pPr>
              <w:adjustRightInd w:val="0"/>
              <w:snapToGrid w:val="0"/>
              <w:spacing w:line="360" w:lineRule="auto"/>
              <w:rPr>
                <w:rFonts w:ascii="宋体" w:hAnsi="宋体"/>
                <w:color w:val="auto"/>
                <w:kern w:val="0"/>
                <w:sz w:val="24"/>
              </w:rPr>
            </w:pPr>
          </w:p>
        </w:tc>
        <w:tc>
          <w:tcPr>
            <w:tcW w:w="2699" w:type="dxa"/>
          </w:tcPr>
          <w:p w14:paraId="7D1BCEE9">
            <w:pPr>
              <w:adjustRightInd w:val="0"/>
              <w:snapToGrid w:val="0"/>
              <w:spacing w:line="360" w:lineRule="auto"/>
              <w:rPr>
                <w:rFonts w:ascii="宋体" w:hAnsi="宋体"/>
                <w:color w:val="auto"/>
                <w:kern w:val="0"/>
                <w:sz w:val="24"/>
              </w:rPr>
            </w:pPr>
          </w:p>
        </w:tc>
      </w:tr>
      <w:tr w14:paraId="0857A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7A0B7F21">
            <w:pPr>
              <w:adjustRightInd w:val="0"/>
              <w:snapToGrid w:val="0"/>
              <w:spacing w:line="360" w:lineRule="auto"/>
              <w:rPr>
                <w:rFonts w:ascii="宋体" w:hAnsi="宋体"/>
                <w:color w:val="auto"/>
                <w:kern w:val="0"/>
                <w:sz w:val="24"/>
              </w:rPr>
            </w:pPr>
          </w:p>
        </w:tc>
        <w:tc>
          <w:tcPr>
            <w:tcW w:w="2963" w:type="dxa"/>
          </w:tcPr>
          <w:p w14:paraId="6924C130">
            <w:pPr>
              <w:adjustRightInd w:val="0"/>
              <w:snapToGrid w:val="0"/>
              <w:spacing w:line="360" w:lineRule="auto"/>
              <w:rPr>
                <w:rFonts w:ascii="宋体" w:hAnsi="宋体"/>
                <w:color w:val="auto"/>
                <w:kern w:val="0"/>
                <w:sz w:val="24"/>
              </w:rPr>
            </w:pPr>
          </w:p>
        </w:tc>
        <w:tc>
          <w:tcPr>
            <w:tcW w:w="2439" w:type="dxa"/>
          </w:tcPr>
          <w:p w14:paraId="6603C7DB">
            <w:pPr>
              <w:adjustRightInd w:val="0"/>
              <w:snapToGrid w:val="0"/>
              <w:spacing w:line="360" w:lineRule="auto"/>
              <w:rPr>
                <w:rFonts w:ascii="宋体" w:hAnsi="宋体"/>
                <w:color w:val="auto"/>
                <w:kern w:val="0"/>
                <w:sz w:val="24"/>
              </w:rPr>
            </w:pPr>
          </w:p>
        </w:tc>
        <w:tc>
          <w:tcPr>
            <w:tcW w:w="2699" w:type="dxa"/>
          </w:tcPr>
          <w:p w14:paraId="4A082F5C">
            <w:pPr>
              <w:adjustRightInd w:val="0"/>
              <w:snapToGrid w:val="0"/>
              <w:spacing w:line="360" w:lineRule="auto"/>
              <w:rPr>
                <w:rFonts w:ascii="宋体" w:hAnsi="宋体"/>
                <w:color w:val="auto"/>
                <w:kern w:val="0"/>
                <w:sz w:val="24"/>
              </w:rPr>
            </w:pPr>
          </w:p>
        </w:tc>
      </w:tr>
      <w:tr w14:paraId="364BC6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334D21B">
            <w:pPr>
              <w:adjustRightInd w:val="0"/>
              <w:snapToGrid w:val="0"/>
              <w:spacing w:line="360" w:lineRule="auto"/>
              <w:rPr>
                <w:rFonts w:ascii="宋体" w:hAnsi="宋体"/>
                <w:color w:val="auto"/>
                <w:kern w:val="0"/>
                <w:sz w:val="24"/>
              </w:rPr>
            </w:pPr>
          </w:p>
        </w:tc>
        <w:tc>
          <w:tcPr>
            <w:tcW w:w="2963" w:type="dxa"/>
          </w:tcPr>
          <w:p w14:paraId="58745AA1">
            <w:pPr>
              <w:adjustRightInd w:val="0"/>
              <w:snapToGrid w:val="0"/>
              <w:spacing w:line="360" w:lineRule="auto"/>
              <w:rPr>
                <w:rFonts w:ascii="宋体" w:hAnsi="宋体"/>
                <w:color w:val="auto"/>
                <w:kern w:val="0"/>
                <w:sz w:val="24"/>
              </w:rPr>
            </w:pPr>
          </w:p>
        </w:tc>
        <w:tc>
          <w:tcPr>
            <w:tcW w:w="2439" w:type="dxa"/>
          </w:tcPr>
          <w:p w14:paraId="4D1432A4">
            <w:pPr>
              <w:adjustRightInd w:val="0"/>
              <w:snapToGrid w:val="0"/>
              <w:spacing w:line="360" w:lineRule="auto"/>
              <w:rPr>
                <w:rFonts w:ascii="宋体" w:hAnsi="宋体"/>
                <w:color w:val="auto"/>
                <w:kern w:val="0"/>
                <w:sz w:val="24"/>
              </w:rPr>
            </w:pPr>
          </w:p>
        </w:tc>
        <w:tc>
          <w:tcPr>
            <w:tcW w:w="2699" w:type="dxa"/>
          </w:tcPr>
          <w:p w14:paraId="4A897BAF">
            <w:pPr>
              <w:adjustRightInd w:val="0"/>
              <w:snapToGrid w:val="0"/>
              <w:spacing w:line="360" w:lineRule="auto"/>
              <w:rPr>
                <w:rFonts w:ascii="宋体" w:hAnsi="宋体"/>
                <w:color w:val="auto"/>
                <w:kern w:val="0"/>
                <w:sz w:val="24"/>
              </w:rPr>
            </w:pPr>
          </w:p>
        </w:tc>
      </w:tr>
      <w:tr w14:paraId="04D8A9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0F34F64">
            <w:pPr>
              <w:adjustRightInd w:val="0"/>
              <w:snapToGrid w:val="0"/>
              <w:spacing w:line="360" w:lineRule="auto"/>
              <w:rPr>
                <w:rFonts w:ascii="宋体" w:hAnsi="宋体"/>
                <w:color w:val="auto"/>
                <w:kern w:val="0"/>
                <w:sz w:val="24"/>
              </w:rPr>
            </w:pPr>
          </w:p>
        </w:tc>
        <w:tc>
          <w:tcPr>
            <w:tcW w:w="2963" w:type="dxa"/>
          </w:tcPr>
          <w:p w14:paraId="0FC99CF5">
            <w:pPr>
              <w:adjustRightInd w:val="0"/>
              <w:snapToGrid w:val="0"/>
              <w:spacing w:line="360" w:lineRule="auto"/>
              <w:rPr>
                <w:rFonts w:ascii="宋体" w:hAnsi="宋体"/>
                <w:color w:val="auto"/>
                <w:kern w:val="0"/>
                <w:sz w:val="24"/>
              </w:rPr>
            </w:pPr>
          </w:p>
        </w:tc>
        <w:tc>
          <w:tcPr>
            <w:tcW w:w="2439" w:type="dxa"/>
          </w:tcPr>
          <w:p w14:paraId="6FE800C8">
            <w:pPr>
              <w:adjustRightInd w:val="0"/>
              <w:snapToGrid w:val="0"/>
              <w:spacing w:line="360" w:lineRule="auto"/>
              <w:rPr>
                <w:rFonts w:ascii="宋体" w:hAnsi="宋体"/>
                <w:color w:val="auto"/>
                <w:kern w:val="0"/>
                <w:sz w:val="24"/>
              </w:rPr>
            </w:pPr>
          </w:p>
        </w:tc>
        <w:tc>
          <w:tcPr>
            <w:tcW w:w="2699" w:type="dxa"/>
          </w:tcPr>
          <w:p w14:paraId="6E1E115C">
            <w:pPr>
              <w:adjustRightInd w:val="0"/>
              <w:snapToGrid w:val="0"/>
              <w:spacing w:line="360" w:lineRule="auto"/>
              <w:rPr>
                <w:rFonts w:ascii="宋体" w:hAnsi="宋体"/>
                <w:color w:val="auto"/>
                <w:kern w:val="0"/>
                <w:sz w:val="24"/>
              </w:rPr>
            </w:pPr>
          </w:p>
        </w:tc>
      </w:tr>
      <w:tr w14:paraId="6A5024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06CD43C">
            <w:pPr>
              <w:adjustRightInd w:val="0"/>
              <w:snapToGrid w:val="0"/>
              <w:spacing w:line="360" w:lineRule="auto"/>
              <w:rPr>
                <w:rFonts w:ascii="宋体" w:hAnsi="宋体"/>
                <w:color w:val="auto"/>
                <w:kern w:val="0"/>
                <w:sz w:val="24"/>
              </w:rPr>
            </w:pPr>
          </w:p>
        </w:tc>
        <w:tc>
          <w:tcPr>
            <w:tcW w:w="2963" w:type="dxa"/>
          </w:tcPr>
          <w:p w14:paraId="25BA0A21">
            <w:pPr>
              <w:adjustRightInd w:val="0"/>
              <w:snapToGrid w:val="0"/>
              <w:spacing w:line="360" w:lineRule="auto"/>
              <w:rPr>
                <w:rFonts w:ascii="宋体" w:hAnsi="宋体"/>
                <w:color w:val="auto"/>
                <w:kern w:val="0"/>
                <w:sz w:val="24"/>
              </w:rPr>
            </w:pPr>
          </w:p>
        </w:tc>
        <w:tc>
          <w:tcPr>
            <w:tcW w:w="2439" w:type="dxa"/>
          </w:tcPr>
          <w:p w14:paraId="7234C7A0">
            <w:pPr>
              <w:adjustRightInd w:val="0"/>
              <w:snapToGrid w:val="0"/>
              <w:spacing w:line="360" w:lineRule="auto"/>
              <w:rPr>
                <w:rFonts w:ascii="宋体" w:hAnsi="宋体"/>
                <w:color w:val="auto"/>
                <w:kern w:val="0"/>
                <w:sz w:val="24"/>
              </w:rPr>
            </w:pPr>
          </w:p>
        </w:tc>
        <w:tc>
          <w:tcPr>
            <w:tcW w:w="2699" w:type="dxa"/>
          </w:tcPr>
          <w:p w14:paraId="0BE5E094">
            <w:pPr>
              <w:adjustRightInd w:val="0"/>
              <w:snapToGrid w:val="0"/>
              <w:spacing w:line="360" w:lineRule="auto"/>
              <w:rPr>
                <w:rFonts w:ascii="宋体" w:hAnsi="宋体"/>
                <w:color w:val="auto"/>
                <w:kern w:val="0"/>
                <w:sz w:val="24"/>
              </w:rPr>
            </w:pPr>
          </w:p>
        </w:tc>
      </w:tr>
      <w:tr w14:paraId="2ECAF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7F3C694E">
            <w:pPr>
              <w:adjustRightInd w:val="0"/>
              <w:snapToGrid w:val="0"/>
              <w:spacing w:line="360" w:lineRule="auto"/>
              <w:rPr>
                <w:rFonts w:ascii="宋体" w:hAnsi="宋体"/>
                <w:color w:val="auto"/>
                <w:kern w:val="0"/>
                <w:sz w:val="24"/>
              </w:rPr>
            </w:pPr>
          </w:p>
        </w:tc>
        <w:tc>
          <w:tcPr>
            <w:tcW w:w="2963" w:type="dxa"/>
          </w:tcPr>
          <w:p w14:paraId="5652DBBD">
            <w:pPr>
              <w:adjustRightInd w:val="0"/>
              <w:snapToGrid w:val="0"/>
              <w:spacing w:line="360" w:lineRule="auto"/>
              <w:rPr>
                <w:rFonts w:ascii="宋体" w:hAnsi="宋体"/>
                <w:color w:val="auto"/>
                <w:kern w:val="0"/>
                <w:sz w:val="24"/>
              </w:rPr>
            </w:pPr>
          </w:p>
        </w:tc>
        <w:tc>
          <w:tcPr>
            <w:tcW w:w="2439" w:type="dxa"/>
          </w:tcPr>
          <w:p w14:paraId="4DAD341F">
            <w:pPr>
              <w:adjustRightInd w:val="0"/>
              <w:snapToGrid w:val="0"/>
              <w:spacing w:line="360" w:lineRule="auto"/>
              <w:rPr>
                <w:rFonts w:ascii="宋体" w:hAnsi="宋体"/>
                <w:color w:val="auto"/>
                <w:kern w:val="0"/>
                <w:sz w:val="24"/>
              </w:rPr>
            </w:pPr>
          </w:p>
        </w:tc>
        <w:tc>
          <w:tcPr>
            <w:tcW w:w="2699" w:type="dxa"/>
          </w:tcPr>
          <w:p w14:paraId="4F365FC9">
            <w:pPr>
              <w:adjustRightInd w:val="0"/>
              <w:snapToGrid w:val="0"/>
              <w:spacing w:line="360" w:lineRule="auto"/>
              <w:rPr>
                <w:rFonts w:ascii="宋体" w:hAnsi="宋体"/>
                <w:color w:val="auto"/>
                <w:kern w:val="0"/>
                <w:sz w:val="24"/>
              </w:rPr>
            </w:pPr>
          </w:p>
        </w:tc>
      </w:tr>
      <w:tr w14:paraId="308D4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B4F6C9C">
            <w:pPr>
              <w:adjustRightInd w:val="0"/>
              <w:snapToGrid w:val="0"/>
              <w:spacing w:line="360" w:lineRule="auto"/>
              <w:rPr>
                <w:rFonts w:ascii="宋体" w:hAnsi="宋体"/>
                <w:color w:val="auto"/>
                <w:kern w:val="0"/>
                <w:sz w:val="24"/>
              </w:rPr>
            </w:pPr>
          </w:p>
        </w:tc>
        <w:tc>
          <w:tcPr>
            <w:tcW w:w="2963" w:type="dxa"/>
          </w:tcPr>
          <w:p w14:paraId="5AFF0625">
            <w:pPr>
              <w:adjustRightInd w:val="0"/>
              <w:snapToGrid w:val="0"/>
              <w:spacing w:line="360" w:lineRule="auto"/>
              <w:rPr>
                <w:rFonts w:ascii="宋体" w:hAnsi="宋体"/>
                <w:color w:val="auto"/>
                <w:kern w:val="0"/>
                <w:sz w:val="24"/>
              </w:rPr>
            </w:pPr>
          </w:p>
        </w:tc>
        <w:tc>
          <w:tcPr>
            <w:tcW w:w="2439" w:type="dxa"/>
          </w:tcPr>
          <w:p w14:paraId="67D82F50">
            <w:pPr>
              <w:adjustRightInd w:val="0"/>
              <w:snapToGrid w:val="0"/>
              <w:spacing w:line="360" w:lineRule="auto"/>
              <w:rPr>
                <w:rFonts w:ascii="宋体" w:hAnsi="宋体"/>
                <w:color w:val="auto"/>
                <w:kern w:val="0"/>
                <w:sz w:val="24"/>
              </w:rPr>
            </w:pPr>
          </w:p>
        </w:tc>
        <w:tc>
          <w:tcPr>
            <w:tcW w:w="2699" w:type="dxa"/>
          </w:tcPr>
          <w:p w14:paraId="14F8A6D8">
            <w:pPr>
              <w:adjustRightInd w:val="0"/>
              <w:snapToGrid w:val="0"/>
              <w:spacing w:line="360" w:lineRule="auto"/>
              <w:rPr>
                <w:rFonts w:ascii="宋体" w:hAnsi="宋体"/>
                <w:color w:val="auto"/>
                <w:kern w:val="0"/>
                <w:sz w:val="24"/>
              </w:rPr>
            </w:pPr>
          </w:p>
        </w:tc>
      </w:tr>
      <w:tr w14:paraId="0E01A0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2DD802E">
            <w:pPr>
              <w:adjustRightInd w:val="0"/>
              <w:snapToGrid w:val="0"/>
              <w:spacing w:line="360" w:lineRule="auto"/>
              <w:rPr>
                <w:rFonts w:ascii="宋体" w:hAnsi="宋体"/>
                <w:color w:val="auto"/>
                <w:kern w:val="0"/>
                <w:sz w:val="24"/>
              </w:rPr>
            </w:pPr>
          </w:p>
        </w:tc>
        <w:tc>
          <w:tcPr>
            <w:tcW w:w="2963" w:type="dxa"/>
          </w:tcPr>
          <w:p w14:paraId="50B84163">
            <w:pPr>
              <w:adjustRightInd w:val="0"/>
              <w:snapToGrid w:val="0"/>
              <w:spacing w:line="360" w:lineRule="auto"/>
              <w:rPr>
                <w:rFonts w:ascii="宋体" w:hAnsi="宋体"/>
                <w:color w:val="auto"/>
                <w:kern w:val="0"/>
                <w:sz w:val="24"/>
              </w:rPr>
            </w:pPr>
          </w:p>
        </w:tc>
        <w:tc>
          <w:tcPr>
            <w:tcW w:w="2439" w:type="dxa"/>
          </w:tcPr>
          <w:p w14:paraId="0F86B3F5">
            <w:pPr>
              <w:adjustRightInd w:val="0"/>
              <w:snapToGrid w:val="0"/>
              <w:spacing w:line="360" w:lineRule="auto"/>
              <w:rPr>
                <w:rFonts w:ascii="宋体" w:hAnsi="宋体"/>
                <w:color w:val="auto"/>
                <w:kern w:val="0"/>
                <w:sz w:val="24"/>
              </w:rPr>
            </w:pPr>
          </w:p>
        </w:tc>
        <w:tc>
          <w:tcPr>
            <w:tcW w:w="2699" w:type="dxa"/>
          </w:tcPr>
          <w:p w14:paraId="5366EB5C">
            <w:pPr>
              <w:adjustRightInd w:val="0"/>
              <w:snapToGrid w:val="0"/>
              <w:spacing w:line="360" w:lineRule="auto"/>
              <w:rPr>
                <w:rFonts w:ascii="宋体" w:hAnsi="宋体"/>
                <w:color w:val="auto"/>
                <w:kern w:val="0"/>
                <w:sz w:val="24"/>
              </w:rPr>
            </w:pPr>
          </w:p>
        </w:tc>
      </w:tr>
      <w:tr w14:paraId="684C8F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6169753C">
            <w:pPr>
              <w:adjustRightInd w:val="0"/>
              <w:snapToGrid w:val="0"/>
              <w:spacing w:line="360" w:lineRule="auto"/>
              <w:rPr>
                <w:rFonts w:ascii="宋体" w:hAnsi="宋体"/>
                <w:color w:val="auto"/>
                <w:kern w:val="0"/>
                <w:sz w:val="24"/>
              </w:rPr>
            </w:pPr>
          </w:p>
        </w:tc>
        <w:tc>
          <w:tcPr>
            <w:tcW w:w="2963" w:type="dxa"/>
          </w:tcPr>
          <w:p w14:paraId="39C044DA">
            <w:pPr>
              <w:adjustRightInd w:val="0"/>
              <w:snapToGrid w:val="0"/>
              <w:spacing w:line="360" w:lineRule="auto"/>
              <w:rPr>
                <w:rFonts w:ascii="宋体" w:hAnsi="宋体"/>
                <w:color w:val="auto"/>
                <w:kern w:val="0"/>
                <w:sz w:val="24"/>
              </w:rPr>
            </w:pPr>
          </w:p>
        </w:tc>
        <w:tc>
          <w:tcPr>
            <w:tcW w:w="2439" w:type="dxa"/>
          </w:tcPr>
          <w:p w14:paraId="62054D1D">
            <w:pPr>
              <w:adjustRightInd w:val="0"/>
              <w:snapToGrid w:val="0"/>
              <w:spacing w:line="360" w:lineRule="auto"/>
              <w:rPr>
                <w:rFonts w:ascii="宋体" w:hAnsi="宋体"/>
                <w:color w:val="auto"/>
                <w:kern w:val="0"/>
                <w:sz w:val="24"/>
              </w:rPr>
            </w:pPr>
          </w:p>
        </w:tc>
        <w:tc>
          <w:tcPr>
            <w:tcW w:w="2699" w:type="dxa"/>
          </w:tcPr>
          <w:p w14:paraId="2F13B790">
            <w:pPr>
              <w:adjustRightInd w:val="0"/>
              <w:snapToGrid w:val="0"/>
              <w:spacing w:line="360" w:lineRule="auto"/>
              <w:rPr>
                <w:rFonts w:ascii="宋体" w:hAnsi="宋体"/>
                <w:color w:val="auto"/>
                <w:kern w:val="0"/>
                <w:sz w:val="24"/>
              </w:rPr>
            </w:pPr>
          </w:p>
        </w:tc>
      </w:tr>
    </w:tbl>
    <w:p w14:paraId="2E309014">
      <w:pPr>
        <w:adjustRightInd w:val="0"/>
        <w:snapToGrid w:val="0"/>
        <w:spacing w:line="360" w:lineRule="auto"/>
        <w:rPr>
          <w:rFonts w:ascii="宋体" w:hAnsi="宋体"/>
          <w:color w:val="auto"/>
          <w:szCs w:val="21"/>
        </w:rPr>
      </w:pPr>
    </w:p>
    <w:p w14:paraId="734A053F">
      <w:pPr>
        <w:adjustRightInd w:val="0"/>
        <w:snapToGrid w:val="0"/>
        <w:spacing w:line="360" w:lineRule="auto"/>
        <w:rPr>
          <w:rFonts w:ascii="宋体" w:hAnsi="宋体"/>
          <w:color w:val="auto"/>
          <w:szCs w:val="21"/>
        </w:rPr>
      </w:pPr>
      <w:r>
        <w:rPr>
          <w:rFonts w:hint="eastAsia" w:ascii="宋体" w:hAnsi="宋体"/>
          <w:color w:val="auto"/>
          <w:szCs w:val="21"/>
        </w:rPr>
        <w:t>评标委员会（签字）：</w:t>
      </w:r>
    </w:p>
    <w:p w14:paraId="29DE4696">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21709B31">
      <w:pPr>
        <w:widowControl/>
        <w:jc w:val="left"/>
        <w:rPr>
          <w:rFonts w:ascii="宋体" w:hAnsi="宋体"/>
          <w:color w:val="auto"/>
          <w:sz w:val="24"/>
        </w:rPr>
      </w:pPr>
      <w:r>
        <w:rPr>
          <w:rFonts w:ascii="宋体" w:hAnsi="宋体"/>
          <w:color w:val="auto"/>
          <w:sz w:val="24"/>
        </w:rPr>
        <w:br w:type="page"/>
      </w:r>
    </w:p>
    <w:p w14:paraId="080C4395">
      <w:pPr>
        <w:pStyle w:val="5"/>
        <w:adjustRightInd w:val="0"/>
        <w:snapToGrid w:val="0"/>
        <w:spacing w:before="0" w:after="0" w:line="360" w:lineRule="auto"/>
        <w:rPr>
          <w:rFonts w:ascii="黑体" w:hAnsi="黑体"/>
          <w:b w:val="0"/>
          <w:color w:val="auto"/>
          <w:sz w:val="21"/>
          <w:szCs w:val="21"/>
        </w:rPr>
      </w:pPr>
      <w:bookmarkStart w:id="1057" w:name="_Toc75289265"/>
      <w:bookmarkStart w:id="1058" w:name="_Toc15888519"/>
      <w:r>
        <w:rPr>
          <w:rFonts w:hint="eastAsia" w:ascii="黑体" w:hAnsi="黑体"/>
          <w:b w:val="0"/>
          <w:color w:val="auto"/>
          <w:sz w:val="21"/>
          <w:szCs w:val="21"/>
        </w:rPr>
        <w:t>附表3 符合性审查合格投标人名单</w:t>
      </w:r>
      <w:bookmarkEnd w:id="1057"/>
      <w:bookmarkEnd w:id="1058"/>
    </w:p>
    <w:p w14:paraId="4C313CDD">
      <w:pPr>
        <w:pStyle w:val="4"/>
        <w:jc w:val="center"/>
        <w:rPr>
          <w:rFonts w:ascii="黑体" w:hAnsi="黑体" w:eastAsia="黑体"/>
          <w:b w:val="0"/>
          <w:color w:val="auto"/>
          <w:sz w:val="28"/>
          <w:szCs w:val="28"/>
        </w:rPr>
      </w:pPr>
      <w:bookmarkStart w:id="1059" w:name="_Toc4129"/>
      <w:bookmarkStart w:id="1060" w:name="_Toc77676502"/>
      <w:bookmarkStart w:id="1061" w:name="_Toc9519"/>
      <w:bookmarkStart w:id="1062" w:name="_Toc100670705"/>
      <w:bookmarkStart w:id="1063" w:name="_Toc25949"/>
      <w:bookmarkStart w:id="1064" w:name="_Toc154428426"/>
      <w:bookmarkStart w:id="1065" w:name="_Toc78449991"/>
      <w:bookmarkStart w:id="1066" w:name="_Toc77199435"/>
      <w:bookmarkStart w:id="1067" w:name="_Toc95601401"/>
      <w:bookmarkStart w:id="1068" w:name="_Toc94367916"/>
      <w:bookmarkStart w:id="1069" w:name="_Toc114036749"/>
      <w:bookmarkStart w:id="1070" w:name="_Toc78314298"/>
      <w:bookmarkStart w:id="1071" w:name="_Toc108341974"/>
      <w:bookmarkStart w:id="1072" w:name="_Toc192949639"/>
      <w:bookmarkStart w:id="1073" w:name="_Toc75289584"/>
      <w:bookmarkStart w:id="1074" w:name="_Toc23476"/>
      <w:bookmarkStart w:id="1075" w:name="_Toc112704970"/>
      <w:bookmarkStart w:id="1076" w:name="_Toc171273707"/>
      <w:bookmarkStart w:id="1077" w:name="_Toc117192485"/>
      <w:bookmarkStart w:id="1078" w:name="_Toc75289266"/>
      <w:bookmarkStart w:id="1079" w:name="_Toc85972966"/>
      <w:bookmarkStart w:id="1080" w:name="_Toc192949738"/>
      <w:bookmarkStart w:id="1081" w:name="_Toc23738"/>
      <w:bookmarkStart w:id="1082" w:name="_Toc192951249"/>
      <w:bookmarkStart w:id="1083" w:name="_Toc100670457"/>
      <w:bookmarkStart w:id="1084" w:name="_Toc13561"/>
      <w:bookmarkStart w:id="1085" w:name="_Toc29059"/>
      <w:bookmarkStart w:id="1086" w:name="_Toc31032"/>
      <w:bookmarkStart w:id="1087" w:name="_Toc29808"/>
      <w:r>
        <w:rPr>
          <w:rFonts w:hint="eastAsia" w:ascii="黑体" w:hAnsi="黑体" w:eastAsia="黑体"/>
          <w:b w:val="0"/>
          <w:color w:val="auto"/>
          <w:sz w:val="28"/>
          <w:szCs w:val="28"/>
        </w:rPr>
        <w:t>符合性审查合格投标人名单</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14:paraId="3E85534C">
      <w:pPr>
        <w:adjustRightInd w:val="0"/>
        <w:snapToGrid w:val="0"/>
        <w:spacing w:line="360" w:lineRule="auto"/>
        <w:rPr>
          <w:rFonts w:ascii="华文中宋" w:hAnsi="华文中宋" w:eastAsia="华文中宋"/>
          <w:color w:val="auto"/>
          <w:sz w:val="32"/>
          <w:szCs w:val="32"/>
        </w:rPr>
      </w:pPr>
      <w:r>
        <w:rPr>
          <w:rFonts w:hint="eastAsia" w:ascii="宋体" w:hAnsi="宋体"/>
          <w:color w:val="auto"/>
          <w:szCs w:val="21"/>
        </w:rPr>
        <w:t>项目名称：                                        政府采购计划编号：</w:t>
      </w:r>
    </w:p>
    <w:tbl>
      <w:tblPr>
        <w:tblStyle w:val="47"/>
        <w:tblW w:w="858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90"/>
        <w:gridCol w:w="7796"/>
      </w:tblGrid>
      <w:tr w14:paraId="4975CC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14:paraId="311C5033">
            <w:pPr>
              <w:jc w:val="center"/>
              <w:rPr>
                <w:b/>
                <w:color w:val="auto"/>
                <w:kern w:val="0"/>
                <w:szCs w:val="21"/>
              </w:rPr>
            </w:pPr>
            <w:r>
              <w:rPr>
                <w:rFonts w:hint="eastAsia"/>
                <w:b/>
                <w:color w:val="auto"/>
                <w:kern w:val="0"/>
                <w:szCs w:val="21"/>
              </w:rPr>
              <w:t>序号</w:t>
            </w:r>
          </w:p>
        </w:tc>
        <w:tc>
          <w:tcPr>
            <w:tcW w:w="7796" w:type="dxa"/>
            <w:vAlign w:val="center"/>
          </w:tcPr>
          <w:p w14:paraId="1ECB40D2">
            <w:pPr>
              <w:jc w:val="center"/>
              <w:rPr>
                <w:b/>
                <w:color w:val="auto"/>
                <w:kern w:val="0"/>
                <w:szCs w:val="21"/>
              </w:rPr>
            </w:pPr>
            <w:r>
              <w:rPr>
                <w:rFonts w:hint="eastAsia"/>
                <w:b/>
                <w:color w:val="auto"/>
                <w:kern w:val="0"/>
                <w:szCs w:val="21"/>
              </w:rPr>
              <w:t>合格投标人名称</w:t>
            </w:r>
          </w:p>
        </w:tc>
      </w:tr>
      <w:tr w14:paraId="5F55A9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B80A8D1">
            <w:pPr>
              <w:adjustRightInd w:val="0"/>
              <w:snapToGrid w:val="0"/>
              <w:spacing w:line="360" w:lineRule="auto"/>
              <w:rPr>
                <w:rFonts w:ascii="宋体" w:hAnsi="宋体"/>
                <w:color w:val="auto"/>
                <w:kern w:val="0"/>
                <w:szCs w:val="21"/>
              </w:rPr>
            </w:pPr>
          </w:p>
        </w:tc>
        <w:tc>
          <w:tcPr>
            <w:tcW w:w="7796" w:type="dxa"/>
          </w:tcPr>
          <w:p w14:paraId="18C36EF5">
            <w:pPr>
              <w:adjustRightInd w:val="0"/>
              <w:snapToGrid w:val="0"/>
              <w:spacing w:line="360" w:lineRule="auto"/>
              <w:rPr>
                <w:rFonts w:ascii="宋体" w:hAnsi="宋体"/>
                <w:color w:val="auto"/>
                <w:kern w:val="0"/>
                <w:szCs w:val="21"/>
              </w:rPr>
            </w:pPr>
          </w:p>
        </w:tc>
      </w:tr>
      <w:tr w14:paraId="704F63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4A05A6A9">
            <w:pPr>
              <w:adjustRightInd w:val="0"/>
              <w:snapToGrid w:val="0"/>
              <w:spacing w:line="360" w:lineRule="auto"/>
              <w:rPr>
                <w:rFonts w:ascii="宋体" w:hAnsi="宋体"/>
                <w:color w:val="auto"/>
                <w:kern w:val="0"/>
                <w:sz w:val="24"/>
              </w:rPr>
            </w:pPr>
          </w:p>
        </w:tc>
        <w:tc>
          <w:tcPr>
            <w:tcW w:w="7796" w:type="dxa"/>
          </w:tcPr>
          <w:p w14:paraId="005996F7">
            <w:pPr>
              <w:adjustRightInd w:val="0"/>
              <w:snapToGrid w:val="0"/>
              <w:spacing w:line="360" w:lineRule="auto"/>
              <w:rPr>
                <w:rFonts w:ascii="宋体" w:hAnsi="宋体"/>
                <w:color w:val="auto"/>
                <w:kern w:val="0"/>
                <w:sz w:val="24"/>
              </w:rPr>
            </w:pPr>
          </w:p>
        </w:tc>
      </w:tr>
      <w:tr w14:paraId="72C28E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5DDC9C28">
            <w:pPr>
              <w:adjustRightInd w:val="0"/>
              <w:snapToGrid w:val="0"/>
              <w:spacing w:line="360" w:lineRule="auto"/>
              <w:rPr>
                <w:rFonts w:ascii="宋体" w:hAnsi="宋体"/>
                <w:color w:val="auto"/>
                <w:kern w:val="0"/>
                <w:sz w:val="24"/>
              </w:rPr>
            </w:pPr>
          </w:p>
        </w:tc>
        <w:tc>
          <w:tcPr>
            <w:tcW w:w="7796" w:type="dxa"/>
          </w:tcPr>
          <w:p w14:paraId="024F084C">
            <w:pPr>
              <w:adjustRightInd w:val="0"/>
              <w:snapToGrid w:val="0"/>
              <w:spacing w:line="360" w:lineRule="auto"/>
              <w:rPr>
                <w:rFonts w:ascii="宋体" w:hAnsi="宋体"/>
                <w:color w:val="auto"/>
                <w:kern w:val="0"/>
                <w:sz w:val="24"/>
              </w:rPr>
            </w:pPr>
          </w:p>
        </w:tc>
      </w:tr>
      <w:tr w14:paraId="54DA4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jc w:val="center"/>
        </w:trPr>
        <w:tc>
          <w:tcPr>
            <w:tcW w:w="790" w:type="dxa"/>
          </w:tcPr>
          <w:p w14:paraId="158A27F4">
            <w:pPr>
              <w:adjustRightInd w:val="0"/>
              <w:snapToGrid w:val="0"/>
              <w:spacing w:line="360" w:lineRule="auto"/>
              <w:rPr>
                <w:rFonts w:ascii="宋体" w:hAnsi="宋体"/>
                <w:color w:val="auto"/>
                <w:kern w:val="0"/>
                <w:sz w:val="24"/>
              </w:rPr>
            </w:pPr>
          </w:p>
        </w:tc>
        <w:tc>
          <w:tcPr>
            <w:tcW w:w="7796" w:type="dxa"/>
          </w:tcPr>
          <w:p w14:paraId="6FFB7937">
            <w:pPr>
              <w:adjustRightInd w:val="0"/>
              <w:snapToGrid w:val="0"/>
              <w:spacing w:line="360" w:lineRule="auto"/>
              <w:rPr>
                <w:rFonts w:ascii="宋体" w:hAnsi="宋体"/>
                <w:color w:val="auto"/>
                <w:kern w:val="0"/>
                <w:sz w:val="24"/>
              </w:rPr>
            </w:pPr>
          </w:p>
        </w:tc>
      </w:tr>
      <w:tr w14:paraId="0C60B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7DD523A">
            <w:pPr>
              <w:adjustRightInd w:val="0"/>
              <w:snapToGrid w:val="0"/>
              <w:spacing w:line="360" w:lineRule="auto"/>
              <w:rPr>
                <w:rFonts w:ascii="宋体" w:hAnsi="宋体"/>
                <w:color w:val="auto"/>
                <w:kern w:val="0"/>
                <w:sz w:val="28"/>
                <w:szCs w:val="28"/>
              </w:rPr>
            </w:pPr>
          </w:p>
        </w:tc>
        <w:tc>
          <w:tcPr>
            <w:tcW w:w="7796" w:type="dxa"/>
          </w:tcPr>
          <w:p w14:paraId="70667645">
            <w:pPr>
              <w:adjustRightInd w:val="0"/>
              <w:snapToGrid w:val="0"/>
              <w:spacing w:line="360" w:lineRule="auto"/>
              <w:rPr>
                <w:rFonts w:ascii="宋体" w:hAnsi="宋体"/>
                <w:color w:val="auto"/>
                <w:kern w:val="0"/>
                <w:sz w:val="28"/>
                <w:szCs w:val="28"/>
              </w:rPr>
            </w:pPr>
          </w:p>
        </w:tc>
      </w:tr>
      <w:tr w14:paraId="456C14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4E76CE24">
            <w:pPr>
              <w:adjustRightInd w:val="0"/>
              <w:snapToGrid w:val="0"/>
              <w:spacing w:line="360" w:lineRule="auto"/>
              <w:rPr>
                <w:rFonts w:ascii="宋体" w:hAnsi="宋体"/>
                <w:color w:val="auto"/>
                <w:kern w:val="0"/>
                <w:sz w:val="28"/>
                <w:szCs w:val="28"/>
              </w:rPr>
            </w:pPr>
          </w:p>
        </w:tc>
        <w:tc>
          <w:tcPr>
            <w:tcW w:w="7796" w:type="dxa"/>
          </w:tcPr>
          <w:p w14:paraId="05ECD64E">
            <w:pPr>
              <w:adjustRightInd w:val="0"/>
              <w:snapToGrid w:val="0"/>
              <w:spacing w:line="360" w:lineRule="auto"/>
              <w:rPr>
                <w:rFonts w:ascii="宋体" w:hAnsi="宋体"/>
                <w:color w:val="auto"/>
                <w:kern w:val="0"/>
                <w:sz w:val="28"/>
                <w:szCs w:val="28"/>
              </w:rPr>
            </w:pPr>
          </w:p>
        </w:tc>
      </w:tr>
    </w:tbl>
    <w:p w14:paraId="3F48CF91">
      <w:pPr>
        <w:adjustRightInd w:val="0"/>
        <w:snapToGrid w:val="0"/>
        <w:spacing w:line="360" w:lineRule="auto"/>
        <w:rPr>
          <w:rFonts w:ascii="宋体" w:hAnsi="宋体"/>
          <w:color w:val="auto"/>
          <w:sz w:val="22"/>
          <w:szCs w:val="22"/>
        </w:rPr>
      </w:pPr>
    </w:p>
    <w:p w14:paraId="71968A4F">
      <w:pPr>
        <w:adjustRightInd w:val="0"/>
        <w:snapToGrid w:val="0"/>
        <w:spacing w:line="360" w:lineRule="auto"/>
        <w:rPr>
          <w:rFonts w:ascii="宋体" w:hAnsi="宋体"/>
          <w:color w:val="auto"/>
          <w:sz w:val="22"/>
          <w:szCs w:val="22"/>
        </w:rPr>
      </w:pPr>
      <w:r>
        <w:rPr>
          <w:rFonts w:hint="eastAsia" w:ascii="宋体" w:hAnsi="宋体"/>
          <w:color w:val="auto"/>
          <w:sz w:val="22"/>
          <w:szCs w:val="22"/>
        </w:rPr>
        <w:t>评标委员会（签字）：</w:t>
      </w:r>
    </w:p>
    <w:p w14:paraId="6D932337">
      <w:pPr>
        <w:jc w:val="left"/>
        <w:rPr>
          <w:rFonts w:ascii="宋体" w:hAnsi="宋体"/>
          <w:color w:val="auto"/>
          <w:szCs w:val="21"/>
        </w:rPr>
      </w:pPr>
      <w:r>
        <w:rPr>
          <w:rFonts w:hint="eastAsia" w:ascii="宋体" w:hAnsi="宋体"/>
          <w:color w:val="auto"/>
          <w:szCs w:val="21"/>
        </w:rPr>
        <w:t>日期：  年  月   日</w:t>
      </w:r>
    </w:p>
    <w:p w14:paraId="4548A95F">
      <w:pPr>
        <w:pStyle w:val="3"/>
        <w:adjustRightInd w:val="0"/>
        <w:snapToGrid w:val="0"/>
        <w:spacing w:after="120" w:afterLines="50"/>
        <w:jc w:val="center"/>
        <w:rPr>
          <w:rFonts w:ascii="黑体" w:hAnsi="华文中宋" w:eastAsia="黑体"/>
          <w:color w:val="auto"/>
          <w:sz w:val="28"/>
          <w:szCs w:val="28"/>
        </w:rPr>
      </w:pPr>
      <w:r>
        <w:rPr>
          <w:rFonts w:ascii="宋体" w:hAnsi="宋体"/>
          <w:color w:val="auto"/>
        </w:rPr>
        <w:br w:type="page"/>
      </w:r>
      <w:bookmarkStart w:id="1088" w:name="_Toc114036750"/>
      <w:bookmarkStart w:id="1089" w:name="_Toc20651230"/>
      <w:bookmarkStart w:id="1090" w:name="_Toc75289267"/>
      <w:bookmarkStart w:id="1091" w:name="_Toc100670458"/>
      <w:bookmarkStart w:id="1092" w:name="_Toc78314299"/>
      <w:bookmarkStart w:id="1093" w:name="_Toc112704971"/>
      <w:bookmarkStart w:id="1094" w:name="_Toc18850"/>
      <w:bookmarkStart w:id="1095" w:name="_Toc32432"/>
      <w:bookmarkStart w:id="1096" w:name="_Toc100670706"/>
      <w:bookmarkStart w:id="1097" w:name="_Toc108341975"/>
      <w:bookmarkStart w:id="1098" w:name="_Toc94367917"/>
      <w:bookmarkStart w:id="1099" w:name="_Toc85972967"/>
      <w:bookmarkStart w:id="1100" w:name="_Toc154428427"/>
      <w:bookmarkStart w:id="1101" w:name="_Toc117192486"/>
      <w:bookmarkStart w:id="1102" w:name="_Toc77199436"/>
      <w:bookmarkStart w:id="1103" w:name="_Toc14290"/>
      <w:bookmarkStart w:id="1104" w:name="_Toc75289585"/>
      <w:bookmarkStart w:id="1105" w:name="_Toc29803"/>
      <w:bookmarkStart w:id="1106" w:name="_Toc7591"/>
      <w:bookmarkStart w:id="1107" w:name="_Toc192951250"/>
      <w:bookmarkStart w:id="1108" w:name="_Toc23220"/>
      <w:bookmarkStart w:id="1109" w:name="_Toc17327"/>
      <w:bookmarkStart w:id="1110" w:name="_Toc78449992"/>
      <w:bookmarkStart w:id="1111" w:name="_Toc171273708"/>
      <w:bookmarkStart w:id="1112" w:name="_Toc12549"/>
      <w:bookmarkStart w:id="1113" w:name="_Toc77676503"/>
      <w:bookmarkStart w:id="1114" w:name="_Toc192949640"/>
      <w:bookmarkStart w:id="1115" w:name="_Toc16158"/>
      <w:bookmarkStart w:id="1116" w:name="_Toc95601402"/>
      <w:bookmarkStart w:id="1117" w:name="_Toc192949739"/>
      <w:r>
        <w:rPr>
          <w:rFonts w:hint="eastAsia" w:ascii="黑体" w:hAnsi="华文中宋" w:eastAsia="黑体"/>
          <w:color w:val="auto"/>
          <w:sz w:val="28"/>
          <w:szCs w:val="28"/>
        </w:rPr>
        <w:t>第四节 投标文件的比较与评价（综合评分法）</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14:paraId="67B07947">
      <w:pPr>
        <w:widowControl/>
        <w:adjustRightInd w:val="0"/>
        <w:snapToGrid w:val="0"/>
        <w:spacing w:line="360" w:lineRule="auto"/>
        <w:rPr>
          <w:rFonts w:ascii="宋体" w:hAnsi="宋体"/>
          <w:b/>
          <w:color w:val="auto"/>
          <w:sz w:val="24"/>
        </w:rPr>
      </w:pPr>
      <w:r>
        <w:rPr>
          <w:rFonts w:hint="eastAsia" w:ascii="宋体" w:hAnsi="宋体"/>
          <w:b/>
          <w:color w:val="auto"/>
          <w:sz w:val="24"/>
        </w:rPr>
        <w:t>1.综合评分法</w:t>
      </w:r>
    </w:p>
    <w:p w14:paraId="327FB115">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1.1综合评分法，指投标文件满足招标文件全部实质性要求，且按照评审因素的量化指标评审得分最高的投标人为中标候选人的评标方法。</w:t>
      </w:r>
    </w:p>
    <w:p w14:paraId="274694B8">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1.2评标因素：评审因素的设定应当与投标人所提供货物服务的质量相关，包括投标报价、技术或者服务水平、履约能力、售后服务等，但不包括第一章投标人的资格要求。本采购项目的评标因素和标准见本章本节附页1“评标方法及标准表”。</w:t>
      </w:r>
    </w:p>
    <w:p w14:paraId="2FE1E19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1.3未通过符合性审查的投标文件不得进入比较与评价。</w:t>
      </w:r>
    </w:p>
    <w:p w14:paraId="0637A04B">
      <w:pPr>
        <w:adjustRightInd w:val="0"/>
        <w:snapToGrid w:val="0"/>
        <w:spacing w:line="360" w:lineRule="auto"/>
        <w:rPr>
          <w:rFonts w:ascii="宋体" w:hAnsi="宋体"/>
          <w:b/>
          <w:bCs/>
          <w:color w:val="auto"/>
          <w:sz w:val="24"/>
        </w:rPr>
      </w:pPr>
      <w:r>
        <w:rPr>
          <w:rFonts w:hint="eastAsia" w:ascii="宋体" w:hAnsi="宋体"/>
          <w:b/>
          <w:bCs/>
          <w:color w:val="auto"/>
          <w:sz w:val="24"/>
        </w:rPr>
        <w:t>2.投标报价的算术修正及政府采购政策调整</w:t>
      </w:r>
    </w:p>
    <w:p w14:paraId="30F2000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2.1如果有算术错误，投标报价将按本章第二节第4.2款、第4.3款规定进行算术修正。</w:t>
      </w:r>
    </w:p>
    <w:p w14:paraId="404B6003">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2.2需落实政府采购政策（价格评审优惠）的，按第二章“投标须知”及本章第二节第</w:t>
      </w:r>
      <w:r>
        <w:rPr>
          <w:rFonts w:ascii="宋体" w:hAnsi="宋体"/>
          <w:bCs/>
          <w:color w:val="auto"/>
          <w:szCs w:val="21"/>
        </w:rPr>
        <w:t>5.</w:t>
      </w:r>
      <w:r>
        <w:rPr>
          <w:rFonts w:hint="eastAsia" w:ascii="宋体" w:hAnsi="宋体"/>
          <w:bCs/>
          <w:color w:val="auto"/>
          <w:szCs w:val="21"/>
        </w:rPr>
        <w:t>4（1）项的相关规定进行价格调整。</w:t>
      </w:r>
    </w:p>
    <w:p w14:paraId="6D72AB5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2.3按本章本节第2.1款、第2.2款规定，以修正或调整后的价格确定投标人的投标报价和评标基准价，用于投标报价评价。</w:t>
      </w:r>
    </w:p>
    <w:p w14:paraId="021884B8">
      <w:pPr>
        <w:adjustRightInd w:val="0"/>
        <w:snapToGrid w:val="0"/>
        <w:spacing w:line="360" w:lineRule="auto"/>
        <w:rPr>
          <w:rFonts w:ascii="宋体" w:hAnsi="宋体"/>
          <w:b/>
          <w:bCs/>
          <w:color w:val="auto"/>
          <w:sz w:val="24"/>
        </w:rPr>
      </w:pPr>
      <w:r>
        <w:rPr>
          <w:rFonts w:hint="eastAsia" w:ascii="宋体" w:hAnsi="宋体"/>
          <w:b/>
          <w:bCs/>
          <w:color w:val="auto"/>
          <w:sz w:val="24"/>
        </w:rPr>
        <w:t>3.投标报价评价</w:t>
      </w:r>
    </w:p>
    <w:p w14:paraId="514CC12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3.1投标报价评价：价格分应当采用低价优先法计算，即满足招标文件要求且投标价格最低的投标报价为评标基准价，其价格分为满分（报价权重分）。其他投标人的价格分统一按照下列公式计算：</w:t>
      </w:r>
    </w:p>
    <w:p w14:paraId="3A73EF5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投标报价得分=（评标基准价</w:t>
      </w:r>
      <w:r>
        <w:rPr>
          <w:rFonts w:hint="eastAsia" w:ascii="宋体" w:hAnsi="宋体"/>
          <w:color w:val="auto"/>
          <w:szCs w:val="21"/>
          <w:vertAlign w:val="subscript"/>
        </w:rPr>
        <w:t>修正或调整</w:t>
      </w:r>
      <w:r>
        <w:rPr>
          <w:rFonts w:hint="eastAsia" w:ascii="宋体" w:hAnsi="宋体"/>
          <w:color w:val="auto"/>
          <w:szCs w:val="21"/>
        </w:rPr>
        <w:t>／投标报价</w:t>
      </w:r>
      <w:r>
        <w:rPr>
          <w:rFonts w:hint="eastAsia" w:ascii="宋体" w:hAnsi="宋体"/>
          <w:color w:val="auto"/>
          <w:szCs w:val="21"/>
          <w:vertAlign w:val="subscript"/>
        </w:rPr>
        <w:t>修正或调整</w:t>
      </w:r>
      <w:r>
        <w:rPr>
          <w:rFonts w:hint="eastAsia" w:ascii="宋体" w:hAnsi="宋体"/>
          <w:color w:val="auto"/>
          <w:szCs w:val="21"/>
        </w:rPr>
        <w:t>） ×100×报价权重分</w:t>
      </w:r>
    </w:p>
    <w:p w14:paraId="5862CCBA">
      <w:pPr>
        <w:adjustRightInd w:val="0"/>
        <w:snapToGrid w:val="0"/>
        <w:spacing w:line="360" w:lineRule="auto"/>
        <w:rPr>
          <w:rFonts w:ascii="宋体" w:hAnsi="宋体"/>
          <w:b/>
          <w:color w:val="auto"/>
          <w:sz w:val="24"/>
        </w:rPr>
      </w:pPr>
      <w:r>
        <w:rPr>
          <w:rFonts w:hint="eastAsia" w:ascii="宋体" w:hAnsi="宋体"/>
          <w:b/>
          <w:bCs/>
          <w:color w:val="auto"/>
          <w:sz w:val="24"/>
        </w:rPr>
        <w:t>4.</w:t>
      </w:r>
      <w:r>
        <w:rPr>
          <w:rFonts w:hint="eastAsia" w:ascii="宋体" w:hAnsi="宋体"/>
          <w:b/>
          <w:color w:val="auto"/>
          <w:sz w:val="24"/>
        </w:rPr>
        <w:t>技术、商务等评分项响应评价及政府采购政策加分</w:t>
      </w:r>
    </w:p>
    <w:p w14:paraId="6C02F76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4.1技术、商务等评分项响应评分。按</w:t>
      </w:r>
      <w:r>
        <w:rPr>
          <w:rFonts w:hint="eastAsia" w:ascii="宋体" w:hAnsi="宋体"/>
          <w:bCs/>
          <w:color w:val="auto"/>
          <w:szCs w:val="21"/>
        </w:rPr>
        <w:t>本章</w:t>
      </w:r>
      <w:r>
        <w:rPr>
          <w:rFonts w:hint="eastAsia" w:ascii="宋体" w:hAnsi="宋体"/>
          <w:color w:val="auto"/>
          <w:szCs w:val="21"/>
        </w:rPr>
        <w:t>本节附页1“评标方法及标准表”规定的评标因素和标准，对技术、商务等评分项计算得分。</w:t>
      </w:r>
    </w:p>
    <w:p w14:paraId="3CEB045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4.2需落实政府采购政策（优先采购）的，按第二章、本章第二节第5.4（2）项以及本节附页1“评标方法及标准表”的相关规定进行技术、价格、商务项得分(加分)计算。</w:t>
      </w:r>
    </w:p>
    <w:p w14:paraId="7B87F580">
      <w:pPr>
        <w:adjustRightInd w:val="0"/>
        <w:snapToGrid w:val="0"/>
        <w:spacing w:line="360" w:lineRule="auto"/>
        <w:rPr>
          <w:rFonts w:ascii="宋体" w:hAnsi="宋体"/>
          <w:b/>
          <w:color w:val="auto"/>
          <w:sz w:val="24"/>
        </w:rPr>
      </w:pPr>
      <w:r>
        <w:rPr>
          <w:rFonts w:hint="eastAsia" w:ascii="宋体" w:hAnsi="宋体"/>
          <w:b/>
          <w:color w:val="auto"/>
          <w:sz w:val="24"/>
        </w:rPr>
        <w:t>5.评标总得分</w:t>
      </w:r>
    </w:p>
    <w:p w14:paraId="6D2F2CA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5.1评标总得分为投标报价、技术、商务等评分项得分(含优先采购政策加分)之和。</w:t>
      </w:r>
    </w:p>
    <w:p w14:paraId="57B3A3F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评标总得分＝F1×A1＋F2×A2＋……＋Fn×An</w:t>
      </w:r>
    </w:p>
    <w:p w14:paraId="0FEE90D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F1、F2……Fn分别为各项评审因素的得分；</w:t>
      </w:r>
    </w:p>
    <w:p w14:paraId="19DCC34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A1、A2、……An分别为各项评审因素所占的权重（A1＋A2＋…＋An＝1）</w:t>
      </w:r>
    </w:p>
    <w:p w14:paraId="50B7CE5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5.2评分分值计算保留小数点后两位，小数点后第三位“四舍五入”。</w:t>
      </w:r>
    </w:p>
    <w:p w14:paraId="1355AD0C">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5.3</w:t>
      </w:r>
      <w:r>
        <w:rPr>
          <w:rFonts w:hint="eastAsia" w:ascii="宋体" w:hAnsi="宋体"/>
          <w:color w:val="auto"/>
          <w:szCs w:val="21"/>
        </w:rPr>
        <w:t>评标时，评标委员会成员应当独立对满足招标文件全部实质性要求投标人的</w:t>
      </w:r>
      <w:r>
        <w:rPr>
          <w:rFonts w:hint="eastAsia" w:ascii="宋体" w:hAnsi="宋体"/>
          <w:bCs/>
          <w:color w:val="auto"/>
          <w:szCs w:val="21"/>
        </w:rPr>
        <w:t>投标文件</w:t>
      </w:r>
      <w:r>
        <w:rPr>
          <w:rFonts w:hint="eastAsia" w:ascii="宋体" w:hAnsi="宋体"/>
          <w:color w:val="auto"/>
          <w:szCs w:val="21"/>
        </w:rPr>
        <w:t>进行评价、评分，然后汇总每个投标人每项评分因素的得分。每个投标人的最终得分为所有评标委员会成员评分的算术平均值。</w:t>
      </w:r>
    </w:p>
    <w:p w14:paraId="044C1443">
      <w:pPr>
        <w:adjustRightInd w:val="0"/>
        <w:snapToGrid w:val="0"/>
        <w:spacing w:line="360" w:lineRule="auto"/>
        <w:rPr>
          <w:rFonts w:ascii="宋体" w:hAnsi="宋体"/>
          <w:b/>
          <w:bCs/>
          <w:color w:val="auto"/>
          <w:sz w:val="24"/>
        </w:rPr>
      </w:pPr>
      <w:r>
        <w:rPr>
          <w:rFonts w:hint="eastAsia" w:ascii="宋体" w:hAnsi="宋体"/>
          <w:b/>
          <w:bCs/>
          <w:color w:val="auto"/>
          <w:sz w:val="24"/>
        </w:rPr>
        <w:t>6.中标候选人的推荐方法</w:t>
      </w:r>
    </w:p>
    <w:p w14:paraId="2D3F9AD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6.1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8BEBA9A">
      <w:pPr>
        <w:spacing w:line="360" w:lineRule="auto"/>
        <w:ind w:firstLine="420" w:firstLineChars="200"/>
        <w:rPr>
          <w:rFonts w:ascii="宋体" w:hAnsi="宋体"/>
          <w:color w:val="auto"/>
        </w:rPr>
      </w:pPr>
      <w:r>
        <w:rPr>
          <w:rFonts w:hint="eastAsia" w:ascii="宋体" w:hAnsi="宋体"/>
          <w:bCs/>
          <w:color w:val="auto"/>
          <w:szCs w:val="21"/>
        </w:rPr>
        <w:t>6.2得分且投标报价相同的并列，按本章第二节规定确定中标侯选人。</w:t>
      </w:r>
    </w:p>
    <w:p w14:paraId="039FE50A">
      <w:pPr>
        <w:spacing w:line="360" w:lineRule="exact"/>
        <w:jc w:val="both"/>
        <w:rPr>
          <w:rFonts w:hint="eastAsia"/>
          <w:color w:val="auto"/>
          <w:szCs w:val="21"/>
        </w:rPr>
      </w:pPr>
      <w:r>
        <w:rPr>
          <w:rFonts w:ascii="宋体" w:hAnsi="宋体"/>
          <w:color w:val="auto"/>
        </w:rPr>
        <w:br w:type="page"/>
      </w:r>
      <w:bookmarkStart w:id="1118" w:name="_Toc20651231"/>
      <w:bookmarkStart w:id="1119" w:name="_Toc75289268"/>
      <w:bookmarkStart w:id="1120" w:name="_Toc78314300"/>
      <w:bookmarkStart w:id="1121" w:name="_Toc78449993"/>
      <w:bookmarkStart w:id="1122" w:name="_Toc75289586"/>
      <w:bookmarkStart w:id="1123" w:name="_Toc77199437"/>
      <w:bookmarkStart w:id="1124" w:name="_Toc77676504"/>
      <w:r>
        <w:rPr>
          <w:rFonts w:hint="eastAsia"/>
          <w:color w:val="auto"/>
          <w:szCs w:val="21"/>
        </w:rPr>
        <w:t>附页1 评标方法及标准表</w:t>
      </w:r>
      <w:bookmarkEnd w:id="1118"/>
      <w:bookmarkEnd w:id="1119"/>
      <w:bookmarkEnd w:id="1120"/>
      <w:bookmarkEnd w:id="1121"/>
      <w:bookmarkEnd w:id="1122"/>
      <w:bookmarkEnd w:id="1123"/>
      <w:bookmarkEnd w:id="1124"/>
      <w:bookmarkStart w:id="1125" w:name="_Toc14508"/>
      <w:bookmarkStart w:id="1126" w:name="_Toc77199443"/>
      <w:bookmarkStart w:id="1127" w:name="_Toc78449996"/>
      <w:bookmarkStart w:id="1128" w:name="_Toc78314303"/>
      <w:bookmarkStart w:id="1129" w:name="_Toc85972969"/>
      <w:bookmarkStart w:id="1130" w:name="_Toc100670464"/>
      <w:bookmarkStart w:id="1131" w:name="_Toc112704981"/>
      <w:bookmarkStart w:id="1132" w:name="_Toc77676507"/>
      <w:bookmarkStart w:id="1133" w:name="_Toc75289589"/>
      <w:bookmarkStart w:id="1134" w:name="_Toc100670712"/>
      <w:bookmarkStart w:id="1135" w:name="_Toc94367919"/>
      <w:bookmarkStart w:id="1136" w:name="_Toc12140"/>
      <w:bookmarkStart w:id="1137" w:name="_Toc108341978"/>
      <w:bookmarkStart w:id="1138" w:name="_Toc75289271"/>
      <w:bookmarkStart w:id="1139" w:name="_Toc95601404"/>
    </w:p>
    <w:p w14:paraId="7D351B72">
      <w:pPr>
        <w:spacing w:line="360" w:lineRule="exact"/>
        <w:jc w:val="center"/>
        <w:rPr>
          <w:rFonts w:hint="eastAsia" w:ascii="仿宋" w:hAnsi="仿宋" w:eastAsia="仿宋" w:cs="仿宋"/>
          <w:b/>
          <w:bCs/>
          <w:color w:val="auto"/>
          <w:sz w:val="27"/>
          <w:szCs w:val="27"/>
          <w:highlight w:val="none"/>
        </w:rPr>
      </w:pPr>
      <w:r>
        <w:rPr>
          <w:rFonts w:hint="eastAsia" w:ascii="仿宋" w:hAnsi="仿宋" w:eastAsia="仿宋" w:cs="仿宋"/>
          <w:b/>
          <w:bCs/>
          <w:color w:val="auto"/>
          <w:sz w:val="27"/>
          <w:szCs w:val="27"/>
          <w:highlight w:val="none"/>
        </w:rPr>
        <w:t>本采购项目的权值见下表</w:t>
      </w:r>
    </w:p>
    <w:p w14:paraId="274FE7DC">
      <w:pPr>
        <w:pStyle w:val="102"/>
        <w:rPr>
          <w:rFonts w:hint="eastAsia" w:ascii="仿宋" w:hAnsi="仿宋" w:eastAsia="仿宋" w:cs="仿宋"/>
          <w:color w:val="auto"/>
          <w:sz w:val="27"/>
          <w:szCs w:val="27"/>
          <w:highlight w:val="none"/>
        </w:rPr>
      </w:pPr>
    </w:p>
    <w:tbl>
      <w:tblPr>
        <w:tblStyle w:val="4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6"/>
        <w:gridCol w:w="4722"/>
        <w:gridCol w:w="3451"/>
      </w:tblGrid>
      <w:tr w14:paraId="28E64B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4" w:hRule="exact"/>
          <w:jc w:val="center"/>
        </w:trPr>
        <w:tc>
          <w:tcPr>
            <w:tcW w:w="726" w:type="dxa"/>
            <w:noWrap w:val="0"/>
            <w:vAlign w:val="center"/>
          </w:tcPr>
          <w:p w14:paraId="2CAFD053">
            <w:pPr>
              <w:adjustRightInd w:val="0"/>
              <w:snapToGrid w:val="0"/>
              <w:spacing w:line="240" w:lineRule="exact"/>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序号</w:t>
            </w:r>
          </w:p>
        </w:tc>
        <w:tc>
          <w:tcPr>
            <w:tcW w:w="4722" w:type="dxa"/>
            <w:noWrap w:val="0"/>
            <w:vAlign w:val="center"/>
          </w:tcPr>
          <w:p w14:paraId="33488034">
            <w:pPr>
              <w:adjustRightInd w:val="0"/>
              <w:snapToGrid w:val="0"/>
              <w:spacing w:line="240" w:lineRule="exact"/>
              <w:jc w:val="center"/>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项     目</w:t>
            </w:r>
          </w:p>
        </w:tc>
        <w:tc>
          <w:tcPr>
            <w:tcW w:w="3451" w:type="dxa"/>
            <w:noWrap w:val="0"/>
            <w:vAlign w:val="center"/>
          </w:tcPr>
          <w:p w14:paraId="06D0A29C">
            <w:pPr>
              <w:adjustRightInd w:val="0"/>
              <w:snapToGrid w:val="0"/>
              <w:spacing w:line="240" w:lineRule="exact"/>
              <w:jc w:val="center"/>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权值的取值</w:t>
            </w:r>
          </w:p>
        </w:tc>
      </w:tr>
      <w:tr w14:paraId="122565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8" w:hRule="atLeast"/>
          <w:jc w:val="center"/>
        </w:trPr>
        <w:tc>
          <w:tcPr>
            <w:tcW w:w="726" w:type="dxa"/>
            <w:noWrap w:val="0"/>
            <w:vAlign w:val="center"/>
          </w:tcPr>
          <w:p w14:paraId="74146AEE">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1</w:t>
            </w:r>
          </w:p>
        </w:tc>
        <w:tc>
          <w:tcPr>
            <w:tcW w:w="4722" w:type="dxa"/>
            <w:noWrap w:val="0"/>
            <w:vAlign w:val="center"/>
          </w:tcPr>
          <w:p w14:paraId="454B1280">
            <w:pPr>
              <w:adjustRightInd w:val="0"/>
              <w:snapToGrid w:val="0"/>
              <w:spacing w:line="240" w:lineRule="exact"/>
              <w:jc w:val="center"/>
              <w:rPr>
                <w:rFonts w:hint="eastAsia" w:ascii="宋体" w:hAnsi="宋体" w:eastAsia="宋体" w:cs="宋体"/>
                <w:color w:val="auto"/>
                <w:kern w:val="0"/>
                <w:sz w:val="21"/>
                <w:szCs w:val="21"/>
                <w:highlight w:val="none"/>
                <w:lang w:val="ru-RU"/>
              </w:rPr>
            </w:pPr>
            <w:r>
              <w:rPr>
                <w:rFonts w:hint="eastAsia" w:ascii="宋体" w:hAnsi="宋体" w:eastAsia="宋体" w:cs="宋体"/>
                <w:color w:val="auto"/>
                <w:kern w:val="0"/>
                <w:sz w:val="21"/>
                <w:szCs w:val="21"/>
                <w:highlight w:val="none"/>
                <w:lang w:val="ru-RU" w:eastAsia="ru-RU"/>
              </w:rPr>
              <w:t>报价</w:t>
            </w:r>
            <w:r>
              <w:rPr>
                <w:rFonts w:hint="eastAsia" w:ascii="宋体" w:hAnsi="宋体" w:eastAsia="宋体" w:cs="宋体"/>
                <w:color w:val="auto"/>
                <w:kern w:val="0"/>
                <w:sz w:val="21"/>
                <w:szCs w:val="21"/>
                <w:highlight w:val="none"/>
                <w:lang w:val="ru-RU"/>
              </w:rPr>
              <w:t>（A1）</w:t>
            </w:r>
          </w:p>
        </w:tc>
        <w:tc>
          <w:tcPr>
            <w:tcW w:w="3451" w:type="dxa"/>
            <w:noWrap w:val="0"/>
            <w:vAlign w:val="center"/>
          </w:tcPr>
          <w:p w14:paraId="309D087E">
            <w:pPr>
              <w:adjustRightInd w:val="0"/>
              <w:snapToGrid w:val="0"/>
              <w:spacing w:line="240" w:lineRule="exact"/>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en-US" w:eastAsia="zh-CN"/>
              </w:rPr>
              <w:t>0</w:t>
            </w:r>
          </w:p>
        </w:tc>
      </w:tr>
      <w:tr w14:paraId="2F454B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26" w:type="dxa"/>
            <w:noWrap w:val="0"/>
            <w:vAlign w:val="center"/>
          </w:tcPr>
          <w:p w14:paraId="2DFE2EE2">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2</w:t>
            </w:r>
          </w:p>
        </w:tc>
        <w:tc>
          <w:tcPr>
            <w:tcW w:w="4722" w:type="dxa"/>
            <w:noWrap w:val="0"/>
            <w:vAlign w:val="center"/>
          </w:tcPr>
          <w:p w14:paraId="117FAC12">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技术</w:t>
            </w:r>
            <w:r>
              <w:rPr>
                <w:rFonts w:hint="eastAsia" w:ascii="宋体" w:hAnsi="宋体" w:eastAsia="宋体" w:cs="宋体"/>
                <w:color w:val="auto"/>
                <w:kern w:val="0"/>
                <w:sz w:val="21"/>
                <w:szCs w:val="21"/>
                <w:highlight w:val="none"/>
                <w:lang w:val="ru-RU"/>
              </w:rPr>
              <w:t>（A2）</w:t>
            </w:r>
          </w:p>
        </w:tc>
        <w:tc>
          <w:tcPr>
            <w:tcW w:w="3451" w:type="dxa"/>
            <w:noWrap w:val="0"/>
            <w:vAlign w:val="center"/>
          </w:tcPr>
          <w:p w14:paraId="6FE171F2">
            <w:pPr>
              <w:adjustRightInd w:val="0"/>
              <w:snapToGrid w:val="0"/>
              <w:spacing w:line="2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CN"/>
              </w:rPr>
              <w:t>0</w:t>
            </w:r>
          </w:p>
        </w:tc>
      </w:tr>
      <w:tr w14:paraId="17A032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26" w:type="dxa"/>
            <w:noWrap w:val="0"/>
            <w:vAlign w:val="center"/>
          </w:tcPr>
          <w:p w14:paraId="4EC7184D">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3</w:t>
            </w:r>
          </w:p>
        </w:tc>
        <w:tc>
          <w:tcPr>
            <w:tcW w:w="4722" w:type="dxa"/>
            <w:noWrap w:val="0"/>
            <w:vAlign w:val="center"/>
          </w:tcPr>
          <w:p w14:paraId="476C6686">
            <w:pPr>
              <w:adjustRightInd w:val="0"/>
              <w:snapToGrid w:val="0"/>
              <w:spacing w:line="240" w:lineRule="exact"/>
              <w:jc w:val="center"/>
              <w:rPr>
                <w:rFonts w:hint="eastAsia" w:ascii="宋体" w:hAnsi="宋体" w:eastAsia="宋体" w:cs="宋体"/>
                <w:color w:val="auto"/>
                <w:kern w:val="0"/>
                <w:sz w:val="21"/>
                <w:szCs w:val="21"/>
                <w:highlight w:val="none"/>
                <w:lang w:val="ru-RU"/>
              </w:rPr>
            </w:pPr>
            <w:r>
              <w:rPr>
                <w:rFonts w:hint="eastAsia" w:ascii="宋体" w:hAnsi="宋体" w:eastAsia="宋体" w:cs="宋体"/>
                <w:color w:val="auto"/>
                <w:kern w:val="0"/>
                <w:sz w:val="21"/>
                <w:szCs w:val="21"/>
                <w:highlight w:val="none"/>
                <w:lang w:val="ru-RU"/>
              </w:rPr>
              <w:t>商务（A3）</w:t>
            </w:r>
          </w:p>
        </w:tc>
        <w:tc>
          <w:tcPr>
            <w:tcW w:w="3451" w:type="dxa"/>
            <w:noWrap w:val="0"/>
            <w:vAlign w:val="center"/>
          </w:tcPr>
          <w:p w14:paraId="5A2DBB1F">
            <w:pPr>
              <w:adjustRightInd w:val="0"/>
              <w:snapToGrid w:val="0"/>
              <w:spacing w:line="2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CN"/>
              </w:rPr>
              <w:t>0</w:t>
            </w:r>
          </w:p>
        </w:tc>
      </w:tr>
      <w:tr w14:paraId="0C9BA1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5448" w:type="dxa"/>
            <w:gridSpan w:val="2"/>
            <w:noWrap w:val="0"/>
            <w:vAlign w:val="center"/>
          </w:tcPr>
          <w:p w14:paraId="0FAB11E7">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ru-RU"/>
              </w:rPr>
              <w:t>合计</w:t>
            </w:r>
          </w:p>
        </w:tc>
        <w:tc>
          <w:tcPr>
            <w:tcW w:w="3451" w:type="dxa"/>
            <w:noWrap w:val="0"/>
            <w:vAlign w:val="center"/>
          </w:tcPr>
          <w:p w14:paraId="7F1B238A">
            <w:pPr>
              <w:adjustRightInd w:val="0"/>
              <w:snapToGrid w:val="0"/>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w:t>
            </w:r>
          </w:p>
        </w:tc>
      </w:tr>
      <w:bookmarkEnd w:id="1125"/>
    </w:tbl>
    <w:p w14:paraId="717DAC3A">
      <w:pPr>
        <w:ind w:firstLine="1355" w:firstLineChars="500"/>
        <w:rPr>
          <w:rFonts w:hint="eastAsia" w:ascii="仿宋" w:hAnsi="仿宋" w:eastAsia="仿宋" w:cs="仿宋"/>
          <w:b/>
          <w:bCs/>
          <w:color w:val="auto"/>
          <w:sz w:val="27"/>
          <w:szCs w:val="27"/>
          <w:highlight w:val="none"/>
        </w:rPr>
      </w:pPr>
    </w:p>
    <w:p w14:paraId="7FC85034">
      <w:pPr>
        <w:adjustRightInd w:val="0"/>
        <w:snapToGrid w:val="0"/>
        <w:spacing w:before="156" w:beforeLines="50" w:line="360" w:lineRule="auto"/>
        <w:jc w:val="center"/>
        <w:outlineLvl w:val="9"/>
        <w:rPr>
          <w:rFonts w:hint="eastAsia" w:ascii="宋体" w:hAnsi="宋体" w:eastAsia="宋体" w:cs="宋体"/>
          <w:sz w:val="21"/>
          <w:szCs w:val="21"/>
        </w:rPr>
      </w:pPr>
      <w:bookmarkStart w:id="1140" w:name="_Toc19465"/>
      <w:bookmarkStart w:id="1141" w:name="_Toc21646"/>
      <w:bookmarkStart w:id="1142" w:name="_Toc154428428"/>
      <w:bookmarkStart w:id="1143" w:name="_Toc30635"/>
      <w:bookmarkStart w:id="1144" w:name="_Toc6964"/>
      <w:bookmarkStart w:id="1145" w:name="_Toc117192489"/>
      <w:bookmarkStart w:id="1146" w:name="_Toc10895"/>
      <w:bookmarkStart w:id="1147" w:name="_Toc114036753"/>
      <w:bookmarkStart w:id="1148" w:name="_Toc171273710"/>
      <w:bookmarkStart w:id="1149" w:name="_Toc28795"/>
      <w:bookmarkStart w:id="1150" w:name="_Toc32148"/>
      <w:r>
        <w:rPr>
          <w:rFonts w:hint="eastAsia" w:ascii="宋体" w:hAnsi="宋体" w:eastAsia="宋体" w:cs="宋体"/>
          <w:b/>
          <w:bCs/>
          <w:color w:val="auto"/>
          <w:sz w:val="21"/>
          <w:szCs w:val="21"/>
        </w:rPr>
        <w:t>附表1.1投标报价评审标准表</w:t>
      </w:r>
    </w:p>
    <w:tbl>
      <w:tblPr>
        <w:tblStyle w:val="47"/>
        <w:tblW w:w="9287" w:type="dxa"/>
        <w:jc w:val="center"/>
        <w:tblLayout w:type="fixed"/>
        <w:tblCellMar>
          <w:top w:w="0" w:type="dxa"/>
          <w:left w:w="108" w:type="dxa"/>
          <w:bottom w:w="0" w:type="dxa"/>
          <w:right w:w="108" w:type="dxa"/>
        </w:tblCellMar>
      </w:tblPr>
      <w:tblGrid>
        <w:gridCol w:w="660"/>
        <w:gridCol w:w="2001"/>
        <w:gridCol w:w="6626"/>
      </w:tblGrid>
      <w:tr w14:paraId="15FCB9C5">
        <w:tblPrEx>
          <w:tblCellMar>
            <w:top w:w="0" w:type="dxa"/>
            <w:left w:w="108" w:type="dxa"/>
            <w:bottom w:w="0" w:type="dxa"/>
            <w:right w:w="108" w:type="dxa"/>
          </w:tblCellMar>
        </w:tblPrEx>
        <w:trPr>
          <w:trHeight w:val="90"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7A2B7053">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b/>
                <w:szCs w:val="21"/>
              </w:rPr>
            </w:pPr>
            <w:r>
              <w:rPr>
                <w:rFonts w:hint="eastAsia" w:ascii="宋体" w:hAnsi="宋体" w:cs="宋体"/>
                <w:b/>
                <w:kern w:val="0"/>
                <w:szCs w:val="21"/>
                <w:lang w:bidi="hi-IN"/>
              </w:rPr>
              <w:t>序号</w:t>
            </w:r>
          </w:p>
        </w:tc>
        <w:tc>
          <w:tcPr>
            <w:tcW w:w="2001" w:type="dxa"/>
            <w:tcBorders>
              <w:top w:val="double" w:color="000000" w:sz="4" w:space="0"/>
              <w:left w:val="single" w:color="000000" w:sz="4" w:space="0"/>
              <w:bottom w:val="double" w:color="000000" w:sz="4" w:space="0"/>
              <w:right w:val="single" w:color="000000" w:sz="4" w:space="0"/>
            </w:tcBorders>
            <w:noWrap w:val="0"/>
            <w:vAlign w:val="center"/>
          </w:tcPr>
          <w:p w14:paraId="6E400F88">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b/>
                <w:szCs w:val="21"/>
              </w:rPr>
            </w:pPr>
            <w:r>
              <w:rPr>
                <w:rFonts w:hint="eastAsia" w:ascii="宋体" w:hAnsi="宋体" w:cs="宋体"/>
                <w:b/>
                <w:kern w:val="0"/>
                <w:szCs w:val="21"/>
                <w:lang w:bidi="hi-IN"/>
              </w:rPr>
              <w:t>评标因素（分值）</w:t>
            </w:r>
          </w:p>
        </w:tc>
        <w:tc>
          <w:tcPr>
            <w:tcW w:w="6626" w:type="dxa"/>
            <w:tcBorders>
              <w:top w:val="double" w:color="000000" w:sz="4" w:space="0"/>
              <w:left w:val="single" w:color="000000" w:sz="4" w:space="0"/>
              <w:bottom w:val="double" w:color="000000" w:sz="4" w:space="0"/>
              <w:right w:val="double" w:color="000000" w:sz="4" w:space="0"/>
            </w:tcBorders>
            <w:noWrap w:val="0"/>
            <w:vAlign w:val="center"/>
          </w:tcPr>
          <w:p w14:paraId="75F597D4">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b/>
                <w:szCs w:val="21"/>
              </w:rPr>
            </w:pPr>
            <w:r>
              <w:rPr>
                <w:rFonts w:hint="eastAsia" w:ascii="宋体" w:hAnsi="宋体" w:cs="宋体"/>
                <w:b/>
                <w:kern w:val="0"/>
                <w:szCs w:val="21"/>
                <w:lang w:bidi="hi-IN"/>
              </w:rPr>
              <w:t>评标标准</w:t>
            </w:r>
          </w:p>
        </w:tc>
      </w:tr>
      <w:tr w14:paraId="0B2D37DF">
        <w:tblPrEx>
          <w:tblCellMar>
            <w:top w:w="0" w:type="dxa"/>
            <w:left w:w="108" w:type="dxa"/>
            <w:bottom w:w="0" w:type="dxa"/>
            <w:right w:w="108" w:type="dxa"/>
          </w:tblCellMar>
        </w:tblPrEx>
        <w:trPr>
          <w:trHeight w:val="514"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0D90574D">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szCs w:val="21"/>
              </w:rPr>
            </w:pPr>
            <w:r>
              <w:rPr>
                <w:rFonts w:hint="eastAsia" w:ascii="宋体" w:hAnsi="宋体" w:cs="宋体"/>
                <w:kern w:val="0"/>
                <w:szCs w:val="21"/>
                <w:lang w:bidi="hi-IN"/>
              </w:rPr>
              <w:t>1</w:t>
            </w:r>
          </w:p>
        </w:tc>
        <w:tc>
          <w:tcPr>
            <w:tcW w:w="2001" w:type="dxa"/>
            <w:tcBorders>
              <w:top w:val="double" w:color="000000" w:sz="4" w:space="0"/>
              <w:left w:val="single" w:color="000000" w:sz="4" w:space="0"/>
              <w:bottom w:val="double" w:color="000000" w:sz="4" w:space="0"/>
              <w:right w:val="single" w:color="000000" w:sz="4" w:space="0"/>
            </w:tcBorders>
            <w:noWrap w:val="0"/>
            <w:vAlign w:val="center"/>
          </w:tcPr>
          <w:p w14:paraId="7D76D9FE">
            <w:pPr>
              <w:pStyle w:val="105"/>
              <w:keepNext w:val="0"/>
              <w:keepLines w:val="0"/>
              <w:suppressLineNumbers w:val="0"/>
              <w:spacing w:before="0" w:beforeAutospacing="0" w:after="0" w:afterAutospacing="0" w:line="360" w:lineRule="exact"/>
              <w:ind w:left="0" w:right="0"/>
              <w:jc w:val="center"/>
              <w:rPr>
                <w:rFonts w:hint="eastAsia" w:ascii="宋体" w:hAnsi="宋体" w:eastAsia="宋体" w:cs="宋体"/>
                <w:b w:val="0"/>
                <w:bCs w:val="0"/>
                <w:kern w:val="0"/>
                <w:sz w:val="21"/>
                <w:szCs w:val="21"/>
              </w:rPr>
            </w:pPr>
            <w:r>
              <w:rPr>
                <w:rFonts w:hint="eastAsia" w:ascii="宋体" w:hAnsi="宋体" w:eastAsia="宋体" w:cs="宋体"/>
                <w:b w:val="0"/>
                <w:bCs w:val="0"/>
                <w:sz w:val="21"/>
                <w:szCs w:val="21"/>
                <w:lang w:bidi="hi-IN"/>
              </w:rPr>
              <w:t>价格评价项</w:t>
            </w:r>
            <w:r>
              <w:rPr>
                <w:rFonts w:hint="eastAsia" w:ascii="宋体" w:hAnsi="宋体" w:eastAsia="宋体" w:cs="宋体"/>
                <w:b w:val="0"/>
                <w:bCs w:val="0"/>
                <w:kern w:val="0"/>
                <w:sz w:val="21"/>
                <w:szCs w:val="21"/>
                <w:lang w:bidi="hi-IN"/>
              </w:rPr>
              <w:t>（A1）</w:t>
            </w:r>
          </w:p>
          <w:p w14:paraId="6CD096D0">
            <w:pPr>
              <w:pStyle w:val="105"/>
              <w:keepNext w:val="0"/>
              <w:keepLines w:val="0"/>
              <w:suppressLineNumbers w:val="0"/>
              <w:spacing w:before="0" w:beforeAutospacing="0" w:after="0" w:afterAutospacing="0" w:line="360" w:lineRule="exact"/>
              <w:ind w:left="0" w:right="0"/>
              <w:jc w:val="center"/>
              <w:rPr>
                <w:rFonts w:hint="eastAsia" w:ascii="宋体" w:hAnsi="宋体" w:eastAsia="宋体" w:cs="宋体"/>
                <w:b w:val="0"/>
                <w:bCs w:val="0"/>
                <w:kern w:val="0"/>
                <w:sz w:val="21"/>
                <w:szCs w:val="21"/>
                <w:lang w:bidi="hi-IN"/>
              </w:rPr>
            </w:pPr>
            <w:r>
              <w:rPr>
                <w:rFonts w:hint="eastAsia" w:ascii="宋体" w:hAnsi="宋体" w:eastAsia="宋体" w:cs="宋体"/>
                <w:b w:val="0"/>
                <w:bCs w:val="0"/>
                <w:kern w:val="0"/>
                <w:sz w:val="21"/>
                <w:szCs w:val="21"/>
                <w:lang w:bidi="hi-IN"/>
              </w:rPr>
              <w:t>（F=100分）</w:t>
            </w:r>
          </w:p>
          <w:p w14:paraId="261FE8E6">
            <w:pPr>
              <w:pStyle w:val="105"/>
              <w:keepNext w:val="0"/>
              <w:keepLines w:val="0"/>
              <w:suppressLineNumbers w:val="0"/>
              <w:spacing w:before="0" w:beforeAutospacing="0" w:after="0" w:afterAutospacing="0" w:line="360" w:lineRule="exact"/>
              <w:ind w:left="0" w:right="0"/>
              <w:jc w:val="center"/>
              <w:rPr>
                <w:rFonts w:hint="eastAsia" w:ascii="宋体" w:hAnsi="宋体" w:eastAsia="宋体" w:cs="宋体"/>
                <w:b w:val="0"/>
                <w:bCs w:val="0"/>
                <w:kern w:val="0"/>
                <w:sz w:val="21"/>
                <w:szCs w:val="21"/>
                <w:lang w:bidi="hi-IN"/>
              </w:rPr>
            </w:pPr>
          </w:p>
        </w:tc>
        <w:tc>
          <w:tcPr>
            <w:tcW w:w="6626" w:type="dxa"/>
            <w:tcBorders>
              <w:top w:val="double" w:color="000000" w:sz="4" w:space="0"/>
              <w:left w:val="single" w:color="000000" w:sz="4" w:space="0"/>
              <w:bottom w:val="double" w:color="000000" w:sz="4" w:space="0"/>
              <w:right w:val="double" w:color="000000" w:sz="4" w:space="0"/>
            </w:tcBorders>
            <w:noWrap w:val="0"/>
            <w:vAlign w:val="center"/>
          </w:tcPr>
          <w:p w14:paraId="5B2DEAE0">
            <w:pPr>
              <w:keepNext w:val="0"/>
              <w:keepLines w:val="0"/>
              <w:suppressLineNumbers w:val="0"/>
              <w:adjustRightInd w:val="0"/>
              <w:snapToGrid w:val="0"/>
              <w:spacing w:before="0" w:beforeAutospacing="0" w:after="0" w:afterAutospacing="0" w:line="320" w:lineRule="exact"/>
              <w:ind w:left="0" w:right="0"/>
              <w:rPr>
                <w:rFonts w:hint="eastAsia" w:ascii="宋体" w:hAnsi="宋体" w:eastAsia="宋体" w:cs="宋体"/>
                <w:b w:val="0"/>
                <w:bCs w:val="0"/>
                <w:sz w:val="21"/>
                <w:szCs w:val="21"/>
              </w:rPr>
            </w:pPr>
            <w:r>
              <w:rPr>
                <w:rFonts w:hint="eastAsia" w:ascii="宋体" w:hAnsi="宋体" w:eastAsia="宋体" w:cs="宋体"/>
                <w:b w:val="0"/>
                <w:bCs w:val="0"/>
                <w:sz w:val="21"/>
                <w:szCs w:val="21"/>
              </w:rPr>
              <w:t>以经评委会一致认定满足招标文件要求且投标价格最低的投标报价为评标基准价，其价格计满分。其他投标人的价格得分统一按公式计算：</w:t>
            </w:r>
          </w:p>
          <w:p w14:paraId="73E806C3">
            <w:pPr>
              <w:keepNext w:val="0"/>
              <w:keepLines w:val="0"/>
              <w:suppressLineNumbers w:val="0"/>
              <w:spacing w:before="0" w:beforeAutospacing="0" w:after="0" w:afterAutospacing="0" w:line="320" w:lineRule="exact"/>
              <w:ind w:left="0" w:right="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投标报价得分=（评标基准价</w:t>
            </w:r>
            <w:r>
              <w:rPr>
                <w:rFonts w:hint="eastAsia" w:ascii="宋体" w:hAnsi="宋体" w:eastAsia="宋体" w:cs="宋体"/>
                <w:b w:val="0"/>
                <w:bCs w:val="0"/>
                <w:sz w:val="21"/>
                <w:szCs w:val="21"/>
                <w:vertAlign w:val="subscript"/>
              </w:rPr>
              <w:t>修正或调整</w:t>
            </w:r>
            <w:r>
              <w:rPr>
                <w:rFonts w:hint="eastAsia" w:ascii="宋体" w:hAnsi="宋体" w:eastAsia="宋体" w:cs="宋体"/>
                <w:b w:val="0"/>
                <w:bCs w:val="0"/>
                <w:sz w:val="21"/>
                <w:szCs w:val="21"/>
              </w:rPr>
              <w:t>／投标报价</w:t>
            </w:r>
            <w:r>
              <w:rPr>
                <w:rFonts w:hint="eastAsia" w:ascii="宋体" w:hAnsi="宋体" w:eastAsia="宋体" w:cs="宋体"/>
                <w:b w:val="0"/>
                <w:bCs w:val="0"/>
                <w:sz w:val="21"/>
                <w:szCs w:val="21"/>
                <w:vertAlign w:val="subscript"/>
              </w:rPr>
              <w:t>修正或调整</w:t>
            </w:r>
            <w:r>
              <w:rPr>
                <w:rFonts w:hint="eastAsia" w:ascii="宋体" w:hAnsi="宋体" w:eastAsia="宋体" w:cs="宋体"/>
                <w:b w:val="0"/>
                <w:bCs w:val="0"/>
                <w:sz w:val="21"/>
                <w:szCs w:val="21"/>
              </w:rPr>
              <w:t>）×100×报价权值</w:t>
            </w:r>
            <w:r>
              <w:rPr>
                <w:rFonts w:hint="eastAsia" w:ascii="宋体" w:hAnsi="宋体" w:eastAsia="宋体" w:cs="宋体"/>
                <w:b w:val="0"/>
                <w:bCs w:val="0"/>
                <w:sz w:val="21"/>
                <w:szCs w:val="21"/>
                <w:lang w:eastAsia="zh-CN"/>
              </w:rPr>
              <w:t>。</w:t>
            </w:r>
          </w:p>
          <w:p w14:paraId="1A3CE8C4">
            <w:pPr>
              <w:keepNext w:val="0"/>
              <w:keepLines w:val="0"/>
              <w:suppressLineNumbers w:val="0"/>
              <w:spacing w:before="0" w:beforeAutospacing="0" w:after="0" w:afterAutospacing="0" w:line="320" w:lineRule="exact"/>
              <w:ind w:left="0" w:right="0"/>
              <w:rPr>
                <w:rFonts w:hint="eastAsia" w:ascii="宋体" w:hAnsi="宋体" w:eastAsia="宋体" w:cs="宋体"/>
                <w:b w:val="0"/>
                <w:bCs w:val="0"/>
                <w:sz w:val="21"/>
                <w:szCs w:val="21"/>
              </w:rPr>
            </w:pPr>
          </w:p>
          <w:p w14:paraId="7CE9D427">
            <w:pPr>
              <w:keepNext w:val="0"/>
              <w:keepLines w:val="0"/>
              <w:suppressLineNumbers w:val="0"/>
              <w:adjustRightInd w:val="0"/>
              <w:snapToGrid w:val="0"/>
              <w:spacing w:before="0" w:beforeAutospacing="0" w:after="0" w:afterAutospacing="0"/>
              <w:ind w:left="0" w:right="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注:</w:t>
            </w:r>
          </w:p>
          <w:p w14:paraId="2099AA71">
            <w:pPr>
              <w:keepNext w:val="0"/>
              <w:keepLines w:val="0"/>
              <w:suppressLineNumbers w:val="0"/>
              <w:adjustRightInd w:val="0"/>
              <w:snapToGrid w:val="0"/>
              <w:spacing w:before="0" w:beforeAutospacing="0" w:after="0" w:afterAutospacing="0"/>
              <w:ind w:left="0" w:right="0"/>
              <w:rPr>
                <w:rFonts w:hint="default" w:ascii="宋体" w:hAnsi="宋体" w:eastAsia="宋体" w:cs="宋体"/>
                <w:b/>
                <w:bCs/>
                <w:sz w:val="21"/>
                <w:szCs w:val="21"/>
                <w:highlight w:val="none"/>
                <w:lang w:val="en-US" w:eastAsia="zh-CN"/>
              </w:rPr>
            </w:pPr>
            <w:r>
              <w:rPr>
                <w:rFonts w:hint="eastAsia" w:ascii="宋体" w:hAnsi="宋体" w:eastAsia="宋体" w:cs="宋体"/>
                <w:b w:val="0"/>
                <w:bCs w:val="0"/>
                <w:sz w:val="21"/>
                <w:szCs w:val="21"/>
                <w:highlight w:val="none"/>
                <w:lang w:val="en-US" w:eastAsia="zh-CN"/>
              </w:rPr>
              <w:t>1.本项目非专门面向</w:t>
            </w:r>
            <w:r>
              <w:rPr>
                <w:rFonts w:hint="eastAsia" w:ascii="宋体" w:hAnsi="宋体" w:eastAsia="宋体" w:cs="宋体"/>
                <w:b w:val="0"/>
                <w:bCs w:val="0"/>
                <w:sz w:val="21"/>
                <w:szCs w:val="21"/>
                <w:highlight w:val="none"/>
              </w:rPr>
              <w:t>中小企业</w:t>
            </w:r>
            <w:r>
              <w:rPr>
                <w:rFonts w:hint="eastAsia" w:ascii="宋体" w:hAnsi="宋体" w:eastAsia="宋体" w:cs="宋体"/>
                <w:b w:val="0"/>
                <w:bCs w:val="0"/>
                <w:sz w:val="21"/>
                <w:szCs w:val="21"/>
                <w:highlight w:val="none"/>
                <w:lang w:val="en-US" w:eastAsia="zh-CN"/>
              </w:rPr>
              <w:t>采购</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对制造商为小微企业的产品价格评审优惠10%。</w:t>
            </w:r>
          </w:p>
          <w:p w14:paraId="54B473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根据《财库[2026]2号文》相关规定，本项目异常低价处理规定如下：</w:t>
            </w:r>
          </w:p>
          <w:p w14:paraId="332898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（一）采购人应当在采购文件中明确，政府采购评审中出现下列情形之一的，评审委员会应当启动异常低价投标（响应）审查程序： </w:t>
            </w:r>
          </w:p>
          <w:p w14:paraId="03F64F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（1）投标（响应）报价低于全部通过符合性审查</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投标（响应）报价平均值</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%的，即投标（响应）报价&lt;全部通过符合性审查</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投标（响应）报价平均值×</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 xml:space="preserve">%； </w:t>
            </w:r>
          </w:p>
          <w:p w14:paraId="711180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（2）投标（响应）报价低于通过符合性审查的次低报价</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%的，即投标（响应）报价&lt;通过符合性审查的次低报价</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 xml:space="preserve">%； </w:t>
            </w:r>
          </w:p>
          <w:p w14:paraId="61C74C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（3）投标（响应）报价低于采购项目最高限价</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5%的，即投标（响应）报价&lt;采购项目最高限价×</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5%；</w:t>
            </w:r>
          </w:p>
          <w:p w14:paraId="7F5BB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（4）评审委员会基于专业判断，认为</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报价过低，有可能影响产品质量或者不能诚信履约的其他情形。 相关法律法规对</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 xml:space="preserve">报价有规定的，从其规定。 </w:t>
            </w:r>
          </w:p>
          <w:p w14:paraId="38153B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（二）评审委员会启动异常低价投标（响应）审查后，属于前述第1项至第4项情形的，应当要求相关</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在评审现场合理的时间内对投标（响应）价格作出解释，提供项目具体成本测算等与报价合理性相关的书面说明及必要的证明材料，包括但不限于原材料成本、人工成本、制造费用等，给予相关</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的合理时间一般不少于30分钟。其中，属于第3项情形，</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 xml:space="preserve">已随投标（响应）文件一并提交相关书面说明及必要的证明材料的，在评审现场可不再重复提交。 </w:t>
            </w:r>
          </w:p>
          <w:p w14:paraId="6B0B5E25">
            <w:pPr>
              <w:pStyle w:val="477"/>
              <w:keepNext w:val="0"/>
              <w:keepLines w:val="0"/>
              <w:suppressLineNumbers w:val="0"/>
              <w:spacing w:before="0" w:beforeAutospacing="0" w:after="0" w:afterAutospacing="0" w:line="360" w:lineRule="exact"/>
              <w:ind w:left="0" w:right="0"/>
              <w:jc w:val="left"/>
              <w:rPr>
                <w:rFonts w:hint="eastAsia" w:ascii="宋体" w:hAnsi="宋体" w:eastAsia="宋体" w:cs="宋体"/>
                <w:b w:val="0"/>
                <w:bCs w:val="0"/>
                <w:sz w:val="21"/>
                <w:szCs w:val="21"/>
              </w:rPr>
            </w:pPr>
            <w:r>
              <w:rPr>
                <w:rFonts w:hint="eastAsia" w:ascii="宋体" w:hAnsi="宋体" w:eastAsia="宋体" w:cs="宋体"/>
                <w:b w:val="0"/>
                <w:bCs/>
                <w:color w:val="auto"/>
                <w:sz w:val="22"/>
                <w:szCs w:val="22"/>
                <w:highlight w:val="none"/>
              </w:rPr>
              <w:t>评审委员会依据专业经验，参考同类项目中标（成交）价格、类似产品市场价格水平、行业人工费用标准、国家有关部门指导行业协会发布的行业平均成本等情况，对报价合理性进行判断。投标（响应）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不能提供书面说明、证明材料，或者提供的书面说明、证明材料不能证明其报价合理性的，评审委员会应当将其作为无效投标（响应）处理。</w:t>
            </w:r>
          </w:p>
        </w:tc>
      </w:tr>
      <w:tr w14:paraId="78341629">
        <w:tblPrEx>
          <w:tblCellMar>
            <w:top w:w="0" w:type="dxa"/>
            <w:left w:w="108" w:type="dxa"/>
            <w:bottom w:w="0" w:type="dxa"/>
            <w:right w:w="108" w:type="dxa"/>
          </w:tblCellMar>
        </w:tblPrEx>
        <w:trPr>
          <w:trHeight w:val="930"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7F895621">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szCs w:val="21"/>
              </w:rPr>
            </w:pPr>
            <w:r>
              <w:rPr>
                <w:rFonts w:hint="eastAsia" w:ascii="宋体" w:hAnsi="宋体" w:cs="宋体"/>
                <w:kern w:val="0"/>
                <w:szCs w:val="21"/>
                <w:lang w:bidi="hi-IN"/>
              </w:rPr>
              <w:t>2</w:t>
            </w:r>
          </w:p>
        </w:tc>
        <w:tc>
          <w:tcPr>
            <w:tcW w:w="2001" w:type="dxa"/>
            <w:tcBorders>
              <w:top w:val="double" w:color="000000" w:sz="4" w:space="0"/>
              <w:left w:val="single" w:color="000000" w:sz="4" w:space="0"/>
              <w:bottom w:val="double" w:color="000000" w:sz="4" w:space="0"/>
              <w:right w:val="single" w:color="000000" w:sz="4" w:space="0"/>
            </w:tcBorders>
            <w:noWrap w:val="0"/>
            <w:vAlign w:val="center"/>
          </w:tcPr>
          <w:p w14:paraId="28A24492">
            <w:pPr>
              <w:pStyle w:val="105"/>
              <w:keepNext w:val="0"/>
              <w:keepLines w:val="0"/>
              <w:suppressLineNumbers w:val="0"/>
              <w:spacing w:before="0" w:beforeAutospacing="0" w:after="0" w:afterAutospacing="0" w:line="360" w:lineRule="exact"/>
              <w:ind w:left="0" w:right="0"/>
              <w:jc w:val="center"/>
              <w:rPr>
                <w:rFonts w:hint="eastAsia" w:ascii="宋体" w:hAnsi="宋体" w:cs="宋体"/>
                <w:bCs/>
                <w:kern w:val="0"/>
                <w:szCs w:val="21"/>
              </w:rPr>
            </w:pPr>
            <w:r>
              <w:rPr>
                <w:rFonts w:hint="eastAsia" w:ascii="宋体" w:hAnsi="宋体" w:cs="宋体"/>
                <w:szCs w:val="21"/>
                <w:lang w:bidi="hi-IN"/>
              </w:rPr>
              <w:t>优先采购加分（F</w:t>
            </w:r>
            <w:r>
              <w:rPr>
                <w:rFonts w:hint="eastAsia" w:ascii="宋体" w:hAnsi="宋体" w:cs="宋体"/>
                <w:szCs w:val="21"/>
                <w:vertAlign w:val="subscript"/>
                <w:lang w:bidi="hi-IN"/>
              </w:rPr>
              <w:t>优先采购加分</w:t>
            </w:r>
            <w:r>
              <w:rPr>
                <w:rFonts w:hint="eastAsia" w:ascii="宋体" w:hAnsi="宋体" w:cs="宋体"/>
                <w:szCs w:val="21"/>
                <w:lang w:bidi="hi-IN"/>
              </w:rPr>
              <w:t>）</w:t>
            </w:r>
          </w:p>
        </w:tc>
        <w:tc>
          <w:tcPr>
            <w:tcW w:w="6626" w:type="dxa"/>
            <w:tcBorders>
              <w:top w:val="double" w:color="000000" w:sz="4" w:space="0"/>
              <w:left w:val="single" w:color="000000" w:sz="4" w:space="0"/>
              <w:bottom w:val="double" w:color="000000" w:sz="4" w:space="0"/>
              <w:right w:val="double" w:color="000000" w:sz="4" w:space="0"/>
            </w:tcBorders>
            <w:noWrap w:val="0"/>
            <w:vAlign w:val="center"/>
          </w:tcPr>
          <w:p w14:paraId="29A0AFA5">
            <w:pPr>
              <w:pStyle w:val="147"/>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color w:val="auto"/>
                <w:sz w:val="21"/>
                <w:szCs w:val="21"/>
                <w:highlight w:val="none"/>
              </w:rPr>
            </w:pPr>
            <w:r>
              <w:rPr>
                <w:rFonts w:hint="default" w:ascii="宋体" w:hAnsi="宋体"/>
                <w:color w:val="auto"/>
                <w:sz w:val="21"/>
                <w:szCs w:val="21"/>
                <w:highlight w:val="none"/>
              </w:rPr>
              <w:t>1、节能产品</w:t>
            </w:r>
            <w:r>
              <w:rPr>
                <w:rFonts w:hint="eastAsia" w:ascii="宋体" w:hAnsi="宋体"/>
                <w:color w:val="auto"/>
                <w:sz w:val="21"/>
                <w:szCs w:val="21"/>
                <w:highlight w:val="none"/>
                <w:lang w:eastAsia="zh-CN"/>
              </w:rPr>
              <w:t>：</w:t>
            </w:r>
            <w:r>
              <w:rPr>
                <w:rFonts w:hint="eastAsia" w:ascii="宋体" w:hAnsi="宋体" w:cs="宋体"/>
                <w:color w:val="auto"/>
                <w:sz w:val="21"/>
                <w:szCs w:val="21"/>
                <w:highlight w:val="none"/>
              </w:rPr>
              <w:t>最新一期《节能标志产品政府采购品目清单》内的，</w:t>
            </w:r>
            <w:r>
              <w:rPr>
                <w:rFonts w:hint="default" w:ascii="宋体" w:hAnsi="宋体"/>
                <w:color w:val="auto"/>
                <w:sz w:val="21"/>
                <w:szCs w:val="21"/>
                <w:highlight w:val="none"/>
              </w:rPr>
              <w:t>对于技术和价格分，应分别给予一级评标因素权重4%-8%的加分。本项目具体加分比例分别为：技术</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4</w:t>
            </w:r>
            <w:r>
              <w:rPr>
                <w:rFonts w:hint="eastAsia" w:ascii="宋体" w:hAnsi="宋体"/>
                <w:color w:val="auto"/>
                <w:sz w:val="21"/>
                <w:szCs w:val="21"/>
                <w:highlight w:val="none"/>
                <w:u w:val="single"/>
              </w:rPr>
              <w:t xml:space="preserve"> </w:t>
            </w:r>
            <w:r>
              <w:rPr>
                <w:rFonts w:hint="default" w:ascii="宋体" w:hAnsi="宋体"/>
                <w:color w:val="auto"/>
                <w:sz w:val="21"/>
                <w:szCs w:val="21"/>
                <w:highlight w:val="none"/>
              </w:rPr>
              <w:t>%、价格</w:t>
            </w:r>
            <w:r>
              <w:rPr>
                <w:rFonts w:hint="eastAsia" w:ascii="宋体" w:hAnsi="宋体" w:eastAsia="宋体" w:cs="宋体"/>
                <w:sz w:val="21"/>
                <w:szCs w:val="21"/>
                <w:u w:val="single" w:color="000000"/>
              </w:rPr>
              <w:t>4</w:t>
            </w:r>
            <w:r>
              <w:rPr>
                <w:rFonts w:hint="default" w:ascii="宋体" w:hAnsi="宋体"/>
                <w:color w:val="auto"/>
                <w:sz w:val="21"/>
                <w:szCs w:val="21"/>
                <w:highlight w:val="none"/>
              </w:rPr>
              <w:t>%</w:t>
            </w:r>
            <w:r>
              <w:rPr>
                <w:rFonts w:hint="eastAsia" w:ascii="宋体" w:hAnsi="宋体"/>
                <w:color w:val="auto"/>
                <w:sz w:val="21"/>
                <w:szCs w:val="21"/>
                <w:highlight w:val="none"/>
              </w:rPr>
              <w:t>；</w:t>
            </w:r>
          </w:p>
          <w:p w14:paraId="0B1E9FBC">
            <w:pPr>
              <w:pStyle w:val="147"/>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21"/>
                <w:szCs w:val="21"/>
              </w:rPr>
            </w:pPr>
            <w:r>
              <w:rPr>
                <w:rFonts w:hint="default" w:ascii="宋体" w:hAnsi="宋体"/>
                <w:color w:val="auto"/>
                <w:sz w:val="21"/>
                <w:szCs w:val="21"/>
                <w:highlight w:val="none"/>
              </w:rPr>
              <w:t>2、环境标志产品</w:t>
            </w:r>
            <w:r>
              <w:rPr>
                <w:rFonts w:hint="eastAsia" w:ascii="宋体" w:hAnsi="宋体"/>
                <w:color w:val="auto"/>
                <w:sz w:val="21"/>
                <w:szCs w:val="21"/>
                <w:highlight w:val="none"/>
                <w:lang w:eastAsia="zh-CN"/>
              </w:rPr>
              <w:t>：</w:t>
            </w:r>
            <w:r>
              <w:rPr>
                <w:rFonts w:hint="eastAsia" w:ascii="宋体" w:hAnsi="宋体" w:cs="宋体"/>
                <w:color w:val="auto"/>
                <w:sz w:val="21"/>
                <w:szCs w:val="21"/>
                <w:highlight w:val="none"/>
              </w:rPr>
              <w:t>最新一期《节能标志产品政府采购品目清单》内的，</w:t>
            </w:r>
            <w:r>
              <w:rPr>
                <w:rFonts w:hint="default" w:ascii="宋体" w:hAnsi="宋体"/>
                <w:color w:val="auto"/>
                <w:sz w:val="21"/>
                <w:szCs w:val="21"/>
                <w:highlight w:val="none"/>
              </w:rPr>
              <w:t>对于技术和价格分，应分别给予一级评标因素权重4%-8%的加分。本项目具体加分比例分别为：技术</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4</w:t>
            </w:r>
            <w:r>
              <w:rPr>
                <w:rFonts w:hint="eastAsia" w:ascii="宋体" w:hAnsi="宋体"/>
                <w:color w:val="auto"/>
                <w:sz w:val="21"/>
                <w:szCs w:val="21"/>
                <w:highlight w:val="none"/>
                <w:u w:val="single"/>
              </w:rPr>
              <w:t xml:space="preserve"> </w:t>
            </w:r>
            <w:r>
              <w:rPr>
                <w:rFonts w:hint="default" w:ascii="宋体" w:hAnsi="宋体"/>
                <w:color w:val="auto"/>
                <w:sz w:val="21"/>
                <w:szCs w:val="21"/>
                <w:highlight w:val="none"/>
              </w:rPr>
              <w:t>%、价格</w:t>
            </w:r>
            <w:r>
              <w:rPr>
                <w:rFonts w:hint="eastAsia" w:ascii="宋体" w:hAnsi="宋体" w:eastAsia="宋体" w:cs="宋体"/>
                <w:sz w:val="21"/>
                <w:szCs w:val="21"/>
                <w:u w:val="single" w:color="000000"/>
              </w:rPr>
              <w:t>4</w:t>
            </w:r>
            <w:r>
              <w:rPr>
                <w:rFonts w:hint="default" w:ascii="宋体" w:hAnsi="宋体"/>
                <w:color w:val="auto"/>
                <w:sz w:val="21"/>
                <w:szCs w:val="21"/>
                <w:highlight w:val="none"/>
              </w:rPr>
              <w:t>%</w:t>
            </w:r>
            <w:r>
              <w:rPr>
                <w:rFonts w:hint="eastAsia" w:ascii="宋体" w:hAnsi="宋体"/>
                <w:color w:val="auto"/>
                <w:sz w:val="21"/>
                <w:szCs w:val="21"/>
                <w:highlight w:val="none"/>
              </w:rPr>
              <w:t>。</w:t>
            </w:r>
          </w:p>
          <w:p w14:paraId="085113C6">
            <w:pPr>
              <w:pStyle w:val="147"/>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说明：投标产品取得两个及以上优先采购产品认证的，评审时只有其中一项产品能享受优先采购优惠（投标人自行选择，并在投标文件中并填报相关信息及数据）</w:t>
            </w:r>
          </w:p>
        </w:tc>
      </w:tr>
      <w:tr w14:paraId="58C1CED6">
        <w:tblPrEx>
          <w:tblCellMar>
            <w:top w:w="0" w:type="dxa"/>
            <w:left w:w="108" w:type="dxa"/>
            <w:bottom w:w="0" w:type="dxa"/>
            <w:right w:w="108" w:type="dxa"/>
          </w:tblCellMar>
        </w:tblPrEx>
        <w:trPr>
          <w:trHeight w:val="514"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25AE5F8F">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szCs w:val="21"/>
              </w:rPr>
            </w:pPr>
            <w:r>
              <w:rPr>
                <w:rFonts w:hint="eastAsia" w:ascii="宋体" w:hAnsi="宋体" w:cs="宋体"/>
                <w:b/>
                <w:bCs/>
                <w:kern w:val="0"/>
                <w:szCs w:val="21"/>
                <w:lang w:bidi="hi-IN"/>
              </w:rPr>
              <w:t>∑</w:t>
            </w:r>
          </w:p>
        </w:tc>
        <w:tc>
          <w:tcPr>
            <w:tcW w:w="8627" w:type="dxa"/>
            <w:gridSpan w:val="2"/>
            <w:tcBorders>
              <w:top w:val="double" w:color="000000" w:sz="4" w:space="0"/>
              <w:left w:val="single" w:color="000000" w:sz="4" w:space="0"/>
              <w:bottom w:val="double" w:color="000000" w:sz="4" w:space="0"/>
              <w:right w:val="double" w:color="000000" w:sz="4" w:space="0"/>
            </w:tcBorders>
            <w:noWrap w:val="0"/>
            <w:vAlign w:val="center"/>
          </w:tcPr>
          <w:p w14:paraId="45D39F1D">
            <w:pPr>
              <w:pStyle w:val="477"/>
              <w:keepNext w:val="0"/>
              <w:keepLines w:val="0"/>
              <w:suppressLineNumbers w:val="0"/>
              <w:spacing w:before="0" w:beforeAutospacing="0" w:after="0" w:afterAutospacing="0" w:line="360" w:lineRule="exact"/>
              <w:ind w:left="0" w:right="0"/>
              <w:jc w:val="left"/>
              <w:rPr>
                <w:rFonts w:hint="eastAsia" w:ascii="宋体" w:hAnsi="宋体" w:cs="宋体"/>
                <w:b w:val="0"/>
                <w:bCs w:val="0"/>
                <w:sz w:val="21"/>
                <w:szCs w:val="21"/>
              </w:rPr>
            </w:pPr>
            <w:bookmarkStart w:id="1151" w:name="_Toc6215"/>
            <w:bookmarkStart w:id="1152" w:name="_Toc32641"/>
            <w:bookmarkStart w:id="1153" w:name="_Toc6829"/>
            <w:r>
              <w:rPr>
                <w:rFonts w:hint="eastAsia" w:ascii="宋体" w:hAnsi="宋体" w:cs="宋体"/>
                <w:sz w:val="21"/>
                <w:szCs w:val="21"/>
              </w:rPr>
              <w:t>F</w:t>
            </w:r>
            <w:r>
              <w:rPr>
                <w:rFonts w:hint="eastAsia" w:ascii="宋体" w:hAnsi="宋体" w:cs="宋体"/>
                <w:sz w:val="21"/>
                <w:szCs w:val="21"/>
                <w:vertAlign w:val="subscript"/>
              </w:rPr>
              <w:t>1</w:t>
            </w:r>
            <w:r>
              <w:rPr>
                <w:rFonts w:hint="eastAsia" w:ascii="宋体" w:hAnsi="宋体" w:cs="宋体"/>
                <w:sz w:val="21"/>
                <w:szCs w:val="21"/>
              </w:rPr>
              <w:t>=F+ F</w:t>
            </w:r>
            <w:r>
              <w:rPr>
                <w:rFonts w:hint="eastAsia" w:ascii="宋体" w:hAnsi="宋体" w:cs="宋体"/>
                <w:sz w:val="21"/>
                <w:szCs w:val="21"/>
                <w:vertAlign w:val="subscript"/>
              </w:rPr>
              <w:t>优先采购加分</w:t>
            </w:r>
            <w:bookmarkEnd w:id="1151"/>
            <w:bookmarkEnd w:id="1152"/>
            <w:bookmarkEnd w:id="1153"/>
          </w:p>
        </w:tc>
      </w:tr>
    </w:tbl>
    <w:p w14:paraId="65E690EC">
      <w:pPr>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br w:type="page"/>
      </w:r>
    </w:p>
    <w:p w14:paraId="77556596">
      <w:pPr>
        <w:keepNext w:val="0"/>
        <w:keepLines w:val="0"/>
        <w:pageBreakBefore w:val="0"/>
        <w:widowControl w:val="0"/>
        <w:kinsoku/>
        <w:wordWrap/>
        <w:overflowPunct/>
        <w:topLinePunct w:val="0"/>
        <w:autoSpaceDE/>
        <w:autoSpaceDN/>
        <w:bidi w:val="0"/>
        <w:adjustRightInd w:val="0"/>
        <w:snapToGrid w:val="0"/>
        <w:spacing w:line="500" w:lineRule="exact"/>
        <w:ind w:firstLine="632" w:firstLineChars="300"/>
        <w:jc w:val="center"/>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附表1.2技术部分评审标准表</w:t>
      </w:r>
    </w:p>
    <w:tbl>
      <w:tblPr>
        <w:tblStyle w:val="47"/>
        <w:tblW w:w="1014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12"/>
        <w:gridCol w:w="1350"/>
        <w:gridCol w:w="1125"/>
        <w:gridCol w:w="7160"/>
      </w:tblGrid>
      <w:tr w14:paraId="422837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512" w:type="dxa"/>
            <w:tcBorders>
              <w:right w:val="single" w:color="auto" w:sz="4" w:space="0"/>
            </w:tcBorders>
            <w:noWrap w:val="0"/>
            <w:vAlign w:val="center"/>
          </w:tcPr>
          <w:p w14:paraId="5B6EF6B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szCs w:val="21"/>
              </w:rPr>
            </w:pPr>
            <w:r>
              <w:rPr>
                <w:rFonts w:hint="eastAsia" w:ascii="宋体" w:hAnsi="宋体" w:eastAsia="宋体" w:cs="宋体"/>
                <w:b/>
                <w:szCs w:val="21"/>
              </w:rPr>
              <w:t>序号</w:t>
            </w:r>
          </w:p>
        </w:tc>
        <w:tc>
          <w:tcPr>
            <w:tcW w:w="1350" w:type="dxa"/>
            <w:tcBorders>
              <w:left w:val="single" w:color="auto" w:sz="4" w:space="0"/>
              <w:right w:val="single" w:color="auto" w:sz="4" w:space="0"/>
            </w:tcBorders>
            <w:noWrap w:val="0"/>
            <w:vAlign w:val="center"/>
          </w:tcPr>
          <w:p w14:paraId="362DA7B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szCs w:val="21"/>
              </w:rPr>
            </w:pPr>
            <w:r>
              <w:rPr>
                <w:rFonts w:hint="eastAsia" w:ascii="宋体" w:hAnsi="宋体" w:eastAsia="宋体" w:cs="宋体"/>
                <w:b/>
                <w:szCs w:val="21"/>
              </w:rPr>
              <w:t>评标因素（分值）</w:t>
            </w:r>
          </w:p>
        </w:tc>
        <w:tc>
          <w:tcPr>
            <w:tcW w:w="8285" w:type="dxa"/>
            <w:gridSpan w:val="2"/>
            <w:tcBorders>
              <w:left w:val="single" w:color="auto" w:sz="4" w:space="0"/>
            </w:tcBorders>
            <w:noWrap w:val="0"/>
            <w:vAlign w:val="center"/>
          </w:tcPr>
          <w:p w14:paraId="25B9DD3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szCs w:val="21"/>
              </w:rPr>
            </w:pPr>
            <w:r>
              <w:rPr>
                <w:rFonts w:hint="eastAsia" w:ascii="宋体" w:hAnsi="宋体" w:eastAsia="宋体" w:cs="宋体"/>
                <w:b/>
                <w:szCs w:val="21"/>
              </w:rPr>
              <w:t>评标标准</w:t>
            </w:r>
          </w:p>
        </w:tc>
      </w:tr>
      <w:tr w14:paraId="06DBA4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75" w:hRule="atLeast"/>
          <w:jc w:val="center"/>
        </w:trPr>
        <w:tc>
          <w:tcPr>
            <w:tcW w:w="512" w:type="dxa"/>
            <w:vMerge w:val="restart"/>
            <w:tcBorders>
              <w:right w:val="single" w:color="auto" w:sz="4" w:space="0"/>
            </w:tcBorders>
            <w:noWrap w:val="0"/>
            <w:vAlign w:val="center"/>
          </w:tcPr>
          <w:p w14:paraId="2848527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1</w:t>
            </w:r>
          </w:p>
        </w:tc>
        <w:tc>
          <w:tcPr>
            <w:tcW w:w="1350" w:type="dxa"/>
            <w:vMerge w:val="restart"/>
            <w:tcBorders>
              <w:left w:val="single" w:color="auto" w:sz="4" w:space="0"/>
            </w:tcBorders>
            <w:noWrap w:val="0"/>
            <w:vAlign w:val="center"/>
          </w:tcPr>
          <w:p w14:paraId="05059AC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技术评价项</w:t>
            </w:r>
          </w:p>
          <w:p w14:paraId="54BB3FA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（F=100分）</w:t>
            </w:r>
          </w:p>
          <w:p w14:paraId="6330D497">
            <w:pPr>
              <w:pStyle w:val="102"/>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firstLine="0" w:firstLineChars="0"/>
              <w:jc w:val="center"/>
              <w:textAlignment w:val="auto"/>
              <w:rPr>
                <w:rFonts w:hint="eastAsia" w:ascii="宋体" w:hAnsi="宋体" w:eastAsia="宋体" w:cs="宋体"/>
              </w:rPr>
            </w:pPr>
          </w:p>
        </w:tc>
        <w:tc>
          <w:tcPr>
            <w:tcW w:w="1125" w:type="dxa"/>
            <w:noWrap w:val="0"/>
            <w:vAlign w:val="center"/>
          </w:tcPr>
          <w:p w14:paraId="525BF4AE">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kern w:val="0"/>
                <w:szCs w:val="21"/>
              </w:rPr>
              <w:t>产品技术规格、参数与要求（</w:t>
            </w:r>
            <w:r>
              <w:rPr>
                <w:rFonts w:hint="eastAsia" w:ascii="宋体" w:hAnsi="宋体" w:eastAsia="宋体" w:cs="宋体"/>
                <w:szCs w:val="21"/>
                <w:lang w:val="en-US" w:eastAsia="zh-CN"/>
              </w:rPr>
              <w:t>7</w:t>
            </w:r>
            <w:r>
              <w:rPr>
                <w:rFonts w:hint="eastAsia" w:ascii="宋体" w:hAnsi="宋体" w:eastAsia="宋体" w:cs="宋体"/>
                <w:szCs w:val="21"/>
              </w:rPr>
              <w:t>0</w:t>
            </w:r>
            <w:r>
              <w:rPr>
                <w:rFonts w:hint="eastAsia" w:ascii="宋体" w:hAnsi="宋体" w:eastAsia="宋体" w:cs="宋体"/>
                <w:kern w:val="0"/>
                <w:szCs w:val="21"/>
                <w:lang w:val="en-US" w:eastAsia="zh-CN"/>
              </w:rPr>
              <w:t>分</w:t>
            </w:r>
            <w:r>
              <w:rPr>
                <w:rFonts w:hint="eastAsia" w:ascii="宋体" w:hAnsi="宋体" w:eastAsia="宋体" w:cs="宋体"/>
                <w:kern w:val="0"/>
                <w:szCs w:val="21"/>
              </w:rPr>
              <w:t>）</w:t>
            </w:r>
          </w:p>
        </w:tc>
        <w:tc>
          <w:tcPr>
            <w:tcW w:w="7160" w:type="dxa"/>
            <w:noWrap w:val="0"/>
            <w:vAlign w:val="center"/>
          </w:tcPr>
          <w:p w14:paraId="2787E468">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szCs w:val="21"/>
              </w:rPr>
            </w:pPr>
            <w:r>
              <w:rPr>
                <w:rFonts w:hint="eastAsia" w:ascii="宋体" w:hAnsi="宋体" w:eastAsia="宋体" w:cs="宋体"/>
              </w:rPr>
              <w:t>1</w:t>
            </w:r>
            <w:r>
              <w:rPr>
                <w:rFonts w:hint="eastAsia" w:ascii="宋体" w:hAnsi="宋体" w:eastAsia="宋体" w:cs="宋体"/>
                <w:szCs w:val="21"/>
              </w:rPr>
              <w:t>、投标文件没有响应一览表的或</w:t>
            </w:r>
            <w:r>
              <w:rPr>
                <w:rFonts w:hint="eastAsia" w:ascii="宋体" w:hAnsi="宋体" w:eastAsia="宋体" w:cs="宋体"/>
                <w:szCs w:val="21"/>
                <w:lang w:val="en-US" w:eastAsia="zh-CN"/>
              </w:rPr>
              <w:t>采购需求</w:t>
            </w:r>
            <w:r>
              <w:rPr>
                <w:rFonts w:hint="eastAsia" w:ascii="宋体" w:hAnsi="宋体" w:eastAsia="宋体" w:cs="宋体"/>
                <w:szCs w:val="21"/>
              </w:rPr>
              <w:t>/偏离表的，不计分。</w:t>
            </w:r>
          </w:p>
          <w:p w14:paraId="54AE3928">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szCs w:val="21"/>
              </w:rPr>
            </w:pPr>
            <w:r>
              <w:rPr>
                <w:rFonts w:hint="eastAsia" w:ascii="宋体" w:hAnsi="宋体" w:eastAsia="宋体" w:cs="宋体"/>
                <w:szCs w:val="21"/>
              </w:rPr>
              <w:t>2、根据</w:t>
            </w:r>
            <w:r>
              <w:rPr>
                <w:rFonts w:hint="eastAsia" w:ascii="宋体" w:hAnsi="宋体" w:eastAsia="宋体" w:cs="宋体"/>
                <w:szCs w:val="21"/>
                <w:lang w:eastAsia="zh-CN"/>
              </w:rPr>
              <w:t>投标人</w:t>
            </w:r>
            <w:r>
              <w:rPr>
                <w:rFonts w:hint="eastAsia" w:ascii="宋体" w:hAnsi="宋体" w:eastAsia="宋体" w:cs="宋体"/>
                <w:szCs w:val="21"/>
              </w:rPr>
              <w:t>所投标产品与招标文件的响应程度进行评审，所有技术参数完全响应招标文件要求，全部满足或优于的，计</w:t>
            </w:r>
            <w:r>
              <w:rPr>
                <w:rFonts w:hint="eastAsia" w:ascii="宋体" w:hAnsi="宋体" w:eastAsia="宋体" w:cs="宋体"/>
                <w:szCs w:val="21"/>
                <w:lang w:val="en-US" w:eastAsia="zh-CN"/>
              </w:rPr>
              <w:t>7</w:t>
            </w:r>
            <w:r>
              <w:rPr>
                <w:rFonts w:hint="eastAsia" w:ascii="宋体" w:hAnsi="宋体" w:eastAsia="宋体" w:cs="宋体"/>
                <w:szCs w:val="21"/>
              </w:rPr>
              <w:t>0分。产品参数不详或参数负偏离、或产品参数未按要求提供的</w:t>
            </w:r>
            <w:r>
              <w:rPr>
                <w:rFonts w:hint="eastAsia" w:ascii="宋体" w:hAnsi="宋体" w:eastAsia="宋体" w:cs="宋体"/>
                <w:szCs w:val="21"/>
                <w:lang w:eastAsia="zh-CN"/>
              </w:rPr>
              <w:t>，</w:t>
            </w:r>
            <w:r>
              <w:rPr>
                <w:rFonts w:hint="eastAsia" w:ascii="宋体" w:hAnsi="宋体" w:eastAsia="宋体" w:cs="宋体"/>
                <w:szCs w:val="21"/>
              </w:rPr>
              <w:t>每有一项不满足扣</w:t>
            </w:r>
            <w:r>
              <w:rPr>
                <w:rFonts w:hint="eastAsia" w:ascii="宋体" w:hAnsi="宋体" w:eastAsia="宋体" w:cs="宋体"/>
                <w:szCs w:val="21"/>
                <w:lang w:val="en-US" w:eastAsia="zh-CN"/>
              </w:rPr>
              <w:t>1.4</w:t>
            </w:r>
            <w:r>
              <w:rPr>
                <w:rFonts w:hint="eastAsia" w:ascii="宋体" w:hAnsi="宋体" w:eastAsia="宋体" w:cs="宋体"/>
                <w:szCs w:val="21"/>
              </w:rPr>
              <w:t>分，扣完为止。</w:t>
            </w:r>
          </w:p>
          <w:p w14:paraId="6D16D4AC">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rPr>
            </w:pPr>
            <w:r>
              <w:rPr>
                <w:rFonts w:hint="eastAsia" w:ascii="宋体" w:hAnsi="宋体" w:eastAsia="宋体" w:cs="宋体"/>
                <w:szCs w:val="21"/>
              </w:rPr>
              <w:t>注：1）技术参数包括招标文件中要求提供的证明材料。2）如相关证明材料未提供或提供的证明材料配置不详，规格型号技术参数不清楚、有缺漏项不符合参数要求的均视同负偏离。3）采购人将保留对中标人所投产品进行功能和性能测试的权利，一经发现测试结果与所投产品不符，将取消中标人资格，并依法追究相关责任。</w:t>
            </w:r>
          </w:p>
        </w:tc>
      </w:tr>
      <w:tr w14:paraId="0AE9C4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80" w:hRule="atLeast"/>
          <w:jc w:val="center"/>
        </w:trPr>
        <w:tc>
          <w:tcPr>
            <w:tcW w:w="512" w:type="dxa"/>
            <w:vMerge w:val="continue"/>
            <w:tcBorders>
              <w:right w:val="single" w:color="auto" w:sz="4" w:space="0"/>
            </w:tcBorders>
            <w:noWrap w:val="0"/>
            <w:vAlign w:val="center"/>
          </w:tcPr>
          <w:p w14:paraId="5D0579F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p>
        </w:tc>
        <w:tc>
          <w:tcPr>
            <w:tcW w:w="1350" w:type="dxa"/>
            <w:vMerge w:val="continue"/>
            <w:tcBorders>
              <w:left w:val="single" w:color="auto" w:sz="4" w:space="0"/>
            </w:tcBorders>
            <w:noWrap w:val="0"/>
            <w:vAlign w:val="center"/>
          </w:tcPr>
          <w:p w14:paraId="531BF528">
            <w:pPr>
              <w:pStyle w:val="102"/>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firstLine="0" w:firstLineChars="0"/>
              <w:textAlignment w:val="auto"/>
              <w:rPr>
                <w:rFonts w:hint="eastAsia" w:ascii="宋体" w:hAnsi="宋体" w:eastAsia="宋体" w:cs="宋体"/>
                <w:kern w:val="0"/>
                <w:lang w:val="ru-RU" w:eastAsia="ru-RU"/>
              </w:rPr>
            </w:pPr>
          </w:p>
        </w:tc>
        <w:tc>
          <w:tcPr>
            <w:tcW w:w="1125" w:type="dxa"/>
            <w:noWrap w:val="0"/>
            <w:vAlign w:val="center"/>
          </w:tcPr>
          <w:p w14:paraId="343F4FB0">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实施方案</w:t>
            </w:r>
          </w:p>
          <w:p w14:paraId="0374BDF5">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（30分）</w:t>
            </w:r>
          </w:p>
          <w:p w14:paraId="30D95447">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kern w:val="0"/>
                <w:szCs w:val="21"/>
              </w:rPr>
            </w:pPr>
          </w:p>
        </w:tc>
        <w:tc>
          <w:tcPr>
            <w:tcW w:w="7160" w:type="dxa"/>
            <w:noWrap w:val="0"/>
            <w:vAlign w:val="center"/>
          </w:tcPr>
          <w:p w14:paraId="450D31AD">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评标委员会根据投标人针对本项目主要产品制定的实施方案，</w:t>
            </w:r>
            <w:r>
              <w:rPr>
                <w:rFonts w:hint="eastAsia" w:ascii="宋体" w:hAnsi="宋体" w:eastAsia="宋体" w:cs="宋体"/>
                <w:color w:val="auto"/>
                <w:kern w:val="0"/>
                <w:sz w:val="21"/>
                <w:szCs w:val="21"/>
                <w:lang w:val="en-US" w:eastAsia="zh-CN"/>
              </w:rPr>
              <w:t>包括但不限于：</w:t>
            </w:r>
            <w:r>
              <w:rPr>
                <w:rFonts w:hint="eastAsia" w:ascii="宋体" w:hAnsi="宋体" w:eastAsia="宋体" w:cs="宋体"/>
                <w:kern w:val="0"/>
                <w:sz w:val="21"/>
                <w:szCs w:val="21"/>
                <w:lang w:val="en-US" w:eastAsia="zh-CN"/>
              </w:rPr>
              <w:t>①实施人员的组织、②方案实施进度的计划、③安装调试的措施、④质量保证措施等，结合本项目服务需求提供的方案内容完整、无缺漏项、详细具体、符合项目要求的计30分；有缺漏项的每缺一项扣7.5分；无缺漏项但有不符合项目要求、有欠缺的每处扣3分，</w:t>
            </w:r>
            <w:r>
              <w:rPr>
                <w:rFonts w:hint="eastAsia" w:ascii="宋体" w:hAnsi="宋体" w:eastAsia="宋体" w:cs="宋体"/>
                <w:kern w:val="0"/>
                <w:sz w:val="21"/>
                <w:szCs w:val="21"/>
                <w:lang w:val="zh-TW" w:eastAsia="zh-TW"/>
              </w:rPr>
              <w:t>扣完为止</w:t>
            </w:r>
            <w:r>
              <w:rPr>
                <w:rFonts w:hint="eastAsia" w:ascii="宋体" w:hAnsi="宋体" w:eastAsia="宋体" w:cs="宋体"/>
                <w:kern w:val="0"/>
                <w:sz w:val="21"/>
                <w:szCs w:val="21"/>
                <w:lang w:val="zh-TW" w:eastAsia="zh-CN"/>
              </w:rPr>
              <w:t>。</w:t>
            </w:r>
            <w:r>
              <w:rPr>
                <w:rFonts w:hint="eastAsia" w:ascii="宋体" w:hAnsi="宋体" w:eastAsia="宋体" w:cs="宋体"/>
                <w:kern w:val="0"/>
                <w:sz w:val="21"/>
                <w:szCs w:val="21"/>
                <w:lang w:val="zh-TW" w:eastAsia="zh-TW"/>
              </w:rPr>
              <w:t>未提供的不得分。</w:t>
            </w:r>
          </w:p>
        </w:tc>
      </w:tr>
      <w:tr w14:paraId="40ABEE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12" w:type="dxa"/>
            <w:vMerge w:val="continue"/>
            <w:tcBorders>
              <w:right w:val="single" w:color="auto" w:sz="4" w:space="0"/>
            </w:tcBorders>
            <w:noWrap w:val="0"/>
            <w:vAlign w:val="center"/>
          </w:tcPr>
          <w:p w14:paraId="2F8B09F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p>
        </w:tc>
        <w:tc>
          <w:tcPr>
            <w:tcW w:w="1350" w:type="dxa"/>
            <w:vMerge w:val="continue"/>
            <w:tcBorders>
              <w:left w:val="single" w:color="auto" w:sz="4" w:space="0"/>
            </w:tcBorders>
            <w:noWrap w:val="0"/>
            <w:vAlign w:val="center"/>
          </w:tcPr>
          <w:p w14:paraId="39DCD24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p>
        </w:tc>
        <w:tc>
          <w:tcPr>
            <w:tcW w:w="8285" w:type="dxa"/>
            <w:gridSpan w:val="2"/>
            <w:noWrap w:val="0"/>
            <w:vAlign w:val="center"/>
          </w:tcPr>
          <w:p w14:paraId="3D1EEFAF">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textAlignment w:val="auto"/>
              <w:rPr>
                <w:rFonts w:hint="eastAsia" w:ascii="宋体" w:hAnsi="宋体" w:eastAsia="宋体" w:cs="宋体"/>
                <w:kern w:val="0"/>
                <w:szCs w:val="21"/>
              </w:rPr>
            </w:pPr>
            <w:r>
              <w:rPr>
                <w:rFonts w:hint="eastAsia" w:ascii="宋体" w:hAnsi="宋体" w:eastAsia="宋体" w:cs="宋体"/>
                <w:b/>
                <w:bCs/>
                <w:szCs w:val="21"/>
              </w:rPr>
              <w:t>注：</w:t>
            </w:r>
            <w:r>
              <w:rPr>
                <w:rFonts w:hint="eastAsia" w:ascii="宋体" w:hAnsi="宋体" w:eastAsia="宋体" w:cs="宋体"/>
                <w:szCs w:val="21"/>
              </w:rPr>
              <w:t>缺漏项：是指有漏缺、少项。不符合</w:t>
            </w:r>
            <w:r>
              <w:rPr>
                <w:rFonts w:hint="eastAsia" w:ascii="宋体" w:hAnsi="宋体" w:eastAsia="宋体" w:cs="宋体"/>
                <w:color w:val="auto"/>
                <w:kern w:val="0"/>
                <w:szCs w:val="21"/>
                <w:lang w:val="en-US" w:eastAsia="zh-CN"/>
              </w:rPr>
              <w:t>项目要求</w:t>
            </w:r>
            <w:r>
              <w:rPr>
                <w:rFonts w:hint="eastAsia" w:ascii="宋体" w:hAnsi="宋体" w:eastAsia="宋体" w:cs="宋体"/>
                <w:szCs w:val="21"/>
              </w:rPr>
              <w:t>、有欠缺：是指存在有非专门针对本项目或不适用项目的情形、内容不完整或缺少关键节点、套用其他项目方案、内容前后矛盾、涉及的规范及标准错误、不利于项目建设、不可能实现的情形等任意一种情形。</w:t>
            </w:r>
          </w:p>
        </w:tc>
      </w:tr>
      <w:tr w14:paraId="58717F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512" w:type="dxa"/>
            <w:tcBorders>
              <w:right w:val="single" w:color="auto" w:sz="4" w:space="0"/>
            </w:tcBorders>
            <w:noWrap w:val="0"/>
            <w:vAlign w:val="center"/>
          </w:tcPr>
          <w:p w14:paraId="302B359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2</w:t>
            </w:r>
          </w:p>
        </w:tc>
        <w:tc>
          <w:tcPr>
            <w:tcW w:w="1350" w:type="dxa"/>
            <w:tcBorders>
              <w:left w:val="single" w:color="auto" w:sz="4" w:space="0"/>
            </w:tcBorders>
            <w:noWrap w:val="0"/>
            <w:vAlign w:val="center"/>
          </w:tcPr>
          <w:p w14:paraId="2A33B0A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优先采购加分（F</w:t>
            </w:r>
            <w:r>
              <w:rPr>
                <w:rFonts w:hint="eastAsia" w:ascii="宋体" w:hAnsi="宋体" w:eastAsia="宋体" w:cs="宋体"/>
                <w:szCs w:val="21"/>
                <w:vertAlign w:val="subscript"/>
              </w:rPr>
              <w:t>优先采购加分</w:t>
            </w:r>
            <w:r>
              <w:rPr>
                <w:rFonts w:hint="eastAsia" w:ascii="宋体" w:hAnsi="宋体" w:eastAsia="宋体" w:cs="宋体"/>
                <w:szCs w:val="21"/>
              </w:rPr>
              <w:t>）</w:t>
            </w:r>
          </w:p>
        </w:tc>
        <w:tc>
          <w:tcPr>
            <w:tcW w:w="8285" w:type="dxa"/>
            <w:gridSpan w:val="2"/>
            <w:tcBorders>
              <w:bottom w:val="single" w:color="auto" w:sz="4" w:space="0"/>
            </w:tcBorders>
            <w:noWrap w:val="0"/>
            <w:vAlign w:val="center"/>
          </w:tcPr>
          <w:p w14:paraId="7B64B29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textAlignment w:val="auto"/>
              <w:rPr>
                <w:rFonts w:hint="default" w:ascii="宋体" w:hAnsi="宋体" w:eastAsia="宋体" w:cs="宋体"/>
                <w:lang w:val="en-US" w:eastAsia="zh-CN"/>
              </w:rPr>
            </w:pPr>
            <w:r>
              <w:rPr>
                <w:rFonts w:hint="eastAsia" w:ascii="宋体" w:hAnsi="宋体" w:eastAsia="宋体" w:cs="宋体"/>
                <w:lang w:val="en-US" w:eastAsia="zh-CN"/>
              </w:rPr>
              <w:t>/</w:t>
            </w:r>
          </w:p>
        </w:tc>
      </w:tr>
      <w:tr w14:paraId="77FE95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512" w:type="dxa"/>
            <w:tcBorders>
              <w:right w:val="single" w:color="auto" w:sz="4" w:space="0"/>
            </w:tcBorders>
            <w:noWrap w:val="0"/>
            <w:vAlign w:val="center"/>
          </w:tcPr>
          <w:p w14:paraId="47CAA31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bCs/>
                <w:szCs w:val="21"/>
              </w:rPr>
            </w:pPr>
            <w:r>
              <w:rPr>
                <w:rFonts w:hint="eastAsia" w:ascii="宋体" w:hAnsi="宋体" w:eastAsia="宋体" w:cs="宋体"/>
                <w:b/>
                <w:bCs/>
                <w:szCs w:val="21"/>
              </w:rPr>
              <w:t>∑</w:t>
            </w:r>
          </w:p>
        </w:tc>
        <w:tc>
          <w:tcPr>
            <w:tcW w:w="9635" w:type="dxa"/>
            <w:gridSpan w:val="3"/>
            <w:tcBorders>
              <w:left w:val="single" w:color="auto" w:sz="4" w:space="0"/>
            </w:tcBorders>
            <w:noWrap w:val="0"/>
            <w:vAlign w:val="center"/>
          </w:tcPr>
          <w:p w14:paraId="78ADD6D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textAlignment w:val="auto"/>
              <w:rPr>
                <w:rFonts w:hint="eastAsia" w:ascii="宋体" w:hAnsi="宋体" w:eastAsia="宋体" w:cs="宋体"/>
                <w:b/>
                <w:bCs/>
                <w:szCs w:val="21"/>
              </w:rPr>
            </w:pPr>
            <w:r>
              <w:rPr>
                <w:rFonts w:hint="eastAsia" w:ascii="宋体" w:hAnsi="宋体" w:eastAsia="宋体" w:cs="宋体"/>
                <w:b/>
                <w:bCs/>
                <w:szCs w:val="21"/>
              </w:rPr>
              <w:t>F</w:t>
            </w:r>
            <w:r>
              <w:rPr>
                <w:rFonts w:hint="eastAsia" w:ascii="宋体" w:hAnsi="宋体" w:eastAsia="宋体" w:cs="宋体"/>
                <w:b/>
                <w:bCs/>
                <w:szCs w:val="21"/>
                <w:vertAlign w:val="subscript"/>
              </w:rPr>
              <w:t>2</w:t>
            </w:r>
            <w:r>
              <w:rPr>
                <w:rFonts w:hint="eastAsia" w:ascii="宋体" w:hAnsi="宋体" w:eastAsia="宋体" w:cs="宋体"/>
                <w:b/>
                <w:bCs/>
                <w:szCs w:val="21"/>
              </w:rPr>
              <w:t>=F+ F</w:t>
            </w:r>
            <w:r>
              <w:rPr>
                <w:rFonts w:hint="eastAsia" w:ascii="宋体" w:hAnsi="宋体" w:eastAsia="宋体" w:cs="宋体"/>
                <w:b/>
                <w:bCs/>
                <w:szCs w:val="21"/>
                <w:vertAlign w:val="subscript"/>
              </w:rPr>
              <w:t>优先采购加分</w:t>
            </w:r>
          </w:p>
        </w:tc>
      </w:tr>
    </w:tbl>
    <w:p w14:paraId="4CC1957A">
      <w:pPr>
        <w:jc w:val="center"/>
        <w:outlineLvl w:val="9"/>
        <w:rPr>
          <w:rFonts w:hint="eastAsia" w:ascii="宋体" w:hAnsi="宋体" w:eastAsia="宋体" w:cs="宋体"/>
          <w:b/>
          <w:bCs/>
          <w:color w:val="auto"/>
          <w:sz w:val="21"/>
          <w:szCs w:val="21"/>
        </w:rPr>
      </w:pPr>
    </w:p>
    <w:p w14:paraId="2FBB0DF5">
      <w:pPr>
        <w:jc w:val="center"/>
        <w:outlineLvl w:val="9"/>
        <w:rPr>
          <w:rFonts w:hint="eastAsia" w:ascii="宋体" w:hAnsi="宋体" w:eastAsia="宋体" w:cs="宋体"/>
          <w:b/>
          <w:bCs/>
          <w:color w:val="auto"/>
          <w:sz w:val="21"/>
          <w:szCs w:val="21"/>
        </w:rPr>
      </w:pPr>
    </w:p>
    <w:p w14:paraId="4A140399">
      <w:pPr>
        <w:rPr>
          <w:rFonts w:hint="eastAsia" w:ascii="宋体" w:hAnsi="宋体" w:eastAsia="宋体" w:cs="宋体"/>
          <w:b/>
          <w:bCs/>
          <w:color w:val="auto"/>
          <w:sz w:val="21"/>
          <w:szCs w:val="21"/>
        </w:rPr>
      </w:pPr>
      <w:r>
        <w:rPr>
          <w:rFonts w:hint="eastAsia" w:ascii="宋体" w:hAnsi="宋体" w:eastAsia="宋体" w:cs="宋体"/>
          <w:b/>
          <w:bCs/>
          <w:color w:val="auto"/>
          <w:sz w:val="21"/>
          <w:szCs w:val="21"/>
        </w:rPr>
        <w:br w:type="page"/>
      </w:r>
    </w:p>
    <w:p w14:paraId="3FB6C9FD">
      <w:pPr>
        <w:jc w:val="center"/>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附表1.3商务部分评审标准表</w:t>
      </w:r>
    </w:p>
    <w:tbl>
      <w:tblPr>
        <w:tblStyle w:val="47"/>
        <w:tblW w:w="942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1486"/>
        <w:gridCol w:w="1354"/>
        <w:gridCol w:w="6080"/>
      </w:tblGrid>
      <w:tr w14:paraId="6E5CD5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right w:val="single" w:color="auto" w:sz="4" w:space="0"/>
            </w:tcBorders>
            <w:noWrap w:val="0"/>
            <w:vAlign w:val="center"/>
          </w:tcPr>
          <w:p w14:paraId="6E723DA7">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序号</w:t>
            </w:r>
          </w:p>
        </w:tc>
        <w:tc>
          <w:tcPr>
            <w:tcW w:w="1486" w:type="dxa"/>
            <w:tcBorders>
              <w:left w:val="single" w:color="auto" w:sz="4" w:space="0"/>
              <w:right w:val="single" w:color="auto" w:sz="4" w:space="0"/>
            </w:tcBorders>
            <w:noWrap w:val="0"/>
            <w:vAlign w:val="center"/>
          </w:tcPr>
          <w:p w14:paraId="54A3C43D">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评标因素</w:t>
            </w:r>
          </w:p>
          <w:p w14:paraId="41D24922">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（分值）</w:t>
            </w:r>
          </w:p>
        </w:tc>
        <w:tc>
          <w:tcPr>
            <w:tcW w:w="7434" w:type="dxa"/>
            <w:gridSpan w:val="2"/>
            <w:tcBorders>
              <w:left w:val="single" w:color="auto" w:sz="4" w:space="0"/>
            </w:tcBorders>
            <w:noWrap w:val="0"/>
            <w:vAlign w:val="center"/>
          </w:tcPr>
          <w:p w14:paraId="5174F264">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评标标准</w:t>
            </w:r>
          </w:p>
        </w:tc>
      </w:tr>
      <w:tr w14:paraId="1DF3C6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jc w:val="center"/>
        </w:trPr>
        <w:tc>
          <w:tcPr>
            <w:tcW w:w="503" w:type="dxa"/>
            <w:vMerge w:val="restart"/>
            <w:tcBorders>
              <w:right w:val="single" w:color="auto" w:sz="4" w:space="0"/>
            </w:tcBorders>
            <w:noWrap w:val="0"/>
            <w:vAlign w:val="center"/>
          </w:tcPr>
          <w:p w14:paraId="15FCF4D3">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w:t>
            </w:r>
          </w:p>
        </w:tc>
        <w:tc>
          <w:tcPr>
            <w:tcW w:w="1486" w:type="dxa"/>
            <w:vMerge w:val="restart"/>
            <w:tcBorders>
              <w:left w:val="single" w:color="auto" w:sz="4" w:space="0"/>
            </w:tcBorders>
            <w:noWrap w:val="0"/>
            <w:vAlign w:val="center"/>
          </w:tcPr>
          <w:p w14:paraId="7B707E46">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商务评价项</w:t>
            </w:r>
          </w:p>
          <w:p w14:paraId="0DDFDD32">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（F=100分）</w:t>
            </w:r>
          </w:p>
          <w:p w14:paraId="1FCA63BA">
            <w:pPr>
              <w:pStyle w:val="102"/>
              <w:keepNext w:val="0"/>
              <w:keepLines w:val="0"/>
              <w:pageBreakBefore w:val="0"/>
              <w:suppressLineNumbers w:val="0"/>
              <w:kinsoku/>
              <w:wordWrap w:val="0"/>
              <w:overflowPunct/>
              <w:topLinePunct w:val="0"/>
              <w:autoSpaceDE/>
              <w:autoSpaceDN/>
              <w:bidi w:val="0"/>
              <w:spacing w:before="0" w:beforeAutospacing="0" w:after="0" w:afterAutospacing="0" w:line="400" w:lineRule="exact"/>
              <w:ind w:left="0" w:right="0" w:firstLine="0" w:firstLineChars="0"/>
              <w:textAlignment w:val="auto"/>
              <w:rPr>
                <w:rFonts w:hint="eastAsia" w:ascii="宋体" w:hAnsi="宋体" w:eastAsia="宋体" w:cs="宋体"/>
                <w:b w:val="0"/>
                <w:bCs/>
                <w:sz w:val="21"/>
                <w:szCs w:val="21"/>
              </w:rPr>
            </w:pPr>
          </w:p>
        </w:tc>
        <w:tc>
          <w:tcPr>
            <w:tcW w:w="1354" w:type="dxa"/>
            <w:noWrap w:val="0"/>
            <w:vAlign w:val="center"/>
          </w:tcPr>
          <w:p w14:paraId="7465B2E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p>
          <w:p w14:paraId="2D65860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类似业绩</w:t>
            </w:r>
          </w:p>
          <w:p w14:paraId="6A2A21F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（30分）</w:t>
            </w:r>
          </w:p>
        </w:tc>
        <w:tc>
          <w:tcPr>
            <w:tcW w:w="6080" w:type="dxa"/>
            <w:noWrap w:val="0"/>
            <w:vAlign w:val="center"/>
          </w:tcPr>
          <w:p w14:paraId="582486F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投标人在近三年具有（开标前36个月，以合同签订时间为准）类似项目业绩，每个计15分，本项满分30分。未提供的不计分。</w:t>
            </w:r>
          </w:p>
          <w:p w14:paraId="1025BB5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w:t>
            </w:r>
            <w:r>
              <w:rPr>
                <w:rFonts w:hint="eastAsia" w:ascii="宋体" w:hAnsi="宋体" w:eastAsia="宋体" w:cs="宋体"/>
                <w:color w:val="auto"/>
                <w:kern w:val="2"/>
                <w:sz w:val="21"/>
                <w:szCs w:val="21"/>
                <w:highlight w:val="none"/>
                <w:lang w:val="en-US" w:eastAsia="zh-CN"/>
              </w:rPr>
              <w:t>提供有效的中标通知书或合同</w:t>
            </w:r>
            <w:r>
              <w:rPr>
                <w:rFonts w:hint="eastAsia" w:ascii="宋体" w:hAnsi="宋体" w:eastAsia="宋体" w:cs="宋体"/>
                <w:kern w:val="0"/>
                <w:szCs w:val="21"/>
                <w:lang w:val="en-US" w:eastAsia="zh-CN"/>
              </w:rPr>
              <w:t>复印件加盖公章，否则不计分。）</w:t>
            </w:r>
          </w:p>
        </w:tc>
      </w:tr>
      <w:tr w14:paraId="7F0F1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03" w:type="dxa"/>
            <w:vMerge w:val="continue"/>
            <w:tcBorders>
              <w:right w:val="single" w:color="auto" w:sz="4" w:space="0"/>
            </w:tcBorders>
            <w:noWrap w:val="0"/>
            <w:vAlign w:val="center"/>
          </w:tcPr>
          <w:p w14:paraId="7B67899F">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p>
        </w:tc>
        <w:tc>
          <w:tcPr>
            <w:tcW w:w="1486" w:type="dxa"/>
            <w:vMerge w:val="continue"/>
            <w:tcBorders>
              <w:left w:val="single" w:color="auto" w:sz="4" w:space="0"/>
            </w:tcBorders>
            <w:noWrap w:val="0"/>
            <w:vAlign w:val="center"/>
          </w:tcPr>
          <w:p w14:paraId="4C6FD793">
            <w:pPr>
              <w:pStyle w:val="102"/>
              <w:keepNext w:val="0"/>
              <w:keepLines w:val="0"/>
              <w:pageBreakBefore w:val="0"/>
              <w:suppressLineNumbers w:val="0"/>
              <w:kinsoku/>
              <w:wordWrap w:val="0"/>
              <w:overflowPunct/>
              <w:topLinePunct w:val="0"/>
              <w:autoSpaceDE/>
              <w:autoSpaceDN/>
              <w:bidi w:val="0"/>
              <w:spacing w:before="0" w:beforeAutospacing="0" w:after="0" w:afterAutospacing="0" w:line="400" w:lineRule="exact"/>
              <w:ind w:left="0" w:right="0" w:firstLine="0" w:firstLineChars="0"/>
              <w:textAlignment w:val="auto"/>
              <w:rPr>
                <w:rFonts w:hint="eastAsia" w:ascii="宋体" w:hAnsi="宋体" w:eastAsia="宋体" w:cs="宋体"/>
                <w:b w:val="0"/>
                <w:bCs/>
                <w:kern w:val="0"/>
                <w:sz w:val="21"/>
                <w:szCs w:val="21"/>
                <w:lang w:val="ru-RU"/>
              </w:rPr>
            </w:pPr>
          </w:p>
        </w:tc>
        <w:tc>
          <w:tcPr>
            <w:tcW w:w="1354" w:type="dxa"/>
            <w:shd w:val="clear" w:color="auto" w:fill="auto"/>
            <w:noWrap w:val="0"/>
            <w:vAlign w:val="center"/>
          </w:tcPr>
          <w:p w14:paraId="40A97C30">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color w:val="auto"/>
                <w:kern w:val="0"/>
                <w:szCs w:val="21"/>
              </w:rPr>
            </w:pPr>
            <w:r>
              <w:rPr>
                <w:rFonts w:hint="eastAsia" w:ascii="宋体" w:hAnsi="宋体" w:eastAsia="宋体" w:cs="宋体"/>
                <w:color w:val="auto"/>
                <w:sz w:val="21"/>
                <w:szCs w:val="21"/>
                <w:highlight w:val="none"/>
                <w:lang w:val="en-US" w:eastAsia="zh-CN"/>
              </w:rPr>
              <w:t>供货方案、</w:t>
            </w:r>
            <w:r>
              <w:rPr>
                <w:rFonts w:hint="eastAsia" w:ascii="宋体" w:hAnsi="宋体" w:eastAsia="宋体" w:cs="宋体"/>
                <w:color w:val="auto"/>
                <w:kern w:val="0"/>
                <w:szCs w:val="21"/>
              </w:rPr>
              <w:t>应急方案</w:t>
            </w:r>
          </w:p>
          <w:p w14:paraId="2F4ABED3">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（35分）</w:t>
            </w:r>
          </w:p>
          <w:p w14:paraId="7E65CD15">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340" w:lineRule="exact"/>
              <w:ind w:left="0" w:leftChars="0" w:right="0" w:rightChars="0"/>
              <w:jc w:val="center"/>
              <w:textAlignment w:val="auto"/>
              <w:rPr>
                <w:rFonts w:hint="eastAsia" w:ascii="宋体" w:hAnsi="宋体" w:eastAsia="宋体" w:cs="宋体"/>
                <w:color w:val="auto"/>
                <w:kern w:val="0"/>
                <w:sz w:val="21"/>
                <w:szCs w:val="21"/>
                <w:lang w:val="en-US" w:eastAsia="zh-CN" w:bidi="ar-SA"/>
              </w:rPr>
            </w:pPr>
          </w:p>
        </w:tc>
        <w:tc>
          <w:tcPr>
            <w:tcW w:w="6080" w:type="dxa"/>
            <w:shd w:val="clear" w:color="auto" w:fill="auto"/>
            <w:noWrap w:val="0"/>
            <w:vAlign w:val="center"/>
          </w:tcPr>
          <w:p w14:paraId="13E92ECE">
            <w:pPr>
              <w:pStyle w:val="4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jc w:val="both"/>
              <w:textAlignment w:val="auto"/>
              <w:rPr>
                <w:rFonts w:hint="eastAsia" w:ascii="宋体" w:hAnsi="宋体" w:eastAsia="宋体" w:cs="宋体"/>
                <w:color w:val="auto"/>
                <w:kern w:val="0"/>
                <w:sz w:val="21"/>
                <w:szCs w:val="21"/>
                <w:lang w:val="zh-TW" w:eastAsia="zh-TW"/>
              </w:rPr>
            </w:pPr>
            <w:r>
              <w:rPr>
                <w:rFonts w:hint="eastAsia" w:ascii="宋体" w:hAnsi="宋体" w:eastAsia="宋体" w:cs="宋体"/>
                <w:color w:val="auto"/>
                <w:kern w:val="0"/>
                <w:sz w:val="21"/>
                <w:szCs w:val="21"/>
                <w:lang w:val="en-US" w:eastAsia="zh-CN"/>
              </w:rPr>
              <w:t>投标人根据本项目实际情况制定</w:t>
            </w:r>
            <w:r>
              <w:rPr>
                <w:rFonts w:hint="eastAsia" w:ascii="宋体" w:hAnsi="宋体" w:eastAsia="宋体" w:cs="宋体"/>
                <w:color w:val="auto"/>
                <w:sz w:val="21"/>
                <w:szCs w:val="21"/>
                <w:highlight w:val="none"/>
                <w:lang w:val="en-US" w:eastAsia="zh-CN"/>
              </w:rPr>
              <w:t>供货方案，</w:t>
            </w:r>
            <w:r>
              <w:rPr>
                <w:rFonts w:hint="eastAsia" w:ascii="宋体" w:hAnsi="宋体" w:eastAsia="宋体" w:cs="宋体"/>
                <w:color w:val="auto"/>
                <w:kern w:val="0"/>
                <w:sz w:val="21"/>
                <w:szCs w:val="21"/>
                <w:lang w:val="en-US" w:eastAsia="zh-CN"/>
              </w:rPr>
              <w:t>包括但不限于①</w:t>
            </w:r>
            <w:r>
              <w:rPr>
                <w:rFonts w:hint="eastAsia" w:ascii="宋体" w:hAnsi="宋体" w:eastAsia="宋体" w:cs="宋体"/>
                <w:color w:val="auto"/>
                <w:kern w:val="2"/>
                <w:sz w:val="21"/>
                <w:szCs w:val="21"/>
                <w:highlight w:val="none"/>
                <w:lang w:val="en-US" w:eastAsia="zh-CN"/>
              </w:rPr>
              <w:t>供货计划安排及供货流程、</w:t>
            </w:r>
            <w:r>
              <w:rPr>
                <w:rFonts w:hint="eastAsia" w:ascii="宋体" w:hAnsi="宋体" w:eastAsia="宋体" w:cs="宋体"/>
                <w:color w:val="auto"/>
                <w:kern w:val="0"/>
                <w:sz w:val="21"/>
                <w:szCs w:val="21"/>
                <w:lang w:val="en-US" w:eastAsia="zh-CN"/>
              </w:rPr>
              <w:t>②培训方案</w:t>
            </w:r>
            <w:r>
              <w:rPr>
                <w:rFonts w:hint="eastAsia" w:ascii="宋体" w:hAnsi="宋体" w:eastAsia="宋体" w:cs="宋体"/>
                <w:color w:val="auto"/>
                <w:kern w:val="2"/>
                <w:sz w:val="21"/>
                <w:szCs w:val="21"/>
                <w:highlight w:val="none"/>
                <w:lang w:val="en-US" w:eastAsia="zh-CN"/>
              </w:rPr>
              <w:t>、</w:t>
            </w:r>
            <w:r>
              <w:rPr>
                <w:rFonts w:hint="eastAsia" w:ascii="宋体" w:hAnsi="宋体" w:eastAsia="宋体" w:cs="宋体"/>
                <w:color w:val="auto"/>
                <w:kern w:val="0"/>
                <w:sz w:val="21"/>
                <w:szCs w:val="21"/>
                <w:lang w:val="en-US" w:eastAsia="zh-CN"/>
              </w:rPr>
              <w:t>③</w:t>
            </w:r>
            <w:r>
              <w:rPr>
                <w:rFonts w:hint="eastAsia" w:ascii="宋体" w:hAnsi="宋体" w:eastAsia="宋体" w:cs="宋体"/>
                <w:color w:val="auto"/>
                <w:kern w:val="2"/>
                <w:sz w:val="21"/>
                <w:szCs w:val="21"/>
                <w:highlight w:val="none"/>
                <w:lang w:val="en-US" w:eastAsia="zh-CN"/>
              </w:rPr>
              <w:t>运输条件、</w:t>
            </w:r>
            <w:r>
              <w:rPr>
                <w:rFonts w:hint="eastAsia" w:ascii="宋体" w:hAnsi="宋体" w:eastAsia="宋体" w:cs="宋体"/>
                <w:color w:val="auto"/>
                <w:kern w:val="0"/>
                <w:sz w:val="21"/>
                <w:szCs w:val="21"/>
                <w:lang w:val="en-US" w:eastAsia="zh-CN"/>
              </w:rPr>
              <w:t>④</w:t>
            </w:r>
            <w:r>
              <w:rPr>
                <w:rFonts w:hint="eastAsia" w:ascii="宋体" w:hAnsi="宋体" w:eastAsia="宋体" w:cs="宋体"/>
                <w:color w:val="auto"/>
                <w:kern w:val="0"/>
                <w:sz w:val="21"/>
                <w:szCs w:val="21"/>
                <w:highlight w:val="none"/>
                <w:lang w:val="en-US" w:eastAsia="zh-CN"/>
              </w:rPr>
              <w:t>验收方案</w:t>
            </w:r>
            <w:r>
              <w:rPr>
                <w:rFonts w:hint="eastAsia" w:ascii="宋体" w:hAnsi="宋体" w:eastAsia="宋体" w:cs="宋体"/>
                <w:color w:val="auto"/>
                <w:kern w:val="2"/>
                <w:sz w:val="21"/>
                <w:szCs w:val="21"/>
                <w:highlight w:val="none"/>
                <w:lang w:val="en-US" w:eastAsia="zh-CN"/>
              </w:rPr>
              <w:t>等，</w:t>
            </w:r>
            <w:r>
              <w:rPr>
                <w:rFonts w:hint="eastAsia" w:ascii="宋体" w:hAnsi="宋体" w:eastAsia="宋体" w:cs="宋体"/>
                <w:color w:val="auto"/>
                <w:kern w:val="0"/>
                <w:sz w:val="21"/>
                <w:szCs w:val="21"/>
                <w:lang w:val="en-US" w:eastAsia="zh-CN"/>
              </w:rPr>
              <w:t>结合本项目服务需求提供的方案内容完整、无缺漏项、详细具体、符合项目要求的计20分；有缺漏项的每缺一项扣5分；无缺漏项但有不符合项目要求、有欠缺的每处扣2分，</w:t>
            </w:r>
            <w:r>
              <w:rPr>
                <w:rFonts w:hint="eastAsia" w:ascii="宋体" w:hAnsi="宋体" w:eastAsia="宋体" w:cs="宋体"/>
                <w:color w:val="auto"/>
                <w:kern w:val="0"/>
                <w:sz w:val="21"/>
                <w:szCs w:val="21"/>
                <w:lang w:val="zh-TW" w:eastAsia="zh-TW"/>
              </w:rPr>
              <w:t>扣完为止</w:t>
            </w:r>
            <w:r>
              <w:rPr>
                <w:rFonts w:hint="eastAsia" w:ascii="宋体" w:hAnsi="宋体" w:eastAsia="宋体" w:cs="宋体"/>
                <w:color w:val="auto"/>
                <w:kern w:val="0"/>
                <w:sz w:val="21"/>
                <w:szCs w:val="21"/>
                <w:lang w:val="zh-TW" w:eastAsia="zh-CN"/>
              </w:rPr>
              <w:t>。</w:t>
            </w:r>
            <w:r>
              <w:rPr>
                <w:rFonts w:hint="eastAsia" w:ascii="宋体" w:hAnsi="宋体" w:eastAsia="宋体" w:cs="宋体"/>
                <w:color w:val="auto"/>
                <w:kern w:val="0"/>
                <w:sz w:val="21"/>
                <w:szCs w:val="21"/>
                <w:lang w:val="zh-TW" w:eastAsia="zh-TW"/>
              </w:rPr>
              <w:t>未提供的不得分。</w:t>
            </w:r>
          </w:p>
          <w:p w14:paraId="0E136846">
            <w:pPr>
              <w:pStyle w:val="4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投标人根据本项目实际情况制定应急方案</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0"/>
                <w:sz w:val="21"/>
                <w:szCs w:val="21"/>
                <w:lang w:val="en-US" w:eastAsia="zh-CN"/>
              </w:rPr>
              <w:t>包括但不限于</w:t>
            </w:r>
            <w:r>
              <w:rPr>
                <w:rFonts w:hint="eastAsia" w:ascii="宋体" w:hAnsi="宋体" w:eastAsia="宋体" w:cs="宋体"/>
                <w:color w:val="auto"/>
                <w:sz w:val="21"/>
                <w:szCs w:val="21"/>
                <w:highlight w:val="none"/>
              </w:rPr>
              <w:t>①应急服务流程</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响应团队、②设备故障的应急处理、③应急响应时间</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保障措施等。</w:t>
            </w:r>
            <w:r>
              <w:rPr>
                <w:rFonts w:hint="eastAsia" w:ascii="宋体" w:hAnsi="宋体" w:eastAsia="宋体" w:cs="宋体"/>
                <w:color w:val="auto"/>
                <w:kern w:val="0"/>
                <w:sz w:val="21"/>
                <w:szCs w:val="21"/>
                <w:lang w:val="en-US" w:eastAsia="zh-CN"/>
              </w:rPr>
              <w:t>结合本项目服务需求提供的方案内容完整、无缺漏项、详细具体、符合项目要求的计15分；有缺漏项的每缺一项扣5分；无缺漏项但有不符合项目要求、有欠缺的每处扣2分，</w:t>
            </w:r>
            <w:r>
              <w:rPr>
                <w:rFonts w:hint="eastAsia" w:ascii="宋体" w:hAnsi="宋体" w:eastAsia="宋体" w:cs="宋体"/>
                <w:color w:val="auto"/>
                <w:kern w:val="0"/>
                <w:sz w:val="21"/>
                <w:szCs w:val="21"/>
                <w:lang w:val="zh-TW" w:eastAsia="zh-TW"/>
              </w:rPr>
              <w:t>扣完为止</w:t>
            </w:r>
            <w:r>
              <w:rPr>
                <w:rFonts w:hint="eastAsia" w:ascii="宋体" w:hAnsi="宋体" w:eastAsia="宋体" w:cs="宋体"/>
                <w:color w:val="auto"/>
                <w:kern w:val="0"/>
                <w:sz w:val="21"/>
                <w:szCs w:val="21"/>
                <w:lang w:val="zh-TW" w:eastAsia="zh-CN"/>
              </w:rPr>
              <w:t>。</w:t>
            </w:r>
            <w:r>
              <w:rPr>
                <w:rFonts w:hint="eastAsia" w:ascii="宋体" w:hAnsi="宋体" w:eastAsia="宋体" w:cs="宋体"/>
                <w:color w:val="auto"/>
                <w:kern w:val="0"/>
                <w:sz w:val="21"/>
                <w:szCs w:val="21"/>
                <w:lang w:val="zh-TW" w:eastAsia="zh-TW"/>
              </w:rPr>
              <w:t>未提供的不得分。</w:t>
            </w:r>
          </w:p>
        </w:tc>
      </w:tr>
      <w:tr w14:paraId="579626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03" w:type="dxa"/>
            <w:vMerge w:val="continue"/>
            <w:tcBorders>
              <w:right w:val="single" w:color="auto" w:sz="4" w:space="0"/>
            </w:tcBorders>
            <w:noWrap w:val="0"/>
            <w:vAlign w:val="center"/>
          </w:tcPr>
          <w:p w14:paraId="78283837">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p>
        </w:tc>
        <w:tc>
          <w:tcPr>
            <w:tcW w:w="1486" w:type="dxa"/>
            <w:vMerge w:val="continue"/>
            <w:tcBorders>
              <w:left w:val="single" w:color="auto" w:sz="4" w:space="0"/>
            </w:tcBorders>
            <w:noWrap w:val="0"/>
            <w:vAlign w:val="center"/>
          </w:tcPr>
          <w:p w14:paraId="12754FCB">
            <w:pPr>
              <w:pStyle w:val="102"/>
              <w:keepNext w:val="0"/>
              <w:keepLines w:val="0"/>
              <w:pageBreakBefore w:val="0"/>
              <w:suppressLineNumbers w:val="0"/>
              <w:kinsoku/>
              <w:wordWrap w:val="0"/>
              <w:overflowPunct/>
              <w:topLinePunct w:val="0"/>
              <w:autoSpaceDE/>
              <w:autoSpaceDN/>
              <w:bidi w:val="0"/>
              <w:spacing w:before="0" w:beforeAutospacing="0" w:after="0" w:afterAutospacing="0" w:line="400" w:lineRule="exact"/>
              <w:ind w:left="0" w:right="0" w:firstLine="0" w:firstLineChars="0"/>
              <w:textAlignment w:val="auto"/>
              <w:rPr>
                <w:rFonts w:hint="eastAsia" w:ascii="宋体" w:hAnsi="宋体" w:eastAsia="宋体" w:cs="宋体"/>
                <w:b w:val="0"/>
                <w:bCs/>
                <w:kern w:val="0"/>
                <w:sz w:val="21"/>
                <w:szCs w:val="21"/>
                <w:lang w:val="ru-RU"/>
              </w:rPr>
            </w:pPr>
          </w:p>
        </w:tc>
        <w:tc>
          <w:tcPr>
            <w:tcW w:w="1354" w:type="dxa"/>
            <w:noWrap w:val="0"/>
            <w:vAlign w:val="center"/>
          </w:tcPr>
          <w:p w14:paraId="4131AA90">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售后服务</w:t>
            </w:r>
          </w:p>
          <w:p w14:paraId="050EF7B3">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方案、</w:t>
            </w:r>
            <w:r>
              <w:rPr>
                <w:rFonts w:hint="eastAsia" w:ascii="宋体" w:hAnsi="宋体" w:eastAsia="宋体" w:cs="宋体"/>
                <w:kern w:val="0"/>
                <w:szCs w:val="21"/>
                <w:lang w:val="en-US" w:eastAsia="zh-CN"/>
              </w:rPr>
              <w:t>培训</w:t>
            </w:r>
            <w:r>
              <w:rPr>
                <w:rFonts w:hint="eastAsia" w:ascii="宋体" w:hAnsi="宋体" w:eastAsia="宋体" w:cs="宋体"/>
                <w:color w:val="auto"/>
                <w:kern w:val="0"/>
                <w:szCs w:val="21"/>
                <w:lang w:val="en-US" w:eastAsia="zh-CN"/>
              </w:rPr>
              <w:t>方案</w:t>
            </w:r>
          </w:p>
          <w:p w14:paraId="040C5D7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color w:val="auto"/>
                <w:kern w:val="0"/>
                <w:szCs w:val="21"/>
                <w:lang w:val="en-US" w:eastAsia="zh-CN"/>
              </w:rPr>
              <w:t>（35</w:t>
            </w:r>
            <w:r>
              <w:rPr>
                <w:rFonts w:hint="eastAsia" w:ascii="宋体" w:hAnsi="宋体" w:eastAsia="宋体" w:cs="宋体"/>
                <w:kern w:val="0"/>
                <w:szCs w:val="21"/>
                <w:lang w:val="en-US" w:eastAsia="zh-CN"/>
              </w:rPr>
              <w:t>分</w:t>
            </w:r>
            <w:r>
              <w:rPr>
                <w:rFonts w:hint="eastAsia" w:ascii="宋体" w:hAnsi="宋体" w:eastAsia="宋体" w:cs="宋体"/>
                <w:color w:val="auto"/>
                <w:kern w:val="0"/>
                <w:szCs w:val="21"/>
                <w:lang w:val="en-US" w:eastAsia="zh-CN"/>
              </w:rPr>
              <w:t>）</w:t>
            </w:r>
          </w:p>
          <w:p w14:paraId="4D34D5E7">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p>
        </w:tc>
        <w:tc>
          <w:tcPr>
            <w:tcW w:w="6080" w:type="dxa"/>
            <w:noWrap w:val="0"/>
            <w:vAlign w:val="center"/>
          </w:tcPr>
          <w:p w14:paraId="0229D63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color w:val="auto"/>
                <w:kern w:val="0"/>
                <w:szCs w:val="21"/>
                <w:lang w:val="zh-TW" w:eastAsia="zh-TW"/>
              </w:rPr>
            </w:pPr>
            <w:r>
              <w:rPr>
                <w:rFonts w:hint="eastAsia" w:ascii="宋体" w:hAnsi="宋体" w:eastAsia="宋体" w:cs="宋体"/>
                <w:color w:val="auto"/>
                <w:kern w:val="0"/>
                <w:szCs w:val="21"/>
                <w:lang w:val="en-US" w:eastAsia="zh-CN"/>
              </w:rPr>
              <w:t>投标人根据本项目实际情况制定</w:t>
            </w:r>
            <w:r>
              <w:rPr>
                <w:rFonts w:hint="eastAsia" w:ascii="宋体" w:hAnsi="宋体" w:eastAsia="宋体" w:cs="宋体"/>
                <w:b w:val="0"/>
                <w:bCs/>
                <w:color w:val="auto"/>
                <w:sz w:val="21"/>
                <w:szCs w:val="21"/>
                <w:lang w:val="en-US" w:eastAsia="zh-CN"/>
              </w:rPr>
              <w:t>售后服务</w:t>
            </w:r>
            <w:r>
              <w:rPr>
                <w:rFonts w:hint="eastAsia" w:ascii="宋体" w:hAnsi="宋体" w:eastAsia="宋体" w:cs="宋体"/>
                <w:color w:val="auto"/>
                <w:kern w:val="0"/>
                <w:szCs w:val="21"/>
                <w:lang w:val="en-US" w:eastAsia="zh-CN"/>
              </w:rPr>
              <w:t>方案，包括但不限于①服务目标及内容、②技术支持与服务体系、③服务质量保障等，结合本项目服务需求提供的方案内容完整、无缺漏项、详细具体、符合项目要求的计15分；有缺漏项的每缺一项扣5分；无缺漏项但有不符合项目要求、有欠缺的每处扣2分，</w:t>
            </w:r>
            <w:r>
              <w:rPr>
                <w:rFonts w:hint="eastAsia" w:ascii="宋体" w:hAnsi="宋体" w:eastAsia="宋体" w:cs="宋体"/>
                <w:color w:val="auto"/>
                <w:kern w:val="0"/>
                <w:szCs w:val="21"/>
                <w:lang w:val="zh-TW" w:eastAsia="zh-TW"/>
              </w:rPr>
              <w:t>扣完为止</w:t>
            </w:r>
            <w:r>
              <w:rPr>
                <w:rFonts w:hint="eastAsia" w:ascii="宋体" w:hAnsi="宋体" w:eastAsia="宋体" w:cs="宋体"/>
                <w:color w:val="auto"/>
                <w:kern w:val="0"/>
                <w:szCs w:val="21"/>
                <w:lang w:val="zh-TW" w:eastAsia="zh-CN"/>
              </w:rPr>
              <w:t>。</w:t>
            </w:r>
            <w:r>
              <w:rPr>
                <w:rFonts w:hint="eastAsia" w:ascii="宋体" w:hAnsi="宋体" w:eastAsia="宋体" w:cs="宋体"/>
                <w:color w:val="auto"/>
                <w:kern w:val="0"/>
                <w:szCs w:val="21"/>
                <w:lang w:val="zh-TW" w:eastAsia="zh-TW"/>
              </w:rPr>
              <w:t>未提供的不得分。</w:t>
            </w:r>
          </w:p>
          <w:p w14:paraId="77524CE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val="en-US" w:eastAsia="zh-CN"/>
              </w:rPr>
            </w:pPr>
            <w:r>
              <w:rPr>
                <w:rFonts w:hint="eastAsia" w:ascii="宋体" w:hAnsi="宋体" w:eastAsia="宋体" w:cs="宋体"/>
                <w:color w:val="auto"/>
                <w:kern w:val="0"/>
                <w:szCs w:val="21"/>
                <w:lang w:val="en-US" w:eastAsia="zh-CN"/>
              </w:rPr>
              <w:t>投标人根据本项目实际情况制定</w:t>
            </w:r>
            <w:r>
              <w:rPr>
                <w:rFonts w:hint="eastAsia" w:ascii="宋体" w:hAnsi="宋体" w:eastAsia="宋体" w:cs="宋体"/>
                <w:kern w:val="0"/>
                <w:szCs w:val="21"/>
                <w:lang w:val="en-US" w:eastAsia="zh-CN"/>
              </w:rPr>
              <w:t>培训</w:t>
            </w:r>
            <w:r>
              <w:rPr>
                <w:rFonts w:hint="eastAsia" w:ascii="宋体" w:hAnsi="宋体" w:eastAsia="宋体" w:cs="宋体"/>
                <w:color w:val="auto"/>
                <w:kern w:val="0"/>
                <w:szCs w:val="21"/>
                <w:lang w:val="en-US" w:eastAsia="zh-CN"/>
              </w:rPr>
              <w:t>方案，</w:t>
            </w:r>
            <w:r>
              <w:rPr>
                <w:rFonts w:hint="eastAsia" w:ascii="宋体" w:hAnsi="宋体" w:eastAsia="宋体" w:cs="宋体"/>
                <w:color w:val="auto"/>
                <w:kern w:val="2"/>
                <w:sz w:val="21"/>
                <w:szCs w:val="21"/>
                <w:highlight w:val="none"/>
                <w:lang w:val="en-US" w:eastAsia="zh-CN"/>
              </w:rPr>
              <w:t>内容</w:t>
            </w:r>
            <w:r>
              <w:rPr>
                <w:rFonts w:hint="eastAsia" w:ascii="宋体" w:hAnsi="宋体" w:eastAsia="宋体" w:cs="宋体"/>
                <w:color w:val="auto"/>
                <w:kern w:val="0"/>
                <w:szCs w:val="21"/>
                <w:lang w:val="en-US" w:eastAsia="zh-CN"/>
              </w:rPr>
              <w:t>包括但不限于①</w:t>
            </w:r>
            <w:r>
              <w:rPr>
                <w:rFonts w:hint="eastAsia" w:ascii="宋体" w:hAnsi="宋体" w:eastAsia="宋体" w:cs="宋体"/>
                <w:color w:val="auto"/>
                <w:kern w:val="2"/>
                <w:sz w:val="21"/>
                <w:szCs w:val="21"/>
                <w:highlight w:val="none"/>
                <w:lang w:val="en-US" w:eastAsia="zh-CN"/>
              </w:rPr>
              <w:t>培训内容及课时安排、</w:t>
            </w:r>
            <w:r>
              <w:rPr>
                <w:rFonts w:hint="eastAsia" w:ascii="宋体" w:hAnsi="宋体" w:eastAsia="宋体" w:cs="宋体"/>
                <w:color w:val="auto"/>
                <w:kern w:val="0"/>
                <w:sz w:val="21"/>
                <w:szCs w:val="21"/>
                <w:lang w:val="en-US" w:eastAsia="zh-CN"/>
              </w:rPr>
              <w:t>②</w:t>
            </w:r>
            <w:r>
              <w:rPr>
                <w:rFonts w:hint="eastAsia" w:ascii="宋体" w:hAnsi="宋体" w:eastAsia="宋体" w:cs="宋体"/>
                <w:color w:val="auto"/>
                <w:kern w:val="2"/>
                <w:sz w:val="21"/>
                <w:szCs w:val="21"/>
                <w:highlight w:val="none"/>
                <w:lang w:val="en-US" w:eastAsia="zh-CN"/>
              </w:rPr>
              <w:t>培训流程及培训方式、</w:t>
            </w:r>
            <w:r>
              <w:rPr>
                <w:rFonts w:hint="eastAsia" w:ascii="宋体" w:hAnsi="宋体" w:eastAsia="宋体" w:cs="宋体"/>
                <w:color w:val="auto"/>
                <w:kern w:val="0"/>
                <w:szCs w:val="21"/>
                <w:lang w:val="en-US" w:eastAsia="zh-CN"/>
              </w:rPr>
              <w:t>③培训</w:t>
            </w:r>
            <w:r>
              <w:rPr>
                <w:rFonts w:hint="eastAsia" w:ascii="宋体" w:hAnsi="宋体" w:eastAsia="宋体" w:cs="宋体"/>
                <w:color w:val="auto"/>
                <w:kern w:val="2"/>
                <w:sz w:val="21"/>
                <w:szCs w:val="21"/>
                <w:highlight w:val="none"/>
                <w:lang w:val="en-US" w:eastAsia="zh-CN"/>
              </w:rPr>
              <w:t>要点分析、</w:t>
            </w:r>
            <w:r>
              <w:rPr>
                <w:rFonts w:hint="eastAsia" w:ascii="宋体" w:hAnsi="宋体" w:eastAsia="宋体" w:cs="宋体"/>
                <w:color w:val="auto"/>
                <w:kern w:val="0"/>
                <w:sz w:val="21"/>
                <w:szCs w:val="21"/>
                <w:lang w:val="en-US" w:eastAsia="zh-CN"/>
              </w:rPr>
              <w:t>④</w:t>
            </w:r>
            <w:r>
              <w:rPr>
                <w:rFonts w:hint="eastAsia" w:ascii="宋体" w:hAnsi="宋体" w:eastAsia="宋体" w:cs="宋体"/>
                <w:color w:val="auto"/>
                <w:kern w:val="2"/>
                <w:sz w:val="21"/>
                <w:szCs w:val="21"/>
                <w:highlight w:val="none"/>
                <w:lang w:val="en-US" w:eastAsia="zh-CN"/>
              </w:rPr>
              <w:t>培训预期效果等，</w:t>
            </w:r>
            <w:r>
              <w:rPr>
                <w:rFonts w:hint="eastAsia" w:ascii="宋体" w:hAnsi="宋体" w:eastAsia="宋体" w:cs="宋体"/>
                <w:color w:val="auto"/>
                <w:kern w:val="0"/>
                <w:szCs w:val="21"/>
                <w:lang w:val="en-US" w:eastAsia="zh-CN"/>
              </w:rPr>
              <w:t>结合本项目服务需求提供的方案内容完整、无缺漏项、详细具体、符合项目要求的计20分；有缺漏项的每缺一项扣5分；无缺漏项但有不符合项目要求、有欠缺的每处扣2分，</w:t>
            </w:r>
            <w:r>
              <w:rPr>
                <w:rFonts w:hint="eastAsia" w:ascii="宋体" w:hAnsi="宋体" w:eastAsia="宋体" w:cs="宋体"/>
                <w:color w:val="auto"/>
                <w:kern w:val="0"/>
                <w:szCs w:val="21"/>
                <w:lang w:val="zh-TW" w:eastAsia="zh-TW"/>
              </w:rPr>
              <w:t>扣完为止</w:t>
            </w:r>
            <w:r>
              <w:rPr>
                <w:rFonts w:hint="eastAsia" w:ascii="宋体" w:hAnsi="宋体" w:eastAsia="宋体" w:cs="宋体"/>
                <w:color w:val="auto"/>
                <w:kern w:val="0"/>
                <w:szCs w:val="21"/>
                <w:lang w:val="zh-TW" w:eastAsia="zh-CN"/>
              </w:rPr>
              <w:t>。</w:t>
            </w:r>
            <w:r>
              <w:rPr>
                <w:rFonts w:hint="eastAsia" w:ascii="宋体" w:hAnsi="宋体" w:eastAsia="宋体" w:cs="宋体"/>
                <w:color w:val="auto"/>
                <w:kern w:val="0"/>
                <w:szCs w:val="21"/>
                <w:lang w:val="zh-TW" w:eastAsia="zh-TW"/>
              </w:rPr>
              <w:t>未提供的不得分。</w:t>
            </w:r>
          </w:p>
        </w:tc>
      </w:tr>
      <w:tr w14:paraId="0B8E30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503" w:type="dxa"/>
            <w:tcBorders>
              <w:right w:val="single" w:color="auto" w:sz="4" w:space="0"/>
            </w:tcBorders>
            <w:noWrap w:val="0"/>
            <w:vAlign w:val="center"/>
          </w:tcPr>
          <w:p w14:paraId="673125AD">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486" w:type="dxa"/>
            <w:tcBorders>
              <w:left w:val="single" w:color="auto" w:sz="4" w:space="0"/>
            </w:tcBorders>
            <w:noWrap w:val="0"/>
            <w:vAlign w:val="center"/>
          </w:tcPr>
          <w:p w14:paraId="44DE8FFE">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优先采购加分（F</w:t>
            </w:r>
            <w:r>
              <w:rPr>
                <w:rFonts w:hint="eastAsia" w:ascii="宋体" w:hAnsi="宋体" w:eastAsia="宋体" w:cs="宋体"/>
                <w:sz w:val="21"/>
                <w:szCs w:val="21"/>
                <w:vertAlign w:val="subscript"/>
              </w:rPr>
              <w:t>优先采购加分</w:t>
            </w:r>
            <w:r>
              <w:rPr>
                <w:rFonts w:hint="eastAsia" w:ascii="宋体" w:hAnsi="宋体" w:eastAsia="宋体" w:cs="宋体"/>
                <w:sz w:val="21"/>
                <w:szCs w:val="21"/>
              </w:rPr>
              <w:t>）</w:t>
            </w:r>
          </w:p>
        </w:tc>
        <w:tc>
          <w:tcPr>
            <w:tcW w:w="7434" w:type="dxa"/>
            <w:gridSpan w:val="2"/>
            <w:tcBorders>
              <w:bottom w:val="single" w:color="auto" w:sz="4" w:space="0"/>
            </w:tcBorders>
            <w:noWrap w:val="0"/>
            <w:vAlign w:val="center"/>
          </w:tcPr>
          <w:p w14:paraId="1BCD542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eastAsia="zh-CN"/>
              </w:rPr>
            </w:pPr>
            <w:r>
              <w:rPr>
                <w:rFonts w:hint="eastAsia" w:ascii="宋体" w:hAnsi="宋体" w:eastAsia="宋体" w:cs="宋体"/>
                <w:kern w:val="0"/>
                <w:szCs w:val="21"/>
                <w:lang w:val="en-US" w:eastAsia="zh-CN"/>
              </w:rPr>
              <w:t>/</w:t>
            </w:r>
          </w:p>
        </w:tc>
      </w:tr>
      <w:tr w14:paraId="3FF596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503" w:type="dxa"/>
            <w:tcBorders>
              <w:right w:val="single" w:color="auto" w:sz="4" w:space="0"/>
            </w:tcBorders>
            <w:noWrap w:val="0"/>
            <w:vAlign w:val="center"/>
          </w:tcPr>
          <w:p w14:paraId="1EBB4F73">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w:t>
            </w:r>
          </w:p>
        </w:tc>
        <w:tc>
          <w:tcPr>
            <w:tcW w:w="8920" w:type="dxa"/>
            <w:gridSpan w:val="3"/>
            <w:tcBorders>
              <w:left w:val="single" w:color="auto" w:sz="4" w:space="0"/>
            </w:tcBorders>
            <w:noWrap w:val="0"/>
            <w:vAlign w:val="center"/>
          </w:tcPr>
          <w:p w14:paraId="72EF2AE4">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textAlignment w:val="auto"/>
              <w:rPr>
                <w:rFonts w:hint="eastAsia" w:ascii="宋体" w:hAnsi="宋体" w:eastAsia="宋体" w:cs="宋体"/>
                <w:b/>
                <w:bCs/>
                <w:sz w:val="21"/>
                <w:szCs w:val="21"/>
              </w:rPr>
            </w:pPr>
            <w:r>
              <w:rPr>
                <w:rFonts w:hint="eastAsia" w:ascii="宋体" w:hAnsi="宋体" w:eastAsia="宋体" w:cs="宋体"/>
                <w:b/>
                <w:bCs/>
                <w:sz w:val="21"/>
                <w:szCs w:val="21"/>
              </w:rPr>
              <w:t>F</w:t>
            </w:r>
            <w:r>
              <w:rPr>
                <w:rFonts w:hint="eastAsia" w:ascii="宋体" w:hAnsi="宋体" w:eastAsia="宋体" w:cs="宋体"/>
                <w:b/>
                <w:bCs/>
                <w:sz w:val="21"/>
                <w:szCs w:val="21"/>
                <w:vertAlign w:val="subscript"/>
              </w:rPr>
              <w:t>3</w:t>
            </w:r>
            <w:r>
              <w:rPr>
                <w:rFonts w:hint="eastAsia" w:ascii="宋体" w:hAnsi="宋体" w:eastAsia="宋体" w:cs="宋体"/>
                <w:b/>
                <w:bCs/>
                <w:sz w:val="21"/>
                <w:szCs w:val="21"/>
              </w:rPr>
              <w:t>=F+ F</w:t>
            </w:r>
            <w:r>
              <w:rPr>
                <w:rFonts w:hint="eastAsia" w:ascii="宋体" w:hAnsi="宋体" w:eastAsia="宋体" w:cs="宋体"/>
                <w:b/>
                <w:bCs/>
                <w:sz w:val="21"/>
                <w:szCs w:val="21"/>
                <w:vertAlign w:val="subscript"/>
              </w:rPr>
              <w:t>优先采购加分</w:t>
            </w:r>
          </w:p>
        </w:tc>
      </w:tr>
    </w:tbl>
    <w:p w14:paraId="543370AC">
      <w:pPr>
        <w:keepNext w:val="0"/>
        <w:keepLines w:val="0"/>
        <w:pageBreakBefore w:val="0"/>
        <w:kinsoku/>
        <w:wordWrap w:val="0"/>
        <w:overflowPunct/>
        <w:topLinePunct w:val="0"/>
        <w:autoSpaceDE/>
        <w:autoSpaceDN/>
        <w:bidi w:val="0"/>
        <w:spacing w:line="400" w:lineRule="exact"/>
        <w:textAlignment w:val="auto"/>
        <w:rPr>
          <w:rFonts w:hint="eastAsia" w:ascii="宋体" w:hAnsi="宋体" w:eastAsia="宋体" w:cs="宋体"/>
          <w:color w:val="000000"/>
          <w:sz w:val="21"/>
          <w:szCs w:val="21"/>
        </w:rPr>
      </w:pPr>
      <w:r>
        <w:rPr>
          <w:rFonts w:hint="eastAsia" w:ascii="宋体" w:hAnsi="宋体" w:eastAsia="宋体" w:cs="宋体"/>
          <w:sz w:val="21"/>
          <w:szCs w:val="21"/>
        </w:rPr>
        <w:t>注：</w:t>
      </w:r>
      <w:r>
        <w:rPr>
          <w:rFonts w:hint="eastAsia" w:ascii="宋体" w:hAnsi="宋体" w:eastAsia="宋体" w:cs="宋体"/>
          <w:color w:val="000000"/>
          <w:sz w:val="21"/>
          <w:szCs w:val="21"/>
        </w:rPr>
        <w:t>（1）评分依据评审标准，对照投标文件进行。所有复印件均需加盖投标人公章。</w:t>
      </w:r>
    </w:p>
    <w:p w14:paraId="51033ACB">
      <w:pPr>
        <w:pStyle w:val="250"/>
        <w:keepNext w:val="0"/>
        <w:keepLines w:val="0"/>
        <w:pageBreakBefore w:val="0"/>
        <w:kinsoku/>
        <w:wordWrap w:val="0"/>
        <w:overflowPunct/>
        <w:topLinePunct w:val="0"/>
        <w:autoSpaceDE/>
        <w:autoSpaceDN/>
        <w:bidi w:val="0"/>
        <w:spacing w:after="0" w:line="400" w:lineRule="exact"/>
        <w:ind w:firstLine="420" w:firstLineChars="200"/>
        <w:jc w:val="left"/>
        <w:textAlignment w:val="auto"/>
        <w:rPr>
          <w:rFonts w:ascii="宋体" w:hAnsi="宋体" w:cs="宋体"/>
          <w:b/>
          <w:bCs/>
          <w:sz w:val="21"/>
          <w:szCs w:val="21"/>
        </w:rPr>
      </w:pPr>
      <w:r>
        <w:rPr>
          <w:rFonts w:hint="eastAsia" w:ascii="宋体" w:hAnsi="宋体" w:eastAsia="宋体" w:cs="宋体"/>
          <w:color w:val="000000"/>
          <w:sz w:val="21"/>
          <w:szCs w:val="21"/>
        </w:rPr>
        <w:t>（2）投标人参与政府采购应提供真实有效的证明材料，应当诚信守法、公平竞争。如有以提供虚假材料（包括但不限于虚假技术参数响应、虚假制造商产品彩页、虚假业绩、虚假证书等）、隐瞒失信信息等谋取中标的行为，一经发现，将报行政监管部门严肃查处。</w:t>
      </w:r>
    </w:p>
    <w:p w14:paraId="4243A957">
      <w:pPr>
        <w:jc w:val="center"/>
        <w:outlineLvl w:val="9"/>
        <w:rPr>
          <w:rFonts w:hint="eastAsia" w:ascii="宋体" w:hAnsi="宋体" w:eastAsia="宋体" w:cs="宋体"/>
          <w:b/>
          <w:bCs/>
          <w:color w:val="auto"/>
          <w:sz w:val="21"/>
          <w:szCs w:val="21"/>
        </w:rPr>
      </w:pPr>
    </w:p>
    <w:p w14:paraId="00F75ADA">
      <w:pPr>
        <w:widowControl/>
        <w:numPr>
          <w:ilvl w:val="0"/>
          <w:numId w:val="0"/>
        </w:numPr>
        <w:jc w:val="both"/>
        <w:rPr>
          <w:rFonts w:hint="eastAsia" w:ascii="宋体" w:hAnsi="宋体" w:eastAsia="宋体" w:cs="宋体"/>
          <w:b/>
          <w:color w:val="auto"/>
          <w:sz w:val="21"/>
          <w:szCs w:val="21"/>
          <w:lang w:val="en-US" w:eastAsia="zh-CN"/>
        </w:rPr>
      </w:pPr>
    </w:p>
    <w:p w14:paraId="7F6A2D16">
      <w:pPr>
        <w:widowControl/>
        <w:numPr>
          <w:ilvl w:val="0"/>
          <w:numId w:val="0"/>
        </w:numPr>
        <w:ind w:firstLine="2570" w:firstLineChars="800"/>
        <w:jc w:val="both"/>
        <w:rPr>
          <w:rFonts w:hint="eastAsia" w:ascii="宋体" w:hAnsi="宋体" w:eastAsia="宋体" w:cs="宋体"/>
          <w:b/>
          <w:color w:val="auto"/>
          <w:sz w:val="32"/>
          <w:szCs w:val="32"/>
          <w:lang w:val="en-US" w:eastAsia="zh-CN"/>
        </w:rPr>
      </w:pPr>
    </w:p>
    <w:p w14:paraId="3B0674D4">
      <w:pPr>
        <w:widowControl/>
        <w:numPr>
          <w:ilvl w:val="0"/>
          <w:numId w:val="0"/>
        </w:numPr>
        <w:ind w:firstLine="2570" w:firstLineChars="800"/>
        <w:jc w:val="both"/>
        <w:rPr>
          <w:rFonts w:hint="eastAsia" w:ascii="宋体" w:hAnsi="宋体" w:eastAsia="宋体" w:cs="宋体"/>
          <w:b/>
          <w:color w:val="auto"/>
          <w:sz w:val="32"/>
          <w:szCs w:val="32"/>
          <w:lang w:val="en-US" w:eastAsia="zh-CN"/>
        </w:rPr>
      </w:pPr>
    </w:p>
    <w:p w14:paraId="72B1B854">
      <w:pPr>
        <w:widowControl/>
        <w:numPr>
          <w:ilvl w:val="0"/>
          <w:numId w:val="0"/>
        </w:numPr>
        <w:ind w:firstLine="2570" w:firstLineChars="800"/>
        <w:jc w:val="both"/>
        <w:rPr>
          <w:rFonts w:hint="eastAsia" w:ascii="宋体" w:hAnsi="宋体" w:eastAsia="宋体" w:cs="宋体"/>
          <w:b/>
          <w:color w:val="auto"/>
          <w:sz w:val="32"/>
          <w:szCs w:val="32"/>
          <w:lang w:val="en-US" w:eastAsia="zh-CN"/>
        </w:rPr>
      </w:pPr>
    </w:p>
    <w:p w14:paraId="69AC5866">
      <w:pPr>
        <w:widowControl/>
        <w:numPr>
          <w:ilvl w:val="0"/>
          <w:numId w:val="0"/>
        </w:numPr>
        <w:ind w:firstLine="3534" w:firstLineChars="1100"/>
        <w:jc w:val="both"/>
        <w:rPr>
          <w:rFonts w:hint="eastAsia" w:ascii="宋体" w:hAnsi="宋体" w:eastAsia="宋体" w:cs="宋体"/>
          <w:b/>
          <w:color w:val="auto"/>
          <w:sz w:val="32"/>
          <w:szCs w:val="32"/>
          <w:lang w:val="en-US" w:eastAsia="zh-CN"/>
        </w:rPr>
      </w:pPr>
    </w:p>
    <w:p w14:paraId="58830FA3">
      <w:pPr>
        <w:widowControl/>
        <w:numPr>
          <w:ilvl w:val="0"/>
          <w:numId w:val="5"/>
        </w:numPr>
        <w:ind w:firstLine="3534" w:firstLineChars="1100"/>
        <w:jc w:val="both"/>
        <w:rPr>
          <w:rFonts w:hint="eastAsia" w:ascii="宋体" w:hAnsi="宋体" w:eastAsia="宋体" w:cs="宋体"/>
          <w:b/>
          <w:color w:val="auto"/>
          <w:sz w:val="32"/>
          <w:szCs w:val="32"/>
        </w:rPr>
      </w:pPr>
      <w:r>
        <w:rPr>
          <w:rFonts w:hint="eastAsia" w:ascii="宋体" w:hAnsi="宋体" w:eastAsia="宋体" w:cs="宋体"/>
          <w:b/>
          <w:color w:val="auto"/>
          <w:sz w:val="32"/>
          <w:szCs w:val="32"/>
        </w:rPr>
        <w:t xml:space="preserve"> 采购需求</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14:paraId="251EE7DC">
      <w:pPr>
        <w:widowControl/>
        <w:numPr>
          <w:ilvl w:val="0"/>
          <w:numId w:val="0"/>
        </w:numPr>
        <w:jc w:val="both"/>
        <w:rPr>
          <w:rFonts w:hint="eastAsia" w:ascii="宋体" w:hAnsi="宋体" w:eastAsia="宋体" w:cs="宋体"/>
          <w:b/>
          <w:color w:val="auto"/>
          <w:sz w:val="32"/>
          <w:szCs w:val="32"/>
        </w:rPr>
      </w:pPr>
    </w:p>
    <w:p w14:paraId="13DFF30A">
      <w:pPr>
        <w:pStyle w:val="17"/>
        <w:keepNext w:val="0"/>
        <w:keepLines w:val="0"/>
        <w:pageBreakBefore w:val="0"/>
        <w:widowControl w:val="0"/>
        <w:kinsoku/>
        <w:wordWrap/>
        <w:overflowPunct/>
        <w:topLinePunct w:val="0"/>
        <w:autoSpaceDE/>
        <w:autoSpaceDN/>
        <w:bidi w:val="0"/>
        <w:adjustRightInd/>
        <w:snapToGrid/>
        <w:spacing w:before="30" w:line="460" w:lineRule="exact"/>
        <w:ind w:right="6" w:firstLine="562" w:firstLineChars="200"/>
        <w:textAlignment w:val="auto"/>
        <w:rPr>
          <w:rFonts w:hint="eastAsia" w:ascii="仿宋" w:hAnsi="仿宋" w:eastAsia="仿宋" w:cs="仿宋"/>
          <w:i w:val="0"/>
          <w:iCs w:val="0"/>
          <w:caps w:val="0"/>
          <w:color w:val="auto"/>
          <w:spacing w:val="0"/>
          <w:kern w:val="0"/>
          <w:sz w:val="28"/>
          <w:szCs w:val="28"/>
          <w:lang w:val="en-US" w:eastAsia="zh-CN" w:bidi="ar"/>
        </w:rPr>
      </w:pPr>
      <w:bookmarkStart w:id="1154" w:name="_Toc94367922"/>
      <w:bookmarkStart w:id="1155" w:name="_Toc85972972"/>
      <w:bookmarkStart w:id="1156" w:name="_Toc9203"/>
      <w:bookmarkStart w:id="1157" w:name="_Toc171273713"/>
      <w:bookmarkStart w:id="1158" w:name="_Toc95601407"/>
      <w:bookmarkStart w:id="1159" w:name="_Toc192951254"/>
      <w:bookmarkStart w:id="1160" w:name="_Toc24854"/>
      <w:bookmarkStart w:id="1161" w:name="_Toc75289274"/>
      <w:bookmarkStart w:id="1162" w:name="_Toc100670715"/>
      <w:bookmarkStart w:id="1163" w:name="_Toc5772"/>
      <w:bookmarkStart w:id="1164" w:name="_Toc192949644"/>
      <w:bookmarkStart w:id="1165" w:name="_Toc117192492"/>
      <w:bookmarkStart w:id="1166" w:name="_Toc77676510"/>
      <w:bookmarkStart w:id="1167" w:name="_Toc78314306"/>
      <w:bookmarkStart w:id="1168" w:name="_Toc112704985"/>
      <w:bookmarkStart w:id="1169" w:name="_Toc13626"/>
      <w:bookmarkStart w:id="1170" w:name="_Toc75289592"/>
      <w:bookmarkStart w:id="1171" w:name="_Toc25215"/>
      <w:bookmarkStart w:id="1172" w:name="_Toc77199446"/>
      <w:bookmarkStart w:id="1173" w:name="_Toc15888522"/>
      <w:bookmarkStart w:id="1174" w:name="_Toc192949743"/>
      <w:bookmarkStart w:id="1175" w:name="_Toc108341982"/>
      <w:bookmarkStart w:id="1176" w:name="_Toc78449999"/>
      <w:bookmarkStart w:id="1177" w:name="_Toc24507"/>
      <w:bookmarkStart w:id="1178" w:name="_Toc21944"/>
      <w:bookmarkStart w:id="1179" w:name="_Toc114036756"/>
      <w:bookmarkStart w:id="1180" w:name="_Toc100670467"/>
      <w:bookmarkStart w:id="1181" w:name="_Toc9583"/>
      <w:bookmarkStart w:id="1182" w:name="_Toc154428431"/>
      <w:bookmarkStart w:id="1183" w:name="_Toc32354"/>
      <w:r>
        <w:rPr>
          <w:rFonts w:hint="eastAsia" w:ascii="仿宋" w:hAnsi="仿宋" w:eastAsia="仿宋" w:cs="仿宋"/>
          <w:b/>
          <w:bCs/>
          <w:i w:val="0"/>
          <w:iCs w:val="0"/>
          <w:caps w:val="0"/>
          <w:color w:val="auto"/>
          <w:spacing w:val="0"/>
          <w:kern w:val="0"/>
          <w:sz w:val="28"/>
          <w:szCs w:val="28"/>
          <w:lang w:val="en-US" w:eastAsia="zh-CN" w:bidi="ar"/>
        </w:rPr>
        <w:t>（一）项目概况</w:t>
      </w:r>
      <w:r>
        <w:rPr>
          <w:rFonts w:hint="eastAsia" w:ascii="仿宋" w:hAnsi="仿宋" w:eastAsia="仿宋" w:cs="仿宋"/>
          <w:i w:val="0"/>
          <w:iCs w:val="0"/>
          <w:caps w:val="0"/>
          <w:color w:val="auto"/>
          <w:spacing w:val="0"/>
          <w:kern w:val="0"/>
          <w:sz w:val="28"/>
          <w:szCs w:val="28"/>
          <w:lang w:val="en-US" w:eastAsia="zh-CN" w:bidi="ar"/>
        </w:rPr>
        <w:t>：</w:t>
      </w:r>
      <w:r>
        <w:rPr>
          <w:rFonts w:hint="eastAsia" w:ascii="仿宋" w:hAnsi="仿宋" w:eastAsia="仿宋" w:cs="仿宋"/>
          <w:i w:val="0"/>
          <w:iCs w:val="0"/>
          <w:caps w:val="0"/>
          <w:color w:val="000000"/>
          <w:spacing w:val="0"/>
          <w:kern w:val="0"/>
          <w:sz w:val="28"/>
          <w:szCs w:val="28"/>
          <w:lang w:val="en-US" w:eastAsia="zh-CN" w:bidi="ar"/>
        </w:rPr>
        <w:t>新化县紧密型县域医共体医疗卫生强基工程建设项目医疗设备采购，购置医疗设备172台套，包括：X射线诊断设备、检验设备、内镜设备、血液透析设备、牙科设备、康复理疗设备、心电监护设备、其他设备设备，用于临床检查、诊断、治疗及常规医疗业务开展，同时提供长期技术指导与人员培训。</w:t>
      </w:r>
    </w:p>
    <w:p w14:paraId="12D28E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2"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b/>
          <w:bCs/>
          <w:i w:val="0"/>
          <w:iCs w:val="0"/>
          <w:caps w:val="0"/>
          <w:color w:val="000000"/>
          <w:spacing w:val="0"/>
          <w:kern w:val="0"/>
          <w:sz w:val="28"/>
          <w:szCs w:val="28"/>
          <w:lang w:val="en-US" w:eastAsia="zh-CN" w:bidi="ar"/>
        </w:rPr>
        <w:t>（二）采购项目预（概）算：16062376</w:t>
      </w:r>
      <w:r>
        <w:rPr>
          <w:rFonts w:hint="eastAsia" w:ascii="仿宋" w:hAnsi="仿宋" w:eastAsia="仿宋" w:cs="仿宋"/>
          <w:i w:val="0"/>
          <w:iCs w:val="0"/>
          <w:caps w:val="0"/>
          <w:color w:val="000000"/>
          <w:spacing w:val="0"/>
          <w:kern w:val="0"/>
          <w:sz w:val="28"/>
          <w:szCs w:val="28"/>
          <w:lang w:val="en-US" w:eastAsia="zh-CN" w:bidi="ar"/>
        </w:rPr>
        <w:t>元；</w:t>
      </w:r>
      <w:r>
        <w:rPr>
          <w:rFonts w:hint="eastAsia" w:ascii="仿宋" w:hAnsi="仿宋" w:eastAsia="仿宋" w:cs="仿宋"/>
          <w:b/>
          <w:bCs/>
          <w:i w:val="0"/>
          <w:iCs w:val="0"/>
          <w:caps w:val="0"/>
          <w:color w:val="000000"/>
          <w:spacing w:val="0"/>
          <w:kern w:val="0"/>
          <w:sz w:val="28"/>
          <w:szCs w:val="28"/>
          <w:lang w:val="en-US" w:eastAsia="zh-CN" w:bidi="ar"/>
        </w:rPr>
        <w:t>最高限价：16062376</w:t>
      </w:r>
      <w:r>
        <w:rPr>
          <w:rFonts w:hint="eastAsia" w:ascii="仿宋" w:hAnsi="仿宋" w:eastAsia="仿宋" w:cs="仿宋"/>
          <w:i w:val="0"/>
          <w:iCs w:val="0"/>
          <w:caps w:val="0"/>
          <w:color w:val="000000"/>
          <w:spacing w:val="0"/>
          <w:kern w:val="0"/>
          <w:sz w:val="28"/>
          <w:szCs w:val="28"/>
          <w:lang w:val="en-US" w:eastAsia="zh-CN" w:bidi="ar"/>
        </w:rPr>
        <w:t>元。</w:t>
      </w:r>
    </w:p>
    <w:p w14:paraId="2A5F95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2" w:firstLineChars="200"/>
        <w:jc w:val="left"/>
        <w:textAlignment w:val="auto"/>
        <w:rPr>
          <w:rFonts w:hint="eastAsia" w:ascii="仿宋" w:hAnsi="仿宋" w:eastAsia="仿宋" w:cs="仿宋"/>
          <w:b/>
          <w:bCs/>
          <w:color w:val="auto"/>
          <w:sz w:val="28"/>
          <w:szCs w:val="28"/>
        </w:rPr>
      </w:pPr>
      <w:r>
        <w:rPr>
          <w:rFonts w:hint="eastAsia" w:ascii="仿宋" w:hAnsi="仿宋" w:eastAsia="仿宋" w:cs="仿宋"/>
          <w:b/>
          <w:bCs/>
          <w:i w:val="0"/>
          <w:iCs w:val="0"/>
          <w:caps w:val="0"/>
          <w:color w:val="auto"/>
          <w:spacing w:val="0"/>
          <w:kern w:val="0"/>
          <w:sz w:val="28"/>
          <w:szCs w:val="28"/>
          <w:lang w:val="en-US" w:eastAsia="zh-CN" w:bidi="ar"/>
        </w:rPr>
        <w:t>（三）采购标的汇总表</w:t>
      </w:r>
    </w:p>
    <w:tbl>
      <w:tblPr>
        <w:tblStyle w:val="47"/>
        <w:tblW w:w="8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618"/>
        <w:gridCol w:w="3555"/>
        <w:gridCol w:w="1620"/>
        <w:gridCol w:w="990"/>
        <w:gridCol w:w="788"/>
        <w:gridCol w:w="796"/>
      </w:tblGrid>
      <w:tr w14:paraId="2F50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6" w:hRule="atLeast"/>
          <w:jc w:val="center"/>
        </w:trPr>
        <w:tc>
          <w:tcPr>
            <w:tcW w:w="618" w:type="dxa"/>
            <w:shd w:val="clear" w:color="auto" w:fill="auto"/>
            <w:tcMar>
              <w:left w:w="108" w:type="dxa"/>
              <w:right w:w="108" w:type="dxa"/>
            </w:tcMar>
            <w:vAlign w:val="center"/>
          </w:tcPr>
          <w:p w14:paraId="29C88E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序号</w:t>
            </w:r>
          </w:p>
        </w:tc>
        <w:tc>
          <w:tcPr>
            <w:tcW w:w="3555" w:type="dxa"/>
            <w:shd w:val="clear" w:color="auto" w:fill="auto"/>
            <w:tcMar>
              <w:left w:w="108" w:type="dxa"/>
              <w:right w:w="108" w:type="dxa"/>
            </w:tcMar>
            <w:vAlign w:val="center"/>
          </w:tcPr>
          <w:p w14:paraId="7AA65A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标的名称</w:t>
            </w:r>
          </w:p>
        </w:tc>
        <w:tc>
          <w:tcPr>
            <w:tcW w:w="1620" w:type="dxa"/>
            <w:shd w:val="clear" w:color="auto" w:fill="auto"/>
            <w:tcMar>
              <w:left w:w="108" w:type="dxa"/>
              <w:right w:w="108" w:type="dxa"/>
            </w:tcMar>
            <w:vAlign w:val="center"/>
          </w:tcPr>
          <w:p w14:paraId="7149E9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品目</w:t>
            </w:r>
          </w:p>
          <w:p w14:paraId="799906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分类编码</w:t>
            </w:r>
          </w:p>
        </w:tc>
        <w:tc>
          <w:tcPr>
            <w:tcW w:w="990" w:type="dxa"/>
            <w:shd w:val="clear" w:color="auto" w:fill="auto"/>
            <w:tcMar>
              <w:left w:w="108" w:type="dxa"/>
              <w:right w:w="108" w:type="dxa"/>
            </w:tcMar>
            <w:vAlign w:val="center"/>
          </w:tcPr>
          <w:p w14:paraId="65570D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计量单位</w:t>
            </w:r>
          </w:p>
        </w:tc>
        <w:tc>
          <w:tcPr>
            <w:tcW w:w="788" w:type="dxa"/>
            <w:shd w:val="clear" w:color="auto" w:fill="auto"/>
            <w:tcMar>
              <w:left w:w="108" w:type="dxa"/>
              <w:right w:w="108" w:type="dxa"/>
            </w:tcMar>
            <w:vAlign w:val="center"/>
          </w:tcPr>
          <w:p w14:paraId="71DCC3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数量</w:t>
            </w:r>
          </w:p>
        </w:tc>
        <w:tc>
          <w:tcPr>
            <w:tcW w:w="796" w:type="dxa"/>
            <w:shd w:val="clear" w:color="auto" w:fill="auto"/>
            <w:tcMar>
              <w:left w:w="108" w:type="dxa"/>
              <w:right w:w="108" w:type="dxa"/>
            </w:tcMar>
            <w:vAlign w:val="center"/>
          </w:tcPr>
          <w:p w14:paraId="18FC07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是否进口</w:t>
            </w:r>
          </w:p>
        </w:tc>
      </w:tr>
      <w:tr w14:paraId="2AA4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5" w:hRule="atLeast"/>
          <w:jc w:val="center"/>
        </w:trPr>
        <w:tc>
          <w:tcPr>
            <w:tcW w:w="618" w:type="dxa"/>
            <w:shd w:val="clear" w:color="auto" w:fill="auto"/>
            <w:tcMar>
              <w:left w:w="108" w:type="dxa"/>
              <w:right w:w="108" w:type="dxa"/>
            </w:tcMar>
            <w:vAlign w:val="center"/>
          </w:tcPr>
          <w:p w14:paraId="002F62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default"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 1</w:t>
            </w:r>
          </w:p>
        </w:tc>
        <w:tc>
          <w:tcPr>
            <w:tcW w:w="3555" w:type="dxa"/>
            <w:shd w:val="clear" w:color="auto" w:fill="auto"/>
            <w:tcMar>
              <w:left w:w="108" w:type="dxa"/>
              <w:right w:w="108" w:type="dxa"/>
            </w:tcMar>
            <w:vAlign w:val="center"/>
          </w:tcPr>
          <w:p w14:paraId="1145F4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kern w:val="0"/>
                <w:sz w:val="28"/>
                <w:szCs w:val="28"/>
                <w:lang w:val="en-US" w:eastAsia="zh-CN" w:bidi="ar"/>
              </w:rPr>
              <w:t>新化县紧密型县域医共体医疗卫生强基工程建设项目医疗设备采购</w:t>
            </w:r>
          </w:p>
        </w:tc>
        <w:tc>
          <w:tcPr>
            <w:tcW w:w="1620" w:type="dxa"/>
            <w:shd w:val="clear" w:color="auto" w:fill="auto"/>
            <w:tcMar>
              <w:left w:w="108" w:type="dxa"/>
              <w:right w:w="108" w:type="dxa"/>
            </w:tcMar>
            <w:vAlign w:val="center"/>
          </w:tcPr>
          <w:p w14:paraId="6EE9C3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 xml:space="preserve">A02320000 </w:t>
            </w:r>
          </w:p>
          <w:p w14:paraId="3C206A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default"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医疗设备</w:t>
            </w:r>
          </w:p>
        </w:tc>
        <w:tc>
          <w:tcPr>
            <w:tcW w:w="990" w:type="dxa"/>
            <w:shd w:val="clear" w:color="auto" w:fill="auto"/>
            <w:tcMar>
              <w:left w:w="108" w:type="dxa"/>
              <w:right w:w="108" w:type="dxa"/>
            </w:tcMar>
            <w:vAlign w:val="center"/>
          </w:tcPr>
          <w:p w14:paraId="404441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批</w:t>
            </w:r>
          </w:p>
        </w:tc>
        <w:tc>
          <w:tcPr>
            <w:tcW w:w="788" w:type="dxa"/>
            <w:shd w:val="clear" w:color="auto" w:fill="auto"/>
            <w:tcMar>
              <w:left w:w="108" w:type="dxa"/>
              <w:right w:w="108" w:type="dxa"/>
            </w:tcMar>
            <w:vAlign w:val="center"/>
          </w:tcPr>
          <w:p w14:paraId="363419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1</w:t>
            </w:r>
          </w:p>
        </w:tc>
        <w:tc>
          <w:tcPr>
            <w:tcW w:w="796" w:type="dxa"/>
            <w:shd w:val="clear" w:color="auto" w:fill="auto"/>
            <w:tcMar>
              <w:left w:w="108" w:type="dxa"/>
              <w:right w:w="108" w:type="dxa"/>
            </w:tcMar>
            <w:vAlign w:val="center"/>
          </w:tcPr>
          <w:p w14:paraId="5E25F4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 否</w:t>
            </w:r>
          </w:p>
        </w:tc>
      </w:tr>
    </w:tbl>
    <w:p w14:paraId="235AAF54">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60" w:lineRule="exact"/>
        <w:ind w:left="-220" w:leftChars="0" w:right="0" w:firstLine="640" w:firstLineChars="0"/>
        <w:jc w:val="left"/>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技术商务要求</w:t>
      </w:r>
    </w:p>
    <w:p w14:paraId="1DB71EE4">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b/>
          <w:bCs/>
          <w:snapToGrid w:val="0"/>
          <w:color w:val="auto"/>
          <w:spacing w:val="-2"/>
          <w:kern w:val="0"/>
          <w:sz w:val="40"/>
          <w:szCs w:val="40"/>
          <w:lang w:val="en-US" w:eastAsia="zh-CN"/>
        </w:rPr>
      </w:pPr>
      <w:r>
        <w:rPr>
          <w:rFonts w:hint="eastAsia" w:ascii="宋体" w:hAnsi="宋体" w:eastAsia="宋体" w:cs="宋体"/>
          <w:b/>
          <w:bCs/>
          <w:snapToGrid w:val="0"/>
          <w:color w:val="auto"/>
          <w:spacing w:val="-2"/>
          <w:kern w:val="0"/>
          <w:sz w:val="40"/>
          <w:szCs w:val="40"/>
          <w:lang w:val="en-US" w:eastAsia="zh-CN"/>
        </w:rPr>
        <w:t>技术要求</w:t>
      </w:r>
    </w:p>
    <w:p w14:paraId="0EDF1530">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t>采购目录</w:t>
      </w:r>
    </w:p>
    <w:p w14:paraId="249EB36A">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tbl>
      <w:tblPr>
        <w:tblStyle w:val="474"/>
        <w:tblW w:w="88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3"/>
        <w:gridCol w:w="2084"/>
        <w:gridCol w:w="1300"/>
        <w:gridCol w:w="1291"/>
        <w:gridCol w:w="2000"/>
      </w:tblGrid>
      <w:tr w14:paraId="07CFE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jc w:val="center"/>
        </w:trPr>
        <w:tc>
          <w:tcPr>
            <w:tcW w:w="637" w:type="dxa"/>
            <w:tcBorders>
              <w:top w:val="single" w:color="000000" w:sz="4" w:space="0"/>
              <w:bottom w:val="single" w:color="000000" w:sz="4" w:space="0"/>
            </w:tcBorders>
            <w:vAlign w:val="top"/>
          </w:tcPr>
          <w:p w14:paraId="55E1B008">
            <w:pPr>
              <w:kinsoku w:val="0"/>
              <w:autoSpaceDE w:val="0"/>
              <w:autoSpaceDN w:val="0"/>
              <w:adjustRightInd w:val="0"/>
              <w:snapToGrid w:val="0"/>
              <w:spacing w:before="127" w:line="221" w:lineRule="auto"/>
              <w:ind w:left="133"/>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3" w:type="dxa"/>
            <w:tcBorders>
              <w:top w:val="single" w:color="000000" w:sz="4" w:space="0"/>
              <w:bottom w:val="single" w:color="000000" w:sz="4" w:space="0"/>
            </w:tcBorders>
            <w:vAlign w:val="top"/>
          </w:tcPr>
          <w:p w14:paraId="21A7ED2A">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采购单位</w:t>
            </w:r>
          </w:p>
        </w:tc>
        <w:tc>
          <w:tcPr>
            <w:tcW w:w="2084" w:type="dxa"/>
            <w:tcBorders>
              <w:top w:val="single" w:color="000000" w:sz="4" w:space="0"/>
              <w:bottom w:val="single" w:color="000000" w:sz="4" w:space="0"/>
            </w:tcBorders>
            <w:vAlign w:val="top"/>
          </w:tcPr>
          <w:p w14:paraId="67A8099E">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300" w:type="dxa"/>
            <w:tcBorders>
              <w:top w:val="single" w:color="000000" w:sz="4" w:space="0"/>
              <w:bottom w:val="single" w:color="000000" w:sz="4" w:space="0"/>
            </w:tcBorders>
            <w:vAlign w:val="top"/>
          </w:tcPr>
          <w:p w14:paraId="45496A50">
            <w:pPr>
              <w:kinsoku w:val="0"/>
              <w:autoSpaceDE w:val="0"/>
              <w:autoSpaceDN w:val="0"/>
              <w:adjustRightInd w:val="0"/>
              <w:snapToGrid w:val="0"/>
              <w:spacing w:before="127" w:line="220" w:lineRule="auto"/>
              <w:ind w:left="217"/>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1291" w:type="dxa"/>
            <w:tcBorders>
              <w:top w:val="single" w:color="000000" w:sz="4" w:space="0"/>
              <w:bottom w:val="single" w:color="000000" w:sz="4" w:space="0"/>
            </w:tcBorders>
            <w:vAlign w:val="top"/>
          </w:tcPr>
          <w:p w14:paraId="27C8A11A">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2000" w:type="dxa"/>
            <w:tcBorders>
              <w:top w:val="single" w:color="000000" w:sz="4" w:space="0"/>
              <w:bottom w:val="single" w:color="000000" w:sz="4" w:space="0"/>
            </w:tcBorders>
            <w:vAlign w:val="top"/>
          </w:tcPr>
          <w:p w14:paraId="3F5CCAF1">
            <w:pPr>
              <w:kinsoku w:val="0"/>
              <w:autoSpaceDE w:val="0"/>
              <w:autoSpaceDN w:val="0"/>
              <w:adjustRightInd w:val="0"/>
              <w:snapToGrid w:val="0"/>
              <w:spacing w:before="127" w:line="221" w:lineRule="auto"/>
              <w:ind w:left="315"/>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备注</w:t>
            </w:r>
          </w:p>
        </w:tc>
      </w:tr>
      <w:tr w14:paraId="4E589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41DC06F3">
            <w:pPr>
              <w:kinsoku w:val="0"/>
              <w:autoSpaceDE w:val="0"/>
              <w:autoSpaceDN w:val="0"/>
              <w:adjustRightInd w:val="0"/>
              <w:snapToGrid w:val="0"/>
              <w:spacing w:before="124" w:line="240" w:lineRule="auto"/>
              <w:ind w:left="270"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w:t>
            </w:r>
          </w:p>
        </w:tc>
        <w:tc>
          <w:tcPr>
            <w:tcW w:w="1563" w:type="dxa"/>
            <w:tcBorders>
              <w:top w:val="single" w:color="000000" w:sz="4" w:space="0"/>
              <w:bottom w:val="single" w:color="000000" w:sz="4" w:space="0"/>
            </w:tcBorders>
            <w:vAlign w:val="center"/>
          </w:tcPr>
          <w:p w14:paraId="7FC9B13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vAlign w:val="center"/>
          </w:tcPr>
          <w:p w14:paraId="010F94A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全自动核酸提纯及荧光PCR分析系统</w:t>
            </w:r>
          </w:p>
        </w:tc>
        <w:tc>
          <w:tcPr>
            <w:tcW w:w="1300" w:type="dxa"/>
            <w:tcBorders>
              <w:top w:val="single" w:color="000000" w:sz="4" w:space="0"/>
              <w:bottom w:val="single" w:color="000000" w:sz="4" w:space="0"/>
            </w:tcBorders>
            <w:vAlign w:val="center"/>
          </w:tcPr>
          <w:p w14:paraId="3A9476B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套</w:t>
            </w:r>
          </w:p>
        </w:tc>
        <w:tc>
          <w:tcPr>
            <w:tcW w:w="1291" w:type="dxa"/>
            <w:tcBorders>
              <w:top w:val="single" w:color="000000" w:sz="4" w:space="0"/>
              <w:bottom w:val="single" w:color="000000" w:sz="4" w:space="0"/>
            </w:tcBorders>
            <w:vAlign w:val="center"/>
          </w:tcPr>
          <w:p w14:paraId="0380CB8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vAlign w:val="center"/>
          </w:tcPr>
          <w:p w14:paraId="1D79308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96F3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shd w:val="clear" w:color="auto" w:fill="auto"/>
            <w:vAlign w:val="center"/>
          </w:tcPr>
          <w:p w14:paraId="70FCF163">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563" w:type="dxa"/>
            <w:tcBorders>
              <w:top w:val="single" w:color="000000" w:sz="4" w:space="0"/>
              <w:bottom w:val="single" w:color="000000" w:sz="4" w:space="0"/>
            </w:tcBorders>
            <w:shd w:val="clear" w:color="auto" w:fill="auto"/>
            <w:vAlign w:val="center"/>
          </w:tcPr>
          <w:p w14:paraId="682296A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4"/>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69EA7BC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全自动特定蛋白分析仪</w:t>
            </w:r>
          </w:p>
        </w:tc>
        <w:tc>
          <w:tcPr>
            <w:tcW w:w="1300" w:type="dxa"/>
            <w:tcBorders>
              <w:top w:val="single" w:color="000000" w:sz="4" w:space="0"/>
              <w:bottom w:val="single" w:color="000000" w:sz="4" w:space="0"/>
            </w:tcBorders>
            <w:shd w:val="clear" w:color="auto" w:fill="auto"/>
            <w:vAlign w:val="center"/>
          </w:tcPr>
          <w:p w14:paraId="34D91AA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7A67C38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429B580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zh-CN" w:bidi="ar-SA"/>
              </w:rPr>
            </w:pPr>
          </w:p>
        </w:tc>
      </w:tr>
      <w:tr w14:paraId="287E6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shd w:val="clear" w:color="auto" w:fill="auto"/>
            <w:vAlign w:val="center"/>
          </w:tcPr>
          <w:p w14:paraId="39326AA2">
            <w:pPr>
              <w:kinsoku w:val="0"/>
              <w:autoSpaceDE w:val="0"/>
              <w:autoSpaceDN w:val="0"/>
              <w:adjustRightInd w:val="0"/>
              <w:snapToGrid w:val="0"/>
              <w:spacing w:before="122"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563" w:type="dxa"/>
            <w:tcBorders>
              <w:top w:val="single" w:color="000000" w:sz="4" w:space="0"/>
              <w:bottom w:val="single" w:color="000000" w:sz="4" w:space="0"/>
            </w:tcBorders>
            <w:shd w:val="clear" w:color="auto" w:fill="auto"/>
            <w:vAlign w:val="center"/>
          </w:tcPr>
          <w:p w14:paraId="200A886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1"/>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5ACE77D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全自动血细胞分析仪</w:t>
            </w:r>
          </w:p>
        </w:tc>
        <w:tc>
          <w:tcPr>
            <w:tcW w:w="1300" w:type="dxa"/>
            <w:tcBorders>
              <w:top w:val="single" w:color="000000" w:sz="4" w:space="0"/>
              <w:bottom w:val="single" w:color="000000" w:sz="4" w:space="0"/>
            </w:tcBorders>
            <w:shd w:val="clear" w:color="auto" w:fill="auto"/>
            <w:vAlign w:val="center"/>
          </w:tcPr>
          <w:p w14:paraId="3550450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2ECB8BF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23227B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bidi="ar-SA"/>
              </w:rPr>
            </w:pPr>
          </w:p>
        </w:tc>
      </w:tr>
      <w:tr w14:paraId="5148C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DE90E4F">
            <w:pPr>
              <w:kinsoku w:val="0"/>
              <w:autoSpaceDE w:val="0"/>
              <w:autoSpaceDN w:val="0"/>
              <w:adjustRightInd w:val="0"/>
              <w:snapToGrid w:val="0"/>
              <w:spacing w:before="124" w:line="240" w:lineRule="auto"/>
              <w:ind w:left="27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w:t>
            </w:r>
          </w:p>
        </w:tc>
        <w:tc>
          <w:tcPr>
            <w:tcW w:w="1563" w:type="dxa"/>
            <w:tcBorders>
              <w:top w:val="single" w:color="000000" w:sz="4" w:space="0"/>
              <w:bottom w:val="single" w:color="000000" w:sz="4" w:space="0"/>
            </w:tcBorders>
            <w:shd w:val="clear" w:color="auto" w:fill="auto"/>
            <w:vAlign w:val="center"/>
          </w:tcPr>
          <w:p w14:paraId="7F585DF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1"/>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3C00A64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全自动化学发光分析仪</w:t>
            </w:r>
          </w:p>
        </w:tc>
        <w:tc>
          <w:tcPr>
            <w:tcW w:w="1300" w:type="dxa"/>
            <w:tcBorders>
              <w:top w:val="single" w:color="000000" w:sz="4" w:space="0"/>
              <w:bottom w:val="single" w:color="000000" w:sz="4" w:space="0"/>
            </w:tcBorders>
            <w:shd w:val="clear" w:color="auto" w:fill="auto"/>
            <w:vAlign w:val="center"/>
          </w:tcPr>
          <w:p w14:paraId="20DCA44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329F36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273687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en-US" w:bidi="ar-SA"/>
              </w:rPr>
            </w:pPr>
          </w:p>
        </w:tc>
      </w:tr>
      <w:tr w14:paraId="2ECA5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79013D6">
            <w:pPr>
              <w:kinsoku w:val="0"/>
              <w:autoSpaceDE w:val="0"/>
              <w:autoSpaceDN w:val="0"/>
              <w:adjustRightInd w:val="0"/>
              <w:snapToGrid w:val="0"/>
              <w:spacing w:before="124"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563" w:type="dxa"/>
            <w:tcBorders>
              <w:top w:val="single" w:color="000000" w:sz="4" w:space="0"/>
              <w:bottom w:val="single" w:color="000000" w:sz="4" w:space="0"/>
            </w:tcBorders>
            <w:shd w:val="clear" w:color="auto" w:fill="auto"/>
            <w:vAlign w:val="center"/>
          </w:tcPr>
          <w:p w14:paraId="554E16B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090A82C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300" w:type="dxa"/>
            <w:tcBorders>
              <w:top w:val="single" w:color="000000" w:sz="4" w:space="0"/>
              <w:bottom w:val="single" w:color="000000" w:sz="4" w:space="0"/>
            </w:tcBorders>
            <w:shd w:val="clear" w:color="auto" w:fill="auto"/>
            <w:vAlign w:val="center"/>
          </w:tcPr>
          <w:p w14:paraId="0833013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F2E75A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15</w:t>
            </w:r>
          </w:p>
        </w:tc>
        <w:tc>
          <w:tcPr>
            <w:tcW w:w="2000" w:type="dxa"/>
            <w:tcBorders>
              <w:top w:val="single" w:color="000000" w:sz="4" w:space="0"/>
              <w:bottom w:val="single" w:color="000000" w:sz="4" w:space="0"/>
            </w:tcBorders>
            <w:shd w:val="clear" w:color="auto" w:fill="auto"/>
            <w:vAlign w:val="center"/>
          </w:tcPr>
          <w:p w14:paraId="357FDAB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en-US" w:bidi="ar-SA"/>
              </w:rPr>
            </w:pPr>
          </w:p>
        </w:tc>
      </w:tr>
      <w:tr w14:paraId="7E376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F533DAA">
            <w:pPr>
              <w:kinsoku w:val="0"/>
              <w:autoSpaceDE w:val="0"/>
              <w:autoSpaceDN w:val="0"/>
              <w:adjustRightInd w:val="0"/>
              <w:snapToGrid w:val="0"/>
              <w:spacing w:before="124"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563" w:type="dxa"/>
            <w:tcBorders>
              <w:top w:val="single" w:color="000000" w:sz="4" w:space="0"/>
              <w:bottom w:val="single" w:color="000000" w:sz="4" w:space="0"/>
            </w:tcBorders>
            <w:shd w:val="clear" w:color="auto" w:fill="auto"/>
            <w:vAlign w:val="center"/>
          </w:tcPr>
          <w:p w14:paraId="41AE021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2B80F8A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智慧药房硬件设施</w:t>
            </w:r>
          </w:p>
        </w:tc>
        <w:tc>
          <w:tcPr>
            <w:tcW w:w="1300" w:type="dxa"/>
            <w:tcBorders>
              <w:top w:val="single" w:color="000000" w:sz="4" w:space="0"/>
              <w:bottom w:val="single" w:color="000000" w:sz="4" w:space="0"/>
            </w:tcBorders>
            <w:shd w:val="clear" w:color="auto" w:fill="auto"/>
            <w:vAlign w:val="center"/>
          </w:tcPr>
          <w:p w14:paraId="7304EA4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55F894B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F5FCF8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en-US" w:bidi="ar-SA"/>
              </w:rPr>
            </w:pPr>
          </w:p>
        </w:tc>
      </w:tr>
      <w:tr w14:paraId="4ED7E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29F7564">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563" w:type="dxa"/>
            <w:tcBorders>
              <w:top w:val="single" w:color="000000" w:sz="4" w:space="0"/>
              <w:bottom w:val="single" w:color="000000" w:sz="4" w:space="0"/>
            </w:tcBorders>
            <w:shd w:val="clear" w:color="auto" w:fill="auto"/>
            <w:vAlign w:val="center"/>
          </w:tcPr>
          <w:p w14:paraId="11A42AF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2EC3AA1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脉动真空高温高压灭菌器</w:t>
            </w:r>
          </w:p>
        </w:tc>
        <w:tc>
          <w:tcPr>
            <w:tcW w:w="1300" w:type="dxa"/>
            <w:tcBorders>
              <w:top w:val="single" w:color="000000" w:sz="4" w:space="0"/>
              <w:bottom w:val="single" w:color="000000" w:sz="4" w:space="0"/>
            </w:tcBorders>
            <w:shd w:val="clear" w:color="auto" w:fill="auto"/>
            <w:vAlign w:val="center"/>
          </w:tcPr>
          <w:p w14:paraId="6AF5318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1EBEF5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7649E8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CB4F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CCCE506">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563" w:type="dxa"/>
            <w:tcBorders>
              <w:top w:val="single" w:color="000000" w:sz="4" w:space="0"/>
              <w:bottom w:val="single" w:color="000000" w:sz="4" w:space="0"/>
            </w:tcBorders>
            <w:shd w:val="clear" w:color="auto" w:fill="auto"/>
            <w:vAlign w:val="center"/>
          </w:tcPr>
          <w:p w14:paraId="0D639E1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695940F8">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智能多功能巡回</w:t>
            </w:r>
            <w:r>
              <w:rPr>
                <w:rFonts w:hint="eastAsia" w:ascii="宋体" w:hAnsi="宋体" w:eastAsia="宋体" w:cs="宋体"/>
                <w:snapToGrid w:val="0"/>
                <w:color w:val="auto"/>
                <w:spacing w:val="-2"/>
                <w:kern w:val="0"/>
                <w:sz w:val="18"/>
                <w:szCs w:val="18"/>
                <w:lang w:val="en-US" w:eastAsia="zh-CN" w:bidi="ar-SA"/>
              </w:rPr>
              <w:t>诊</w:t>
            </w:r>
            <w:r>
              <w:rPr>
                <w:rFonts w:hint="eastAsia" w:ascii="宋体" w:hAnsi="宋体" w:eastAsia="宋体" w:cs="宋体"/>
                <w:snapToGrid w:val="0"/>
                <w:color w:val="auto"/>
                <w:spacing w:val="-2"/>
                <w:kern w:val="0"/>
                <w:sz w:val="18"/>
                <w:szCs w:val="18"/>
                <w:lang w:val="en-US" w:eastAsia="en-US" w:bidi="ar-SA"/>
              </w:rPr>
              <w:t>疗车</w:t>
            </w:r>
          </w:p>
        </w:tc>
        <w:tc>
          <w:tcPr>
            <w:tcW w:w="1300" w:type="dxa"/>
            <w:tcBorders>
              <w:top w:val="single" w:color="000000" w:sz="4" w:space="0"/>
              <w:bottom w:val="single" w:color="000000" w:sz="4" w:space="0"/>
            </w:tcBorders>
            <w:shd w:val="clear" w:color="auto" w:fill="auto"/>
            <w:vAlign w:val="center"/>
          </w:tcPr>
          <w:p w14:paraId="658702D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24C0F8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28232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9368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8005B74">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5707F676">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1A64444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3E32EE1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24</w:t>
            </w:r>
          </w:p>
        </w:tc>
        <w:tc>
          <w:tcPr>
            <w:tcW w:w="2000" w:type="dxa"/>
            <w:tcBorders>
              <w:top w:val="single" w:color="000000" w:sz="4" w:space="0"/>
              <w:bottom w:val="single" w:color="000000" w:sz="4" w:space="0"/>
            </w:tcBorders>
            <w:shd w:val="clear" w:color="auto" w:fill="auto"/>
            <w:vAlign w:val="center"/>
          </w:tcPr>
          <w:p w14:paraId="478FE4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C3B5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7" w:type="dxa"/>
            <w:tcBorders>
              <w:top w:val="single" w:color="000000" w:sz="4" w:space="0"/>
              <w:bottom w:val="single" w:color="000000" w:sz="4" w:space="0"/>
            </w:tcBorders>
            <w:shd w:val="clear" w:color="auto" w:fill="auto"/>
            <w:vAlign w:val="center"/>
          </w:tcPr>
          <w:p w14:paraId="5663FF0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563" w:type="dxa"/>
            <w:tcBorders>
              <w:top w:val="single" w:color="000000" w:sz="4" w:space="0"/>
              <w:bottom w:val="single" w:color="000000" w:sz="4" w:space="0"/>
            </w:tcBorders>
            <w:shd w:val="clear" w:color="auto" w:fill="auto"/>
            <w:vAlign w:val="center"/>
          </w:tcPr>
          <w:p w14:paraId="2ECD1FE7">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3E4EB9A1">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300" w:type="dxa"/>
            <w:tcBorders>
              <w:top w:val="single" w:color="000000" w:sz="4" w:space="0"/>
              <w:bottom w:val="single" w:color="000000" w:sz="4" w:space="0"/>
            </w:tcBorders>
            <w:shd w:val="clear" w:color="auto" w:fill="auto"/>
            <w:vAlign w:val="center"/>
          </w:tcPr>
          <w:p w14:paraId="4FD10E5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96CFA3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342EAE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56C5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360B86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1563" w:type="dxa"/>
            <w:tcBorders>
              <w:top w:val="single" w:color="000000" w:sz="4" w:space="0"/>
              <w:bottom w:val="single" w:color="000000" w:sz="4" w:space="0"/>
            </w:tcBorders>
            <w:shd w:val="clear" w:color="auto" w:fill="auto"/>
            <w:vAlign w:val="center"/>
          </w:tcPr>
          <w:p w14:paraId="37A9A82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4F6ED419">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微量五元素</w:t>
            </w:r>
          </w:p>
        </w:tc>
        <w:tc>
          <w:tcPr>
            <w:tcW w:w="1300" w:type="dxa"/>
            <w:tcBorders>
              <w:top w:val="single" w:color="000000" w:sz="4" w:space="0"/>
              <w:bottom w:val="single" w:color="000000" w:sz="4" w:space="0"/>
            </w:tcBorders>
            <w:shd w:val="clear" w:color="auto" w:fill="auto"/>
            <w:vAlign w:val="center"/>
          </w:tcPr>
          <w:p w14:paraId="67F7DAB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89D189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06CD52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B4AF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3F2974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11</w:t>
            </w:r>
          </w:p>
        </w:tc>
        <w:tc>
          <w:tcPr>
            <w:tcW w:w="1563" w:type="dxa"/>
            <w:tcBorders>
              <w:top w:val="single" w:color="000000" w:sz="4" w:space="0"/>
              <w:bottom w:val="single" w:color="000000" w:sz="4" w:space="0"/>
            </w:tcBorders>
            <w:shd w:val="clear" w:color="auto" w:fill="auto"/>
            <w:vAlign w:val="center"/>
          </w:tcPr>
          <w:p w14:paraId="1C8ECC7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49AA85A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4K超高清宫腔镜系统</w:t>
            </w:r>
          </w:p>
        </w:tc>
        <w:tc>
          <w:tcPr>
            <w:tcW w:w="1300" w:type="dxa"/>
            <w:tcBorders>
              <w:top w:val="single" w:color="000000" w:sz="4" w:space="0"/>
              <w:bottom w:val="single" w:color="000000" w:sz="4" w:space="0"/>
            </w:tcBorders>
            <w:shd w:val="clear" w:color="auto" w:fill="auto"/>
            <w:vAlign w:val="center"/>
          </w:tcPr>
          <w:p w14:paraId="1C39911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vertAlign w:val="baseline"/>
                <w:lang w:val="en-US" w:eastAsia="zh-CN" w:bidi="ar-SA"/>
              </w:rPr>
              <w:t>套</w:t>
            </w:r>
          </w:p>
        </w:tc>
        <w:tc>
          <w:tcPr>
            <w:tcW w:w="1291" w:type="dxa"/>
            <w:tcBorders>
              <w:top w:val="single" w:color="000000" w:sz="4" w:space="0"/>
              <w:bottom w:val="single" w:color="000000" w:sz="4" w:space="0"/>
            </w:tcBorders>
            <w:shd w:val="clear" w:color="auto" w:fill="auto"/>
            <w:vAlign w:val="center"/>
          </w:tcPr>
          <w:p w14:paraId="030682E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59945B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A4C3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CEC9D19">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12</w:t>
            </w:r>
          </w:p>
        </w:tc>
        <w:tc>
          <w:tcPr>
            <w:tcW w:w="1563" w:type="dxa"/>
            <w:tcBorders>
              <w:top w:val="single" w:color="000000" w:sz="4" w:space="0"/>
              <w:bottom w:val="single" w:color="000000" w:sz="4" w:space="0"/>
            </w:tcBorders>
            <w:shd w:val="clear" w:color="auto" w:fill="auto"/>
            <w:vAlign w:val="center"/>
          </w:tcPr>
          <w:p w14:paraId="3F8F442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44FFF313">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5"/>
                <w:kern w:val="0"/>
                <w:sz w:val="18"/>
                <w:szCs w:val="18"/>
                <w:lang w:val="en-US" w:eastAsia="en-US" w:bidi="ar-SA"/>
              </w:rPr>
              <w:t>电子阴道镜</w:t>
            </w:r>
          </w:p>
        </w:tc>
        <w:tc>
          <w:tcPr>
            <w:tcW w:w="1300" w:type="dxa"/>
            <w:tcBorders>
              <w:top w:val="single" w:color="000000" w:sz="4" w:space="0"/>
              <w:bottom w:val="single" w:color="000000" w:sz="4" w:space="0"/>
            </w:tcBorders>
            <w:shd w:val="clear" w:color="auto" w:fill="auto"/>
            <w:vAlign w:val="center"/>
          </w:tcPr>
          <w:p w14:paraId="743AF86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F2F289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FA0F07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EC8C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058D5C3">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13</w:t>
            </w:r>
          </w:p>
        </w:tc>
        <w:tc>
          <w:tcPr>
            <w:tcW w:w="1563" w:type="dxa"/>
            <w:tcBorders>
              <w:top w:val="single" w:color="000000" w:sz="4" w:space="0"/>
              <w:bottom w:val="single" w:color="000000" w:sz="4" w:space="0"/>
            </w:tcBorders>
            <w:shd w:val="clear" w:color="auto" w:fill="auto"/>
            <w:vAlign w:val="center"/>
          </w:tcPr>
          <w:p w14:paraId="2E0B660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6D6D7FA9">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300" w:type="dxa"/>
            <w:tcBorders>
              <w:top w:val="single" w:color="000000" w:sz="4" w:space="0"/>
              <w:bottom w:val="single" w:color="000000" w:sz="4" w:space="0"/>
            </w:tcBorders>
            <w:shd w:val="clear" w:color="auto" w:fill="auto"/>
            <w:vAlign w:val="center"/>
          </w:tcPr>
          <w:p w14:paraId="545B4F5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375A84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AB9668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85B9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AC29EBA">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0273971E">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7484534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5190E20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5</w:t>
            </w:r>
          </w:p>
        </w:tc>
        <w:tc>
          <w:tcPr>
            <w:tcW w:w="2000" w:type="dxa"/>
            <w:tcBorders>
              <w:top w:val="single" w:color="000000" w:sz="4" w:space="0"/>
              <w:bottom w:val="single" w:color="000000" w:sz="4" w:space="0"/>
            </w:tcBorders>
            <w:shd w:val="clear" w:color="auto" w:fill="auto"/>
            <w:vAlign w:val="center"/>
          </w:tcPr>
          <w:p w14:paraId="1F558A8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1528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D4CD33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14</w:t>
            </w:r>
          </w:p>
        </w:tc>
        <w:tc>
          <w:tcPr>
            <w:tcW w:w="1563" w:type="dxa"/>
            <w:tcBorders>
              <w:top w:val="single" w:color="000000" w:sz="4" w:space="0"/>
              <w:bottom w:val="single" w:color="000000" w:sz="4" w:space="0"/>
            </w:tcBorders>
            <w:shd w:val="clear" w:color="auto" w:fill="auto"/>
            <w:vAlign w:val="center"/>
          </w:tcPr>
          <w:p w14:paraId="195B778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45725B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C臂机</w:t>
            </w:r>
          </w:p>
        </w:tc>
        <w:tc>
          <w:tcPr>
            <w:tcW w:w="1300" w:type="dxa"/>
            <w:tcBorders>
              <w:top w:val="single" w:color="000000" w:sz="4" w:space="0"/>
              <w:bottom w:val="single" w:color="000000" w:sz="4" w:space="0"/>
            </w:tcBorders>
            <w:shd w:val="clear" w:color="auto" w:fill="auto"/>
            <w:vAlign w:val="center"/>
          </w:tcPr>
          <w:p w14:paraId="13E32CF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071893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96EFB8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F54E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7907A79">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15</w:t>
            </w:r>
          </w:p>
        </w:tc>
        <w:tc>
          <w:tcPr>
            <w:tcW w:w="1563" w:type="dxa"/>
            <w:tcBorders>
              <w:top w:val="single" w:color="000000" w:sz="4" w:space="0"/>
              <w:bottom w:val="single" w:color="000000" w:sz="4" w:space="0"/>
            </w:tcBorders>
            <w:shd w:val="clear" w:color="auto" w:fill="auto"/>
            <w:vAlign w:val="center"/>
          </w:tcPr>
          <w:p w14:paraId="7DAC963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0000FF"/>
                <w:spacing w:val="-2"/>
                <w:kern w:val="0"/>
                <w:sz w:val="18"/>
                <w:szCs w:val="18"/>
                <w:highlight w:val="yellow"/>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7E81F1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0000FF"/>
                <w:spacing w:val="-2"/>
                <w:kern w:val="0"/>
                <w:sz w:val="18"/>
                <w:szCs w:val="18"/>
                <w:highlight w:val="yellow"/>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300" w:type="dxa"/>
            <w:tcBorders>
              <w:top w:val="single" w:color="000000" w:sz="4" w:space="0"/>
              <w:bottom w:val="single" w:color="000000" w:sz="4" w:space="0"/>
            </w:tcBorders>
            <w:shd w:val="clear" w:color="auto" w:fill="auto"/>
            <w:vAlign w:val="center"/>
          </w:tcPr>
          <w:p w14:paraId="7B7ACE1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0000FF"/>
                <w:kern w:val="0"/>
                <w:sz w:val="18"/>
                <w:szCs w:val="18"/>
                <w:highlight w:val="yellow"/>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C41690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0000FF"/>
                <w:kern w:val="0"/>
                <w:sz w:val="18"/>
                <w:szCs w:val="18"/>
                <w:highlight w:val="yellow"/>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7B844D8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879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017223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16</w:t>
            </w:r>
          </w:p>
        </w:tc>
        <w:tc>
          <w:tcPr>
            <w:tcW w:w="1563" w:type="dxa"/>
            <w:tcBorders>
              <w:top w:val="single" w:color="000000" w:sz="4" w:space="0"/>
              <w:bottom w:val="single" w:color="000000" w:sz="4" w:space="0"/>
            </w:tcBorders>
            <w:shd w:val="clear" w:color="auto" w:fill="auto"/>
            <w:vAlign w:val="center"/>
          </w:tcPr>
          <w:p w14:paraId="2A8370F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A2C49D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幽门螺旋杆菌检测仪</w:t>
            </w:r>
          </w:p>
        </w:tc>
        <w:tc>
          <w:tcPr>
            <w:tcW w:w="1300" w:type="dxa"/>
            <w:tcBorders>
              <w:top w:val="single" w:color="000000" w:sz="4" w:space="0"/>
              <w:bottom w:val="single" w:color="000000" w:sz="4" w:space="0"/>
            </w:tcBorders>
            <w:shd w:val="clear" w:color="auto" w:fill="auto"/>
            <w:vAlign w:val="center"/>
          </w:tcPr>
          <w:p w14:paraId="48D91F4F">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88DBE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A85D13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4C99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7E36FE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17</w:t>
            </w:r>
          </w:p>
        </w:tc>
        <w:tc>
          <w:tcPr>
            <w:tcW w:w="1563" w:type="dxa"/>
            <w:tcBorders>
              <w:top w:val="single" w:color="000000" w:sz="4" w:space="0"/>
              <w:bottom w:val="single" w:color="000000" w:sz="4" w:space="0"/>
            </w:tcBorders>
            <w:shd w:val="clear" w:color="auto" w:fill="auto"/>
            <w:vAlign w:val="center"/>
          </w:tcPr>
          <w:p w14:paraId="0AB1575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F11AC4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肺功能测试仪</w:t>
            </w:r>
          </w:p>
        </w:tc>
        <w:tc>
          <w:tcPr>
            <w:tcW w:w="1300" w:type="dxa"/>
            <w:tcBorders>
              <w:top w:val="single" w:color="000000" w:sz="4" w:space="0"/>
              <w:bottom w:val="single" w:color="000000" w:sz="4" w:space="0"/>
            </w:tcBorders>
            <w:shd w:val="clear" w:color="auto" w:fill="auto"/>
            <w:vAlign w:val="center"/>
          </w:tcPr>
          <w:p w14:paraId="3EB4B0F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A413A1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4E2FE5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E484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2372D83">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18</w:t>
            </w:r>
          </w:p>
        </w:tc>
        <w:tc>
          <w:tcPr>
            <w:tcW w:w="1563" w:type="dxa"/>
            <w:tcBorders>
              <w:top w:val="single" w:color="000000" w:sz="4" w:space="0"/>
              <w:bottom w:val="single" w:color="000000" w:sz="4" w:space="0"/>
            </w:tcBorders>
            <w:shd w:val="clear" w:color="auto" w:fill="auto"/>
            <w:vAlign w:val="center"/>
          </w:tcPr>
          <w:p w14:paraId="056C9E6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41B4FAA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内窥镜荧光摄像系统</w:t>
            </w:r>
          </w:p>
        </w:tc>
        <w:tc>
          <w:tcPr>
            <w:tcW w:w="1300" w:type="dxa"/>
            <w:tcBorders>
              <w:top w:val="single" w:color="000000" w:sz="4" w:space="0"/>
              <w:bottom w:val="single" w:color="000000" w:sz="4" w:space="0"/>
            </w:tcBorders>
            <w:shd w:val="clear" w:color="auto" w:fill="auto"/>
            <w:vAlign w:val="center"/>
          </w:tcPr>
          <w:p w14:paraId="2720FDD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0617A6EC">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5D0125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C60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CBDB8E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19</w:t>
            </w:r>
          </w:p>
        </w:tc>
        <w:tc>
          <w:tcPr>
            <w:tcW w:w="1563" w:type="dxa"/>
            <w:tcBorders>
              <w:top w:val="single" w:color="000000" w:sz="4" w:space="0"/>
              <w:bottom w:val="single" w:color="000000" w:sz="4" w:space="0"/>
            </w:tcBorders>
            <w:shd w:val="clear" w:color="auto" w:fill="auto"/>
            <w:vAlign w:val="center"/>
          </w:tcPr>
          <w:p w14:paraId="67F6C62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B3C180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输尿管镜系统（成人和儿童）</w:t>
            </w:r>
          </w:p>
        </w:tc>
        <w:tc>
          <w:tcPr>
            <w:tcW w:w="1300" w:type="dxa"/>
            <w:tcBorders>
              <w:top w:val="single" w:color="000000" w:sz="4" w:space="0"/>
              <w:bottom w:val="single" w:color="000000" w:sz="4" w:space="0"/>
            </w:tcBorders>
            <w:shd w:val="clear" w:color="auto" w:fill="auto"/>
            <w:vAlign w:val="center"/>
          </w:tcPr>
          <w:p w14:paraId="5BC0A78F">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251D1A3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1FF978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F847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E4D01C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20</w:t>
            </w:r>
          </w:p>
        </w:tc>
        <w:tc>
          <w:tcPr>
            <w:tcW w:w="1563" w:type="dxa"/>
            <w:tcBorders>
              <w:top w:val="single" w:color="000000" w:sz="4" w:space="0"/>
              <w:bottom w:val="single" w:color="000000" w:sz="4" w:space="0"/>
            </w:tcBorders>
            <w:shd w:val="clear" w:color="auto" w:fill="auto"/>
            <w:vAlign w:val="center"/>
          </w:tcPr>
          <w:p w14:paraId="5FEFABF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2E0B8F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胃肠镜系统</w:t>
            </w:r>
          </w:p>
        </w:tc>
        <w:tc>
          <w:tcPr>
            <w:tcW w:w="1300" w:type="dxa"/>
            <w:tcBorders>
              <w:top w:val="single" w:color="000000" w:sz="4" w:space="0"/>
              <w:bottom w:val="single" w:color="000000" w:sz="4" w:space="0"/>
            </w:tcBorders>
            <w:shd w:val="clear" w:color="auto" w:fill="auto"/>
            <w:vAlign w:val="center"/>
          </w:tcPr>
          <w:p w14:paraId="3778FFB8">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40CF10E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0564A1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F021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A4E57E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21</w:t>
            </w:r>
          </w:p>
        </w:tc>
        <w:tc>
          <w:tcPr>
            <w:tcW w:w="1563" w:type="dxa"/>
            <w:tcBorders>
              <w:top w:val="single" w:color="000000" w:sz="4" w:space="0"/>
              <w:bottom w:val="single" w:color="000000" w:sz="4" w:space="0"/>
            </w:tcBorders>
            <w:shd w:val="clear" w:color="auto" w:fill="auto"/>
            <w:vAlign w:val="center"/>
          </w:tcPr>
          <w:p w14:paraId="3BC73E3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5965F61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宫腔镜系统</w:t>
            </w:r>
          </w:p>
        </w:tc>
        <w:tc>
          <w:tcPr>
            <w:tcW w:w="1300" w:type="dxa"/>
            <w:tcBorders>
              <w:top w:val="single" w:color="000000" w:sz="4" w:space="0"/>
              <w:bottom w:val="single" w:color="000000" w:sz="4" w:space="0"/>
            </w:tcBorders>
            <w:shd w:val="clear" w:color="auto" w:fill="auto"/>
            <w:vAlign w:val="center"/>
          </w:tcPr>
          <w:p w14:paraId="0388863D">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5B03F63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42B61E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9218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1F6D30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22</w:t>
            </w:r>
          </w:p>
        </w:tc>
        <w:tc>
          <w:tcPr>
            <w:tcW w:w="1563" w:type="dxa"/>
            <w:tcBorders>
              <w:top w:val="single" w:color="000000" w:sz="4" w:space="0"/>
              <w:bottom w:val="single" w:color="000000" w:sz="4" w:space="0"/>
            </w:tcBorders>
            <w:shd w:val="clear" w:color="auto" w:fill="auto"/>
            <w:vAlign w:val="center"/>
          </w:tcPr>
          <w:p w14:paraId="5491D43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7B8B29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等离子电切镜</w:t>
            </w:r>
          </w:p>
        </w:tc>
        <w:tc>
          <w:tcPr>
            <w:tcW w:w="1300" w:type="dxa"/>
            <w:tcBorders>
              <w:top w:val="single" w:color="000000" w:sz="4" w:space="0"/>
              <w:bottom w:val="single" w:color="000000" w:sz="4" w:space="0"/>
            </w:tcBorders>
            <w:shd w:val="clear" w:color="auto" w:fill="auto"/>
            <w:vAlign w:val="center"/>
          </w:tcPr>
          <w:p w14:paraId="0C0DE23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6663C9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FAAD9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351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163F16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23</w:t>
            </w:r>
          </w:p>
        </w:tc>
        <w:tc>
          <w:tcPr>
            <w:tcW w:w="1563" w:type="dxa"/>
            <w:tcBorders>
              <w:top w:val="single" w:color="000000" w:sz="4" w:space="0"/>
              <w:bottom w:val="single" w:color="000000" w:sz="4" w:space="0"/>
            </w:tcBorders>
            <w:shd w:val="clear" w:color="auto" w:fill="auto"/>
            <w:vAlign w:val="center"/>
          </w:tcPr>
          <w:p w14:paraId="4D356BB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478AD7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耳鼻腔内窥镜</w:t>
            </w:r>
          </w:p>
        </w:tc>
        <w:tc>
          <w:tcPr>
            <w:tcW w:w="1300" w:type="dxa"/>
            <w:tcBorders>
              <w:top w:val="single" w:color="000000" w:sz="4" w:space="0"/>
              <w:bottom w:val="single" w:color="000000" w:sz="4" w:space="0"/>
            </w:tcBorders>
            <w:shd w:val="clear" w:color="auto" w:fill="auto"/>
            <w:vAlign w:val="center"/>
          </w:tcPr>
          <w:p w14:paraId="36E2AB7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C64ABD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99ECBC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1D57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96B39C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24</w:t>
            </w:r>
          </w:p>
        </w:tc>
        <w:tc>
          <w:tcPr>
            <w:tcW w:w="1563" w:type="dxa"/>
            <w:tcBorders>
              <w:top w:val="single" w:color="000000" w:sz="4" w:space="0"/>
              <w:bottom w:val="single" w:color="000000" w:sz="4" w:space="0"/>
            </w:tcBorders>
            <w:shd w:val="clear" w:color="auto" w:fill="auto"/>
            <w:vAlign w:val="center"/>
          </w:tcPr>
          <w:p w14:paraId="37EA8E9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480D7A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电子喉镜系统（成人和儿童）</w:t>
            </w:r>
          </w:p>
        </w:tc>
        <w:tc>
          <w:tcPr>
            <w:tcW w:w="1300" w:type="dxa"/>
            <w:tcBorders>
              <w:top w:val="single" w:color="000000" w:sz="4" w:space="0"/>
              <w:bottom w:val="single" w:color="000000" w:sz="4" w:space="0"/>
            </w:tcBorders>
            <w:shd w:val="clear" w:color="auto" w:fill="auto"/>
            <w:vAlign w:val="center"/>
          </w:tcPr>
          <w:p w14:paraId="1E7001D1">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35D6728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21C81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B6D3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24D624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25</w:t>
            </w:r>
          </w:p>
        </w:tc>
        <w:tc>
          <w:tcPr>
            <w:tcW w:w="1563" w:type="dxa"/>
            <w:tcBorders>
              <w:top w:val="single" w:color="000000" w:sz="4" w:space="0"/>
              <w:bottom w:val="single" w:color="000000" w:sz="4" w:space="0"/>
            </w:tcBorders>
            <w:shd w:val="clear" w:color="auto" w:fill="auto"/>
            <w:vAlign w:val="center"/>
          </w:tcPr>
          <w:p w14:paraId="71996C3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53A33B4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膀胱镜系统</w:t>
            </w:r>
          </w:p>
        </w:tc>
        <w:tc>
          <w:tcPr>
            <w:tcW w:w="1300" w:type="dxa"/>
            <w:tcBorders>
              <w:top w:val="single" w:color="000000" w:sz="4" w:space="0"/>
              <w:bottom w:val="single" w:color="000000" w:sz="4" w:space="0"/>
            </w:tcBorders>
            <w:shd w:val="clear" w:color="auto" w:fill="auto"/>
            <w:vAlign w:val="center"/>
          </w:tcPr>
          <w:p w14:paraId="2784BB95">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2474C21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8B3AAE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F0B6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203BDC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26</w:t>
            </w:r>
          </w:p>
        </w:tc>
        <w:tc>
          <w:tcPr>
            <w:tcW w:w="1563" w:type="dxa"/>
            <w:tcBorders>
              <w:top w:val="single" w:color="000000" w:sz="4" w:space="0"/>
              <w:bottom w:val="single" w:color="000000" w:sz="4" w:space="0"/>
            </w:tcBorders>
            <w:shd w:val="clear" w:color="auto" w:fill="auto"/>
            <w:vAlign w:val="center"/>
          </w:tcPr>
          <w:p w14:paraId="7D39D16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48B19CC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内镜清洗消毒机</w:t>
            </w:r>
          </w:p>
        </w:tc>
        <w:tc>
          <w:tcPr>
            <w:tcW w:w="1300" w:type="dxa"/>
            <w:tcBorders>
              <w:top w:val="single" w:color="000000" w:sz="4" w:space="0"/>
              <w:bottom w:val="single" w:color="000000" w:sz="4" w:space="0"/>
            </w:tcBorders>
            <w:shd w:val="clear" w:color="auto" w:fill="auto"/>
            <w:vAlign w:val="center"/>
          </w:tcPr>
          <w:p w14:paraId="4958CCE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04C51C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0279FC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AA87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8C5E02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27</w:t>
            </w:r>
          </w:p>
        </w:tc>
        <w:tc>
          <w:tcPr>
            <w:tcW w:w="1563" w:type="dxa"/>
            <w:tcBorders>
              <w:top w:val="single" w:color="000000" w:sz="4" w:space="0"/>
              <w:bottom w:val="single" w:color="000000" w:sz="4" w:space="0"/>
            </w:tcBorders>
            <w:shd w:val="clear" w:color="auto" w:fill="auto"/>
            <w:vAlign w:val="center"/>
          </w:tcPr>
          <w:p w14:paraId="21144C6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1C4E2826">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21"/>
                <w:szCs w:val="21"/>
                <w:lang w:val="en-US" w:eastAsia="en-US" w:bidi="ar-SA"/>
              </w:rPr>
              <w:t>血液透析机</w:t>
            </w:r>
            <w:r>
              <w:rPr>
                <w:rFonts w:hint="eastAsia" w:ascii="宋体" w:hAnsi="宋体" w:eastAsia="宋体" w:cs="宋体"/>
                <w:snapToGrid w:val="0"/>
                <w:color w:val="auto"/>
                <w:spacing w:val="-1"/>
                <w:kern w:val="0"/>
                <w:sz w:val="21"/>
                <w:szCs w:val="21"/>
                <w:lang w:val="en-US" w:eastAsia="zh-CN" w:bidi="ar-SA"/>
              </w:rPr>
              <w:t>单泵</w:t>
            </w:r>
          </w:p>
        </w:tc>
        <w:tc>
          <w:tcPr>
            <w:tcW w:w="1300" w:type="dxa"/>
            <w:tcBorders>
              <w:top w:val="single" w:color="000000" w:sz="4" w:space="0"/>
              <w:bottom w:val="single" w:color="000000" w:sz="4" w:space="0"/>
            </w:tcBorders>
            <w:shd w:val="clear" w:color="auto" w:fill="auto"/>
            <w:vAlign w:val="center"/>
          </w:tcPr>
          <w:p w14:paraId="23DC913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0CA6BED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2000" w:type="dxa"/>
            <w:tcBorders>
              <w:top w:val="single" w:color="000000" w:sz="4" w:space="0"/>
              <w:bottom w:val="single" w:color="000000" w:sz="4" w:space="0"/>
            </w:tcBorders>
            <w:shd w:val="clear" w:color="auto" w:fill="auto"/>
            <w:vAlign w:val="center"/>
          </w:tcPr>
          <w:p w14:paraId="72D7242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937A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7" w:type="dxa"/>
            <w:tcBorders>
              <w:top w:val="single" w:color="000000" w:sz="4" w:space="0"/>
              <w:bottom w:val="single" w:color="000000" w:sz="4" w:space="0"/>
            </w:tcBorders>
            <w:shd w:val="clear" w:color="auto" w:fill="auto"/>
            <w:vAlign w:val="center"/>
          </w:tcPr>
          <w:p w14:paraId="07B4B38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28</w:t>
            </w:r>
          </w:p>
        </w:tc>
        <w:tc>
          <w:tcPr>
            <w:tcW w:w="1563" w:type="dxa"/>
            <w:tcBorders>
              <w:top w:val="single" w:color="000000" w:sz="4" w:space="0"/>
              <w:bottom w:val="single" w:color="000000" w:sz="4" w:space="0"/>
            </w:tcBorders>
            <w:shd w:val="clear" w:color="auto" w:fill="auto"/>
            <w:vAlign w:val="center"/>
          </w:tcPr>
          <w:p w14:paraId="630A79E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60405B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300" w:type="dxa"/>
            <w:tcBorders>
              <w:top w:val="single" w:color="000000" w:sz="4" w:space="0"/>
              <w:bottom w:val="single" w:color="000000" w:sz="4" w:space="0"/>
            </w:tcBorders>
            <w:shd w:val="clear" w:color="auto" w:fill="auto"/>
            <w:vAlign w:val="center"/>
          </w:tcPr>
          <w:p w14:paraId="4F68EA6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B9689D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63B4493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EFE6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95D16A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29</w:t>
            </w:r>
          </w:p>
        </w:tc>
        <w:tc>
          <w:tcPr>
            <w:tcW w:w="1563" w:type="dxa"/>
            <w:tcBorders>
              <w:top w:val="single" w:color="000000" w:sz="4" w:space="0"/>
              <w:bottom w:val="single" w:color="000000" w:sz="4" w:space="0"/>
            </w:tcBorders>
            <w:shd w:val="clear" w:color="auto" w:fill="auto"/>
            <w:vAlign w:val="center"/>
          </w:tcPr>
          <w:p w14:paraId="5F0E706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E4892B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300" w:type="dxa"/>
            <w:tcBorders>
              <w:top w:val="single" w:color="000000" w:sz="4" w:space="0"/>
              <w:bottom w:val="single" w:color="000000" w:sz="4" w:space="0"/>
            </w:tcBorders>
            <w:shd w:val="clear" w:color="auto" w:fill="auto"/>
            <w:vAlign w:val="center"/>
          </w:tcPr>
          <w:p w14:paraId="379EE829">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0FE958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B45ED9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64FF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EA420C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30</w:t>
            </w:r>
          </w:p>
        </w:tc>
        <w:tc>
          <w:tcPr>
            <w:tcW w:w="1563" w:type="dxa"/>
            <w:tcBorders>
              <w:top w:val="single" w:color="000000" w:sz="4" w:space="0"/>
              <w:bottom w:val="single" w:color="000000" w:sz="4" w:space="0"/>
            </w:tcBorders>
            <w:shd w:val="clear" w:color="auto" w:fill="auto"/>
            <w:vAlign w:val="center"/>
          </w:tcPr>
          <w:p w14:paraId="5DFB2BF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1167BB1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300" w:type="dxa"/>
            <w:tcBorders>
              <w:top w:val="single" w:color="000000" w:sz="4" w:space="0"/>
              <w:bottom w:val="single" w:color="000000" w:sz="4" w:space="0"/>
            </w:tcBorders>
            <w:shd w:val="clear" w:color="auto" w:fill="auto"/>
            <w:vAlign w:val="center"/>
          </w:tcPr>
          <w:p w14:paraId="32EB241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F61DC1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107B330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16C8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75AB25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31</w:t>
            </w:r>
          </w:p>
        </w:tc>
        <w:tc>
          <w:tcPr>
            <w:tcW w:w="1563" w:type="dxa"/>
            <w:tcBorders>
              <w:top w:val="single" w:color="000000" w:sz="4" w:space="0"/>
              <w:bottom w:val="single" w:color="000000" w:sz="4" w:space="0"/>
            </w:tcBorders>
            <w:shd w:val="clear" w:color="auto" w:fill="auto"/>
            <w:vAlign w:val="center"/>
          </w:tcPr>
          <w:p w14:paraId="748F8C7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6AF8586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动态心电图</w:t>
            </w:r>
          </w:p>
        </w:tc>
        <w:tc>
          <w:tcPr>
            <w:tcW w:w="1300" w:type="dxa"/>
            <w:tcBorders>
              <w:top w:val="single" w:color="000000" w:sz="4" w:space="0"/>
              <w:bottom w:val="single" w:color="000000" w:sz="4" w:space="0"/>
            </w:tcBorders>
            <w:shd w:val="clear" w:color="auto" w:fill="auto"/>
            <w:vAlign w:val="center"/>
          </w:tcPr>
          <w:p w14:paraId="0B6A032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6571C51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91366A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CC79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A1F46B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32</w:t>
            </w:r>
          </w:p>
        </w:tc>
        <w:tc>
          <w:tcPr>
            <w:tcW w:w="1563" w:type="dxa"/>
            <w:tcBorders>
              <w:top w:val="single" w:color="000000" w:sz="4" w:space="0"/>
              <w:bottom w:val="single" w:color="000000" w:sz="4" w:space="0"/>
            </w:tcBorders>
            <w:shd w:val="clear" w:color="auto" w:fill="auto"/>
            <w:vAlign w:val="center"/>
          </w:tcPr>
          <w:p w14:paraId="6C67CC5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638FDEA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300" w:type="dxa"/>
            <w:tcBorders>
              <w:top w:val="single" w:color="000000" w:sz="4" w:space="0"/>
              <w:bottom w:val="single" w:color="000000" w:sz="4" w:space="0"/>
            </w:tcBorders>
            <w:shd w:val="clear" w:color="auto" w:fill="auto"/>
            <w:vAlign w:val="center"/>
          </w:tcPr>
          <w:p w14:paraId="528C328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72FD30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5C08863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8774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8C1B42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33</w:t>
            </w:r>
          </w:p>
        </w:tc>
        <w:tc>
          <w:tcPr>
            <w:tcW w:w="1563" w:type="dxa"/>
            <w:tcBorders>
              <w:top w:val="single" w:color="000000" w:sz="4" w:space="0"/>
              <w:bottom w:val="single" w:color="000000" w:sz="4" w:space="0"/>
            </w:tcBorders>
            <w:shd w:val="clear" w:color="auto" w:fill="auto"/>
            <w:vAlign w:val="center"/>
          </w:tcPr>
          <w:p w14:paraId="0837009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8CF00F8">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300" w:type="dxa"/>
            <w:tcBorders>
              <w:top w:val="single" w:color="000000" w:sz="4" w:space="0"/>
              <w:bottom w:val="single" w:color="000000" w:sz="4" w:space="0"/>
            </w:tcBorders>
            <w:shd w:val="clear" w:color="auto" w:fill="auto"/>
            <w:vAlign w:val="center"/>
          </w:tcPr>
          <w:p w14:paraId="563A0FC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E82E93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0BACF37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426E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808F4F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34</w:t>
            </w:r>
          </w:p>
        </w:tc>
        <w:tc>
          <w:tcPr>
            <w:tcW w:w="1563" w:type="dxa"/>
            <w:tcBorders>
              <w:top w:val="single" w:color="000000" w:sz="4" w:space="0"/>
              <w:bottom w:val="single" w:color="000000" w:sz="4" w:space="0"/>
            </w:tcBorders>
            <w:shd w:val="clear" w:color="auto" w:fill="auto"/>
            <w:vAlign w:val="center"/>
          </w:tcPr>
          <w:p w14:paraId="29E0D71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189DA8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300" w:type="dxa"/>
            <w:tcBorders>
              <w:top w:val="single" w:color="000000" w:sz="4" w:space="0"/>
              <w:bottom w:val="single" w:color="000000" w:sz="4" w:space="0"/>
            </w:tcBorders>
            <w:shd w:val="clear" w:color="auto" w:fill="auto"/>
            <w:vAlign w:val="center"/>
          </w:tcPr>
          <w:p w14:paraId="114AA52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9C89EA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485D64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1960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F2B395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35</w:t>
            </w:r>
          </w:p>
        </w:tc>
        <w:tc>
          <w:tcPr>
            <w:tcW w:w="1563" w:type="dxa"/>
            <w:tcBorders>
              <w:top w:val="single" w:color="000000" w:sz="4" w:space="0"/>
              <w:bottom w:val="single" w:color="000000" w:sz="4" w:space="0"/>
            </w:tcBorders>
            <w:shd w:val="clear" w:color="auto" w:fill="auto"/>
            <w:vAlign w:val="center"/>
          </w:tcPr>
          <w:p w14:paraId="1388EFB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3CFADA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300" w:type="dxa"/>
            <w:tcBorders>
              <w:top w:val="single" w:color="000000" w:sz="4" w:space="0"/>
              <w:bottom w:val="single" w:color="000000" w:sz="4" w:space="0"/>
            </w:tcBorders>
            <w:shd w:val="clear" w:color="auto" w:fill="auto"/>
            <w:vAlign w:val="center"/>
          </w:tcPr>
          <w:p w14:paraId="54951C2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7DD31B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299D75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1AAB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92D25B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36</w:t>
            </w:r>
          </w:p>
        </w:tc>
        <w:tc>
          <w:tcPr>
            <w:tcW w:w="1563" w:type="dxa"/>
            <w:tcBorders>
              <w:top w:val="single" w:color="000000" w:sz="4" w:space="0"/>
              <w:bottom w:val="single" w:color="000000" w:sz="4" w:space="0"/>
            </w:tcBorders>
            <w:shd w:val="clear" w:color="auto" w:fill="auto"/>
            <w:vAlign w:val="center"/>
          </w:tcPr>
          <w:p w14:paraId="22EC32C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70877F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300" w:type="dxa"/>
            <w:tcBorders>
              <w:top w:val="single" w:color="000000" w:sz="4" w:space="0"/>
              <w:bottom w:val="single" w:color="000000" w:sz="4" w:space="0"/>
            </w:tcBorders>
            <w:shd w:val="clear" w:color="auto" w:fill="auto"/>
            <w:vAlign w:val="center"/>
          </w:tcPr>
          <w:p w14:paraId="1443DA7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37F38D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24EAE87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B9A7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A84E41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37</w:t>
            </w:r>
          </w:p>
        </w:tc>
        <w:tc>
          <w:tcPr>
            <w:tcW w:w="1563" w:type="dxa"/>
            <w:tcBorders>
              <w:top w:val="single" w:color="000000" w:sz="4" w:space="0"/>
              <w:bottom w:val="single" w:color="000000" w:sz="4" w:space="0"/>
            </w:tcBorders>
            <w:shd w:val="clear" w:color="auto" w:fill="auto"/>
            <w:vAlign w:val="center"/>
          </w:tcPr>
          <w:p w14:paraId="0B4EBF1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8AD212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等离子消毒机</w:t>
            </w:r>
          </w:p>
        </w:tc>
        <w:tc>
          <w:tcPr>
            <w:tcW w:w="1300" w:type="dxa"/>
            <w:tcBorders>
              <w:top w:val="single" w:color="000000" w:sz="4" w:space="0"/>
              <w:bottom w:val="single" w:color="000000" w:sz="4" w:space="0"/>
            </w:tcBorders>
            <w:shd w:val="clear" w:color="auto" w:fill="auto"/>
            <w:vAlign w:val="center"/>
          </w:tcPr>
          <w:p w14:paraId="4B64D87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7E8543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C055F4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9C9F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12AA663">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38</w:t>
            </w:r>
          </w:p>
        </w:tc>
        <w:tc>
          <w:tcPr>
            <w:tcW w:w="1563" w:type="dxa"/>
            <w:tcBorders>
              <w:top w:val="single" w:color="000000" w:sz="4" w:space="0"/>
              <w:bottom w:val="single" w:color="000000" w:sz="4" w:space="0"/>
            </w:tcBorders>
            <w:shd w:val="clear" w:color="auto" w:fill="auto"/>
            <w:vAlign w:val="center"/>
          </w:tcPr>
          <w:p w14:paraId="52001DE5">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D67CE0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手术显微镜系统</w:t>
            </w:r>
          </w:p>
        </w:tc>
        <w:tc>
          <w:tcPr>
            <w:tcW w:w="1300" w:type="dxa"/>
            <w:tcBorders>
              <w:top w:val="single" w:color="000000" w:sz="4" w:space="0"/>
              <w:bottom w:val="single" w:color="000000" w:sz="4" w:space="0"/>
            </w:tcBorders>
            <w:shd w:val="clear" w:color="auto" w:fill="auto"/>
            <w:vAlign w:val="center"/>
          </w:tcPr>
          <w:p w14:paraId="223E278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21EA9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DB4F88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F082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FEEAD1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39</w:t>
            </w:r>
          </w:p>
        </w:tc>
        <w:tc>
          <w:tcPr>
            <w:tcW w:w="1563" w:type="dxa"/>
            <w:tcBorders>
              <w:top w:val="single" w:color="000000" w:sz="4" w:space="0"/>
              <w:bottom w:val="single" w:color="000000" w:sz="4" w:space="0"/>
            </w:tcBorders>
            <w:shd w:val="clear" w:color="auto" w:fill="auto"/>
            <w:vAlign w:val="center"/>
          </w:tcPr>
          <w:p w14:paraId="7312162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C18944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麻醉机</w:t>
            </w:r>
          </w:p>
        </w:tc>
        <w:tc>
          <w:tcPr>
            <w:tcW w:w="1300" w:type="dxa"/>
            <w:tcBorders>
              <w:top w:val="single" w:color="000000" w:sz="4" w:space="0"/>
              <w:bottom w:val="single" w:color="000000" w:sz="4" w:space="0"/>
            </w:tcBorders>
            <w:shd w:val="clear" w:color="auto" w:fill="auto"/>
            <w:vAlign w:val="center"/>
          </w:tcPr>
          <w:p w14:paraId="23EB9FA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637148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0CBE820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985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22DECB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40</w:t>
            </w:r>
          </w:p>
        </w:tc>
        <w:tc>
          <w:tcPr>
            <w:tcW w:w="1563" w:type="dxa"/>
            <w:tcBorders>
              <w:top w:val="single" w:color="000000" w:sz="4" w:space="0"/>
              <w:bottom w:val="single" w:color="000000" w:sz="4" w:space="0"/>
            </w:tcBorders>
            <w:shd w:val="clear" w:color="auto" w:fill="auto"/>
            <w:vAlign w:val="center"/>
          </w:tcPr>
          <w:p w14:paraId="4A3DB39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B8F2D4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振动排痰机</w:t>
            </w:r>
          </w:p>
        </w:tc>
        <w:tc>
          <w:tcPr>
            <w:tcW w:w="1300" w:type="dxa"/>
            <w:tcBorders>
              <w:top w:val="single" w:color="000000" w:sz="4" w:space="0"/>
              <w:bottom w:val="single" w:color="000000" w:sz="4" w:space="0"/>
            </w:tcBorders>
            <w:shd w:val="clear" w:color="auto" w:fill="auto"/>
            <w:vAlign w:val="center"/>
          </w:tcPr>
          <w:p w14:paraId="5D5AC6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0850E3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62596CD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883D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82996E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41</w:t>
            </w:r>
          </w:p>
        </w:tc>
        <w:tc>
          <w:tcPr>
            <w:tcW w:w="1563" w:type="dxa"/>
            <w:tcBorders>
              <w:top w:val="single" w:color="000000" w:sz="4" w:space="0"/>
              <w:bottom w:val="single" w:color="000000" w:sz="4" w:space="0"/>
            </w:tcBorders>
            <w:shd w:val="clear" w:color="auto" w:fill="auto"/>
            <w:vAlign w:val="center"/>
          </w:tcPr>
          <w:p w14:paraId="04A4B2E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33813F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300" w:type="dxa"/>
            <w:tcBorders>
              <w:top w:val="single" w:color="000000" w:sz="4" w:space="0"/>
              <w:bottom w:val="single" w:color="000000" w:sz="4" w:space="0"/>
            </w:tcBorders>
            <w:shd w:val="clear" w:color="auto" w:fill="auto"/>
            <w:vAlign w:val="center"/>
          </w:tcPr>
          <w:p w14:paraId="7078425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C510F6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5BE43CD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DA0C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8498EB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42</w:t>
            </w:r>
          </w:p>
        </w:tc>
        <w:tc>
          <w:tcPr>
            <w:tcW w:w="1563" w:type="dxa"/>
            <w:tcBorders>
              <w:top w:val="single" w:color="000000" w:sz="4" w:space="0"/>
              <w:bottom w:val="single" w:color="000000" w:sz="4" w:space="0"/>
            </w:tcBorders>
            <w:shd w:val="clear" w:color="auto" w:fill="auto"/>
            <w:vAlign w:val="center"/>
          </w:tcPr>
          <w:p w14:paraId="1115926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1DBC5AF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无创呼吸机</w:t>
            </w:r>
          </w:p>
        </w:tc>
        <w:tc>
          <w:tcPr>
            <w:tcW w:w="1300" w:type="dxa"/>
            <w:tcBorders>
              <w:top w:val="single" w:color="000000" w:sz="4" w:space="0"/>
              <w:bottom w:val="single" w:color="000000" w:sz="4" w:space="0"/>
            </w:tcBorders>
            <w:shd w:val="clear" w:color="auto" w:fill="auto"/>
            <w:vAlign w:val="center"/>
          </w:tcPr>
          <w:p w14:paraId="7980A12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DF3A74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1A583B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7E5C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16EC1C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43</w:t>
            </w:r>
          </w:p>
        </w:tc>
        <w:tc>
          <w:tcPr>
            <w:tcW w:w="1563" w:type="dxa"/>
            <w:tcBorders>
              <w:top w:val="single" w:color="000000" w:sz="4" w:space="0"/>
              <w:bottom w:val="single" w:color="000000" w:sz="4" w:space="0"/>
            </w:tcBorders>
            <w:shd w:val="clear" w:color="auto" w:fill="auto"/>
            <w:vAlign w:val="center"/>
          </w:tcPr>
          <w:p w14:paraId="20EAEC4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6E87214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钬激光治疗机</w:t>
            </w:r>
          </w:p>
        </w:tc>
        <w:tc>
          <w:tcPr>
            <w:tcW w:w="1300" w:type="dxa"/>
            <w:tcBorders>
              <w:top w:val="single" w:color="000000" w:sz="4" w:space="0"/>
              <w:bottom w:val="single" w:color="000000" w:sz="4" w:space="0"/>
            </w:tcBorders>
            <w:shd w:val="clear" w:color="auto" w:fill="auto"/>
            <w:vAlign w:val="center"/>
          </w:tcPr>
          <w:p w14:paraId="649AB65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9C262E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A96DE7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6F3F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2BB5E3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44</w:t>
            </w:r>
          </w:p>
        </w:tc>
        <w:tc>
          <w:tcPr>
            <w:tcW w:w="1563" w:type="dxa"/>
            <w:tcBorders>
              <w:top w:val="single" w:color="000000" w:sz="4" w:space="0"/>
              <w:bottom w:val="single" w:color="000000" w:sz="4" w:space="0"/>
            </w:tcBorders>
            <w:shd w:val="clear" w:color="auto" w:fill="auto"/>
            <w:vAlign w:val="center"/>
          </w:tcPr>
          <w:p w14:paraId="65C0C04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ED8A5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电动综合手术床</w:t>
            </w:r>
          </w:p>
        </w:tc>
        <w:tc>
          <w:tcPr>
            <w:tcW w:w="1300" w:type="dxa"/>
            <w:tcBorders>
              <w:top w:val="single" w:color="000000" w:sz="4" w:space="0"/>
              <w:bottom w:val="single" w:color="000000" w:sz="4" w:space="0"/>
            </w:tcBorders>
            <w:shd w:val="clear" w:color="auto" w:fill="auto"/>
            <w:vAlign w:val="center"/>
          </w:tcPr>
          <w:p w14:paraId="18300E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2853C3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99CEA2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20C5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B5D9182">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23CF252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46572AE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45A6EF1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58</w:t>
            </w:r>
          </w:p>
        </w:tc>
        <w:tc>
          <w:tcPr>
            <w:tcW w:w="2000" w:type="dxa"/>
            <w:tcBorders>
              <w:top w:val="single" w:color="000000" w:sz="4" w:space="0"/>
              <w:bottom w:val="single" w:color="000000" w:sz="4" w:space="0"/>
            </w:tcBorders>
            <w:shd w:val="clear" w:color="auto" w:fill="auto"/>
            <w:vAlign w:val="center"/>
          </w:tcPr>
          <w:p w14:paraId="70CE403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2EB9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70E1E7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45</w:t>
            </w:r>
          </w:p>
        </w:tc>
        <w:tc>
          <w:tcPr>
            <w:tcW w:w="1563" w:type="dxa"/>
            <w:tcBorders>
              <w:top w:val="single" w:color="000000" w:sz="4" w:space="0"/>
              <w:bottom w:val="single" w:color="000000" w:sz="4" w:space="0"/>
            </w:tcBorders>
            <w:shd w:val="clear" w:color="auto" w:fill="auto"/>
            <w:vAlign w:val="center"/>
          </w:tcPr>
          <w:p w14:paraId="76DD83E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7A3F7B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300" w:type="dxa"/>
            <w:tcBorders>
              <w:top w:val="single" w:color="000000" w:sz="4" w:space="0"/>
              <w:bottom w:val="single" w:color="000000" w:sz="4" w:space="0"/>
            </w:tcBorders>
            <w:shd w:val="clear" w:color="auto" w:fill="auto"/>
            <w:vAlign w:val="center"/>
          </w:tcPr>
          <w:p w14:paraId="7BC3449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E71957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p>
        </w:tc>
        <w:tc>
          <w:tcPr>
            <w:tcW w:w="2000" w:type="dxa"/>
            <w:tcBorders>
              <w:top w:val="single" w:color="000000" w:sz="4" w:space="0"/>
              <w:bottom w:val="single" w:color="000000" w:sz="4" w:space="0"/>
            </w:tcBorders>
            <w:shd w:val="clear" w:color="auto" w:fill="auto"/>
            <w:vAlign w:val="center"/>
          </w:tcPr>
          <w:p w14:paraId="080C94A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16FA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DE7A66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46</w:t>
            </w:r>
          </w:p>
        </w:tc>
        <w:tc>
          <w:tcPr>
            <w:tcW w:w="1563" w:type="dxa"/>
            <w:tcBorders>
              <w:top w:val="single" w:color="000000" w:sz="4" w:space="0"/>
              <w:bottom w:val="single" w:color="000000" w:sz="4" w:space="0"/>
            </w:tcBorders>
            <w:shd w:val="clear" w:color="auto" w:fill="auto"/>
            <w:vAlign w:val="center"/>
          </w:tcPr>
          <w:p w14:paraId="06697C6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C14F212">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全自动尿液分析仪</w:t>
            </w:r>
          </w:p>
        </w:tc>
        <w:tc>
          <w:tcPr>
            <w:tcW w:w="1300" w:type="dxa"/>
            <w:tcBorders>
              <w:top w:val="single" w:color="000000" w:sz="4" w:space="0"/>
              <w:bottom w:val="single" w:color="000000" w:sz="4" w:space="0"/>
            </w:tcBorders>
            <w:shd w:val="clear" w:color="auto" w:fill="auto"/>
            <w:vAlign w:val="center"/>
          </w:tcPr>
          <w:p w14:paraId="65665AA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158AE5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p>
        </w:tc>
        <w:tc>
          <w:tcPr>
            <w:tcW w:w="2000" w:type="dxa"/>
            <w:tcBorders>
              <w:top w:val="single" w:color="000000" w:sz="4" w:space="0"/>
              <w:bottom w:val="single" w:color="000000" w:sz="4" w:space="0"/>
            </w:tcBorders>
            <w:shd w:val="clear" w:color="auto" w:fill="auto"/>
            <w:vAlign w:val="center"/>
          </w:tcPr>
          <w:p w14:paraId="2BED79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D0A5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12B1F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47</w:t>
            </w:r>
          </w:p>
        </w:tc>
        <w:tc>
          <w:tcPr>
            <w:tcW w:w="1563" w:type="dxa"/>
            <w:tcBorders>
              <w:top w:val="single" w:color="000000" w:sz="4" w:space="0"/>
              <w:bottom w:val="single" w:color="000000" w:sz="4" w:space="0"/>
            </w:tcBorders>
            <w:shd w:val="clear" w:color="auto" w:fill="auto"/>
            <w:vAlign w:val="center"/>
          </w:tcPr>
          <w:p w14:paraId="162AA0F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1FAF707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全自动血球分析仪</w:t>
            </w:r>
          </w:p>
        </w:tc>
        <w:tc>
          <w:tcPr>
            <w:tcW w:w="1300" w:type="dxa"/>
            <w:tcBorders>
              <w:top w:val="single" w:color="000000" w:sz="4" w:space="0"/>
              <w:bottom w:val="single" w:color="000000" w:sz="4" w:space="0"/>
            </w:tcBorders>
            <w:shd w:val="clear" w:color="auto" w:fill="auto"/>
            <w:vAlign w:val="center"/>
          </w:tcPr>
          <w:p w14:paraId="27069D7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05AE04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2E559E1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1D3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7C2849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48</w:t>
            </w:r>
          </w:p>
        </w:tc>
        <w:tc>
          <w:tcPr>
            <w:tcW w:w="1563" w:type="dxa"/>
            <w:tcBorders>
              <w:top w:val="single" w:color="000000" w:sz="4" w:space="0"/>
              <w:bottom w:val="single" w:color="000000" w:sz="4" w:space="0"/>
            </w:tcBorders>
            <w:shd w:val="clear" w:color="auto" w:fill="auto"/>
            <w:vAlign w:val="center"/>
          </w:tcPr>
          <w:p w14:paraId="2351C43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527DC4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全自动化学化光仪</w:t>
            </w:r>
          </w:p>
        </w:tc>
        <w:tc>
          <w:tcPr>
            <w:tcW w:w="1300" w:type="dxa"/>
            <w:tcBorders>
              <w:top w:val="single" w:color="000000" w:sz="4" w:space="0"/>
              <w:bottom w:val="single" w:color="000000" w:sz="4" w:space="0"/>
            </w:tcBorders>
            <w:shd w:val="clear" w:color="auto" w:fill="auto"/>
            <w:vAlign w:val="center"/>
          </w:tcPr>
          <w:p w14:paraId="144A116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E57D1D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23391E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DF86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0828A6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49</w:t>
            </w:r>
          </w:p>
        </w:tc>
        <w:tc>
          <w:tcPr>
            <w:tcW w:w="1563" w:type="dxa"/>
            <w:tcBorders>
              <w:top w:val="single" w:color="000000" w:sz="4" w:space="0"/>
              <w:bottom w:val="single" w:color="000000" w:sz="4" w:space="0"/>
            </w:tcBorders>
            <w:shd w:val="clear" w:color="auto" w:fill="auto"/>
            <w:vAlign w:val="center"/>
          </w:tcPr>
          <w:p w14:paraId="63C3D07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0A52354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300" w:type="dxa"/>
            <w:tcBorders>
              <w:top w:val="single" w:color="000000" w:sz="4" w:space="0"/>
              <w:bottom w:val="single" w:color="000000" w:sz="4" w:space="0"/>
            </w:tcBorders>
            <w:shd w:val="clear" w:color="auto" w:fill="auto"/>
            <w:vAlign w:val="center"/>
          </w:tcPr>
          <w:p w14:paraId="3E3112C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6F6A03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B78F48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5A1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jc w:val="center"/>
        </w:trPr>
        <w:tc>
          <w:tcPr>
            <w:tcW w:w="637" w:type="dxa"/>
            <w:tcBorders>
              <w:top w:val="single" w:color="000000" w:sz="4" w:space="0"/>
              <w:bottom w:val="single" w:color="000000" w:sz="4" w:space="0"/>
            </w:tcBorders>
            <w:shd w:val="clear" w:color="auto" w:fill="auto"/>
            <w:vAlign w:val="center"/>
          </w:tcPr>
          <w:p w14:paraId="3BBBD32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50</w:t>
            </w:r>
          </w:p>
        </w:tc>
        <w:tc>
          <w:tcPr>
            <w:tcW w:w="1563" w:type="dxa"/>
            <w:tcBorders>
              <w:top w:val="single" w:color="000000" w:sz="4" w:space="0"/>
              <w:bottom w:val="single" w:color="000000" w:sz="4" w:space="0"/>
            </w:tcBorders>
            <w:shd w:val="clear" w:color="auto" w:fill="auto"/>
            <w:vAlign w:val="center"/>
          </w:tcPr>
          <w:p w14:paraId="0FCDBB1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488793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全自动电解质仪</w:t>
            </w:r>
          </w:p>
        </w:tc>
        <w:tc>
          <w:tcPr>
            <w:tcW w:w="1300" w:type="dxa"/>
            <w:tcBorders>
              <w:top w:val="single" w:color="000000" w:sz="4" w:space="0"/>
              <w:bottom w:val="single" w:color="000000" w:sz="4" w:space="0"/>
            </w:tcBorders>
            <w:shd w:val="clear" w:color="auto" w:fill="auto"/>
            <w:vAlign w:val="center"/>
          </w:tcPr>
          <w:p w14:paraId="5DE90AA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C5CD04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0B3E43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D1CD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6163F9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51</w:t>
            </w:r>
          </w:p>
        </w:tc>
        <w:tc>
          <w:tcPr>
            <w:tcW w:w="1563" w:type="dxa"/>
            <w:tcBorders>
              <w:top w:val="single" w:color="000000" w:sz="4" w:space="0"/>
              <w:bottom w:val="single" w:color="000000" w:sz="4" w:space="0"/>
            </w:tcBorders>
            <w:shd w:val="clear" w:color="auto" w:fill="auto"/>
            <w:vAlign w:val="center"/>
          </w:tcPr>
          <w:p w14:paraId="7D0DD62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60B315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300" w:type="dxa"/>
            <w:tcBorders>
              <w:top w:val="single" w:color="000000" w:sz="4" w:space="0"/>
              <w:bottom w:val="single" w:color="000000" w:sz="4" w:space="0"/>
            </w:tcBorders>
            <w:shd w:val="clear" w:color="auto" w:fill="auto"/>
            <w:vAlign w:val="center"/>
          </w:tcPr>
          <w:p w14:paraId="05A582AF">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E452C3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EFDA3E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750E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B81D39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52</w:t>
            </w:r>
          </w:p>
        </w:tc>
        <w:tc>
          <w:tcPr>
            <w:tcW w:w="1563" w:type="dxa"/>
            <w:tcBorders>
              <w:top w:val="single" w:color="000000" w:sz="4" w:space="0"/>
              <w:bottom w:val="single" w:color="000000" w:sz="4" w:space="0"/>
            </w:tcBorders>
            <w:shd w:val="clear" w:color="auto" w:fill="auto"/>
            <w:vAlign w:val="center"/>
          </w:tcPr>
          <w:p w14:paraId="0311673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306D9D6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300" w:type="dxa"/>
            <w:tcBorders>
              <w:top w:val="single" w:color="000000" w:sz="4" w:space="0"/>
              <w:bottom w:val="single" w:color="000000" w:sz="4" w:space="0"/>
            </w:tcBorders>
            <w:shd w:val="clear" w:color="auto" w:fill="auto"/>
            <w:vAlign w:val="center"/>
          </w:tcPr>
          <w:p w14:paraId="1AF7910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13079E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43D4F6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A0BA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9012AB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53</w:t>
            </w:r>
          </w:p>
        </w:tc>
        <w:tc>
          <w:tcPr>
            <w:tcW w:w="1563" w:type="dxa"/>
            <w:tcBorders>
              <w:top w:val="single" w:color="000000" w:sz="4" w:space="0"/>
              <w:bottom w:val="single" w:color="000000" w:sz="4" w:space="0"/>
            </w:tcBorders>
            <w:shd w:val="clear" w:color="auto" w:fill="auto"/>
            <w:vAlign w:val="center"/>
          </w:tcPr>
          <w:p w14:paraId="1EF9045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52138A8">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5"/>
                <w:kern w:val="0"/>
                <w:sz w:val="18"/>
                <w:szCs w:val="18"/>
                <w:lang w:val="en-US" w:eastAsia="zh-CN" w:bidi="ar-SA"/>
              </w:rPr>
              <w:t>耳</w:t>
            </w:r>
            <w:r>
              <w:rPr>
                <w:rFonts w:hint="eastAsia" w:ascii="宋体" w:hAnsi="宋体" w:eastAsia="宋体" w:cs="宋体"/>
                <w:snapToGrid w:val="0"/>
                <w:color w:val="auto"/>
                <w:spacing w:val="-5"/>
                <w:kern w:val="0"/>
                <w:sz w:val="18"/>
                <w:szCs w:val="18"/>
                <w:lang w:val="en-US" w:eastAsia="en-US" w:bidi="ar-SA"/>
              </w:rPr>
              <w:t>鼻喉内窥镜</w:t>
            </w:r>
          </w:p>
        </w:tc>
        <w:tc>
          <w:tcPr>
            <w:tcW w:w="1300" w:type="dxa"/>
            <w:tcBorders>
              <w:top w:val="single" w:color="000000" w:sz="4" w:space="0"/>
              <w:bottom w:val="single" w:color="000000" w:sz="4" w:space="0"/>
            </w:tcBorders>
            <w:shd w:val="clear" w:color="auto" w:fill="auto"/>
            <w:vAlign w:val="center"/>
          </w:tcPr>
          <w:p w14:paraId="317BBF4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0B27A6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E69D8B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440B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45FC14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54</w:t>
            </w:r>
          </w:p>
        </w:tc>
        <w:tc>
          <w:tcPr>
            <w:tcW w:w="1563" w:type="dxa"/>
            <w:tcBorders>
              <w:top w:val="single" w:color="000000" w:sz="4" w:space="0"/>
              <w:bottom w:val="single" w:color="000000" w:sz="4" w:space="0"/>
            </w:tcBorders>
            <w:shd w:val="clear" w:color="auto" w:fill="auto"/>
            <w:vAlign w:val="center"/>
          </w:tcPr>
          <w:p w14:paraId="242D50A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1AC248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1300" w:type="dxa"/>
            <w:tcBorders>
              <w:top w:val="single" w:color="000000" w:sz="4" w:space="0"/>
              <w:bottom w:val="single" w:color="000000" w:sz="4" w:space="0"/>
            </w:tcBorders>
            <w:shd w:val="clear" w:color="auto" w:fill="auto"/>
            <w:vAlign w:val="center"/>
          </w:tcPr>
          <w:p w14:paraId="5C1477A9">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595A8988">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2000" w:type="dxa"/>
            <w:tcBorders>
              <w:top w:val="single" w:color="000000" w:sz="4" w:space="0"/>
              <w:bottom w:val="single" w:color="000000" w:sz="4" w:space="0"/>
            </w:tcBorders>
            <w:shd w:val="clear" w:color="auto" w:fill="auto"/>
            <w:vAlign w:val="center"/>
          </w:tcPr>
          <w:p w14:paraId="5196A9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3E79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D0B4EA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55</w:t>
            </w:r>
          </w:p>
        </w:tc>
        <w:tc>
          <w:tcPr>
            <w:tcW w:w="1563" w:type="dxa"/>
            <w:tcBorders>
              <w:top w:val="single" w:color="000000" w:sz="4" w:space="0"/>
              <w:bottom w:val="single" w:color="000000" w:sz="4" w:space="0"/>
            </w:tcBorders>
            <w:shd w:val="clear" w:color="auto" w:fill="auto"/>
            <w:vAlign w:val="center"/>
          </w:tcPr>
          <w:p w14:paraId="1034180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1442F3C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血液透析用制水设备</w:t>
            </w:r>
          </w:p>
        </w:tc>
        <w:tc>
          <w:tcPr>
            <w:tcW w:w="1300" w:type="dxa"/>
            <w:tcBorders>
              <w:top w:val="single" w:color="000000" w:sz="4" w:space="0"/>
              <w:bottom w:val="single" w:color="000000" w:sz="4" w:space="0"/>
            </w:tcBorders>
            <w:shd w:val="clear" w:color="auto" w:fill="auto"/>
            <w:vAlign w:val="center"/>
          </w:tcPr>
          <w:p w14:paraId="7E180FD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FAD4B7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7977D7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FF53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A74215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56</w:t>
            </w:r>
          </w:p>
        </w:tc>
        <w:tc>
          <w:tcPr>
            <w:tcW w:w="1563" w:type="dxa"/>
            <w:tcBorders>
              <w:top w:val="single" w:color="000000" w:sz="4" w:space="0"/>
              <w:bottom w:val="single" w:color="000000" w:sz="4" w:space="0"/>
            </w:tcBorders>
            <w:shd w:val="clear" w:color="auto" w:fill="auto"/>
            <w:vAlign w:val="center"/>
          </w:tcPr>
          <w:p w14:paraId="54AF4A9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817E9A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300" w:type="dxa"/>
            <w:tcBorders>
              <w:top w:val="single" w:color="000000" w:sz="4" w:space="0"/>
              <w:bottom w:val="single" w:color="000000" w:sz="4" w:space="0"/>
            </w:tcBorders>
            <w:shd w:val="clear" w:color="auto" w:fill="auto"/>
            <w:vAlign w:val="center"/>
          </w:tcPr>
          <w:p w14:paraId="1E38C9D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D74844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821189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ABA5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22DB6B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57</w:t>
            </w:r>
          </w:p>
        </w:tc>
        <w:tc>
          <w:tcPr>
            <w:tcW w:w="1563" w:type="dxa"/>
            <w:tcBorders>
              <w:top w:val="single" w:color="000000" w:sz="4" w:space="0"/>
              <w:bottom w:val="single" w:color="000000" w:sz="4" w:space="0"/>
            </w:tcBorders>
            <w:shd w:val="clear" w:color="auto" w:fill="auto"/>
            <w:vAlign w:val="center"/>
          </w:tcPr>
          <w:p w14:paraId="68A4A5C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7264FD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牵引颈腰椎电动牵引机器</w:t>
            </w:r>
          </w:p>
        </w:tc>
        <w:tc>
          <w:tcPr>
            <w:tcW w:w="1300" w:type="dxa"/>
            <w:tcBorders>
              <w:top w:val="single" w:color="000000" w:sz="4" w:space="0"/>
              <w:bottom w:val="single" w:color="000000" w:sz="4" w:space="0"/>
            </w:tcBorders>
            <w:shd w:val="clear" w:color="auto" w:fill="auto"/>
            <w:vAlign w:val="center"/>
          </w:tcPr>
          <w:p w14:paraId="487E1BA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A8FE1D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C83C93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7DD2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A435FF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58</w:t>
            </w:r>
          </w:p>
        </w:tc>
        <w:tc>
          <w:tcPr>
            <w:tcW w:w="1563" w:type="dxa"/>
            <w:tcBorders>
              <w:top w:val="single" w:color="000000" w:sz="4" w:space="0"/>
              <w:bottom w:val="single" w:color="000000" w:sz="4" w:space="0"/>
            </w:tcBorders>
            <w:shd w:val="clear" w:color="auto" w:fill="auto"/>
            <w:vAlign w:val="center"/>
          </w:tcPr>
          <w:p w14:paraId="5760EC4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763177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多功能理疗床</w:t>
            </w:r>
          </w:p>
        </w:tc>
        <w:tc>
          <w:tcPr>
            <w:tcW w:w="1300" w:type="dxa"/>
            <w:tcBorders>
              <w:top w:val="single" w:color="000000" w:sz="4" w:space="0"/>
              <w:bottom w:val="single" w:color="000000" w:sz="4" w:space="0"/>
            </w:tcBorders>
            <w:shd w:val="clear" w:color="auto" w:fill="auto"/>
            <w:vAlign w:val="center"/>
          </w:tcPr>
          <w:p w14:paraId="2A8DEA5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B54B62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3E7935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FE89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4BEE78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59</w:t>
            </w:r>
          </w:p>
        </w:tc>
        <w:tc>
          <w:tcPr>
            <w:tcW w:w="1563" w:type="dxa"/>
            <w:tcBorders>
              <w:top w:val="single" w:color="000000" w:sz="4" w:space="0"/>
              <w:bottom w:val="single" w:color="000000" w:sz="4" w:space="0"/>
            </w:tcBorders>
            <w:shd w:val="clear" w:color="auto" w:fill="auto"/>
            <w:vAlign w:val="center"/>
          </w:tcPr>
          <w:p w14:paraId="70A54AB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C7B1BA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上下肢主被动康复训练器</w:t>
            </w:r>
          </w:p>
        </w:tc>
        <w:tc>
          <w:tcPr>
            <w:tcW w:w="1300" w:type="dxa"/>
            <w:tcBorders>
              <w:top w:val="single" w:color="000000" w:sz="4" w:space="0"/>
              <w:bottom w:val="single" w:color="000000" w:sz="4" w:space="0"/>
            </w:tcBorders>
            <w:shd w:val="clear" w:color="auto" w:fill="auto"/>
            <w:vAlign w:val="center"/>
          </w:tcPr>
          <w:p w14:paraId="34A5C9B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D9757F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4E8D46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ACD4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E35E1A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60</w:t>
            </w:r>
          </w:p>
        </w:tc>
        <w:tc>
          <w:tcPr>
            <w:tcW w:w="1563" w:type="dxa"/>
            <w:tcBorders>
              <w:top w:val="single" w:color="000000" w:sz="4" w:space="0"/>
              <w:bottom w:val="single" w:color="000000" w:sz="4" w:space="0"/>
            </w:tcBorders>
            <w:shd w:val="clear" w:color="auto" w:fill="auto"/>
            <w:vAlign w:val="center"/>
          </w:tcPr>
          <w:p w14:paraId="7E92C1E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6F8932F5">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300" w:type="dxa"/>
            <w:tcBorders>
              <w:top w:val="single" w:color="000000" w:sz="4" w:space="0"/>
              <w:bottom w:val="single" w:color="000000" w:sz="4" w:space="0"/>
            </w:tcBorders>
            <w:shd w:val="clear" w:color="auto" w:fill="auto"/>
            <w:vAlign w:val="center"/>
          </w:tcPr>
          <w:p w14:paraId="12240BE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1A8AD0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FB4FB8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EFBF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28E5AD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61</w:t>
            </w:r>
          </w:p>
        </w:tc>
        <w:tc>
          <w:tcPr>
            <w:tcW w:w="1563" w:type="dxa"/>
            <w:tcBorders>
              <w:top w:val="single" w:color="000000" w:sz="4" w:space="0"/>
              <w:bottom w:val="single" w:color="000000" w:sz="4" w:space="0"/>
            </w:tcBorders>
            <w:shd w:val="clear" w:color="auto" w:fill="auto"/>
            <w:vAlign w:val="center"/>
          </w:tcPr>
          <w:p w14:paraId="574D125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99747E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300" w:type="dxa"/>
            <w:tcBorders>
              <w:top w:val="single" w:color="000000" w:sz="4" w:space="0"/>
              <w:bottom w:val="single" w:color="000000" w:sz="4" w:space="0"/>
            </w:tcBorders>
            <w:shd w:val="clear" w:color="auto" w:fill="auto"/>
            <w:vAlign w:val="center"/>
          </w:tcPr>
          <w:p w14:paraId="0C333E9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C3A1BA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56F5A7D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BFE0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C410CE9">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62</w:t>
            </w:r>
          </w:p>
        </w:tc>
        <w:tc>
          <w:tcPr>
            <w:tcW w:w="1563" w:type="dxa"/>
            <w:tcBorders>
              <w:top w:val="single" w:color="000000" w:sz="4" w:space="0"/>
              <w:bottom w:val="single" w:color="000000" w:sz="4" w:space="0"/>
            </w:tcBorders>
            <w:shd w:val="clear" w:color="auto" w:fill="auto"/>
            <w:vAlign w:val="center"/>
          </w:tcPr>
          <w:p w14:paraId="7C9F2C2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489944D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300" w:type="dxa"/>
            <w:tcBorders>
              <w:top w:val="single" w:color="000000" w:sz="4" w:space="0"/>
              <w:bottom w:val="single" w:color="000000" w:sz="4" w:space="0"/>
            </w:tcBorders>
            <w:shd w:val="clear" w:color="auto" w:fill="auto"/>
            <w:vAlign w:val="center"/>
          </w:tcPr>
          <w:p w14:paraId="11D60EB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32DA34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54D7D7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B576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7664AF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63</w:t>
            </w:r>
          </w:p>
        </w:tc>
        <w:tc>
          <w:tcPr>
            <w:tcW w:w="1563" w:type="dxa"/>
            <w:tcBorders>
              <w:top w:val="single" w:color="000000" w:sz="4" w:space="0"/>
              <w:bottom w:val="single" w:color="000000" w:sz="4" w:space="0"/>
            </w:tcBorders>
            <w:shd w:val="clear" w:color="auto" w:fill="auto"/>
            <w:vAlign w:val="center"/>
          </w:tcPr>
          <w:p w14:paraId="161BF74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03340EDE">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300" w:type="dxa"/>
            <w:tcBorders>
              <w:top w:val="single" w:color="000000" w:sz="4" w:space="0"/>
              <w:bottom w:val="single" w:color="000000" w:sz="4" w:space="0"/>
            </w:tcBorders>
            <w:shd w:val="clear" w:color="auto" w:fill="auto"/>
            <w:vAlign w:val="center"/>
          </w:tcPr>
          <w:p w14:paraId="545BBEA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3BAEAE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BDCE5A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53EF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91214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64</w:t>
            </w:r>
          </w:p>
        </w:tc>
        <w:tc>
          <w:tcPr>
            <w:tcW w:w="1563" w:type="dxa"/>
            <w:tcBorders>
              <w:top w:val="single" w:color="000000" w:sz="4" w:space="0"/>
              <w:bottom w:val="single" w:color="000000" w:sz="4" w:space="0"/>
            </w:tcBorders>
            <w:shd w:val="clear" w:color="auto" w:fill="auto"/>
            <w:vAlign w:val="center"/>
          </w:tcPr>
          <w:p w14:paraId="0C8DB60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80172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医用高分子筛制氧系统</w:t>
            </w:r>
          </w:p>
        </w:tc>
        <w:tc>
          <w:tcPr>
            <w:tcW w:w="1300" w:type="dxa"/>
            <w:tcBorders>
              <w:top w:val="single" w:color="000000" w:sz="4" w:space="0"/>
              <w:bottom w:val="single" w:color="000000" w:sz="4" w:space="0"/>
            </w:tcBorders>
            <w:shd w:val="clear" w:color="auto" w:fill="auto"/>
            <w:vAlign w:val="center"/>
          </w:tcPr>
          <w:p w14:paraId="5B81A09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E0C55B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F99E8C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895A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41A3B2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65</w:t>
            </w:r>
          </w:p>
        </w:tc>
        <w:tc>
          <w:tcPr>
            <w:tcW w:w="1563" w:type="dxa"/>
            <w:tcBorders>
              <w:top w:val="single" w:color="000000" w:sz="4" w:space="0"/>
              <w:bottom w:val="single" w:color="000000" w:sz="4" w:space="0"/>
            </w:tcBorders>
            <w:shd w:val="clear" w:color="auto" w:fill="auto"/>
            <w:vAlign w:val="center"/>
          </w:tcPr>
          <w:p w14:paraId="0F6E0CE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6835F5F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300" w:type="dxa"/>
            <w:tcBorders>
              <w:top w:val="single" w:color="000000" w:sz="4" w:space="0"/>
              <w:bottom w:val="single" w:color="000000" w:sz="4" w:space="0"/>
            </w:tcBorders>
            <w:shd w:val="clear" w:color="auto" w:fill="auto"/>
            <w:vAlign w:val="center"/>
          </w:tcPr>
          <w:p w14:paraId="04BA02A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EB0916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5D51E5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892B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D25E5E1">
            <w:pPr>
              <w:kinsoku w:val="0"/>
              <w:autoSpaceDE w:val="0"/>
              <w:autoSpaceDN w:val="0"/>
              <w:adjustRightInd w:val="0"/>
              <w:snapToGrid w:val="0"/>
              <w:spacing w:before="123" w:line="241" w:lineRule="auto"/>
              <w:ind w:left="268" w:leftChars="0"/>
              <w:jc w:val="both"/>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 xml:space="preserve"> 66</w:t>
            </w:r>
          </w:p>
        </w:tc>
        <w:tc>
          <w:tcPr>
            <w:tcW w:w="1563" w:type="dxa"/>
            <w:tcBorders>
              <w:top w:val="single" w:color="000000" w:sz="4" w:space="0"/>
              <w:bottom w:val="single" w:color="000000" w:sz="4" w:space="0"/>
            </w:tcBorders>
            <w:shd w:val="clear" w:color="auto" w:fill="auto"/>
            <w:vAlign w:val="center"/>
          </w:tcPr>
          <w:p w14:paraId="031AE10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03AA8A6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烘干机</w:t>
            </w:r>
          </w:p>
        </w:tc>
        <w:tc>
          <w:tcPr>
            <w:tcW w:w="1300" w:type="dxa"/>
            <w:tcBorders>
              <w:top w:val="single" w:color="000000" w:sz="4" w:space="0"/>
              <w:bottom w:val="single" w:color="000000" w:sz="4" w:space="0"/>
            </w:tcBorders>
            <w:shd w:val="clear" w:color="auto" w:fill="auto"/>
            <w:vAlign w:val="center"/>
          </w:tcPr>
          <w:p w14:paraId="729926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04B9AD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887EFE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DC3D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C47661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67</w:t>
            </w:r>
          </w:p>
        </w:tc>
        <w:tc>
          <w:tcPr>
            <w:tcW w:w="1563" w:type="dxa"/>
            <w:tcBorders>
              <w:top w:val="single" w:color="000000" w:sz="4" w:space="0"/>
              <w:bottom w:val="single" w:color="000000" w:sz="4" w:space="0"/>
            </w:tcBorders>
            <w:shd w:val="clear" w:color="auto" w:fill="auto"/>
            <w:vAlign w:val="center"/>
          </w:tcPr>
          <w:p w14:paraId="054A355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3B67D43B">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振动排痰机</w:t>
            </w:r>
          </w:p>
        </w:tc>
        <w:tc>
          <w:tcPr>
            <w:tcW w:w="1300" w:type="dxa"/>
            <w:tcBorders>
              <w:top w:val="single" w:color="000000" w:sz="4" w:space="0"/>
              <w:bottom w:val="single" w:color="000000" w:sz="4" w:space="0"/>
            </w:tcBorders>
            <w:shd w:val="clear" w:color="auto" w:fill="auto"/>
            <w:vAlign w:val="center"/>
          </w:tcPr>
          <w:p w14:paraId="744E001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081BE2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C5BA81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C73A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14FE2D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28BA04E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069F3D0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44E89ED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32</w:t>
            </w:r>
          </w:p>
        </w:tc>
        <w:tc>
          <w:tcPr>
            <w:tcW w:w="2000" w:type="dxa"/>
            <w:tcBorders>
              <w:top w:val="single" w:color="000000" w:sz="4" w:space="0"/>
              <w:bottom w:val="single" w:color="000000" w:sz="4" w:space="0"/>
            </w:tcBorders>
            <w:shd w:val="clear" w:color="auto" w:fill="auto"/>
            <w:vAlign w:val="center"/>
          </w:tcPr>
          <w:p w14:paraId="7E3C924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D861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AA3FF8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68</w:t>
            </w:r>
          </w:p>
        </w:tc>
        <w:tc>
          <w:tcPr>
            <w:tcW w:w="1563" w:type="dxa"/>
            <w:tcBorders>
              <w:top w:val="single" w:color="000000" w:sz="4" w:space="0"/>
              <w:bottom w:val="single" w:color="000000" w:sz="4" w:space="0"/>
            </w:tcBorders>
            <w:shd w:val="clear" w:color="auto" w:fill="auto"/>
            <w:vAlign w:val="center"/>
          </w:tcPr>
          <w:p w14:paraId="4E5BC05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17D56917">
            <w:pPr>
              <w:kinsoku w:val="0"/>
              <w:autoSpaceDE w:val="0"/>
              <w:autoSpaceDN w:val="0"/>
              <w:adjustRightInd w:val="0"/>
              <w:snapToGrid w:val="0"/>
              <w:spacing w:before="122" w:line="221" w:lineRule="auto"/>
              <w:ind w:left="13"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300" w:type="dxa"/>
            <w:tcBorders>
              <w:top w:val="single" w:color="000000" w:sz="4" w:space="0"/>
              <w:bottom w:val="single" w:color="000000" w:sz="4" w:space="0"/>
            </w:tcBorders>
            <w:shd w:val="clear" w:color="auto" w:fill="auto"/>
            <w:vAlign w:val="center"/>
          </w:tcPr>
          <w:p w14:paraId="4B2D0A7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39394B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75B6D2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7F2D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CE39D5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69</w:t>
            </w:r>
          </w:p>
        </w:tc>
        <w:tc>
          <w:tcPr>
            <w:tcW w:w="1563" w:type="dxa"/>
            <w:tcBorders>
              <w:top w:val="single" w:color="000000" w:sz="4" w:space="0"/>
              <w:bottom w:val="single" w:color="000000" w:sz="4" w:space="0"/>
            </w:tcBorders>
            <w:shd w:val="clear" w:color="auto" w:fill="auto"/>
            <w:vAlign w:val="center"/>
          </w:tcPr>
          <w:p w14:paraId="55D882C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F20FA1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全自动尿液分析仪</w:t>
            </w:r>
          </w:p>
        </w:tc>
        <w:tc>
          <w:tcPr>
            <w:tcW w:w="1300" w:type="dxa"/>
            <w:tcBorders>
              <w:top w:val="single" w:color="000000" w:sz="4" w:space="0"/>
              <w:bottom w:val="single" w:color="000000" w:sz="4" w:space="0"/>
            </w:tcBorders>
            <w:shd w:val="clear" w:color="auto" w:fill="auto"/>
            <w:vAlign w:val="center"/>
          </w:tcPr>
          <w:p w14:paraId="01614C3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A5F1DF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397195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D36C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94A8C1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70</w:t>
            </w:r>
          </w:p>
        </w:tc>
        <w:tc>
          <w:tcPr>
            <w:tcW w:w="1563" w:type="dxa"/>
            <w:tcBorders>
              <w:top w:val="single" w:color="000000" w:sz="4" w:space="0"/>
              <w:bottom w:val="single" w:color="000000" w:sz="4" w:space="0"/>
            </w:tcBorders>
            <w:shd w:val="clear" w:color="auto" w:fill="auto"/>
            <w:vAlign w:val="center"/>
          </w:tcPr>
          <w:p w14:paraId="79DBB4A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2650F3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300" w:type="dxa"/>
            <w:tcBorders>
              <w:top w:val="single" w:color="000000" w:sz="4" w:space="0"/>
              <w:bottom w:val="single" w:color="000000" w:sz="4" w:space="0"/>
            </w:tcBorders>
            <w:shd w:val="clear" w:color="auto" w:fill="auto"/>
            <w:vAlign w:val="center"/>
          </w:tcPr>
          <w:p w14:paraId="5DA5185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1C30EC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076C68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E82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2D67DB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71</w:t>
            </w:r>
          </w:p>
        </w:tc>
        <w:tc>
          <w:tcPr>
            <w:tcW w:w="1563" w:type="dxa"/>
            <w:tcBorders>
              <w:top w:val="single" w:color="000000" w:sz="4" w:space="0"/>
              <w:bottom w:val="single" w:color="000000" w:sz="4" w:space="0"/>
            </w:tcBorders>
            <w:shd w:val="clear" w:color="auto" w:fill="auto"/>
            <w:vAlign w:val="center"/>
          </w:tcPr>
          <w:p w14:paraId="7D45F14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32DBFE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全自动5分类血球分析仪</w:t>
            </w:r>
          </w:p>
        </w:tc>
        <w:tc>
          <w:tcPr>
            <w:tcW w:w="1300" w:type="dxa"/>
            <w:tcBorders>
              <w:top w:val="single" w:color="000000" w:sz="4" w:space="0"/>
              <w:bottom w:val="single" w:color="000000" w:sz="4" w:space="0"/>
            </w:tcBorders>
            <w:shd w:val="clear" w:color="auto" w:fill="auto"/>
            <w:vAlign w:val="center"/>
          </w:tcPr>
          <w:p w14:paraId="5429157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26AFF4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44C204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BDA0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752BBA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72</w:t>
            </w:r>
          </w:p>
        </w:tc>
        <w:tc>
          <w:tcPr>
            <w:tcW w:w="1563" w:type="dxa"/>
            <w:tcBorders>
              <w:top w:val="single" w:color="000000" w:sz="4" w:space="0"/>
              <w:bottom w:val="single" w:color="000000" w:sz="4" w:space="0"/>
            </w:tcBorders>
            <w:shd w:val="clear" w:color="auto" w:fill="auto"/>
            <w:vAlign w:val="center"/>
          </w:tcPr>
          <w:p w14:paraId="2719701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F256DB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全自动糖化血红蛋白仪</w:t>
            </w:r>
          </w:p>
        </w:tc>
        <w:tc>
          <w:tcPr>
            <w:tcW w:w="1300" w:type="dxa"/>
            <w:tcBorders>
              <w:top w:val="single" w:color="000000" w:sz="4" w:space="0"/>
              <w:bottom w:val="single" w:color="000000" w:sz="4" w:space="0"/>
            </w:tcBorders>
            <w:shd w:val="clear" w:color="auto" w:fill="auto"/>
            <w:vAlign w:val="center"/>
          </w:tcPr>
          <w:p w14:paraId="780AD0A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A9222E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AD6927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B28E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094A2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73</w:t>
            </w:r>
          </w:p>
        </w:tc>
        <w:tc>
          <w:tcPr>
            <w:tcW w:w="1563" w:type="dxa"/>
            <w:tcBorders>
              <w:top w:val="single" w:color="000000" w:sz="4" w:space="0"/>
              <w:bottom w:val="single" w:color="000000" w:sz="4" w:space="0"/>
            </w:tcBorders>
            <w:shd w:val="clear" w:color="auto" w:fill="auto"/>
            <w:vAlign w:val="center"/>
          </w:tcPr>
          <w:p w14:paraId="3AFF4D7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7D1B89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全自动大便分析仪</w:t>
            </w:r>
          </w:p>
        </w:tc>
        <w:tc>
          <w:tcPr>
            <w:tcW w:w="1300" w:type="dxa"/>
            <w:tcBorders>
              <w:top w:val="single" w:color="000000" w:sz="4" w:space="0"/>
              <w:bottom w:val="single" w:color="000000" w:sz="4" w:space="0"/>
            </w:tcBorders>
            <w:shd w:val="clear" w:color="auto" w:fill="auto"/>
            <w:vAlign w:val="center"/>
          </w:tcPr>
          <w:p w14:paraId="7EBF624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17B848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3B21BE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13AD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6D7EAC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74</w:t>
            </w:r>
          </w:p>
        </w:tc>
        <w:tc>
          <w:tcPr>
            <w:tcW w:w="1563" w:type="dxa"/>
            <w:tcBorders>
              <w:top w:val="single" w:color="000000" w:sz="4" w:space="0"/>
              <w:bottom w:val="single" w:color="000000" w:sz="4" w:space="0"/>
            </w:tcBorders>
            <w:shd w:val="clear" w:color="auto" w:fill="auto"/>
            <w:vAlign w:val="center"/>
          </w:tcPr>
          <w:p w14:paraId="4E4BAEA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D5AE64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尿成渣仪器</w:t>
            </w:r>
          </w:p>
        </w:tc>
        <w:tc>
          <w:tcPr>
            <w:tcW w:w="1300" w:type="dxa"/>
            <w:tcBorders>
              <w:top w:val="single" w:color="000000" w:sz="4" w:space="0"/>
              <w:bottom w:val="single" w:color="000000" w:sz="4" w:space="0"/>
            </w:tcBorders>
            <w:shd w:val="clear" w:color="auto" w:fill="auto"/>
            <w:vAlign w:val="center"/>
          </w:tcPr>
          <w:p w14:paraId="7230E7D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A7EB45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BE532E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92CD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D105D5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75</w:t>
            </w:r>
          </w:p>
        </w:tc>
        <w:tc>
          <w:tcPr>
            <w:tcW w:w="1563" w:type="dxa"/>
            <w:tcBorders>
              <w:top w:val="single" w:color="000000" w:sz="4" w:space="0"/>
              <w:bottom w:val="single" w:color="000000" w:sz="4" w:space="0"/>
            </w:tcBorders>
            <w:shd w:val="clear" w:color="auto" w:fill="auto"/>
            <w:vAlign w:val="center"/>
          </w:tcPr>
          <w:p w14:paraId="2B76480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DB262B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血沉仪</w:t>
            </w:r>
          </w:p>
        </w:tc>
        <w:tc>
          <w:tcPr>
            <w:tcW w:w="1300" w:type="dxa"/>
            <w:tcBorders>
              <w:top w:val="single" w:color="000000" w:sz="4" w:space="0"/>
              <w:bottom w:val="single" w:color="000000" w:sz="4" w:space="0"/>
            </w:tcBorders>
            <w:shd w:val="clear" w:color="auto" w:fill="auto"/>
            <w:vAlign w:val="center"/>
          </w:tcPr>
          <w:p w14:paraId="12004D3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E74F47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9E9D56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E0E9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24EC62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76</w:t>
            </w:r>
          </w:p>
        </w:tc>
        <w:tc>
          <w:tcPr>
            <w:tcW w:w="1563" w:type="dxa"/>
            <w:tcBorders>
              <w:top w:val="single" w:color="000000" w:sz="4" w:space="0"/>
              <w:bottom w:val="single" w:color="000000" w:sz="4" w:space="0"/>
            </w:tcBorders>
            <w:shd w:val="clear" w:color="auto" w:fill="auto"/>
            <w:vAlign w:val="center"/>
          </w:tcPr>
          <w:p w14:paraId="0F6E537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E28453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白带分析仪</w:t>
            </w:r>
          </w:p>
        </w:tc>
        <w:tc>
          <w:tcPr>
            <w:tcW w:w="1300" w:type="dxa"/>
            <w:tcBorders>
              <w:top w:val="single" w:color="000000" w:sz="4" w:space="0"/>
              <w:bottom w:val="single" w:color="000000" w:sz="4" w:space="0"/>
            </w:tcBorders>
            <w:shd w:val="clear" w:color="auto" w:fill="auto"/>
            <w:vAlign w:val="center"/>
          </w:tcPr>
          <w:p w14:paraId="0E107A9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54396A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F7C90D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0F2F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6D36CC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77</w:t>
            </w:r>
          </w:p>
        </w:tc>
        <w:tc>
          <w:tcPr>
            <w:tcW w:w="1563" w:type="dxa"/>
            <w:tcBorders>
              <w:top w:val="single" w:color="000000" w:sz="4" w:space="0"/>
              <w:bottom w:val="single" w:color="000000" w:sz="4" w:space="0"/>
            </w:tcBorders>
            <w:shd w:val="clear" w:color="auto" w:fill="auto"/>
            <w:vAlign w:val="center"/>
          </w:tcPr>
          <w:p w14:paraId="2EEFD7A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7688EF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全自动化学发光仪</w:t>
            </w:r>
          </w:p>
        </w:tc>
        <w:tc>
          <w:tcPr>
            <w:tcW w:w="1300" w:type="dxa"/>
            <w:tcBorders>
              <w:top w:val="single" w:color="000000" w:sz="4" w:space="0"/>
              <w:bottom w:val="single" w:color="000000" w:sz="4" w:space="0"/>
            </w:tcBorders>
            <w:shd w:val="clear" w:color="auto" w:fill="auto"/>
            <w:vAlign w:val="center"/>
          </w:tcPr>
          <w:p w14:paraId="1D97989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63E863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232E3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A6D0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8333E7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78</w:t>
            </w:r>
          </w:p>
        </w:tc>
        <w:tc>
          <w:tcPr>
            <w:tcW w:w="1563" w:type="dxa"/>
            <w:tcBorders>
              <w:top w:val="single" w:color="000000" w:sz="4" w:space="0"/>
              <w:bottom w:val="single" w:color="000000" w:sz="4" w:space="0"/>
            </w:tcBorders>
            <w:shd w:val="clear" w:color="auto" w:fill="auto"/>
            <w:vAlign w:val="center"/>
          </w:tcPr>
          <w:p w14:paraId="250199D5">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0F0EF80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全自动凝血仪</w:t>
            </w:r>
          </w:p>
        </w:tc>
        <w:tc>
          <w:tcPr>
            <w:tcW w:w="1300" w:type="dxa"/>
            <w:tcBorders>
              <w:top w:val="single" w:color="000000" w:sz="4" w:space="0"/>
              <w:bottom w:val="single" w:color="000000" w:sz="4" w:space="0"/>
            </w:tcBorders>
            <w:shd w:val="clear" w:color="auto" w:fill="auto"/>
            <w:vAlign w:val="center"/>
          </w:tcPr>
          <w:p w14:paraId="0ED650B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11F461C">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83281D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0EF0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DB51D4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79</w:t>
            </w:r>
          </w:p>
        </w:tc>
        <w:tc>
          <w:tcPr>
            <w:tcW w:w="1563" w:type="dxa"/>
            <w:tcBorders>
              <w:top w:val="single" w:color="000000" w:sz="4" w:space="0"/>
              <w:bottom w:val="single" w:color="000000" w:sz="4" w:space="0"/>
            </w:tcBorders>
            <w:shd w:val="clear" w:color="auto" w:fill="auto"/>
            <w:vAlign w:val="center"/>
          </w:tcPr>
          <w:p w14:paraId="54DA936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7B24216">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300" w:type="dxa"/>
            <w:tcBorders>
              <w:top w:val="single" w:color="000000" w:sz="4" w:space="0"/>
              <w:bottom w:val="single" w:color="000000" w:sz="4" w:space="0"/>
            </w:tcBorders>
            <w:shd w:val="clear" w:color="auto" w:fill="auto"/>
            <w:vAlign w:val="center"/>
          </w:tcPr>
          <w:p w14:paraId="5CEA257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2582D1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C69411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252A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510DD5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80</w:t>
            </w:r>
          </w:p>
        </w:tc>
        <w:tc>
          <w:tcPr>
            <w:tcW w:w="1563" w:type="dxa"/>
            <w:tcBorders>
              <w:top w:val="single" w:color="000000" w:sz="4" w:space="0"/>
              <w:bottom w:val="single" w:color="000000" w:sz="4" w:space="0"/>
            </w:tcBorders>
            <w:shd w:val="clear" w:color="auto" w:fill="auto"/>
            <w:vAlign w:val="center"/>
          </w:tcPr>
          <w:p w14:paraId="159E4BB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ACBC947">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300" w:type="dxa"/>
            <w:tcBorders>
              <w:top w:val="single" w:color="000000" w:sz="4" w:space="0"/>
              <w:bottom w:val="single" w:color="000000" w:sz="4" w:space="0"/>
            </w:tcBorders>
            <w:shd w:val="clear" w:color="auto" w:fill="auto"/>
            <w:vAlign w:val="center"/>
          </w:tcPr>
          <w:p w14:paraId="2579180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A675A6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91A3A4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7AF2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03AF3D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81</w:t>
            </w:r>
          </w:p>
        </w:tc>
        <w:tc>
          <w:tcPr>
            <w:tcW w:w="1563" w:type="dxa"/>
            <w:tcBorders>
              <w:top w:val="single" w:color="000000" w:sz="4" w:space="0"/>
              <w:bottom w:val="single" w:color="000000" w:sz="4" w:space="0"/>
            </w:tcBorders>
            <w:shd w:val="clear" w:color="auto" w:fill="auto"/>
            <w:vAlign w:val="center"/>
          </w:tcPr>
          <w:p w14:paraId="140AA0B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4064DF6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highlight w:val="none"/>
                <w:lang w:val="en-US" w:eastAsia="en-US" w:bidi="ar-SA"/>
              </w:rPr>
              <w:t>血液透析机单泵</w:t>
            </w:r>
          </w:p>
        </w:tc>
        <w:tc>
          <w:tcPr>
            <w:tcW w:w="1300" w:type="dxa"/>
            <w:tcBorders>
              <w:top w:val="single" w:color="000000" w:sz="4" w:space="0"/>
              <w:bottom w:val="single" w:color="000000" w:sz="4" w:space="0"/>
            </w:tcBorders>
            <w:shd w:val="clear" w:color="auto" w:fill="auto"/>
            <w:vAlign w:val="center"/>
          </w:tcPr>
          <w:p w14:paraId="18A13A9F">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highlight w:val="none"/>
                <w:lang w:val="en-US" w:eastAsia="en-US" w:bidi="ar-SA"/>
              </w:rPr>
              <w:t>台</w:t>
            </w:r>
          </w:p>
        </w:tc>
        <w:tc>
          <w:tcPr>
            <w:tcW w:w="1291" w:type="dxa"/>
            <w:tcBorders>
              <w:top w:val="single" w:color="000000" w:sz="4" w:space="0"/>
              <w:bottom w:val="single" w:color="000000" w:sz="4" w:space="0"/>
            </w:tcBorders>
            <w:shd w:val="clear" w:color="auto" w:fill="auto"/>
            <w:vAlign w:val="center"/>
          </w:tcPr>
          <w:p w14:paraId="1A01EC5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highlight w:val="none"/>
                <w:lang w:val="en-US" w:eastAsia="zh-CN" w:bidi="ar-SA"/>
              </w:rPr>
              <w:t>8</w:t>
            </w:r>
          </w:p>
        </w:tc>
        <w:tc>
          <w:tcPr>
            <w:tcW w:w="2000" w:type="dxa"/>
            <w:tcBorders>
              <w:top w:val="single" w:color="000000" w:sz="4" w:space="0"/>
              <w:bottom w:val="single" w:color="000000" w:sz="4" w:space="0"/>
            </w:tcBorders>
            <w:shd w:val="clear" w:color="auto" w:fill="auto"/>
            <w:vAlign w:val="center"/>
          </w:tcPr>
          <w:p w14:paraId="63EE7A1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D778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7E1EB2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82</w:t>
            </w:r>
          </w:p>
        </w:tc>
        <w:tc>
          <w:tcPr>
            <w:tcW w:w="1563" w:type="dxa"/>
            <w:tcBorders>
              <w:top w:val="single" w:color="000000" w:sz="4" w:space="0"/>
              <w:bottom w:val="single" w:color="000000" w:sz="4" w:space="0"/>
            </w:tcBorders>
            <w:shd w:val="clear" w:color="auto" w:fill="auto"/>
            <w:vAlign w:val="center"/>
          </w:tcPr>
          <w:p w14:paraId="15E5448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8EC12D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血液透析机双泵</w:t>
            </w:r>
          </w:p>
        </w:tc>
        <w:tc>
          <w:tcPr>
            <w:tcW w:w="1300" w:type="dxa"/>
            <w:tcBorders>
              <w:top w:val="single" w:color="000000" w:sz="4" w:space="0"/>
              <w:bottom w:val="single" w:color="000000" w:sz="4" w:space="0"/>
            </w:tcBorders>
            <w:shd w:val="clear" w:color="auto" w:fill="auto"/>
            <w:vAlign w:val="center"/>
          </w:tcPr>
          <w:p w14:paraId="46F876C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EEEEFA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486CD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7F0C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3CCC06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83</w:t>
            </w:r>
          </w:p>
        </w:tc>
        <w:tc>
          <w:tcPr>
            <w:tcW w:w="1563" w:type="dxa"/>
            <w:tcBorders>
              <w:top w:val="single" w:color="000000" w:sz="4" w:space="0"/>
              <w:bottom w:val="single" w:color="000000" w:sz="4" w:space="0"/>
            </w:tcBorders>
            <w:shd w:val="clear" w:color="auto" w:fill="auto"/>
            <w:vAlign w:val="center"/>
          </w:tcPr>
          <w:p w14:paraId="523264E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913D339">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血液透析用水处理系统</w:t>
            </w:r>
          </w:p>
        </w:tc>
        <w:tc>
          <w:tcPr>
            <w:tcW w:w="1300" w:type="dxa"/>
            <w:tcBorders>
              <w:top w:val="single" w:color="000000" w:sz="4" w:space="0"/>
              <w:bottom w:val="single" w:color="000000" w:sz="4" w:space="0"/>
            </w:tcBorders>
            <w:shd w:val="clear" w:color="auto" w:fill="auto"/>
            <w:vAlign w:val="center"/>
          </w:tcPr>
          <w:p w14:paraId="448D9860">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套</w:t>
            </w:r>
          </w:p>
        </w:tc>
        <w:tc>
          <w:tcPr>
            <w:tcW w:w="1291" w:type="dxa"/>
            <w:tcBorders>
              <w:top w:val="single" w:color="000000" w:sz="4" w:space="0"/>
              <w:bottom w:val="single" w:color="000000" w:sz="4" w:space="0"/>
            </w:tcBorders>
            <w:shd w:val="clear" w:color="auto" w:fill="auto"/>
            <w:vAlign w:val="center"/>
          </w:tcPr>
          <w:p w14:paraId="0843E40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27AC76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CE3B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E2BBC6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84</w:t>
            </w:r>
          </w:p>
        </w:tc>
        <w:tc>
          <w:tcPr>
            <w:tcW w:w="1563" w:type="dxa"/>
            <w:tcBorders>
              <w:top w:val="single" w:color="000000" w:sz="4" w:space="0"/>
              <w:bottom w:val="single" w:color="000000" w:sz="4" w:space="0"/>
            </w:tcBorders>
            <w:shd w:val="clear" w:color="auto" w:fill="auto"/>
            <w:vAlign w:val="center"/>
          </w:tcPr>
          <w:p w14:paraId="33E89E3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14DA51E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牙床</w:t>
            </w:r>
          </w:p>
        </w:tc>
        <w:tc>
          <w:tcPr>
            <w:tcW w:w="1300" w:type="dxa"/>
            <w:tcBorders>
              <w:top w:val="single" w:color="000000" w:sz="4" w:space="0"/>
              <w:bottom w:val="single" w:color="000000" w:sz="4" w:space="0"/>
            </w:tcBorders>
            <w:shd w:val="clear" w:color="auto" w:fill="auto"/>
            <w:vAlign w:val="center"/>
          </w:tcPr>
          <w:p w14:paraId="6C2C6D4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D506EF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7D9F46F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C0E9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52C429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85</w:t>
            </w:r>
          </w:p>
        </w:tc>
        <w:tc>
          <w:tcPr>
            <w:tcW w:w="1563" w:type="dxa"/>
            <w:tcBorders>
              <w:top w:val="single" w:color="000000" w:sz="4" w:space="0"/>
              <w:bottom w:val="single" w:color="000000" w:sz="4" w:space="0"/>
            </w:tcBorders>
            <w:shd w:val="clear" w:color="auto" w:fill="auto"/>
            <w:vAlign w:val="center"/>
          </w:tcPr>
          <w:p w14:paraId="536D197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4A049D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300" w:type="dxa"/>
            <w:tcBorders>
              <w:top w:val="single" w:color="000000" w:sz="4" w:space="0"/>
              <w:bottom w:val="single" w:color="000000" w:sz="4" w:space="0"/>
            </w:tcBorders>
            <w:shd w:val="clear" w:color="auto" w:fill="auto"/>
            <w:vAlign w:val="center"/>
          </w:tcPr>
          <w:p w14:paraId="2D1F0D6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5AB10C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4F34CB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D02F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969EE3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86</w:t>
            </w:r>
          </w:p>
        </w:tc>
        <w:tc>
          <w:tcPr>
            <w:tcW w:w="1563" w:type="dxa"/>
            <w:tcBorders>
              <w:top w:val="single" w:color="000000" w:sz="4" w:space="0"/>
              <w:bottom w:val="single" w:color="000000" w:sz="4" w:space="0"/>
            </w:tcBorders>
            <w:shd w:val="clear" w:color="auto" w:fill="auto"/>
            <w:vAlign w:val="center"/>
          </w:tcPr>
          <w:p w14:paraId="7438906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B8092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多功能治疗床</w:t>
            </w:r>
          </w:p>
        </w:tc>
        <w:tc>
          <w:tcPr>
            <w:tcW w:w="1300" w:type="dxa"/>
            <w:tcBorders>
              <w:top w:val="single" w:color="000000" w:sz="4" w:space="0"/>
              <w:bottom w:val="single" w:color="000000" w:sz="4" w:space="0"/>
            </w:tcBorders>
            <w:shd w:val="clear" w:color="auto" w:fill="auto"/>
            <w:vAlign w:val="center"/>
          </w:tcPr>
          <w:p w14:paraId="6FFF79B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F42399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7C11A6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ED1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CD5AB6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87</w:t>
            </w:r>
          </w:p>
        </w:tc>
        <w:tc>
          <w:tcPr>
            <w:tcW w:w="1563" w:type="dxa"/>
            <w:tcBorders>
              <w:top w:val="single" w:color="000000" w:sz="4" w:space="0"/>
              <w:bottom w:val="single" w:color="000000" w:sz="4" w:space="0"/>
            </w:tcBorders>
            <w:shd w:val="clear" w:color="auto" w:fill="auto"/>
            <w:vAlign w:val="center"/>
          </w:tcPr>
          <w:p w14:paraId="3AD23C6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1CE2493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按摩床</w:t>
            </w:r>
          </w:p>
        </w:tc>
        <w:tc>
          <w:tcPr>
            <w:tcW w:w="1300" w:type="dxa"/>
            <w:tcBorders>
              <w:top w:val="single" w:color="000000" w:sz="4" w:space="0"/>
              <w:bottom w:val="single" w:color="000000" w:sz="4" w:space="0"/>
            </w:tcBorders>
            <w:shd w:val="clear" w:color="auto" w:fill="auto"/>
            <w:vAlign w:val="center"/>
          </w:tcPr>
          <w:p w14:paraId="634FE7B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09E622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2000" w:type="dxa"/>
            <w:tcBorders>
              <w:top w:val="single" w:color="000000" w:sz="4" w:space="0"/>
              <w:bottom w:val="single" w:color="000000" w:sz="4" w:space="0"/>
            </w:tcBorders>
            <w:shd w:val="clear" w:color="auto" w:fill="auto"/>
            <w:vAlign w:val="center"/>
          </w:tcPr>
          <w:p w14:paraId="3382350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FA29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29BEF5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88</w:t>
            </w:r>
          </w:p>
        </w:tc>
        <w:tc>
          <w:tcPr>
            <w:tcW w:w="1563" w:type="dxa"/>
            <w:tcBorders>
              <w:top w:val="single" w:color="000000" w:sz="4" w:space="0"/>
              <w:bottom w:val="single" w:color="000000" w:sz="4" w:space="0"/>
            </w:tcBorders>
            <w:shd w:val="clear" w:color="auto" w:fill="auto"/>
            <w:vAlign w:val="center"/>
          </w:tcPr>
          <w:p w14:paraId="57BCAC5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AFE2B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治</w:t>
            </w:r>
            <w:r>
              <w:rPr>
                <w:rFonts w:hint="eastAsia" w:ascii="宋体" w:hAnsi="宋体" w:eastAsia="宋体" w:cs="宋体"/>
                <w:snapToGrid w:val="0"/>
                <w:color w:val="auto"/>
                <w:spacing w:val="-2"/>
                <w:kern w:val="0"/>
                <w:sz w:val="18"/>
                <w:szCs w:val="18"/>
                <w:lang w:val="en-US" w:eastAsia="en-US" w:bidi="ar-SA"/>
              </w:rPr>
              <w:t>疗推车</w:t>
            </w:r>
          </w:p>
        </w:tc>
        <w:tc>
          <w:tcPr>
            <w:tcW w:w="1300" w:type="dxa"/>
            <w:tcBorders>
              <w:top w:val="single" w:color="000000" w:sz="4" w:space="0"/>
              <w:bottom w:val="single" w:color="000000" w:sz="4" w:space="0"/>
            </w:tcBorders>
            <w:shd w:val="clear" w:color="auto" w:fill="auto"/>
            <w:vAlign w:val="center"/>
          </w:tcPr>
          <w:p w14:paraId="4002AD6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6279FE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7D1900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C61E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819DAE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89</w:t>
            </w:r>
          </w:p>
        </w:tc>
        <w:tc>
          <w:tcPr>
            <w:tcW w:w="1563" w:type="dxa"/>
            <w:tcBorders>
              <w:top w:val="single" w:color="000000" w:sz="4" w:space="0"/>
              <w:bottom w:val="single" w:color="000000" w:sz="4" w:space="0"/>
            </w:tcBorders>
            <w:shd w:val="clear" w:color="auto" w:fill="auto"/>
            <w:vAlign w:val="center"/>
          </w:tcPr>
          <w:p w14:paraId="3D357B3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4F0111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牵引床</w:t>
            </w:r>
          </w:p>
        </w:tc>
        <w:tc>
          <w:tcPr>
            <w:tcW w:w="1300" w:type="dxa"/>
            <w:tcBorders>
              <w:top w:val="single" w:color="000000" w:sz="4" w:space="0"/>
              <w:bottom w:val="single" w:color="000000" w:sz="4" w:space="0"/>
            </w:tcBorders>
            <w:shd w:val="clear" w:color="auto" w:fill="auto"/>
            <w:vAlign w:val="center"/>
          </w:tcPr>
          <w:p w14:paraId="5103E0F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9CC4D1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64E74C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23D5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1C7BD6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90</w:t>
            </w:r>
          </w:p>
        </w:tc>
        <w:tc>
          <w:tcPr>
            <w:tcW w:w="1563" w:type="dxa"/>
            <w:tcBorders>
              <w:top w:val="single" w:color="000000" w:sz="4" w:space="0"/>
              <w:bottom w:val="single" w:color="000000" w:sz="4" w:space="0"/>
            </w:tcBorders>
            <w:shd w:val="clear" w:color="auto" w:fill="auto"/>
            <w:vAlign w:val="center"/>
          </w:tcPr>
          <w:p w14:paraId="2DF7470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41549BC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悬空灸排烟系统</w:t>
            </w:r>
          </w:p>
        </w:tc>
        <w:tc>
          <w:tcPr>
            <w:tcW w:w="1300" w:type="dxa"/>
            <w:tcBorders>
              <w:top w:val="single" w:color="000000" w:sz="4" w:space="0"/>
              <w:bottom w:val="single" w:color="000000" w:sz="4" w:space="0"/>
            </w:tcBorders>
            <w:shd w:val="clear" w:color="auto" w:fill="auto"/>
            <w:vAlign w:val="center"/>
          </w:tcPr>
          <w:p w14:paraId="0B9CABF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77934A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11E019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A4D6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01EB26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91</w:t>
            </w:r>
          </w:p>
        </w:tc>
        <w:tc>
          <w:tcPr>
            <w:tcW w:w="1563" w:type="dxa"/>
            <w:tcBorders>
              <w:top w:val="single" w:color="000000" w:sz="4" w:space="0"/>
              <w:bottom w:val="single" w:color="000000" w:sz="4" w:space="0"/>
            </w:tcBorders>
            <w:shd w:val="clear" w:color="auto" w:fill="auto"/>
            <w:vAlign w:val="center"/>
          </w:tcPr>
          <w:p w14:paraId="0BEE685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935C0FB">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十二导心电图机</w:t>
            </w:r>
          </w:p>
        </w:tc>
        <w:tc>
          <w:tcPr>
            <w:tcW w:w="1300" w:type="dxa"/>
            <w:tcBorders>
              <w:top w:val="single" w:color="000000" w:sz="4" w:space="0"/>
              <w:bottom w:val="single" w:color="000000" w:sz="4" w:space="0"/>
            </w:tcBorders>
            <w:shd w:val="clear" w:color="auto" w:fill="auto"/>
            <w:vAlign w:val="center"/>
          </w:tcPr>
          <w:p w14:paraId="41C626D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C84EBF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94CDBF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721C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963BEC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92</w:t>
            </w:r>
          </w:p>
        </w:tc>
        <w:tc>
          <w:tcPr>
            <w:tcW w:w="1563" w:type="dxa"/>
            <w:tcBorders>
              <w:top w:val="single" w:color="000000" w:sz="4" w:space="0"/>
              <w:bottom w:val="single" w:color="000000" w:sz="4" w:space="0"/>
            </w:tcBorders>
            <w:shd w:val="clear" w:color="auto" w:fill="auto"/>
            <w:vAlign w:val="center"/>
          </w:tcPr>
          <w:p w14:paraId="0CA5771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F27736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除颤仪</w:t>
            </w:r>
          </w:p>
        </w:tc>
        <w:tc>
          <w:tcPr>
            <w:tcW w:w="1300" w:type="dxa"/>
            <w:tcBorders>
              <w:top w:val="single" w:color="000000" w:sz="4" w:space="0"/>
              <w:bottom w:val="single" w:color="000000" w:sz="4" w:space="0"/>
            </w:tcBorders>
            <w:shd w:val="clear" w:color="auto" w:fill="auto"/>
            <w:vAlign w:val="center"/>
          </w:tcPr>
          <w:p w14:paraId="6E38FC0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64341F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25F7B7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24F0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87A6CC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93</w:t>
            </w:r>
          </w:p>
        </w:tc>
        <w:tc>
          <w:tcPr>
            <w:tcW w:w="1563" w:type="dxa"/>
            <w:tcBorders>
              <w:top w:val="single" w:color="000000" w:sz="4" w:space="0"/>
              <w:bottom w:val="single" w:color="000000" w:sz="4" w:space="0"/>
            </w:tcBorders>
            <w:shd w:val="clear" w:color="auto" w:fill="auto"/>
            <w:vAlign w:val="center"/>
          </w:tcPr>
          <w:p w14:paraId="6904514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0DEB183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胎心监护仪</w:t>
            </w:r>
          </w:p>
        </w:tc>
        <w:tc>
          <w:tcPr>
            <w:tcW w:w="1300" w:type="dxa"/>
            <w:tcBorders>
              <w:top w:val="single" w:color="000000" w:sz="4" w:space="0"/>
              <w:bottom w:val="single" w:color="000000" w:sz="4" w:space="0"/>
            </w:tcBorders>
            <w:shd w:val="clear" w:color="auto" w:fill="auto"/>
            <w:vAlign w:val="center"/>
          </w:tcPr>
          <w:p w14:paraId="1D23398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0F52A1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3770C3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20E5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E37A65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94</w:t>
            </w:r>
          </w:p>
        </w:tc>
        <w:tc>
          <w:tcPr>
            <w:tcW w:w="1563" w:type="dxa"/>
            <w:tcBorders>
              <w:top w:val="single" w:color="000000" w:sz="4" w:space="0"/>
              <w:bottom w:val="single" w:color="000000" w:sz="4" w:space="0"/>
            </w:tcBorders>
            <w:shd w:val="clear" w:color="auto" w:fill="auto"/>
            <w:vAlign w:val="center"/>
          </w:tcPr>
          <w:p w14:paraId="1DE8B93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B0DD8F5">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300" w:type="dxa"/>
            <w:tcBorders>
              <w:top w:val="single" w:color="000000" w:sz="4" w:space="0"/>
              <w:bottom w:val="single" w:color="000000" w:sz="4" w:space="0"/>
            </w:tcBorders>
            <w:shd w:val="clear" w:color="auto" w:fill="auto"/>
            <w:vAlign w:val="center"/>
          </w:tcPr>
          <w:p w14:paraId="1A5450D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097F7D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A36DAC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4DE0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51DC3A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95</w:t>
            </w:r>
          </w:p>
        </w:tc>
        <w:tc>
          <w:tcPr>
            <w:tcW w:w="1563" w:type="dxa"/>
            <w:tcBorders>
              <w:top w:val="single" w:color="000000" w:sz="4" w:space="0"/>
              <w:bottom w:val="single" w:color="000000" w:sz="4" w:space="0"/>
            </w:tcBorders>
            <w:shd w:val="clear" w:color="auto" w:fill="auto"/>
            <w:vAlign w:val="center"/>
          </w:tcPr>
          <w:p w14:paraId="3EC54D7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4D68C7E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医用热敏打印机</w:t>
            </w:r>
          </w:p>
        </w:tc>
        <w:tc>
          <w:tcPr>
            <w:tcW w:w="1300" w:type="dxa"/>
            <w:tcBorders>
              <w:top w:val="single" w:color="000000" w:sz="4" w:space="0"/>
              <w:bottom w:val="single" w:color="000000" w:sz="4" w:space="0"/>
            </w:tcBorders>
            <w:shd w:val="clear" w:color="auto" w:fill="auto"/>
            <w:vAlign w:val="center"/>
          </w:tcPr>
          <w:p w14:paraId="3AF284C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B69D7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270F4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3716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B7076A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96</w:t>
            </w:r>
          </w:p>
        </w:tc>
        <w:tc>
          <w:tcPr>
            <w:tcW w:w="1563" w:type="dxa"/>
            <w:tcBorders>
              <w:top w:val="single" w:color="000000" w:sz="4" w:space="0"/>
              <w:bottom w:val="single" w:color="000000" w:sz="4" w:space="0"/>
            </w:tcBorders>
            <w:shd w:val="clear" w:color="auto" w:fill="auto"/>
            <w:vAlign w:val="center"/>
          </w:tcPr>
          <w:p w14:paraId="0A8D5B1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29F3FA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冷藏柜</w:t>
            </w:r>
          </w:p>
        </w:tc>
        <w:tc>
          <w:tcPr>
            <w:tcW w:w="1300" w:type="dxa"/>
            <w:tcBorders>
              <w:top w:val="single" w:color="000000" w:sz="4" w:space="0"/>
              <w:bottom w:val="single" w:color="000000" w:sz="4" w:space="0"/>
            </w:tcBorders>
            <w:shd w:val="clear" w:color="auto" w:fill="auto"/>
            <w:vAlign w:val="center"/>
          </w:tcPr>
          <w:p w14:paraId="1AE8884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38C4C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9B123A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61C5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BECDED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97</w:t>
            </w:r>
          </w:p>
        </w:tc>
        <w:tc>
          <w:tcPr>
            <w:tcW w:w="1563" w:type="dxa"/>
            <w:tcBorders>
              <w:top w:val="single" w:color="000000" w:sz="4" w:space="0"/>
              <w:bottom w:val="single" w:color="000000" w:sz="4" w:space="0"/>
            </w:tcBorders>
            <w:shd w:val="clear" w:color="auto" w:fill="auto"/>
            <w:vAlign w:val="center"/>
          </w:tcPr>
          <w:p w14:paraId="5E2F0D0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92E1EC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UPS电源</w:t>
            </w:r>
          </w:p>
        </w:tc>
        <w:tc>
          <w:tcPr>
            <w:tcW w:w="1300" w:type="dxa"/>
            <w:tcBorders>
              <w:top w:val="single" w:color="000000" w:sz="4" w:space="0"/>
              <w:bottom w:val="single" w:color="000000" w:sz="4" w:space="0"/>
            </w:tcBorders>
            <w:shd w:val="clear" w:color="auto" w:fill="auto"/>
            <w:vAlign w:val="center"/>
          </w:tcPr>
          <w:p w14:paraId="02E81F0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446E25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F1F1D1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376B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FB260F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98</w:t>
            </w:r>
          </w:p>
        </w:tc>
        <w:tc>
          <w:tcPr>
            <w:tcW w:w="1563" w:type="dxa"/>
            <w:tcBorders>
              <w:top w:val="single" w:color="000000" w:sz="4" w:space="0"/>
              <w:bottom w:val="single" w:color="000000" w:sz="4" w:space="0"/>
            </w:tcBorders>
            <w:shd w:val="clear" w:color="auto" w:fill="auto"/>
            <w:vAlign w:val="center"/>
          </w:tcPr>
          <w:p w14:paraId="58841DB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A2F25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煎药机</w:t>
            </w:r>
          </w:p>
        </w:tc>
        <w:tc>
          <w:tcPr>
            <w:tcW w:w="1300" w:type="dxa"/>
            <w:tcBorders>
              <w:top w:val="single" w:color="000000" w:sz="4" w:space="0"/>
              <w:bottom w:val="single" w:color="000000" w:sz="4" w:space="0"/>
            </w:tcBorders>
            <w:shd w:val="clear" w:color="auto" w:fill="auto"/>
            <w:vAlign w:val="center"/>
          </w:tcPr>
          <w:p w14:paraId="32646C2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299EE4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D8B206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7FF5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5D4CC1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99</w:t>
            </w:r>
          </w:p>
        </w:tc>
        <w:tc>
          <w:tcPr>
            <w:tcW w:w="1563" w:type="dxa"/>
            <w:tcBorders>
              <w:top w:val="single" w:color="000000" w:sz="4" w:space="0"/>
              <w:bottom w:val="single" w:color="000000" w:sz="4" w:space="0"/>
            </w:tcBorders>
            <w:shd w:val="clear" w:color="auto" w:fill="auto"/>
            <w:vAlign w:val="center"/>
          </w:tcPr>
          <w:p w14:paraId="683AD88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04FA762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人工流产吸引器</w:t>
            </w:r>
          </w:p>
        </w:tc>
        <w:tc>
          <w:tcPr>
            <w:tcW w:w="1300" w:type="dxa"/>
            <w:tcBorders>
              <w:top w:val="single" w:color="000000" w:sz="4" w:space="0"/>
              <w:bottom w:val="single" w:color="000000" w:sz="4" w:space="0"/>
            </w:tcBorders>
            <w:shd w:val="clear" w:color="auto" w:fill="auto"/>
            <w:vAlign w:val="center"/>
          </w:tcPr>
          <w:p w14:paraId="6734026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A3A127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4FA3F3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B975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0525F8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100</w:t>
            </w:r>
          </w:p>
        </w:tc>
        <w:tc>
          <w:tcPr>
            <w:tcW w:w="1563" w:type="dxa"/>
            <w:tcBorders>
              <w:top w:val="single" w:color="000000" w:sz="4" w:space="0"/>
              <w:bottom w:val="single" w:color="000000" w:sz="4" w:space="0"/>
            </w:tcBorders>
            <w:shd w:val="clear" w:color="auto" w:fill="auto"/>
            <w:vAlign w:val="center"/>
          </w:tcPr>
          <w:p w14:paraId="5D655F6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658663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中心供氧系统</w:t>
            </w:r>
          </w:p>
        </w:tc>
        <w:tc>
          <w:tcPr>
            <w:tcW w:w="1300" w:type="dxa"/>
            <w:tcBorders>
              <w:top w:val="single" w:color="000000" w:sz="4" w:space="0"/>
              <w:bottom w:val="single" w:color="000000" w:sz="4" w:space="0"/>
            </w:tcBorders>
            <w:shd w:val="clear" w:color="auto" w:fill="auto"/>
            <w:vAlign w:val="center"/>
          </w:tcPr>
          <w:p w14:paraId="63E9366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套</w:t>
            </w:r>
          </w:p>
        </w:tc>
        <w:tc>
          <w:tcPr>
            <w:tcW w:w="1291" w:type="dxa"/>
            <w:tcBorders>
              <w:top w:val="single" w:color="000000" w:sz="4" w:space="0"/>
              <w:bottom w:val="single" w:color="000000" w:sz="4" w:space="0"/>
            </w:tcBorders>
            <w:shd w:val="clear" w:color="auto" w:fill="auto"/>
            <w:vAlign w:val="center"/>
          </w:tcPr>
          <w:p w14:paraId="133D66B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28DC78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C7D1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434A3CF">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0BC8C401">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08EA4E0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291" w:type="dxa"/>
            <w:tcBorders>
              <w:top w:val="single" w:color="000000" w:sz="4" w:space="0"/>
              <w:bottom w:val="single" w:color="000000" w:sz="4" w:space="0"/>
            </w:tcBorders>
            <w:shd w:val="clear" w:color="auto" w:fill="auto"/>
            <w:vAlign w:val="center"/>
          </w:tcPr>
          <w:p w14:paraId="6A7DE00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spacing w:val="-6"/>
                <w:kern w:val="0"/>
                <w:sz w:val="18"/>
                <w:szCs w:val="18"/>
                <w:lang w:val="en-US" w:eastAsia="zh-CN" w:bidi="ar-SA"/>
              </w:rPr>
            </w:pPr>
            <w:r>
              <w:rPr>
                <w:rFonts w:hint="eastAsia" w:ascii="宋体" w:hAnsi="宋体" w:eastAsia="宋体" w:cs="宋体"/>
                <w:b/>
                <w:bCs/>
                <w:snapToGrid w:val="0"/>
                <w:color w:val="auto"/>
                <w:spacing w:val="-6"/>
                <w:kern w:val="0"/>
                <w:sz w:val="18"/>
                <w:szCs w:val="18"/>
                <w:lang w:val="en-US" w:eastAsia="zh-CN" w:bidi="ar-SA"/>
              </w:rPr>
              <w:t>53</w:t>
            </w:r>
          </w:p>
        </w:tc>
        <w:tc>
          <w:tcPr>
            <w:tcW w:w="2000" w:type="dxa"/>
            <w:tcBorders>
              <w:top w:val="single" w:color="000000" w:sz="4" w:space="0"/>
              <w:bottom w:val="single" w:color="000000" w:sz="4" w:space="0"/>
            </w:tcBorders>
            <w:shd w:val="clear" w:color="auto" w:fill="auto"/>
            <w:vAlign w:val="center"/>
          </w:tcPr>
          <w:p w14:paraId="6B59878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B784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5584" w:type="dxa"/>
            <w:gridSpan w:val="4"/>
            <w:tcBorders>
              <w:top w:val="single" w:color="000000" w:sz="4" w:space="0"/>
              <w:bottom w:val="single" w:color="000000" w:sz="4" w:space="0"/>
            </w:tcBorders>
            <w:shd w:val="clear" w:color="auto" w:fill="auto"/>
            <w:vAlign w:val="center"/>
          </w:tcPr>
          <w:p w14:paraId="30A2DD1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合计</w:t>
            </w:r>
          </w:p>
        </w:tc>
        <w:tc>
          <w:tcPr>
            <w:tcW w:w="1291" w:type="dxa"/>
            <w:tcBorders>
              <w:top w:val="single" w:color="000000" w:sz="4" w:space="0"/>
              <w:bottom w:val="single" w:color="000000" w:sz="4" w:space="0"/>
            </w:tcBorders>
            <w:shd w:val="clear" w:color="auto" w:fill="auto"/>
            <w:vAlign w:val="center"/>
          </w:tcPr>
          <w:p w14:paraId="0CA7A74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spacing w:val="-6"/>
                <w:kern w:val="0"/>
                <w:sz w:val="18"/>
                <w:szCs w:val="18"/>
                <w:lang w:val="en-US" w:eastAsia="zh-CN" w:bidi="ar-SA"/>
              </w:rPr>
            </w:pPr>
            <w:r>
              <w:rPr>
                <w:rFonts w:hint="eastAsia" w:ascii="宋体" w:hAnsi="宋体" w:eastAsia="宋体" w:cs="宋体"/>
                <w:b/>
                <w:bCs/>
                <w:snapToGrid w:val="0"/>
                <w:color w:val="auto"/>
                <w:spacing w:val="-6"/>
                <w:kern w:val="0"/>
                <w:sz w:val="18"/>
                <w:szCs w:val="18"/>
                <w:lang w:val="en-US" w:eastAsia="zh-CN" w:bidi="ar-SA"/>
              </w:rPr>
              <w:t>172</w:t>
            </w:r>
          </w:p>
        </w:tc>
        <w:tc>
          <w:tcPr>
            <w:tcW w:w="2000" w:type="dxa"/>
            <w:tcBorders>
              <w:top w:val="single" w:color="000000" w:sz="4" w:space="0"/>
              <w:bottom w:val="single" w:color="000000" w:sz="4" w:space="0"/>
            </w:tcBorders>
            <w:shd w:val="clear" w:color="auto" w:fill="auto"/>
            <w:vAlign w:val="center"/>
          </w:tcPr>
          <w:p w14:paraId="2CCABD5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bl>
    <w:p w14:paraId="0EB37709">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3FEE418">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290F388E">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1FEE5CED">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6FDD0519">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341E0645">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7122A7B">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98C0A6A">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7767FC8F">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7160796B">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B978BD5">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62B1767C">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43879803">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7B38281">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E5CB151">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6E2B124D">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2E1CF6A">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E507123">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78369313">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kern w:val="0"/>
          <w:sz w:val="40"/>
          <w:szCs w:val="40"/>
          <w:lang w:eastAsia="en-US"/>
        </w:rPr>
      </w:pPr>
      <w:r>
        <w:rPr>
          <w:rFonts w:hint="eastAsia" w:ascii="宋体" w:hAnsi="宋体" w:eastAsia="宋体" w:cs="宋体"/>
          <w:snapToGrid w:val="0"/>
          <w:color w:val="auto"/>
          <w:spacing w:val="-2"/>
          <w:kern w:val="0"/>
          <w:sz w:val="40"/>
          <w:szCs w:val="40"/>
          <w:lang w:val="en-US" w:eastAsia="zh-CN"/>
        </w:rPr>
        <w:t>设备采购分类</w:t>
      </w:r>
      <w:r>
        <w:rPr>
          <w:rFonts w:hint="eastAsia" w:ascii="宋体" w:hAnsi="宋体" w:eastAsia="宋体" w:cs="宋体"/>
          <w:snapToGrid w:val="0"/>
          <w:color w:val="auto"/>
          <w:spacing w:val="-2"/>
          <w:kern w:val="0"/>
          <w:sz w:val="40"/>
          <w:szCs w:val="40"/>
          <w:lang w:eastAsia="en-US"/>
        </w:rPr>
        <w:t>汇总表</w:t>
      </w:r>
    </w:p>
    <w:p w14:paraId="79639892">
      <w:pPr>
        <w:rPr>
          <w:rFonts w:hint="eastAsia" w:ascii="宋体" w:hAnsi="宋体" w:eastAsia="宋体" w:cs="宋体"/>
          <w:color w:val="auto"/>
        </w:rPr>
        <w:sectPr>
          <w:footerReference r:id="rId5" w:type="default"/>
          <w:pgSz w:w="11906" w:h="16815"/>
          <w:pgMar w:top="400" w:right="1152" w:bottom="954" w:left="1159" w:header="0" w:footer="742" w:gutter="0"/>
          <w:cols w:equalWidth="0" w:num="1">
            <w:col w:w="9595"/>
          </w:cols>
        </w:sectPr>
      </w:pPr>
    </w:p>
    <w:p w14:paraId="1391281E">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t>一、X射线诊断设备</w:t>
      </w:r>
    </w:p>
    <w:tbl>
      <w:tblPr>
        <w:tblStyle w:val="474"/>
        <w:tblW w:w="8694"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415"/>
        <w:gridCol w:w="1822"/>
        <w:gridCol w:w="741"/>
        <w:gridCol w:w="710"/>
        <w:gridCol w:w="865"/>
        <w:gridCol w:w="741"/>
        <w:gridCol w:w="1763"/>
      </w:tblGrid>
      <w:tr w14:paraId="6B0A4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top"/>
          </w:tcPr>
          <w:p w14:paraId="39A85B65">
            <w:pPr>
              <w:kinsoku w:val="0"/>
              <w:autoSpaceDE w:val="0"/>
              <w:autoSpaceDN w:val="0"/>
              <w:adjustRightInd w:val="0"/>
              <w:snapToGrid w:val="0"/>
              <w:spacing w:before="127" w:line="221" w:lineRule="auto"/>
              <w:ind w:left="133"/>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415" w:type="dxa"/>
            <w:tcBorders>
              <w:top w:val="single" w:color="000000" w:sz="4" w:space="0"/>
              <w:bottom w:val="single" w:color="000000" w:sz="4" w:space="0"/>
            </w:tcBorders>
            <w:vAlign w:val="top"/>
          </w:tcPr>
          <w:p w14:paraId="1BC4CCC1">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822" w:type="dxa"/>
            <w:tcBorders>
              <w:top w:val="single" w:color="000000" w:sz="4" w:space="0"/>
              <w:bottom w:val="single" w:color="000000" w:sz="4" w:space="0"/>
            </w:tcBorders>
            <w:vAlign w:val="top"/>
          </w:tcPr>
          <w:p w14:paraId="261E7BC3">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28"/>
                <w:szCs w:val="28"/>
                <w:lang w:val="en-US" w:eastAsia="zh-CN" w:bidi="ar-SA"/>
              </w:rPr>
            </w:pPr>
            <w:r>
              <w:rPr>
                <w:rFonts w:hint="eastAsia" w:ascii="宋体" w:hAnsi="宋体" w:eastAsia="宋体" w:cs="宋体"/>
                <w:snapToGrid w:val="0"/>
                <w:color w:val="auto"/>
                <w:spacing w:val="-1"/>
                <w:kern w:val="0"/>
                <w:sz w:val="18"/>
                <w:szCs w:val="18"/>
                <w:lang w:val="en-US" w:eastAsia="zh-CN" w:bidi="ar-SA"/>
              </w:rPr>
              <w:t>技术参数</w:t>
            </w:r>
          </w:p>
        </w:tc>
        <w:tc>
          <w:tcPr>
            <w:tcW w:w="741" w:type="dxa"/>
            <w:tcBorders>
              <w:top w:val="single" w:color="000000" w:sz="4" w:space="0"/>
              <w:bottom w:val="single" w:color="000000" w:sz="4" w:space="0"/>
            </w:tcBorders>
            <w:vAlign w:val="top"/>
          </w:tcPr>
          <w:p w14:paraId="2A857E72">
            <w:pPr>
              <w:kinsoku w:val="0"/>
              <w:autoSpaceDE w:val="0"/>
              <w:autoSpaceDN w:val="0"/>
              <w:adjustRightInd w:val="0"/>
              <w:snapToGrid w:val="0"/>
              <w:spacing w:before="127" w:line="220" w:lineRule="auto"/>
              <w:ind w:left="217"/>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10" w:type="dxa"/>
            <w:tcBorders>
              <w:top w:val="single" w:color="000000" w:sz="4" w:space="0"/>
              <w:bottom w:val="single" w:color="000000" w:sz="4" w:space="0"/>
            </w:tcBorders>
            <w:vAlign w:val="top"/>
          </w:tcPr>
          <w:p w14:paraId="5E2D0C02">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865" w:type="dxa"/>
            <w:tcBorders>
              <w:top w:val="single" w:color="000000" w:sz="4" w:space="0"/>
              <w:bottom w:val="single" w:color="000000" w:sz="4" w:space="0"/>
            </w:tcBorders>
            <w:vAlign w:val="top"/>
          </w:tcPr>
          <w:p w14:paraId="0835C1E9">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741" w:type="dxa"/>
            <w:tcBorders>
              <w:top w:val="single" w:color="000000" w:sz="4" w:space="0"/>
              <w:bottom w:val="single" w:color="000000" w:sz="4" w:space="0"/>
            </w:tcBorders>
            <w:vAlign w:val="top"/>
          </w:tcPr>
          <w:p w14:paraId="5F266E09">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763" w:type="dxa"/>
            <w:tcBorders>
              <w:top w:val="single" w:color="000000" w:sz="4" w:space="0"/>
              <w:bottom w:val="single" w:color="000000" w:sz="4" w:space="0"/>
            </w:tcBorders>
            <w:vAlign w:val="top"/>
          </w:tcPr>
          <w:p w14:paraId="0555BE0C">
            <w:pPr>
              <w:kinsoku w:val="0"/>
              <w:autoSpaceDE w:val="0"/>
              <w:autoSpaceDN w:val="0"/>
              <w:adjustRightInd w:val="0"/>
              <w:snapToGrid w:val="0"/>
              <w:spacing w:before="127" w:line="221" w:lineRule="auto"/>
              <w:ind w:left="315"/>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采购单位</w:t>
            </w:r>
          </w:p>
        </w:tc>
      </w:tr>
      <w:tr w14:paraId="76FDD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43C65F9A">
            <w:pPr>
              <w:kinsoku w:val="0"/>
              <w:autoSpaceDE w:val="0"/>
              <w:autoSpaceDN w:val="0"/>
              <w:adjustRightInd w:val="0"/>
              <w:snapToGrid w:val="0"/>
              <w:spacing w:before="124" w:line="240" w:lineRule="auto"/>
              <w:ind w:left="27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w:t>
            </w:r>
          </w:p>
        </w:tc>
        <w:tc>
          <w:tcPr>
            <w:tcW w:w="1415" w:type="dxa"/>
            <w:tcBorders>
              <w:top w:val="single" w:color="000000" w:sz="4" w:space="0"/>
              <w:bottom w:val="single" w:color="000000" w:sz="4" w:space="0"/>
            </w:tcBorders>
            <w:vAlign w:val="center"/>
          </w:tcPr>
          <w:p w14:paraId="7AABB422">
            <w:pPr>
              <w:kinsoku w:val="0"/>
              <w:autoSpaceDE w:val="0"/>
              <w:autoSpaceDN w:val="0"/>
              <w:adjustRightInd w:val="0"/>
              <w:snapToGrid w:val="0"/>
              <w:spacing w:before="122" w:line="221" w:lineRule="auto"/>
              <w:ind w:left="13"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822" w:type="dxa"/>
            <w:tcBorders>
              <w:top w:val="single" w:color="000000" w:sz="4" w:space="0"/>
              <w:bottom w:val="single" w:color="000000" w:sz="4" w:space="0"/>
            </w:tcBorders>
            <w:vAlign w:val="center"/>
          </w:tcPr>
          <w:p w14:paraId="2DED77A4">
            <w:pPr>
              <w:widowControl/>
              <w:kinsoku w:val="0"/>
              <w:autoSpaceDE w:val="0"/>
              <w:autoSpaceDN w:val="0"/>
              <w:adjustRightInd w:val="0"/>
              <w:snapToGrid w:val="0"/>
              <w:spacing w:before="122" w:line="221" w:lineRule="auto"/>
              <w:ind w:left="13"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41" w:type="dxa"/>
            <w:tcBorders>
              <w:top w:val="single" w:color="000000" w:sz="4" w:space="0"/>
              <w:bottom w:val="single" w:color="000000" w:sz="4" w:space="0"/>
            </w:tcBorders>
            <w:vAlign w:val="center"/>
          </w:tcPr>
          <w:p w14:paraId="6071F9BF">
            <w:pPr>
              <w:kinsoku w:val="0"/>
              <w:autoSpaceDE w:val="0"/>
              <w:autoSpaceDN w:val="0"/>
              <w:adjustRightInd w:val="0"/>
              <w:snapToGrid w:val="0"/>
              <w:spacing w:before="123" w:line="221" w:lineRule="auto"/>
              <w:ind w:left="32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10" w:type="dxa"/>
            <w:tcBorders>
              <w:top w:val="single" w:color="000000" w:sz="4" w:space="0"/>
              <w:bottom w:val="single" w:color="000000" w:sz="4" w:space="0"/>
            </w:tcBorders>
            <w:vAlign w:val="center"/>
          </w:tcPr>
          <w:p w14:paraId="76289466">
            <w:pPr>
              <w:kinsoku w:val="0"/>
              <w:autoSpaceDE w:val="0"/>
              <w:autoSpaceDN w:val="0"/>
              <w:adjustRightInd w:val="0"/>
              <w:snapToGrid w:val="0"/>
              <w:spacing w:before="122" w:line="239" w:lineRule="auto"/>
              <w:ind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65" w:type="dxa"/>
            <w:tcBorders>
              <w:top w:val="single" w:color="000000" w:sz="4" w:space="0"/>
              <w:bottom w:val="single" w:color="000000" w:sz="4" w:space="0"/>
            </w:tcBorders>
            <w:vAlign w:val="center"/>
          </w:tcPr>
          <w:p w14:paraId="69B566DC">
            <w:pPr>
              <w:kinsoku w:val="0"/>
              <w:autoSpaceDE w:val="0"/>
              <w:autoSpaceDN w:val="0"/>
              <w:adjustRightInd w:val="0"/>
              <w:snapToGrid w:val="0"/>
              <w:spacing w:before="122" w:line="239" w:lineRule="auto"/>
              <w:ind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741" w:type="dxa"/>
            <w:tcBorders>
              <w:top w:val="single" w:color="000000" w:sz="4" w:space="0"/>
              <w:bottom w:val="single" w:color="000000" w:sz="4" w:space="0"/>
            </w:tcBorders>
            <w:vAlign w:val="center"/>
          </w:tcPr>
          <w:p w14:paraId="24E15F49">
            <w:pPr>
              <w:kinsoku w:val="0"/>
              <w:autoSpaceDE w:val="0"/>
              <w:autoSpaceDN w:val="0"/>
              <w:adjustRightInd w:val="0"/>
              <w:snapToGrid w:val="0"/>
              <w:spacing w:before="122" w:line="239" w:lineRule="auto"/>
              <w:ind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vAlign w:val="center"/>
          </w:tcPr>
          <w:p w14:paraId="0393474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3310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shd w:val="clear" w:color="auto" w:fill="auto"/>
            <w:vAlign w:val="center"/>
          </w:tcPr>
          <w:p w14:paraId="0B13F9D7">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415" w:type="dxa"/>
            <w:tcBorders>
              <w:top w:val="single" w:color="000000" w:sz="4" w:space="0"/>
              <w:bottom w:val="single" w:color="000000" w:sz="4" w:space="0"/>
            </w:tcBorders>
            <w:shd w:val="clear" w:color="auto" w:fill="auto"/>
            <w:vAlign w:val="center"/>
          </w:tcPr>
          <w:p w14:paraId="47D1340A">
            <w:pPr>
              <w:kinsoku w:val="0"/>
              <w:autoSpaceDE w:val="0"/>
              <w:autoSpaceDN w:val="0"/>
              <w:adjustRightInd w:val="0"/>
              <w:snapToGrid w:val="0"/>
              <w:spacing w:before="127" w:line="219" w:lineRule="auto"/>
              <w:ind w:left="18"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822" w:type="dxa"/>
            <w:tcBorders>
              <w:top w:val="single" w:color="000000" w:sz="4" w:space="0"/>
              <w:bottom w:val="single" w:color="000000" w:sz="4" w:space="0"/>
            </w:tcBorders>
            <w:shd w:val="clear" w:color="auto" w:fill="auto"/>
            <w:vAlign w:val="center"/>
          </w:tcPr>
          <w:p w14:paraId="1A190607">
            <w:pPr>
              <w:widowControl/>
              <w:kinsoku w:val="0"/>
              <w:autoSpaceDE w:val="0"/>
              <w:autoSpaceDN w:val="0"/>
              <w:adjustRightInd w:val="0"/>
              <w:snapToGrid w:val="0"/>
              <w:spacing w:before="127" w:line="219" w:lineRule="auto"/>
              <w:ind w:left="18"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41" w:type="dxa"/>
            <w:tcBorders>
              <w:top w:val="single" w:color="000000" w:sz="4" w:space="0"/>
              <w:bottom w:val="single" w:color="000000" w:sz="4" w:space="0"/>
            </w:tcBorders>
            <w:shd w:val="clear" w:color="auto" w:fill="auto"/>
            <w:vAlign w:val="center"/>
          </w:tcPr>
          <w:p w14:paraId="6F93AB35">
            <w:pPr>
              <w:kinsoku w:val="0"/>
              <w:autoSpaceDE w:val="0"/>
              <w:autoSpaceDN w:val="0"/>
              <w:adjustRightInd w:val="0"/>
              <w:snapToGrid w:val="0"/>
              <w:spacing w:before="128" w:line="221" w:lineRule="auto"/>
              <w:ind w:left="32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10" w:type="dxa"/>
            <w:tcBorders>
              <w:top w:val="single" w:color="000000" w:sz="4" w:space="0"/>
              <w:bottom w:val="single" w:color="000000" w:sz="4" w:space="0"/>
            </w:tcBorders>
            <w:shd w:val="clear" w:color="auto" w:fill="auto"/>
            <w:vAlign w:val="center"/>
          </w:tcPr>
          <w:p w14:paraId="54ACD1AC">
            <w:pPr>
              <w:kinsoku w:val="0"/>
              <w:autoSpaceDE w:val="0"/>
              <w:autoSpaceDN w:val="0"/>
              <w:adjustRightInd w:val="0"/>
              <w:snapToGrid w:val="0"/>
              <w:spacing w:before="127" w:line="239" w:lineRule="auto"/>
              <w:ind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65" w:type="dxa"/>
            <w:tcBorders>
              <w:top w:val="single" w:color="000000" w:sz="4" w:space="0"/>
              <w:bottom w:val="single" w:color="000000" w:sz="4" w:space="0"/>
            </w:tcBorders>
            <w:shd w:val="clear" w:color="auto" w:fill="auto"/>
            <w:vAlign w:val="center"/>
          </w:tcPr>
          <w:p w14:paraId="77CCBAE9">
            <w:pPr>
              <w:kinsoku w:val="0"/>
              <w:autoSpaceDE w:val="0"/>
              <w:autoSpaceDN w:val="0"/>
              <w:adjustRightInd w:val="0"/>
              <w:snapToGrid w:val="0"/>
              <w:spacing w:before="123" w:line="239" w:lineRule="auto"/>
              <w:ind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741" w:type="dxa"/>
            <w:tcBorders>
              <w:top w:val="single" w:color="000000" w:sz="4" w:space="0"/>
              <w:bottom w:val="single" w:color="000000" w:sz="4" w:space="0"/>
            </w:tcBorders>
            <w:shd w:val="clear" w:color="auto" w:fill="auto"/>
            <w:vAlign w:val="center"/>
          </w:tcPr>
          <w:p w14:paraId="3003EBE9">
            <w:pPr>
              <w:kinsoku w:val="0"/>
              <w:autoSpaceDE w:val="0"/>
              <w:autoSpaceDN w:val="0"/>
              <w:adjustRightInd w:val="0"/>
              <w:snapToGrid w:val="0"/>
              <w:spacing w:before="123" w:line="239" w:lineRule="auto"/>
              <w:ind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shd w:val="clear" w:color="auto" w:fill="auto"/>
            <w:vAlign w:val="center"/>
          </w:tcPr>
          <w:p w14:paraId="2921D77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27C77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shd w:val="clear" w:color="auto" w:fill="auto"/>
            <w:vAlign w:val="center"/>
          </w:tcPr>
          <w:p w14:paraId="49852739">
            <w:pPr>
              <w:kinsoku w:val="0"/>
              <w:autoSpaceDE w:val="0"/>
              <w:autoSpaceDN w:val="0"/>
              <w:adjustRightInd w:val="0"/>
              <w:snapToGrid w:val="0"/>
              <w:spacing w:before="122"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415" w:type="dxa"/>
            <w:tcBorders>
              <w:top w:val="single" w:color="000000" w:sz="4" w:space="0"/>
              <w:bottom w:val="single" w:color="000000" w:sz="4" w:space="0"/>
            </w:tcBorders>
            <w:shd w:val="clear" w:color="auto" w:fill="auto"/>
            <w:vAlign w:val="center"/>
          </w:tcPr>
          <w:p w14:paraId="19A1E63B">
            <w:pPr>
              <w:kinsoku w:val="0"/>
              <w:autoSpaceDE w:val="0"/>
              <w:autoSpaceDN w:val="0"/>
              <w:adjustRightInd w:val="0"/>
              <w:snapToGrid w:val="0"/>
              <w:spacing w:before="123" w:line="219" w:lineRule="auto"/>
              <w:ind w:left="15"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C臂机</w:t>
            </w:r>
          </w:p>
        </w:tc>
        <w:tc>
          <w:tcPr>
            <w:tcW w:w="1822" w:type="dxa"/>
            <w:tcBorders>
              <w:top w:val="single" w:color="000000" w:sz="4" w:space="0"/>
              <w:bottom w:val="single" w:color="000000" w:sz="4" w:space="0"/>
            </w:tcBorders>
            <w:shd w:val="clear" w:color="auto" w:fill="auto"/>
            <w:vAlign w:val="center"/>
          </w:tcPr>
          <w:p w14:paraId="77A1EEDD">
            <w:pPr>
              <w:widowControl/>
              <w:kinsoku w:val="0"/>
              <w:autoSpaceDE w:val="0"/>
              <w:autoSpaceDN w:val="0"/>
              <w:adjustRightInd w:val="0"/>
              <w:snapToGrid w:val="0"/>
              <w:spacing w:before="123"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41" w:type="dxa"/>
            <w:tcBorders>
              <w:top w:val="single" w:color="000000" w:sz="4" w:space="0"/>
              <w:bottom w:val="single" w:color="000000" w:sz="4" w:space="0"/>
            </w:tcBorders>
            <w:shd w:val="clear" w:color="auto" w:fill="auto"/>
            <w:vAlign w:val="center"/>
          </w:tcPr>
          <w:p w14:paraId="5D4CAA01">
            <w:pPr>
              <w:kinsoku w:val="0"/>
              <w:autoSpaceDE w:val="0"/>
              <w:autoSpaceDN w:val="0"/>
              <w:adjustRightInd w:val="0"/>
              <w:snapToGrid w:val="0"/>
              <w:spacing w:before="124" w:line="221" w:lineRule="auto"/>
              <w:ind w:left="32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10" w:type="dxa"/>
            <w:tcBorders>
              <w:top w:val="single" w:color="000000" w:sz="4" w:space="0"/>
              <w:bottom w:val="single" w:color="000000" w:sz="4" w:space="0"/>
            </w:tcBorders>
            <w:shd w:val="clear" w:color="auto" w:fill="auto"/>
            <w:vAlign w:val="center"/>
          </w:tcPr>
          <w:p w14:paraId="08385981">
            <w:pPr>
              <w:kinsoku w:val="0"/>
              <w:autoSpaceDE w:val="0"/>
              <w:autoSpaceDN w:val="0"/>
              <w:adjustRightInd w:val="0"/>
              <w:snapToGrid w:val="0"/>
              <w:spacing w:before="124" w:line="239" w:lineRule="auto"/>
              <w:ind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65" w:type="dxa"/>
            <w:tcBorders>
              <w:top w:val="single" w:color="000000" w:sz="4" w:space="0"/>
              <w:bottom w:val="single" w:color="000000" w:sz="4" w:space="0"/>
            </w:tcBorders>
            <w:shd w:val="clear" w:color="auto" w:fill="auto"/>
            <w:vAlign w:val="center"/>
          </w:tcPr>
          <w:p w14:paraId="1CC407FD">
            <w:pPr>
              <w:kinsoku w:val="0"/>
              <w:autoSpaceDE w:val="0"/>
              <w:autoSpaceDN w:val="0"/>
              <w:adjustRightInd w:val="0"/>
              <w:snapToGrid w:val="0"/>
              <w:spacing w:before="125" w:line="239" w:lineRule="auto"/>
              <w:ind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741" w:type="dxa"/>
            <w:tcBorders>
              <w:top w:val="single" w:color="000000" w:sz="4" w:space="0"/>
              <w:bottom w:val="single" w:color="000000" w:sz="4" w:space="0"/>
            </w:tcBorders>
            <w:shd w:val="clear" w:color="auto" w:fill="auto"/>
            <w:vAlign w:val="center"/>
          </w:tcPr>
          <w:p w14:paraId="0F51F8D6">
            <w:pPr>
              <w:kinsoku w:val="0"/>
              <w:autoSpaceDE w:val="0"/>
              <w:autoSpaceDN w:val="0"/>
              <w:adjustRightInd w:val="0"/>
              <w:snapToGrid w:val="0"/>
              <w:spacing w:before="125" w:line="239" w:lineRule="auto"/>
              <w:ind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shd w:val="clear" w:color="auto" w:fill="auto"/>
            <w:vAlign w:val="center"/>
          </w:tcPr>
          <w:p w14:paraId="529533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6C7DF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483C141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eastAsia="en-US"/>
              </w:rPr>
            </w:pPr>
          </w:p>
        </w:tc>
        <w:tc>
          <w:tcPr>
            <w:tcW w:w="3237" w:type="dxa"/>
            <w:gridSpan w:val="2"/>
            <w:tcBorders>
              <w:top w:val="single" w:color="000000" w:sz="4" w:space="0"/>
              <w:bottom w:val="single" w:color="000000" w:sz="4" w:space="0"/>
            </w:tcBorders>
            <w:vAlign w:val="center"/>
          </w:tcPr>
          <w:p w14:paraId="60B3BD5A">
            <w:pPr>
              <w:kinsoku w:val="0"/>
              <w:autoSpaceDE w:val="0"/>
              <w:autoSpaceDN w:val="0"/>
              <w:adjustRightInd w:val="0"/>
              <w:snapToGrid w:val="0"/>
              <w:spacing w:before="130" w:line="219" w:lineRule="auto"/>
              <w:ind w:left="1545"/>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741" w:type="dxa"/>
            <w:tcBorders>
              <w:top w:val="single" w:color="000000" w:sz="4" w:space="0"/>
              <w:bottom w:val="single" w:color="000000" w:sz="4" w:space="0"/>
            </w:tcBorders>
            <w:vAlign w:val="center"/>
          </w:tcPr>
          <w:p w14:paraId="4FCD49BB">
            <w:pPr>
              <w:kinsoku w:val="0"/>
              <w:autoSpaceDE w:val="0"/>
              <w:autoSpaceDN w:val="0"/>
              <w:adjustRightInd w:val="0"/>
              <w:snapToGrid w:val="0"/>
              <w:spacing w:before="130" w:line="220" w:lineRule="auto"/>
              <w:ind w:left="307"/>
              <w:jc w:val="center"/>
              <w:textAlignment w:val="baseline"/>
              <w:rPr>
                <w:rFonts w:hint="eastAsia" w:ascii="宋体" w:hAnsi="宋体" w:eastAsia="宋体" w:cs="宋体"/>
                <w:snapToGrid w:val="0"/>
                <w:color w:val="auto"/>
                <w:kern w:val="0"/>
                <w:sz w:val="18"/>
                <w:szCs w:val="18"/>
                <w:lang w:val="en-US" w:eastAsia="en-US" w:bidi="ar-SA"/>
              </w:rPr>
            </w:pPr>
          </w:p>
        </w:tc>
        <w:tc>
          <w:tcPr>
            <w:tcW w:w="710" w:type="dxa"/>
            <w:tcBorders>
              <w:top w:val="single" w:color="000000" w:sz="4" w:space="0"/>
              <w:bottom w:val="single" w:color="000000" w:sz="4" w:space="0"/>
            </w:tcBorders>
            <w:vAlign w:val="center"/>
          </w:tcPr>
          <w:p w14:paraId="605C40F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3</w:t>
            </w:r>
          </w:p>
        </w:tc>
        <w:tc>
          <w:tcPr>
            <w:tcW w:w="865" w:type="dxa"/>
            <w:tcBorders>
              <w:top w:val="single" w:color="000000" w:sz="4" w:space="0"/>
              <w:bottom w:val="single" w:color="000000" w:sz="4" w:space="0"/>
            </w:tcBorders>
            <w:vAlign w:val="center"/>
          </w:tcPr>
          <w:p w14:paraId="1B841B7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eastAsia="en-US"/>
              </w:rPr>
            </w:pPr>
          </w:p>
        </w:tc>
        <w:tc>
          <w:tcPr>
            <w:tcW w:w="741" w:type="dxa"/>
            <w:tcBorders>
              <w:top w:val="single" w:color="000000" w:sz="4" w:space="0"/>
              <w:bottom w:val="single" w:color="000000" w:sz="4" w:space="0"/>
            </w:tcBorders>
            <w:vAlign w:val="center"/>
          </w:tcPr>
          <w:p w14:paraId="65D428AA">
            <w:pPr>
              <w:kinsoku w:val="0"/>
              <w:autoSpaceDE w:val="0"/>
              <w:autoSpaceDN w:val="0"/>
              <w:adjustRightInd w:val="0"/>
              <w:snapToGrid w:val="0"/>
              <w:spacing w:before="130" w:line="239" w:lineRule="auto"/>
              <w:ind w:right="24"/>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vAlign w:val="center"/>
          </w:tcPr>
          <w:p w14:paraId="068B7D5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eastAsia="en-US"/>
              </w:rPr>
            </w:pPr>
          </w:p>
        </w:tc>
      </w:tr>
    </w:tbl>
    <w:p w14:paraId="4D1D34BC">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p>
    <w:p w14:paraId="477DEC15">
      <w:pPr>
        <w:spacing w:line="14" w:lineRule="auto"/>
        <w:rPr>
          <w:rFonts w:hint="eastAsia" w:ascii="宋体" w:hAnsi="宋体" w:eastAsia="宋体" w:cs="宋体"/>
          <w:color w:val="auto"/>
          <w:sz w:val="2"/>
          <w:szCs w:val="2"/>
        </w:rPr>
        <w:sectPr>
          <w:type w:val="continuous"/>
          <w:pgSz w:w="11906" w:h="16815"/>
          <w:pgMar w:top="400" w:right="1152" w:bottom="954" w:left="1159" w:header="0" w:footer="742" w:gutter="0"/>
          <w:cols w:equalWidth="0" w:num="1">
            <w:col w:w="9595"/>
          </w:cols>
        </w:sectPr>
      </w:pPr>
    </w:p>
    <w:p w14:paraId="38C24609">
      <w:pPr>
        <w:rPr>
          <w:rFonts w:hint="eastAsia" w:ascii="宋体" w:hAnsi="宋体" w:eastAsia="宋体" w:cs="宋体"/>
          <w:color w:val="auto"/>
        </w:rPr>
        <w:sectPr>
          <w:footerReference r:id="rId6" w:type="default"/>
          <w:type w:val="continuous"/>
          <w:pgSz w:w="11906" w:h="16815"/>
          <w:pgMar w:top="400" w:right="1152" w:bottom="954" w:left="1159" w:header="0" w:footer="742" w:gutter="0"/>
          <w:cols w:equalWidth="0" w:num="1">
            <w:col w:w="9595"/>
          </w:cols>
        </w:sectPr>
      </w:pPr>
    </w:p>
    <w:p w14:paraId="6442F4D9">
      <w:pPr>
        <w:spacing w:line="14" w:lineRule="auto"/>
        <w:rPr>
          <w:rFonts w:hint="eastAsia" w:ascii="宋体" w:hAnsi="宋体" w:eastAsia="宋体" w:cs="宋体"/>
          <w:color w:val="auto"/>
          <w:sz w:val="2"/>
          <w:szCs w:val="2"/>
        </w:rPr>
        <w:sectPr>
          <w:type w:val="continuous"/>
          <w:pgSz w:w="11906" w:h="16815"/>
          <w:pgMar w:top="400" w:right="1152" w:bottom="954" w:left="1159" w:header="0" w:footer="742" w:gutter="0"/>
          <w:cols w:equalWidth="0" w:num="1">
            <w:col w:w="9595"/>
          </w:cols>
        </w:sectPr>
      </w:pPr>
    </w:p>
    <w:p w14:paraId="7F9BB626">
      <w:pPr>
        <w:widowControl/>
        <w:kinsoku w:val="0"/>
        <w:autoSpaceDE w:val="0"/>
        <w:autoSpaceDN w:val="0"/>
        <w:adjustRightInd w:val="0"/>
        <w:snapToGrid w:val="0"/>
        <w:spacing w:before="180" w:line="240" w:lineRule="auto"/>
        <w:jc w:val="center"/>
        <w:textAlignment w:val="baseline"/>
        <w:rPr>
          <w:rFonts w:hint="eastAsia" w:ascii="宋体" w:hAnsi="宋体" w:eastAsia="宋体" w:cs="宋体"/>
          <w:snapToGrid w:val="0"/>
          <w:color w:val="auto"/>
          <w:kern w:val="0"/>
          <w:szCs w:val="21"/>
          <w:lang w:eastAsia="en-US"/>
        </w:rPr>
      </w:pPr>
      <w:r>
        <w:rPr>
          <w:rFonts w:hint="eastAsia" w:ascii="宋体" w:hAnsi="宋体" w:eastAsia="宋体" w:cs="宋体"/>
          <w:snapToGrid w:val="0"/>
          <w:color w:val="auto"/>
          <w:spacing w:val="-2"/>
          <w:kern w:val="0"/>
          <w:sz w:val="40"/>
          <w:szCs w:val="40"/>
          <w:lang w:val="en-US" w:eastAsia="zh-CN"/>
        </w:rPr>
        <w:t>二、检验设备</w:t>
      </w:r>
    </w:p>
    <w:p w14:paraId="4819F5C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Cs w:val="21"/>
          <w:lang w:eastAsia="en-US"/>
        </w:rPr>
      </w:pPr>
    </w:p>
    <w:p w14:paraId="5C05EF63">
      <w:pPr>
        <w:rPr>
          <w:rFonts w:hint="eastAsia" w:ascii="宋体" w:hAnsi="宋体" w:eastAsia="宋体" w:cs="宋体"/>
          <w:color w:val="auto"/>
        </w:rPr>
        <w:sectPr>
          <w:pgSz w:w="11906" w:h="16815"/>
          <w:pgMar w:top="400" w:right="1152" w:bottom="954" w:left="1159" w:header="0" w:footer="742" w:gutter="0"/>
          <w:cols w:equalWidth="0" w:num="1">
            <w:col w:w="9595"/>
          </w:cols>
        </w:sectPr>
      </w:pPr>
    </w:p>
    <w:p w14:paraId="400F2FFF">
      <w:pPr>
        <w:widowControl/>
        <w:kinsoku w:val="0"/>
        <w:autoSpaceDE w:val="0"/>
        <w:autoSpaceDN w:val="0"/>
        <w:adjustRightInd w:val="0"/>
        <w:snapToGrid w:val="0"/>
        <w:spacing w:line="27" w:lineRule="auto"/>
        <w:jc w:val="left"/>
        <w:textAlignment w:val="baseline"/>
        <w:rPr>
          <w:rFonts w:hint="eastAsia" w:ascii="宋体" w:hAnsi="宋体" w:eastAsia="宋体" w:cs="宋体"/>
          <w:snapToGrid w:val="0"/>
          <w:color w:val="auto"/>
          <w:kern w:val="0"/>
          <w:sz w:val="2"/>
          <w:szCs w:val="21"/>
          <w:lang w:eastAsia="en-US"/>
        </w:rPr>
      </w:pPr>
    </w:p>
    <w:p w14:paraId="78F4EA78">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tbl>
      <w:tblPr>
        <w:tblStyle w:val="474"/>
        <w:tblW w:w="9450" w:type="dxa"/>
        <w:tblInd w:w="7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2056"/>
        <w:gridCol w:w="1434"/>
        <w:gridCol w:w="775"/>
        <w:gridCol w:w="725"/>
        <w:gridCol w:w="881"/>
        <w:gridCol w:w="1050"/>
        <w:gridCol w:w="1892"/>
      </w:tblGrid>
      <w:tr w14:paraId="29152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0" w:hRule="atLeast"/>
        </w:trPr>
        <w:tc>
          <w:tcPr>
            <w:tcW w:w="637" w:type="dxa"/>
            <w:tcBorders>
              <w:top w:val="single" w:color="000000" w:sz="4" w:space="0"/>
              <w:bottom w:val="single" w:color="000000" w:sz="4" w:space="0"/>
            </w:tcBorders>
            <w:shd w:val="clear" w:color="auto" w:fill="auto"/>
            <w:vAlign w:val="top"/>
          </w:tcPr>
          <w:p w14:paraId="0248B048">
            <w:pPr>
              <w:kinsoku w:val="0"/>
              <w:autoSpaceDE w:val="0"/>
              <w:autoSpaceDN w:val="0"/>
              <w:adjustRightInd w:val="0"/>
              <w:snapToGrid w:val="0"/>
              <w:spacing w:before="127" w:line="221" w:lineRule="auto"/>
              <w:ind w:left="133"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2056" w:type="dxa"/>
            <w:tcBorders>
              <w:top w:val="single" w:color="000000" w:sz="4" w:space="0"/>
              <w:bottom w:val="single" w:color="000000" w:sz="4" w:space="0"/>
            </w:tcBorders>
            <w:shd w:val="clear" w:color="auto" w:fill="auto"/>
            <w:vAlign w:val="top"/>
          </w:tcPr>
          <w:p w14:paraId="72267630">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434" w:type="dxa"/>
            <w:tcBorders>
              <w:top w:val="single" w:color="000000" w:sz="4" w:space="0"/>
              <w:bottom w:val="single" w:color="000000" w:sz="4" w:space="0"/>
            </w:tcBorders>
            <w:shd w:val="clear" w:color="auto" w:fill="auto"/>
            <w:vAlign w:val="top"/>
          </w:tcPr>
          <w:p w14:paraId="61BDC484">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775" w:type="dxa"/>
            <w:tcBorders>
              <w:top w:val="single" w:color="000000" w:sz="4" w:space="0"/>
              <w:bottom w:val="single" w:color="000000" w:sz="4" w:space="0"/>
            </w:tcBorders>
            <w:shd w:val="clear" w:color="auto" w:fill="auto"/>
            <w:vAlign w:val="top"/>
          </w:tcPr>
          <w:p w14:paraId="281B3CAC">
            <w:pPr>
              <w:kinsoku w:val="0"/>
              <w:autoSpaceDE w:val="0"/>
              <w:autoSpaceDN w:val="0"/>
              <w:adjustRightInd w:val="0"/>
              <w:snapToGrid w:val="0"/>
              <w:spacing w:before="127" w:line="220" w:lineRule="auto"/>
              <w:ind w:left="217"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25" w:type="dxa"/>
            <w:tcBorders>
              <w:top w:val="single" w:color="000000" w:sz="4" w:space="0"/>
              <w:bottom w:val="single" w:color="000000" w:sz="4" w:space="0"/>
            </w:tcBorders>
            <w:shd w:val="clear" w:color="auto" w:fill="auto"/>
            <w:vAlign w:val="top"/>
          </w:tcPr>
          <w:p w14:paraId="0BD87003">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881" w:type="dxa"/>
            <w:tcBorders>
              <w:top w:val="single" w:color="000000" w:sz="4" w:space="0"/>
              <w:bottom w:val="single" w:color="000000" w:sz="4" w:space="0"/>
            </w:tcBorders>
            <w:shd w:val="clear" w:color="auto" w:fill="auto"/>
            <w:vAlign w:val="top"/>
          </w:tcPr>
          <w:p w14:paraId="4684A5C6">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50" w:type="dxa"/>
            <w:tcBorders>
              <w:top w:val="single" w:color="000000" w:sz="4" w:space="0"/>
              <w:bottom w:val="single" w:color="000000" w:sz="4" w:space="0"/>
            </w:tcBorders>
            <w:shd w:val="clear" w:color="auto" w:fill="auto"/>
            <w:vAlign w:val="top"/>
          </w:tcPr>
          <w:p w14:paraId="73606871">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892" w:type="dxa"/>
            <w:tcBorders>
              <w:top w:val="single" w:color="000000" w:sz="4" w:space="0"/>
              <w:bottom w:val="single" w:color="000000" w:sz="4" w:space="0"/>
            </w:tcBorders>
            <w:shd w:val="clear" w:color="auto" w:fill="auto"/>
            <w:vAlign w:val="top"/>
          </w:tcPr>
          <w:p w14:paraId="30D9C433">
            <w:pPr>
              <w:kinsoku w:val="0"/>
              <w:autoSpaceDE w:val="0"/>
              <w:autoSpaceDN w:val="0"/>
              <w:adjustRightInd w:val="0"/>
              <w:snapToGrid w:val="0"/>
              <w:spacing w:before="127" w:line="221" w:lineRule="auto"/>
              <w:ind w:left="315"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采购单位</w:t>
            </w:r>
          </w:p>
        </w:tc>
      </w:tr>
      <w:tr w14:paraId="7816B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456C86EA">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2056" w:type="dxa"/>
            <w:tcBorders>
              <w:top w:val="single" w:color="000000" w:sz="4" w:space="0"/>
              <w:bottom w:val="single" w:color="000000" w:sz="4" w:space="0"/>
            </w:tcBorders>
            <w:vAlign w:val="center"/>
          </w:tcPr>
          <w:p w14:paraId="4E21088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434" w:type="dxa"/>
            <w:tcBorders>
              <w:top w:val="single" w:color="000000" w:sz="4" w:space="0"/>
              <w:bottom w:val="single" w:color="000000" w:sz="4" w:space="0"/>
            </w:tcBorders>
            <w:vAlign w:val="center"/>
          </w:tcPr>
          <w:p w14:paraId="5252780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详见参数附表</w:t>
            </w:r>
          </w:p>
        </w:tc>
        <w:tc>
          <w:tcPr>
            <w:tcW w:w="775" w:type="dxa"/>
            <w:tcBorders>
              <w:top w:val="single" w:color="000000" w:sz="4" w:space="0"/>
              <w:bottom w:val="single" w:color="000000" w:sz="4" w:space="0"/>
            </w:tcBorders>
            <w:vAlign w:val="center"/>
          </w:tcPr>
          <w:p w14:paraId="2E76908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51B574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1</w:t>
            </w:r>
          </w:p>
        </w:tc>
        <w:tc>
          <w:tcPr>
            <w:tcW w:w="881" w:type="dxa"/>
            <w:tcBorders>
              <w:top w:val="single" w:color="000000" w:sz="4" w:space="0"/>
              <w:bottom w:val="single" w:color="000000" w:sz="4" w:space="0"/>
            </w:tcBorders>
            <w:vAlign w:val="center"/>
          </w:tcPr>
          <w:p w14:paraId="028D6A8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079426C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439A88C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1B57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460204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2</w:t>
            </w:r>
          </w:p>
        </w:tc>
        <w:tc>
          <w:tcPr>
            <w:tcW w:w="2056" w:type="dxa"/>
            <w:tcBorders>
              <w:top w:val="single" w:color="000000" w:sz="4" w:space="0"/>
              <w:bottom w:val="single" w:color="000000" w:sz="4" w:space="0"/>
            </w:tcBorders>
            <w:shd w:val="clear" w:color="auto" w:fill="auto"/>
            <w:vAlign w:val="center"/>
          </w:tcPr>
          <w:p w14:paraId="50BABCC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434" w:type="dxa"/>
            <w:tcBorders>
              <w:top w:val="single" w:color="000000" w:sz="4" w:space="0"/>
              <w:bottom w:val="single" w:color="000000" w:sz="4" w:space="0"/>
            </w:tcBorders>
            <w:shd w:val="clear" w:color="auto" w:fill="auto"/>
            <w:vAlign w:val="center"/>
          </w:tcPr>
          <w:p w14:paraId="158465F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shd w:val="clear" w:color="auto" w:fill="auto"/>
            <w:vAlign w:val="center"/>
          </w:tcPr>
          <w:p w14:paraId="04EF66F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shd w:val="clear" w:color="auto" w:fill="auto"/>
            <w:vAlign w:val="center"/>
          </w:tcPr>
          <w:p w14:paraId="7DE8DE3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shd w:val="clear" w:color="auto" w:fill="auto"/>
            <w:vAlign w:val="center"/>
          </w:tcPr>
          <w:p w14:paraId="0CCDD7F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21"/>
                <w:szCs w:val="21"/>
                <w:lang w:val="en-US" w:eastAsia="en-US" w:bidi="ar-SA"/>
              </w:rPr>
            </w:pPr>
          </w:p>
        </w:tc>
        <w:tc>
          <w:tcPr>
            <w:tcW w:w="1050" w:type="dxa"/>
            <w:tcBorders>
              <w:top w:val="single" w:color="000000" w:sz="4" w:space="0"/>
              <w:bottom w:val="single" w:color="000000" w:sz="4" w:space="0"/>
            </w:tcBorders>
            <w:shd w:val="clear" w:color="auto" w:fill="auto"/>
            <w:vAlign w:val="center"/>
          </w:tcPr>
          <w:p w14:paraId="79BDE47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shd w:val="clear" w:color="auto" w:fill="auto"/>
            <w:vAlign w:val="center"/>
          </w:tcPr>
          <w:p w14:paraId="2640234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160FE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D49D31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3</w:t>
            </w:r>
          </w:p>
        </w:tc>
        <w:tc>
          <w:tcPr>
            <w:tcW w:w="2056" w:type="dxa"/>
            <w:tcBorders>
              <w:top w:val="single" w:color="000000" w:sz="4" w:space="0"/>
              <w:bottom w:val="single" w:color="000000" w:sz="4" w:space="0"/>
            </w:tcBorders>
            <w:vAlign w:val="center"/>
          </w:tcPr>
          <w:p w14:paraId="63E5496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全自动尿液分析仪</w:t>
            </w:r>
          </w:p>
        </w:tc>
        <w:tc>
          <w:tcPr>
            <w:tcW w:w="1434" w:type="dxa"/>
            <w:tcBorders>
              <w:top w:val="single" w:color="000000" w:sz="4" w:space="0"/>
              <w:bottom w:val="single" w:color="000000" w:sz="4" w:space="0"/>
            </w:tcBorders>
            <w:vAlign w:val="center"/>
          </w:tcPr>
          <w:p w14:paraId="26899F5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75A186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5F1722C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67F5A2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71DBD03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7C0013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7A5A4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46AFCDB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4</w:t>
            </w:r>
          </w:p>
        </w:tc>
        <w:tc>
          <w:tcPr>
            <w:tcW w:w="2056" w:type="dxa"/>
            <w:tcBorders>
              <w:top w:val="single" w:color="000000" w:sz="4" w:space="0"/>
              <w:bottom w:val="single" w:color="000000" w:sz="4" w:space="0"/>
            </w:tcBorders>
            <w:shd w:val="clear" w:color="auto" w:fill="auto"/>
            <w:vAlign w:val="center"/>
          </w:tcPr>
          <w:p w14:paraId="71AD0A2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全自动尿液分析仪</w:t>
            </w:r>
          </w:p>
        </w:tc>
        <w:tc>
          <w:tcPr>
            <w:tcW w:w="1434" w:type="dxa"/>
            <w:tcBorders>
              <w:top w:val="single" w:color="000000" w:sz="4" w:space="0"/>
              <w:bottom w:val="single" w:color="000000" w:sz="4" w:space="0"/>
            </w:tcBorders>
            <w:shd w:val="clear" w:color="auto" w:fill="auto"/>
            <w:vAlign w:val="center"/>
          </w:tcPr>
          <w:p w14:paraId="7D30F8C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shd w:val="clear" w:color="auto" w:fill="auto"/>
            <w:vAlign w:val="center"/>
          </w:tcPr>
          <w:p w14:paraId="00EE995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shd w:val="clear" w:color="auto" w:fill="auto"/>
            <w:vAlign w:val="center"/>
          </w:tcPr>
          <w:p w14:paraId="4EECC67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shd w:val="clear" w:color="auto" w:fill="auto"/>
            <w:vAlign w:val="center"/>
          </w:tcPr>
          <w:p w14:paraId="22F3A0E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shd w:val="clear" w:color="auto" w:fill="auto"/>
            <w:vAlign w:val="center"/>
          </w:tcPr>
          <w:p w14:paraId="08C3A7E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shd w:val="clear" w:color="auto" w:fill="auto"/>
            <w:vAlign w:val="center"/>
          </w:tcPr>
          <w:p w14:paraId="128F63C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02B11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116847E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5</w:t>
            </w:r>
          </w:p>
        </w:tc>
        <w:tc>
          <w:tcPr>
            <w:tcW w:w="2056" w:type="dxa"/>
            <w:tcBorders>
              <w:top w:val="single" w:color="000000" w:sz="4" w:space="0"/>
              <w:bottom w:val="single" w:color="000000" w:sz="4" w:space="0"/>
            </w:tcBorders>
            <w:vAlign w:val="center"/>
          </w:tcPr>
          <w:p w14:paraId="422E9C3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全自动血球分析仪</w:t>
            </w:r>
          </w:p>
        </w:tc>
        <w:tc>
          <w:tcPr>
            <w:tcW w:w="1434" w:type="dxa"/>
            <w:tcBorders>
              <w:top w:val="single" w:color="000000" w:sz="4" w:space="0"/>
              <w:bottom w:val="single" w:color="000000" w:sz="4" w:space="0"/>
            </w:tcBorders>
            <w:vAlign w:val="center"/>
          </w:tcPr>
          <w:p w14:paraId="18FB51F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28E48D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3914F6A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Cs w:val="21"/>
                <w:lang w:eastAsia="en-US"/>
              </w:rPr>
            </w:pPr>
            <w:r>
              <w:rPr>
                <w:rFonts w:hint="eastAsia" w:ascii="宋体" w:hAnsi="宋体" w:eastAsia="宋体" w:cs="宋体"/>
                <w:snapToGrid w:val="0"/>
                <w:color w:val="auto"/>
                <w:spacing w:val="-6"/>
                <w:kern w:val="0"/>
                <w:szCs w:val="21"/>
                <w:lang w:val="en-US" w:eastAsia="zh-CN"/>
              </w:rPr>
              <w:t>1</w:t>
            </w:r>
          </w:p>
        </w:tc>
        <w:tc>
          <w:tcPr>
            <w:tcW w:w="881" w:type="dxa"/>
            <w:tcBorders>
              <w:top w:val="single" w:color="000000" w:sz="4" w:space="0"/>
              <w:bottom w:val="single" w:color="000000" w:sz="4" w:space="0"/>
            </w:tcBorders>
            <w:vAlign w:val="center"/>
          </w:tcPr>
          <w:p w14:paraId="748374B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Cs w:val="21"/>
                <w:lang w:eastAsia="en-US"/>
              </w:rPr>
            </w:pPr>
          </w:p>
        </w:tc>
        <w:tc>
          <w:tcPr>
            <w:tcW w:w="1050" w:type="dxa"/>
            <w:tcBorders>
              <w:top w:val="single" w:color="000000" w:sz="4" w:space="0"/>
              <w:bottom w:val="single" w:color="000000" w:sz="4" w:space="0"/>
            </w:tcBorders>
            <w:vAlign w:val="center"/>
          </w:tcPr>
          <w:p w14:paraId="5D80E0B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3DAECA6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6ECA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21B0967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6</w:t>
            </w:r>
          </w:p>
        </w:tc>
        <w:tc>
          <w:tcPr>
            <w:tcW w:w="2056" w:type="dxa"/>
            <w:tcBorders>
              <w:top w:val="single" w:color="000000" w:sz="4" w:space="0"/>
              <w:bottom w:val="single" w:color="000000" w:sz="4" w:space="0"/>
            </w:tcBorders>
            <w:vAlign w:val="center"/>
          </w:tcPr>
          <w:p w14:paraId="5673FBB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全自动化学化光仪</w:t>
            </w:r>
          </w:p>
        </w:tc>
        <w:tc>
          <w:tcPr>
            <w:tcW w:w="1434" w:type="dxa"/>
            <w:tcBorders>
              <w:top w:val="single" w:color="000000" w:sz="4" w:space="0"/>
              <w:bottom w:val="single" w:color="000000" w:sz="4" w:space="0"/>
            </w:tcBorders>
            <w:vAlign w:val="center"/>
          </w:tcPr>
          <w:p w14:paraId="133DAEC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00FAD7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1DD67F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Cs w:val="21"/>
                <w:lang w:eastAsia="en-US"/>
              </w:rPr>
            </w:pPr>
            <w:r>
              <w:rPr>
                <w:rFonts w:hint="eastAsia" w:ascii="宋体" w:hAnsi="宋体" w:eastAsia="宋体" w:cs="宋体"/>
                <w:snapToGrid w:val="0"/>
                <w:color w:val="auto"/>
                <w:spacing w:val="-6"/>
                <w:kern w:val="0"/>
                <w:szCs w:val="21"/>
                <w:lang w:val="en-US" w:eastAsia="zh-CN"/>
              </w:rPr>
              <w:t>1</w:t>
            </w:r>
          </w:p>
        </w:tc>
        <w:tc>
          <w:tcPr>
            <w:tcW w:w="881" w:type="dxa"/>
            <w:tcBorders>
              <w:top w:val="single" w:color="000000" w:sz="4" w:space="0"/>
              <w:bottom w:val="single" w:color="000000" w:sz="4" w:space="0"/>
            </w:tcBorders>
            <w:vAlign w:val="center"/>
          </w:tcPr>
          <w:p w14:paraId="7EA9F99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Cs w:val="21"/>
                <w:lang w:eastAsia="en-US"/>
              </w:rPr>
            </w:pPr>
          </w:p>
        </w:tc>
        <w:tc>
          <w:tcPr>
            <w:tcW w:w="1050" w:type="dxa"/>
            <w:tcBorders>
              <w:top w:val="single" w:color="000000" w:sz="4" w:space="0"/>
              <w:bottom w:val="single" w:color="000000" w:sz="4" w:space="0"/>
            </w:tcBorders>
            <w:vAlign w:val="center"/>
          </w:tcPr>
          <w:p w14:paraId="28AABA8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60AA26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00E18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C46CE5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7</w:t>
            </w:r>
          </w:p>
        </w:tc>
        <w:tc>
          <w:tcPr>
            <w:tcW w:w="2056" w:type="dxa"/>
            <w:tcBorders>
              <w:top w:val="single" w:color="000000" w:sz="4" w:space="0"/>
              <w:bottom w:val="single" w:color="000000" w:sz="4" w:space="0"/>
            </w:tcBorders>
            <w:vAlign w:val="center"/>
          </w:tcPr>
          <w:p w14:paraId="580D384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434" w:type="dxa"/>
            <w:tcBorders>
              <w:top w:val="single" w:color="000000" w:sz="4" w:space="0"/>
              <w:bottom w:val="single" w:color="000000" w:sz="4" w:space="0"/>
            </w:tcBorders>
            <w:vAlign w:val="center"/>
          </w:tcPr>
          <w:p w14:paraId="48C64E7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A068AF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highlight w:val="none"/>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6AB2B6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highlight w:val="none"/>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628C8AA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7344A78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highlight w:val="none"/>
                <w:lang w:val="en-US" w:eastAsia="en-US" w:bidi="ar-SA"/>
              </w:rPr>
            </w:pPr>
          </w:p>
        </w:tc>
        <w:tc>
          <w:tcPr>
            <w:tcW w:w="1892" w:type="dxa"/>
            <w:tcBorders>
              <w:top w:val="single" w:color="000000" w:sz="4" w:space="0"/>
              <w:bottom w:val="single" w:color="000000" w:sz="4" w:space="0"/>
            </w:tcBorders>
            <w:vAlign w:val="center"/>
          </w:tcPr>
          <w:p w14:paraId="3883A1B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F6B0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4800820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8</w:t>
            </w:r>
          </w:p>
        </w:tc>
        <w:tc>
          <w:tcPr>
            <w:tcW w:w="2056" w:type="dxa"/>
            <w:tcBorders>
              <w:top w:val="single" w:color="000000" w:sz="4" w:space="0"/>
              <w:bottom w:val="single" w:color="000000" w:sz="4" w:space="0"/>
            </w:tcBorders>
            <w:shd w:val="clear" w:color="auto" w:fill="auto"/>
            <w:vAlign w:val="center"/>
          </w:tcPr>
          <w:p w14:paraId="447C3F8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434" w:type="dxa"/>
            <w:tcBorders>
              <w:top w:val="single" w:color="000000" w:sz="4" w:space="0"/>
              <w:bottom w:val="single" w:color="000000" w:sz="4" w:space="0"/>
            </w:tcBorders>
            <w:shd w:val="clear" w:color="auto" w:fill="auto"/>
            <w:vAlign w:val="center"/>
          </w:tcPr>
          <w:p w14:paraId="775A5AD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shd w:val="clear" w:color="auto" w:fill="auto"/>
            <w:vAlign w:val="center"/>
          </w:tcPr>
          <w:p w14:paraId="5E123D5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shd w:val="clear" w:color="auto" w:fill="auto"/>
            <w:vAlign w:val="center"/>
          </w:tcPr>
          <w:p w14:paraId="493D1E1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shd w:val="clear" w:color="auto" w:fill="auto"/>
            <w:vAlign w:val="center"/>
          </w:tcPr>
          <w:p w14:paraId="25DCBFD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shd w:val="clear" w:color="auto" w:fill="auto"/>
            <w:vAlign w:val="center"/>
          </w:tcPr>
          <w:p w14:paraId="1FCEE40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shd w:val="clear" w:color="auto" w:fill="auto"/>
            <w:vAlign w:val="center"/>
          </w:tcPr>
          <w:p w14:paraId="6FF532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229A6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0A7D92A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9</w:t>
            </w:r>
          </w:p>
        </w:tc>
        <w:tc>
          <w:tcPr>
            <w:tcW w:w="2056" w:type="dxa"/>
            <w:tcBorders>
              <w:top w:val="single" w:color="000000" w:sz="4" w:space="0"/>
              <w:bottom w:val="single" w:color="000000" w:sz="4" w:space="0"/>
            </w:tcBorders>
            <w:vAlign w:val="center"/>
          </w:tcPr>
          <w:p w14:paraId="1AFFA8C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全自动电解质仪</w:t>
            </w:r>
          </w:p>
        </w:tc>
        <w:tc>
          <w:tcPr>
            <w:tcW w:w="1434" w:type="dxa"/>
            <w:tcBorders>
              <w:top w:val="single" w:color="000000" w:sz="4" w:space="0"/>
              <w:bottom w:val="single" w:color="000000" w:sz="4" w:space="0"/>
            </w:tcBorders>
            <w:vAlign w:val="center"/>
          </w:tcPr>
          <w:p w14:paraId="4338C94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12E609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D5A8D6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CC4A7D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8024D8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29F86E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7A26E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3E5805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10</w:t>
            </w:r>
          </w:p>
        </w:tc>
        <w:tc>
          <w:tcPr>
            <w:tcW w:w="2056" w:type="dxa"/>
            <w:tcBorders>
              <w:top w:val="single" w:color="000000" w:sz="4" w:space="0"/>
              <w:bottom w:val="single" w:color="000000" w:sz="4" w:space="0"/>
            </w:tcBorders>
            <w:vAlign w:val="center"/>
          </w:tcPr>
          <w:p w14:paraId="395D5B7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434" w:type="dxa"/>
            <w:tcBorders>
              <w:top w:val="single" w:color="000000" w:sz="4" w:space="0"/>
              <w:bottom w:val="single" w:color="000000" w:sz="4" w:space="0"/>
            </w:tcBorders>
            <w:vAlign w:val="center"/>
          </w:tcPr>
          <w:p w14:paraId="7A6B9FE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341E513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43DEC8E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68B54FC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215C188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5982A5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0664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40C783A">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11</w:t>
            </w:r>
          </w:p>
        </w:tc>
        <w:tc>
          <w:tcPr>
            <w:tcW w:w="2056" w:type="dxa"/>
            <w:tcBorders>
              <w:top w:val="single" w:color="000000" w:sz="4" w:space="0"/>
              <w:bottom w:val="single" w:color="000000" w:sz="4" w:space="0"/>
            </w:tcBorders>
            <w:vAlign w:val="center"/>
          </w:tcPr>
          <w:p w14:paraId="7078DDA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434" w:type="dxa"/>
            <w:tcBorders>
              <w:top w:val="single" w:color="000000" w:sz="4" w:space="0"/>
              <w:bottom w:val="single" w:color="000000" w:sz="4" w:space="0"/>
            </w:tcBorders>
            <w:vAlign w:val="center"/>
          </w:tcPr>
          <w:p w14:paraId="6DA4C34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28644D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277DC7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881" w:type="dxa"/>
            <w:tcBorders>
              <w:top w:val="single" w:color="000000" w:sz="4" w:space="0"/>
              <w:bottom w:val="single" w:color="000000" w:sz="4" w:space="0"/>
            </w:tcBorders>
            <w:vAlign w:val="center"/>
          </w:tcPr>
          <w:p w14:paraId="5BBBEFD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972506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006BE53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66B63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4C43E6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2</w:t>
            </w:r>
          </w:p>
        </w:tc>
        <w:tc>
          <w:tcPr>
            <w:tcW w:w="2056" w:type="dxa"/>
            <w:tcBorders>
              <w:top w:val="single" w:color="000000" w:sz="4" w:space="0"/>
              <w:bottom w:val="single" w:color="000000" w:sz="4" w:space="0"/>
            </w:tcBorders>
            <w:vAlign w:val="center"/>
          </w:tcPr>
          <w:p w14:paraId="0B9293C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全自动5分类血球分析仪</w:t>
            </w:r>
          </w:p>
        </w:tc>
        <w:tc>
          <w:tcPr>
            <w:tcW w:w="1434" w:type="dxa"/>
            <w:tcBorders>
              <w:top w:val="single" w:color="000000" w:sz="4" w:space="0"/>
              <w:bottom w:val="single" w:color="000000" w:sz="4" w:space="0"/>
            </w:tcBorders>
            <w:vAlign w:val="center"/>
          </w:tcPr>
          <w:p w14:paraId="5706180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74EEA59">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0B32661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94675F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137C0D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396404B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7FCDE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23B8306">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13</w:t>
            </w:r>
          </w:p>
        </w:tc>
        <w:tc>
          <w:tcPr>
            <w:tcW w:w="2056" w:type="dxa"/>
            <w:tcBorders>
              <w:top w:val="single" w:color="000000" w:sz="4" w:space="0"/>
              <w:bottom w:val="single" w:color="000000" w:sz="4" w:space="0"/>
            </w:tcBorders>
            <w:vAlign w:val="center"/>
          </w:tcPr>
          <w:p w14:paraId="0561275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全自动糖化血红蛋白仪</w:t>
            </w:r>
          </w:p>
        </w:tc>
        <w:tc>
          <w:tcPr>
            <w:tcW w:w="1434" w:type="dxa"/>
            <w:tcBorders>
              <w:top w:val="single" w:color="000000" w:sz="4" w:space="0"/>
              <w:bottom w:val="single" w:color="000000" w:sz="4" w:space="0"/>
            </w:tcBorders>
            <w:vAlign w:val="center"/>
          </w:tcPr>
          <w:p w14:paraId="0C704D7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C6616F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C7E8FE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1039CFB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p>
        </w:tc>
        <w:tc>
          <w:tcPr>
            <w:tcW w:w="1050" w:type="dxa"/>
            <w:tcBorders>
              <w:top w:val="single" w:color="000000" w:sz="4" w:space="0"/>
              <w:bottom w:val="single" w:color="000000" w:sz="4" w:space="0"/>
            </w:tcBorders>
            <w:vAlign w:val="center"/>
          </w:tcPr>
          <w:p w14:paraId="4AD979C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70FEDD2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50F61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0F6A99B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14</w:t>
            </w:r>
          </w:p>
        </w:tc>
        <w:tc>
          <w:tcPr>
            <w:tcW w:w="2056" w:type="dxa"/>
            <w:tcBorders>
              <w:top w:val="single" w:color="000000" w:sz="4" w:space="0"/>
              <w:bottom w:val="single" w:color="000000" w:sz="4" w:space="0"/>
            </w:tcBorders>
            <w:vAlign w:val="center"/>
          </w:tcPr>
          <w:p w14:paraId="3F8A61E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全自动大便分析仪</w:t>
            </w:r>
          </w:p>
        </w:tc>
        <w:tc>
          <w:tcPr>
            <w:tcW w:w="1434" w:type="dxa"/>
            <w:tcBorders>
              <w:top w:val="single" w:color="000000" w:sz="4" w:space="0"/>
              <w:bottom w:val="single" w:color="000000" w:sz="4" w:space="0"/>
            </w:tcBorders>
            <w:vAlign w:val="center"/>
          </w:tcPr>
          <w:p w14:paraId="006D82D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534D063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F48896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E6D49E8">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7A7ECDF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64EE344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58D2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40176A1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15</w:t>
            </w:r>
          </w:p>
        </w:tc>
        <w:tc>
          <w:tcPr>
            <w:tcW w:w="2056" w:type="dxa"/>
            <w:tcBorders>
              <w:top w:val="single" w:color="000000" w:sz="4" w:space="0"/>
              <w:bottom w:val="single" w:color="000000" w:sz="4" w:space="0"/>
            </w:tcBorders>
            <w:vAlign w:val="center"/>
          </w:tcPr>
          <w:p w14:paraId="6812B57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尿成渣仪器</w:t>
            </w:r>
          </w:p>
        </w:tc>
        <w:tc>
          <w:tcPr>
            <w:tcW w:w="1434" w:type="dxa"/>
            <w:tcBorders>
              <w:top w:val="single" w:color="000000" w:sz="4" w:space="0"/>
              <w:bottom w:val="single" w:color="000000" w:sz="4" w:space="0"/>
            </w:tcBorders>
            <w:vAlign w:val="center"/>
          </w:tcPr>
          <w:p w14:paraId="55273A1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65AB1D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7EF36C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3D62954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338D632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2CF90B3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9F7D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1BFB5E5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16</w:t>
            </w:r>
          </w:p>
        </w:tc>
        <w:tc>
          <w:tcPr>
            <w:tcW w:w="2056" w:type="dxa"/>
            <w:tcBorders>
              <w:top w:val="single" w:color="000000" w:sz="4" w:space="0"/>
              <w:bottom w:val="single" w:color="000000" w:sz="4" w:space="0"/>
            </w:tcBorders>
            <w:vAlign w:val="center"/>
          </w:tcPr>
          <w:p w14:paraId="4F0B1F9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血沉仪</w:t>
            </w:r>
          </w:p>
        </w:tc>
        <w:tc>
          <w:tcPr>
            <w:tcW w:w="1434" w:type="dxa"/>
            <w:tcBorders>
              <w:top w:val="single" w:color="000000" w:sz="4" w:space="0"/>
              <w:bottom w:val="single" w:color="000000" w:sz="4" w:space="0"/>
            </w:tcBorders>
            <w:vAlign w:val="center"/>
          </w:tcPr>
          <w:p w14:paraId="7A9922A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E721E4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ADE371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95848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005FBA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731F8A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2D61E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274E491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17</w:t>
            </w:r>
          </w:p>
        </w:tc>
        <w:tc>
          <w:tcPr>
            <w:tcW w:w="2056" w:type="dxa"/>
            <w:tcBorders>
              <w:top w:val="single" w:color="000000" w:sz="4" w:space="0"/>
              <w:bottom w:val="single" w:color="000000" w:sz="4" w:space="0"/>
            </w:tcBorders>
            <w:vAlign w:val="center"/>
          </w:tcPr>
          <w:p w14:paraId="7DB8937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白带分析仪</w:t>
            </w:r>
          </w:p>
        </w:tc>
        <w:tc>
          <w:tcPr>
            <w:tcW w:w="1434" w:type="dxa"/>
            <w:tcBorders>
              <w:top w:val="single" w:color="000000" w:sz="4" w:space="0"/>
              <w:bottom w:val="single" w:color="000000" w:sz="4" w:space="0"/>
            </w:tcBorders>
            <w:vAlign w:val="center"/>
          </w:tcPr>
          <w:p w14:paraId="1185210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EDADB5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2450244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792A9FE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5DDF9BC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2721EFA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43E14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00FB05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spacing w:val="-6"/>
                <w:kern w:val="0"/>
                <w:sz w:val="18"/>
                <w:szCs w:val="18"/>
                <w:lang w:val="en-US" w:eastAsia="zh-CN" w:bidi="ar-SA"/>
              </w:rPr>
              <w:t>18</w:t>
            </w:r>
          </w:p>
        </w:tc>
        <w:tc>
          <w:tcPr>
            <w:tcW w:w="2056" w:type="dxa"/>
            <w:tcBorders>
              <w:top w:val="single" w:color="000000" w:sz="4" w:space="0"/>
              <w:bottom w:val="single" w:color="000000" w:sz="4" w:space="0"/>
            </w:tcBorders>
            <w:vAlign w:val="center"/>
          </w:tcPr>
          <w:p w14:paraId="422BDCC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全自动化学发光仪</w:t>
            </w:r>
          </w:p>
        </w:tc>
        <w:tc>
          <w:tcPr>
            <w:tcW w:w="1434" w:type="dxa"/>
            <w:tcBorders>
              <w:top w:val="single" w:color="000000" w:sz="4" w:space="0"/>
              <w:bottom w:val="single" w:color="000000" w:sz="4" w:space="0"/>
            </w:tcBorders>
            <w:vAlign w:val="center"/>
          </w:tcPr>
          <w:p w14:paraId="7A726CE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7A2529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CD50B9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A848CB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p>
        </w:tc>
        <w:tc>
          <w:tcPr>
            <w:tcW w:w="1050" w:type="dxa"/>
            <w:tcBorders>
              <w:top w:val="single" w:color="000000" w:sz="4" w:space="0"/>
              <w:bottom w:val="single" w:color="000000" w:sz="4" w:space="0"/>
            </w:tcBorders>
            <w:vAlign w:val="center"/>
          </w:tcPr>
          <w:p w14:paraId="48A55E5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3C518C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785F8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30CC64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19</w:t>
            </w:r>
          </w:p>
        </w:tc>
        <w:tc>
          <w:tcPr>
            <w:tcW w:w="2056" w:type="dxa"/>
            <w:tcBorders>
              <w:top w:val="single" w:color="000000" w:sz="4" w:space="0"/>
              <w:bottom w:val="single" w:color="000000" w:sz="4" w:space="0"/>
            </w:tcBorders>
            <w:vAlign w:val="center"/>
          </w:tcPr>
          <w:p w14:paraId="46CAB12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全自动凝血仪</w:t>
            </w:r>
          </w:p>
        </w:tc>
        <w:tc>
          <w:tcPr>
            <w:tcW w:w="1434" w:type="dxa"/>
            <w:tcBorders>
              <w:top w:val="single" w:color="000000" w:sz="4" w:space="0"/>
              <w:bottom w:val="single" w:color="000000" w:sz="4" w:space="0"/>
            </w:tcBorders>
            <w:vAlign w:val="center"/>
          </w:tcPr>
          <w:p w14:paraId="68B5FCC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657D2A8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D9F361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211916E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4865103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5FB0F07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6C7F0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66DCEFF3">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20</w:t>
            </w:r>
          </w:p>
        </w:tc>
        <w:tc>
          <w:tcPr>
            <w:tcW w:w="2056" w:type="dxa"/>
            <w:tcBorders>
              <w:top w:val="single" w:color="000000" w:sz="4" w:space="0"/>
              <w:bottom w:val="single" w:color="000000" w:sz="4" w:space="0"/>
            </w:tcBorders>
            <w:vAlign w:val="center"/>
          </w:tcPr>
          <w:p w14:paraId="2497764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全自动核酸提纯及荧光PCR分析系统</w:t>
            </w:r>
          </w:p>
        </w:tc>
        <w:tc>
          <w:tcPr>
            <w:tcW w:w="1434" w:type="dxa"/>
            <w:tcBorders>
              <w:top w:val="single" w:color="000000" w:sz="4" w:space="0"/>
              <w:bottom w:val="single" w:color="000000" w:sz="4" w:space="0"/>
            </w:tcBorders>
            <w:vAlign w:val="center"/>
          </w:tcPr>
          <w:p w14:paraId="6043794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6C951B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套</w:t>
            </w:r>
          </w:p>
        </w:tc>
        <w:tc>
          <w:tcPr>
            <w:tcW w:w="725" w:type="dxa"/>
            <w:tcBorders>
              <w:top w:val="single" w:color="000000" w:sz="4" w:space="0"/>
              <w:bottom w:val="single" w:color="000000" w:sz="4" w:space="0"/>
            </w:tcBorders>
            <w:vAlign w:val="center"/>
          </w:tcPr>
          <w:p w14:paraId="525B31B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en-US"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1066A0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0315EA6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1B5655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23266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6BA039A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21</w:t>
            </w:r>
          </w:p>
        </w:tc>
        <w:tc>
          <w:tcPr>
            <w:tcW w:w="2056" w:type="dxa"/>
            <w:tcBorders>
              <w:top w:val="single" w:color="000000" w:sz="4" w:space="0"/>
              <w:bottom w:val="single" w:color="000000" w:sz="4" w:space="0"/>
            </w:tcBorders>
            <w:vAlign w:val="center"/>
          </w:tcPr>
          <w:p w14:paraId="669735B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全自动特定蛋白分析仪</w:t>
            </w:r>
          </w:p>
        </w:tc>
        <w:tc>
          <w:tcPr>
            <w:tcW w:w="1434" w:type="dxa"/>
            <w:tcBorders>
              <w:top w:val="single" w:color="000000" w:sz="4" w:space="0"/>
              <w:bottom w:val="single" w:color="000000" w:sz="4" w:space="0"/>
            </w:tcBorders>
            <w:vAlign w:val="center"/>
          </w:tcPr>
          <w:p w14:paraId="3C5D4FB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26385C1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725" w:type="dxa"/>
            <w:tcBorders>
              <w:top w:val="single" w:color="000000" w:sz="4" w:space="0"/>
              <w:bottom w:val="single" w:color="000000" w:sz="4" w:space="0"/>
            </w:tcBorders>
            <w:vAlign w:val="center"/>
          </w:tcPr>
          <w:p w14:paraId="5C4E3D5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Cs w:val="21"/>
                <w:lang w:eastAsia="zh-CN"/>
              </w:rPr>
            </w:pPr>
            <w:r>
              <w:rPr>
                <w:rFonts w:hint="eastAsia" w:ascii="宋体" w:hAnsi="宋体" w:eastAsia="宋体" w:cs="宋体"/>
                <w:snapToGrid w:val="0"/>
                <w:color w:val="auto"/>
                <w:spacing w:val="-6"/>
                <w:kern w:val="0"/>
                <w:szCs w:val="21"/>
                <w:lang w:val="en-US" w:eastAsia="zh-CN"/>
              </w:rPr>
              <w:t>1</w:t>
            </w:r>
          </w:p>
        </w:tc>
        <w:tc>
          <w:tcPr>
            <w:tcW w:w="881" w:type="dxa"/>
            <w:tcBorders>
              <w:top w:val="single" w:color="000000" w:sz="4" w:space="0"/>
              <w:bottom w:val="single" w:color="000000" w:sz="4" w:space="0"/>
            </w:tcBorders>
            <w:vAlign w:val="center"/>
          </w:tcPr>
          <w:p w14:paraId="0096CD4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4001028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42D0CEE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359D5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079E7A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22</w:t>
            </w:r>
          </w:p>
        </w:tc>
        <w:tc>
          <w:tcPr>
            <w:tcW w:w="2056" w:type="dxa"/>
            <w:tcBorders>
              <w:top w:val="single" w:color="000000" w:sz="4" w:space="0"/>
              <w:bottom w:val="single" w:color="000000" w:sz="4" w:space="0"/>
            </w:tcBorders>
            <w:vAlign w:val="center"/>
          </w:tcPr>
          <w:p w14:paraId="72C7766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全自动血细胞分析仪</w:t>
            </w:r>
          </w:p>
        </w:tc>
        <w:tc>
          <w:tcPr>
            <w:tcW w:w="1434" w:type="dxa"/>
            <w:tcBorders>
              <w:top w:val="single" w:color="000000" w:sz="4" w:space="0"/>
              <w:bottom w:val="single" w:color="000000" w:sz="4" w:space="0"/>
            </w:tcBorders>
            <w:vAlign w:val="center"/>
          </w:tcPr>
          <w:p w14:paraId="6B049D0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24C9EF2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725" w:type="dxa"/>
            <w:tcBorders>
              <w:top w:val="single" w:color="000000" w:sz="4" w:space="0"/>
              <w:bottom w:val="single" w:color="000000" w:sz="4" w:space="0"/>
            </w:tcBorders>
            <w:vAlign w:val="center"/>
          </w:tcPr>
          <w:p w14:paraId="0979EAB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35EE30D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9C4F53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38AE863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7ECE5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3FF404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23</w:t>
            </w:r>
          </w:p>
        </w:tc>
        <w:tc>
          <w:tcPr>
            <w:tcW w:w="2056" w:type="dxa"/>
            <w:tcBorders>
              <w:top w:val="single" w:color="000000" w:sz="4" w:space="0"/>
              <w:bottom w:val="single" w:color="000000" w:sz="4" w:space="0"/>
            </w:tcBorders>
            <w:vAlign w:val="center"/>
          </w:tcPr>
          <w:p w14:paraId="23EDDE7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全自动化学发光分析仪</w:t>
            </w:r>
          </w:p>
        </w:tc>
        <w:tc>
          <w:tcPr>
            <w:tcW w:w="1434" w:type="dxa"/>
            <w:tcBorders>
              <w:top w:val="single" w:color="000000" w:sz="4" w:space="0"/>
              <w:bottom w:val="single" w:color="000000" w:sz="4" w:space="0"/>
            </w:tcBorders>
            <w:vAlign w:val="center"/>
          </w:tcPr>
          <w:p w14:paraId="4E60585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D2D5B3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725" w:type="dxa"/>
            <w:tcBorders>
              <w:top w:val="single" w:color="000000" w:sz="4" w:space="0"/>
              <w:bottom w:val="single" w:color="000000" w:sz="4" w:space="0"/>
            </w:tcBorders>
            <w:vAlign w:val="center"/>
          </w:tcPr>
          <w:p w14:paraId="4981285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233957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B6625E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4E2788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67A5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4FC734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24</w:t>
            </w:r>
          </w:p>
        </w:tc>
        <w:tc>
          <w:tcPr>
            <w:tcW w:w="2056" w:type="dxa"/>
            <w:tcBorders>
              <w:top w:val="single" w:color="000000" w:sz="4" w:space="0"/>
              <w:bottom w:val="single" w:color="000000" w:sz="4" w:space="0"/>
            </w:tcBorders>
            <w:vAlign w:val="center"/>
          </w:tcPr>
          <w:p w14:paraId="2128991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微量五元素</w:t>
            </w:r>
          </w:p>
        </w:tc>
        <w:tc>
          <w:tcPr>
            <w:tcW w:w="1434" w:type="dxa"/>
            <w:tcBorders>
              <w:top w:val="single" w:color="000000" w:sz="4" w:space="0"/>
              <w:bottom w:val="single" w:color="000000" w:sz="4" w:space="0"/>
            </w:tcBorders>
            <w:vAlign w:val="center"/>
          </w:tcPr>
          <w:p w14:paraId="4E6C638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29F51B2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21FA051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42D3F54C">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9C70E2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417F10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en-US" w:bidi="ar-SA"/>
              </w:rPr>
              <w:t>新化县妇幼保健院</w:t>
            </w:r>
          </w:p>
        </w:tc>
      </w:tr>
      <w:tr w14:paraId="20E00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096AA62">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r>
              <w:rPr>
                <w:rFonts w:hint="eastAsia" w:ascii="宋体" w:hAnsi="宋体" w:eastAsia="宋体" w:cs="宋体"/>
                <w:snapToGrid w:val="0"/>
                <w:color w:val="auto"/>
                <w:kern w:val="0"/>
                <w:sz w:val="18"/>
                <w:szCs w:val="18"/>
                <w:lang w:val="en-US" w:eastAsia="zh-CN" w:bidi="ar-SA"/>
              </w:rPr>
              <w:t>5</w:t>
            </w:r>
          </w:p>
        </w:tc>
        <w:tc>
          <w:tcPr>
            <w:tcW w:w="2056" w:type="dxa"/>
            <w:tcBorders>
              <w:top w:val="single" w:color="000000" w:sz="4" w:space="0"/>
              <w:bottom w:val="single" w:color="000000" w:sz="4" w:space="0"/>
            </w:tcBorders>
            <w:vAlign w:val="center"/>
          </w:tcPr>
          <w:p w14:paraId="377ECC5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幽门螺旋杆菌检测仪</w:t>
            </w:r>
          </w:p>
        </w:tc>
        <w:tc>
          <w:tcPr>
            <w:tcW w:w="1434" w:type="dxa"/>
            <w:tcBorders>
              <w:top w:val="single" w:color="000000" w:sz="4" w:space="0"/>
              <w:bottom w:val="single" w:color="000000" w:sz="4" w:space="0"/>
            </w:tcBorders>
            <w:vAlign w:val="center"/>
          </w:tcPr>
          <w:p w14:paraId="6BEC64B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5C32C19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236C095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60FBCD6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7DD60E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57094E1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05C7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C60C10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26</w:t>
            </w:r>
          </w:p>
        </w:tc>
        <w:tc>
          <w:tcPr>
            <w:tcW w:w="2056" w:type="dxa"/>
            <w:tcBorders>
              <w:top w:val="single" w:color="000000" w:sz="4" w:space="0"/>
              <w:bottom w:val="single" w:color="000000" w:sz="4" w:space="0"/>
            </w:tcBorders>
            <w:vAlign w:val="center"/>
          </w:tcPr>
          <w:p w14:paraId="520FD3F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肺功能测试仪</w:t>
            </w:r>
          </w:p>
        </w:tc>
        <w:tc>
          <w:tcPr>
            <w:tcW w:w="1434" w:type="dxa"/>
            <w:tcBorders>
              <w:top w:val="single" w:color="000000" w:sz="4" w:space="0"/>
              <w:bottom w:val="single" w:color="000000" w:sz="4" w:space="0"/>
            </w:tcBorders>
            <w:vAlign w:val="center"/>
          </w:tcPr>
          <w:p w14:paraId="71B0EA5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F77F90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3085350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7793BD1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3B9BEFEC">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7BFBA4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5FDFD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6750111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27</w:t>
            </w:r>
          </w:p>
        </w:tc>
        <w:tc>
          <w:tcPr>
            <w:tcW w:w="2056" w:type="dxa"/>
            <w:tcBorders>
              <w:top w:val="single" w:color="000000" w:sz="4" w:space="0"/>
              <w:bottom w:val="single" w:color="000000" w:sz="4" w:space="0"/>
            </w:tcBorders>
            <w:vAlign w:val="center"/>
          </w:tcPr>
          <w:p w14:paraId="12B3D93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434" w:type="dxa"/>
            <w:tcBorders>
              <w:top w:val="single" w:color="000000" w:sz="4" w:space="0"/>
              <w:bottom w:val="single" w:color="000000" w:sz="4" w:space="0"/>
            </w:tcBorders>
            <w:vAlign w:val="center"/>
          </w:tcPr>
          <w:p w14:paraId="4E0660F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383145F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06ED462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C6D452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3D36830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3F8BB1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30508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02DA8929">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28</w:t>
            </w:r>
          </w:p>
        </w:tc>
        <w:tc>
          <w:tcPr>
            <w:tcW w:w="2056" w:type="dxa"/>
            <w:tcBorders>
              <w:top w:val="single" w:color="000000" w:sz="4" w:space="0"/>
              <w:bottom w:val="single" w:color="000000" w:sz="4" w:space="0"/>
            </w:tcBorders>
            <w:vAlign w:val="center"/>
          </w:tcPr>
          <w:p w14:paraId="2A372EE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434" w:type="dxa"/>
            <w:tcBorders>
              <w:top w:val="single" w:color="000000" w:sz="4" w:space="0"/>
              <w:bottom w:val="single" w:color="000000" w:sz="4" w:space="0"/>
            </w:tcBorders>
            <w:vAlign w:val="center"/>
          </w:tcPr>
          <w:p w14:paraId="7546A50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3F00B01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046F8FF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881" w:type="dxa"/>
            <w:tcBorders>
              <w:top w:val="single" w:color="000000" w:sz="4" w:space="0"/>
              <w:bottom w:val="single" w:color="000000" w:sz="4" w:space="0"/>
            </w:tcBorders>
            <w:vAlign w:val="center"/>
          </w:tcPr>
          <w:p w14:paraId="379EFA1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0CD738A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658519C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5E3A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2C44044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3490" w:type="dxa"/>
            <w:gridSpan w:val="2"/>
            <w:tcBorders>
              <w:top w:val="single" w:color="000000" w:sz="4" w:space="0"/>
              <w:bottom w:val="single" w:color="000000" w:sz="4" w:space="0"/>
            </w:tcBorders>
            <w:vAlign w:val="center"/>
          </w:tcPr>
          <w:p w14:paraId="77D6C7E5">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775" w:type="dxa"/>
            <w:tcBorders>
              <w:top w:val="single" w:color="000000" w:sz="4" w:space="0"/>
              <w:bottom w:val="single" w:color="000000" w:sz="4" w:space="0"/>
            </w:tcBorders>
            <w:vAlign w:val="center"/>
          </w:tcPr>
          <w:p w14:paraId="50EEAF98">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725" w:type="dxa"/>
            <w:tcBorders>
              <w:top w:val="single" w:color="000000" w:sz="4" w:space="0"/>
              <w:bottom w:val="single" w:color="000000" w:sz="4" w:space="0"/>
            </w:tcBorders>
            <w:vAlign w:val="center"/>
          </w:tcPr>
          <w:p w14:paraId="211A17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30</w:t>
            </w:r>
          </w:p>
        </w:tc>
        <w:tc>
          <w:tcPr>
            <w:tcW w:w="881" w:type="dxa"/>
            <w:tcBorders>
              <w:top w:val="single" w:color="000000" w:sz="4" w:space="0"/>
              <w:bottom w:val="single" w:color="000000" w:sz="4" w:space="0"/>
            </w:tcBorders>
            <w:vAlign w:val="center"/>
          </w:tcPr>
          <w:p w14:paraId="45E76CB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1050" w:type="dxa"/>
            <w:tcBorders>
              <w:top w:val="single" w:color="000000" w:sz="4" w:space="0"/>
              <w:bottom w:val="single" w:color="000000" w:sz="4" w:space="0"/>
            </w:tcBorders>
            <w:vAlign w:val="center"/>
          </w:tcPr>
          <w:p w14:paraId="1AEE78D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3A1FF2C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r>
    </w:tbl>
    <w:p w14:paraId="6F5D0DE7">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p>
    <w:p w14:paraId="3FB8AF59">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
          <w:lang w:eastAsia="en-US"/>
        </w:rPr>
      </w:pPr>
    </w:p>
    <w:p w14:paraId="4FB95B38">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
          <w:lang w:eastAsia="en-US"/>
        </w:rPr>
      </w:pPr>
    </w:p>
    <w:p w14:paraId="12EF569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2"/>
          <w:kern w:val="0"/>
          <w:sz w:val="40"/>
          <w:szCs w:val="40"/>
          <w:lang w:val="en-US" w:eastAsia="zh-CN"/>
        </w:rPr>
      </w:pPr>
    </w:p>
    <w:p w14:paraId="76D57714">
      <w:pPr>
        <w:jc w:val="cente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r>
        <w:rPr>
          <w:rFonts w:hint="eastAsia" w:ascii="宋体" w:hAnsi="宋体" w:eastAsia="宋体" w:cs="宋体"/>
          <w:snapToGrid w:val="0"/>
          <w:color w:val="auto"/>
          <w:spacing w:val="-2"/>
          <w:kern w:val="0"/>
          <w:sz w:val="40"/>
          <w:szCs w:val="40"/>
          <w:lang w:val="en-US" w:eastAsia="zh-CN"/>
        </w:rPr>
        <w:t>三、内镜设备</w:t>
      </w:r>
    </w:p>
    <w:p w14:paraId="52AF31EB">
      <w:pPr>
        <w:widowControl/>
        <w:kinsoku w:val="0"/>
        <w:autoSpaceDE w:val="0"/>
        <w:autoSpaceDN w:val="0"/>
        <w:adjustRightInd w:val="0"/>
        <w:snapToGrid w:val="0"/>
        <w:spacing w:before="34" w:line="219" w:lineRule="auto"/>
        <w:jc w:val="left"/>
        <w:textAlignment w:val="baseline"/>
        <w:rPr>
          <w:rFonts w:hint="eastAsia" w:ascii="宋体" w:hAnsi="宋体" w:eastAsia="宋体" w:cs="宋体"/>
          <w:snapToGrid w:val="0"/>
          <w:color w:val="auto"/>
          <w:kern w:val="0"/>
          <w:sz w:val="18"/>
          <w:szCs w:val="18"/>
          <w:lang w:eastAsia="en-US"/>
        </w:rPr>
      </w:pPr>
    </w:p>
    <w:p w14:paraId="464E50DC">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6DDEC305">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737"/>
        <w:gridCol w:w="1659"/>
        <w:gridCol w:w="769"/>
        <w:gridCol w:w="806"/>
        <w:gridCol w:w="1013"/>
        <w:gridCol w:w="1078"/>
        <w:gridCol w:w="1751"/>
      </w:tblGrid>
      <w:tr w14:paraId="1D7BC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top"/>
          </w:tcPr>
          <w:p w14:paraId="4281E8DB">
            <w:pPr>
              <w:kinsoku w:val="0"/>
              <w:autoSpaceDE w:val="0"/>
              <w:autoSpaceDN w:val="0"/>
              <w:adjustRightInd w:val="0"/>
              <w:snapToGrid w:val="0"/>
              <w:spacing w:before="127" w:line="221" w:lineRule="auto"/>
              <w:ind w:left="133"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737" w:type="dxa"/>
            <w:tcBorders>
              <w:top w:val="single" w:color="000000" w:sz="4" w:space="0"/>
              <w:bottom w:val="single" w:color="000000" w:sz="4" w:space="0"/>
            </w:tcBorders>
            <w:vAlign w:val="top"/>
          </w:tcPr>
          <w:p w14:paraId="68F83039">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659" w:type="dxa"/>
            <w:tcBorders>
              <w:top w:val="single" w:color="000000" w:sz="4" w:space="0"/>
              <w:bottom w:val="single" w:color="000000" w:sz="4" w:space="0"/>
            </w:tcBorders>
            <w:vAlign w:val="top"/>
          </w:tcPr>
          <w:p w14:paraId="2E01B7B4">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769" w:type="dxa"/>
            <w:tcBorders>
              <w:top w:val="single" w:color="000000" w:sz="4" w:space="0"/>
              <w:bottom w:val="single" w:color="000000" w:sz="4" w:space="0"/>
            </w:tcBorders>
            <w:vAlign w:val="top"/>
          </w:tcPr>
          <w:p w14:paraId="43044E15">
            <w:pPr>
              <w:kinsoku w:val="0"/>
              <w:autoSpaceDE w:val="0"/>
              <w:autoSpaceDN w:val="0"/>
              <w:adjustRightInd w:val="0"/>
              <w:snapToGrid w:val="0"/>
              <w:spacing w:before="127" w:line="220" w:lineRule="auto"/>
              <w:ind w:left="217"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806" w:type="dxa"/>
            <w:tcBorders>
              <w:top w:val="single" w:color="000000" w:sz="4" w:space="0"/>
              <w:bottom w:val="single" w:color="000000" w:sz="4" w:space="0"/>
            </w:tcBorders>
            <w:vAlign w:val="top"/>
          </w:tcPr>
          <w:p w14:paraId="48ECF43E">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013" w:type="dxa"/>
            <w:tcBorders>
              <w:top w:val="single" w:color="000000" w:sz="4" w:space="0"/>
              <w:bottom w:val="single" w:color="000000" w:sz="4" w:space="0"/>
            </w:tcBorders>
            <w:vAlign w:val="top"/>
          </w:tcPr>
          <w:p w14:paraId="3A905090">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78" w:type="dxa"/>
            <w:tcBorders>
              <w:top w:val="single" w:color="000000" w:sz="4" w:space="0"/>
              <w:bottom w:val="single" w:color="000000" w:sz="4" w:space="0"/>
            </w:tcBorders>
            <w:vAlign w:val="top"/>
          </w:tcPr>
          <w:p w14:paraId="43A022DE">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751" w:type="dxa"/>
            <w:tcBorders>
              <w:top w:val="single" w:color="000000" w:sz="4" w:space="0"/>
              <w:bottom w:val="single" w:color="000000" w:sz="4" w:space="0"/>
            </w:tcBorders>
            <w:vAlign w:val="top"/>
          </w:tcPr>
          <w:p w14:paraId="6B34CDCB">
            <w:pPr>
              <w:kinsoku w:val="0"/>
              <w:autoSpaceDE w:val="0"/>
              <w:autoSpaceDN w:val="0"/>
              <w:adjustRightInd w:val="0"/>
              <w:snapToGrid w:val="0"/>
              <w:spacing w:before="127" w:line="221" w:lineRule="auto"/>
              <w:ind w:left="315"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采购单位</w:t>
            </w:r>
          </w:p>
        </w:tc>
      </w:tr>
      <w:tr w14:paraId="62BA5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7A2B32D8">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737" w:type="dxa"/>
            <w:tcBorders>
              <w:top w:val="single" w:color="000000" w:sz="4" w:space="0"/>
              <w:bottom w:val="single" w:color="000000" w:sz="4" w:space="0"/>
            </w:tcBorders>
            <w:vAlign w:val="center"/>
          </w:tcPr>
          <w:p w14:paraId="5C0373C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5"/>
                <w:kern w:val="0"/>
                <w:sz w:val="18"/>
                <w:szCs w:val="18"/>
                <w:lang w:val="en-US" w:eastAsia="zh-CN" w:bidi="ar-SA"/>
              </w:rPr>
              <w:t>耳</w:t>
            </w:r>
            <w:r>
              <w:rPr>
                <w:rFonts w:hint="eastAsia" w:ascii="宋体" w:hAnsi="宋体" w:eastAsia="宋体" w:cs="宋体"/>
                <w:snapToGrid w:val="0"/>
                <w:color w:val="auto"/>
                <w:spacing w:val="-5"/>
                <w:kern w:val="0"/>
                <w:sz w:val="18"/>
                <w:szCs w:val="18"/>
                <w:lang w:val="en-US" w:eastAsia="en-US" w:bidi="ar-SA"/>
              </w:rPr>
              <w:t>鼻喉内窥镜</w:t>
            </w:r>
          </w:p>
        </w:tc>
        <w:tc>
          <w:tcPr>
            <w:tcW w:w="1659" w:type="dxa"/>
            <w:tcBorders>
              <w:top w:val="single" w:color="000000" w:sz="4" w:space="0"/>
              <w:bottom w:val="single" w:color="000000" w:sz="4" w:space="0"/>
            </w:tcBorders>
            <w:vAlign w:val="center"/>
          </w:tcPr>
          <w:p w14:paraId="21ED8DE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2734642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027B679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4FB2C32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C492772">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751" w:type="dxa"/>
            <w:tcBorders>
              <w:top w:val="single" w:color="000000" w:sz="4" w:space="0"/>
              <w:bottom w:val="single" w:color="000000" w:sz="4" w:space="0"/>
            </w:tcBorders>
            <w:vAlign w:val="center"/>
          </w:tcPr>
          <w:p w14:paraId="2AB8E93D">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2D2B8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2226E5B8">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p>
        </w:tc>
        <w:tc>
          <w:tcPr>
            <w:tcW w:w="1737" w:type="dxa"/>
            <w:tcBorders>
              <w:top w:val="single" w:color="000000" w:sz="4" w:space="0"/>
              <w:bottom w:val="single" w:color="000000" w:sz="4" w:space="0"/>
            </w:tcBorders>
            <w:vAlign w:val="center"/>
          </w:tcPr>
          <w:p w14:paraId="60D25B3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4K超高清宫腔镜系统</w:t>
            </w:r>
          </w:p>
        </w:tc>
        <w:tc>
          <w:tcPr>
            <w:tcW w:w="1659" w:type="dxa"/>
            <w:tcBorders>
              <w:top w:val="single" w:color="000000" w:sz="4" w:space="0"/>
              <w:bottom w:val="single" w:color="000000" w:sz="4" w:space="0"/>
            </w:tcBorders>
            <w:shd w:val="clear" w:color="auto" w:fill="auto"/>
            <w:vAlign w:val="center"/>
          </w:tcPr>
          <w:p w14:paraId="69ACC4A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6C645F6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vertAlign w:val="baseline"/>
                <w:lang w:val="en-US" w:eastAsia="zh-CN" w:bidi="ar-SA"/>
              </w:rPr>
              <w:t>套</w:t>
            </w:r>
          </w:p>
        </w:tc>
        <w:tc>
          <w:tcPr>
            <w:tcW w:w="806" w:type="dxa"/>
            <w:tcBorders>
              <w:top w:val="single" w:color="000000" w:sz="4" w:space="0"/>
              <w:bottom w:val="single" w:color="000000" w:sz="4" w:space="0"/>
            </w:tcBorders>
            <w:vAlign w:val="center"/>
          </w:tcPr>
          <w:p w14:paraId="21645D8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4AE915E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7B1A0A8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45B5BD5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en-US"/>
              </w:rPr>
            </w:pPr>
            <w:r>
              <w:rPr>
                <w:rFonts w:hint="eastAsia" w:ascii="宋体" w:hAnsi="宋体" w:eastAsia="宋体" w:cs="宋体"/>
                <w:snapToGrid w:val="0"/>
                <w:color w:val="auto"/>
                <w:spacing w:val="-2"/>
                <w:kern w:val="0"/>
                <w:sz w:val="18"/>
                <w:szCs w:val="18"/>
                <w:lang w:val="en-US" w:eastAsia="en-US" w:bidi="ar-SA"/>
              </w:rPr>
              <w:t>新化县妇幼保健院</w:t>
            </w:r>
          </w:p>
        </w:tc>
      </w:tr>
      <w:tr w14:paraId="3324B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6FBA3E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3</w:t>
            </w:r>
          </w:p>
        </w:tc>
        <w:tc>
          <w:tcPr>
            <w:tcW w:w="1737" w:type="dxa"/>
            <w:tcBorders>
              <w:top w:val="single" w:color="000000" w:sz="4" w:space="0"/>
              <w:bottom w:val="single" w:color="000000" w:sz="4" w:space="0"/>
            </w:tcBorders>
            <w:vAlign w:val="center"/>
          </w:tcPr>
          <w:p w14:paraId="65F9220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5"/>
                <w:kern w:val="0"/>
                <w:sz w:val="18"/>
                <w:szCs w:val="18"/>
                <w:lang w:val="en-US" w:eastAsia="en-US" w:bidi="ar-SA"/>
              </w:rPr>
              <w:t>电子阴道镜</w:t>
            </w:r>
          </w:p>
        </w:tc>
        <w:tc>
          <w:tcPr>
            <w:tcW w:w="1659" w:type="dxa"/>
            <w:tcBorders>
              <w:top w:val="single" w:color="000000" w:sz="4" w:space="0"/>
              <w:bottom w:val="single" w:color="000000" w:sz="4" w:space="0"/>
            </w:tcBorders>
            <w:shd w:val="clear" w:color="auto" w:fill="auto"/>
            <w:vAlign w:val="center"/>
          </w:tcPr>
          <w:p w14:paraId="67A69327">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3BBCA54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6322398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3B3BC3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5520BF2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16D963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en-US"/>
              </w:rPr>
            </w:pPr>
            <w:r>
              <w:rPr>
                <w:rFonts w:hint="eastAsia" w:ascii="宋体" w:hAnsi="宋体" w:eastAsia="宋体" w:cs="宋体"/>
                <w:snapToGrid w:val="0"/>
                <w:color w:val="auto"/>
                <w:spacing w:val="-2"/>
                <w:kern w:val="0"/>
                <w:sz w:val="18"/>
                <w:szCs w:val="18"/>
                <w:lang w:val="en-US" w:eastAsia="en-US" w:bidi="ar-SA"/>
              </w:rPr>
              <w:t>新化县妇幼保健院</w:t>
            </w:r>
          </w:p>
        </w:tc>
      </w:tr>
      <w:tr w14:paraId="32760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4BBC4339">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4</w:t>
            </w:r>
          </w:p>
        </w:tc>
        <w:tc>
          <w:tcPr>
            <w:tcW w:w="1737" w:type="dxa"/>
            <w:tcBorders>
              <w:top w:val="single" w:color="000000" w:sz="4" w:space="0"/>
              <w:bottom w:val="single" w:color="000000" w:sz="4" w:space="0"/>
            </w:tcBorders>
            <w:vAlign w:val="center"/>
          </w:tcPr>
          <w:p w14:paraId="005EB33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内窥镜荧光摄像系统</w:t>
            </w:r>
          </w:p>
        </w:tc>
        <w:tc>
          <w:tcPr>
            <w:tcW w:w="1659" w:type="dxa"/>
            <w:tcBorders>
              <w:top w:val="single" w:color="000000" w:sz="4" w:space="0"/>
              <w:bottom w:val="single" w:color="000000" w:sz="4" w:space="0"/>
            </w:tcBorders>
            <w:shd w:val="clear" w:color="auto" w:fill="auto"/>
            <w:vAlign w:val="center"/>
          </w:tcPr>
          <w:p w14:paraId="410E874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21E3F74D">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1AF761F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0B73D70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721046B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117D3BC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3FE5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vAlign w:val="center"/>
          </w:tcPr>
          <w:p w14:paraId="21E8D91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5</w:t>
            </w:r>
          </w:p>
        </w:tc>
        <w:tc>
          <w:tcPr>
            <w:tcW w:w="1737" w:type="dxa"/>
            <w:tcBorders>
              <w:top w:val="single" w:color="000000" w:sz="4" w:space="0"/>
              <w:bottom w:val="single" w:color="000000" w:sz="4" w:space="0"/>
            </w:tcBorders>
            <w:vAlign w:val="center"/>
          </w:tcPr>
          <w:p w14:paraId="01CE8DE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输尿管镜系统（成人和儿童）</w:t>
            </w:r>
          </w:p>
        </w:tc>
        <w:tc>
          <w:tcPr>
            <w:tcW w:w="1659" w:type="dxa"/>
            <w:tcBorders>
              <w:top w:val="single" w:color="000000" w:sz="4" w:space="0"/>
              <w:bottom w:val="single" w:color="000000" w:sz="4" w:space="0"/>
            </w:tcBorders>
            <w:shd w:val="clear" w:color="auto" w:fill="auto"/>
            <w:vAlign w:val="center"/>
          </w:tcPr>
          <w:p w14:paraId="3963426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60070F7B">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52C615A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636D914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6248602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016C95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1DD58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5BA5A58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6</w:t>
            </w:r>
          </w:p>
        </w:tc>
        <w:tc>
          <w:tcPr>
            <w:tcW w:w="1737" w:type="dxa"/>
            <w:tcBorders>
              <w:top w:val="single" w:color="000000" w:sz="4" w:space="0"/>
              <w:bottom w:val="single" w:color="000000" w:sz="4" w:space="0"/>
            </w:tcBorders>
            <w:vAlign w:val="center"/>
          </w:tcPr>
          <w:p w14:paraId="065F220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胃肠镜系统</w:t>
            </w:r>
          </w:p>
        </w:tc>
        <w:tc>
          <w:tcPr>
            <w:tcW w:w="1659" w:type="dxa"/>
            <w:tcBorders>
              <w:top w:val="single" w:color="000000" w:sz="4" w:space="0"/>
              <w:bottom w:val="single" w:color="000000" w:sz="4" w:space="0"/>
            </w:tcBorders>
            <w:shd w:val="clear" w:color="auto" w:fill="auto"/>
            <w:vAlign w:val="center"/>
          </w:tcPr>
          <w:p w14:paraId="7DEB351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59D6EEDA">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0ABF018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6D397AB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3F5C385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34CA9C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9D71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5BDAE92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7</w:t>
            </w:r>
          </w:p>
        </w:tc>
        <w:tc>
          <w:tcPr>
            <w:tcW w:w="1737" w:type="dxa"/>
            <w:tcBorders>
              <w:top w:val="single" w:color="000000" w:sz="4" w:space="0"/>
              <w:bottom w:val="single" w:color="000000" w:sz="4" w:space="0"/>
            </w:tcBorders>
            <w:vAlign w:val="center"/>
          </w:tcPr>
          <w:p w14:paraId="6BDF35A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宫腔镜系统</w:t>
            </w:r>
          </w:p>
        </w:tc>
        <w:tc>
          <w:tcPr>
            <w:tcW w:w="1659" w:type="dxa"/>
            <w:tcBorders>
              <w:top w:val="single" w:color="000000" w:sz="4" w:space="0"/>
              <w:bottom w:val="single" w:color="000000" w:sz="4" w:space="0"/>
            </w:tcBorders>
            <w:shd w:val="clear" w:color="auto" w:fill="auto"/>
            <w:vAlign w:val="center"/>
          </w:tcPr>
          <w:p w14:paraId="1AAE91A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00AA739F">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51B202F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6BFFAB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2432E30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3EC369C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CF59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1BEFE4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8</w:t>
            </w:r>
          </w:p>
        </w:tc>
        <w:tc>
          <w:tcPr>
            <w:tcW w:w="1737" w:type="dxa"/>
            <w:tcBorders>
              <w:top w:val="single" w:color="000000" w:sz="4" w:space="0"/>
              <w:bottom w:val="single" w:color="000000" w:sz="4" w:space="0"/>
            </w:tcBorders>
            <w:vAlign w:val="center"/>
          </w:tcPr>
          <w:p w14:paraId="04B44C7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等离子电切镜</w:t>
            </w:r>
          </w:p>
        </w:tc>
        <w:tc>
          <w:tcPr>
            <w:tcW w:w="1659" w:type="dxa"/>
            <w:tcBorders>
              <w:top w:val="single" w:color="000000" w:sz="4" w:space="0"/>
              <w:bottom w:val="single" w:color="000000" w:sz="4" w:space="0"/>
            </w:tcBorders>
            <w:shd w:val="clear" w:color="auto" w:fill="auto"/>
            <w:vAlign w:val="center"/>
          </w:tcPr>
          <w:p w14:paraId="0F12982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4E12E25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5A04F70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2D05BE3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02BC05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585BAB0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8D09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vAlign w:val="center"/>
          </w:tcPr>
          <w:p w14:paraId="542AD70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9</w:t>
            </w:r>
          </w:p>
        </w:tc>
        <w:tc>
          <w:tcPr>
            <w:tcW w:w="1737" w:type="dxa"/>
            <w:tcBorders>
              <w:top w:val="single" w:color="000000" w:sz="4" w:space="0"/>
              <w:bottom w:val="single" w:color="000000" w:sz="4" w:space="0"/>
            </w:tcBorders>
            <w:vAlign w:val="center"/>
          </w:tcPr>
          <w:p w14:paraId="03BBD6F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耳鼻腔内窥镜</w:t>
            </w:r>
          </w:p>
        </w:tc>
        <w:tc>
          <w:tcPr>
            <w:tcW w:w="1659" w:type="dxa"/>
            <w:tcBorders>
              <w:top w:val="single" w:color="000000" w:sz="4" w:space="0"/>
              <w:bottom w:val="single" w:color="000000" w:sz="4" w:space="0"/>
            </w:tcBorders>
            <w:shd w:val="clear" w:color="auto" w:fill="auto"/>
            <w:vAlign w:val="center"/>
          </w:tcPr>
          <w:p w14:paraId="7810F91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51F3465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1D47137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E3B960C">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C6E868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2DDBC5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DB8B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B735DE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10</w:t>
            </w:r>
          </w:p>
        </w:tc>
        <w:tc>
          <w:tcPr>
            <w:tcW w:w="1737" w:type="dxa"/>
            <w:tcBorders>
              <w:top w:val="single" w:color="000000" w:sz="4" w:space="0"/>
              <w:bottom w:val="single" w:color="000000" w:sz="4" w:space="0"/>
            </w:tcBorders>
            <w:vAlign w:val="center"/>
          </w:tcPr>
          <w:p w14:paraId="4C6881B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电子喉镜系统（成人和儿童）</w:t>
            </w:r>
          </w:p>
        </w:tc>
        <w:tc>
          <w:tcPr>
            <w:tcW w:w="1659" w:type="dxa"/>
            <w:tcBorders>
              <w:top w:val="single" w:color="000000" w:sz="4" w:space="0"/>
              <w:bottom w:val="single" w:color="000000" w:sz="4" w:space="0"/>
            </w:tcBorders>
            <w:shd w:val="clear" w:color="auto" w:fill="auto"/>
            <w:vAlign w:val="center"/>
          </w:tcPr>
          <w:p w14:paraId="0E81B93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1E869616">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4F52C71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0696823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465F32E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6E69C9A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1CE2B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495B9A20">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1</w:t>
            </w:r>
          </w:p>
        </w:tc>
        <w:tc>
          <w:tcPr>
            <w:tcW w:w="1737" w:type="dxa"/>
            <w:tcBorders>
              <w:top w:val="single" w:color="000000" w:sz="4" w:space="0"/>
              <w:bottom w:val="single" w:color="000000" w:sz="4" w:space="0"/>
            </w:tcBorders>
            <w:vAlign w:val="center"/>
          </w:tcPr>
          <w:p w14:paraId="3501EA9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膀胱镜系统</w:t>
            </w:r>
          </w:p>
        </w:tc>
        <w:tc>
          <w:tcPr>
            <w:tcW w:w="1659" w:type="dxa"/>
            <w:tcBorders>
              <w:top w:val="single" w:color="000000" w:sz="4" w:space="0"/>
              <w:bottom w:val="single" w:color="000000" w:sz="4" w:space="0"/>
            </w:tcBorders>
            <w:shd w:val="clear" w:color="auto" w:fill="auto"/>
            <w:vAlign w:val="center"/>
          </w:tcPr>
          <w:p w14:paraId="508A80F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343D947B">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543FCA7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2D8439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B90220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5220A23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4228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shd w:val="clear" w:color="auto" w:fill="auto"/>
            <w:vAlign w:val="center"/>
          </w:tcPr>
          <w:p w14:paraId="627BFCAF">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12</w:t>
            </w:r>
          </w:p>
        </w:tc>
        <w:tc>
          <w:tcPr>
            <w:tcW w:w="1737" w:type="dxa"/>
            <w:tcBorders>
              <w:top w:val="single" w:color="000000" w:sz="4" w:space="0"/>
              <w:bottom w:val="single" w:color="000000" w:sz="4" w:space="0"/>
            </w:tcBorders>
            <w:shd w:val="clear" w:color="auto" w:fill="auto"/>
            <w:vAlign w:val="center"/>
          </w:tcPr>
          <w:p w14:paraId="4F001E3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内镜清洗消毒机</w:t>
            </w:r>
          </w:p>
        </w:tc>
        <w:tc>
          <w:tcPr>
            <w:tcW w:w="1659" w:type="dxa"/>
            <w:tcBorders>
              <w:top w:val="single" w:color="000000" w:sz="4" w:space="0"/>
              <w:bottom w:val="single" w:color="000000" w:sz="4" w:space="0"/>
            </w:tcBorders>
            <w:shd w:val="clear" w:color="auto" w:fill="auto"/>
            <w:vAlign w:val="center"/>
          </w:tcPr>
          <w:p w14:paraId="484846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shd w:val="clear" w:color="auto" w:fill="auto"/>
            <w:vAlign w:val="center"/>
          </w:tcPr>
          <w:p w14:paraId="7B0B07F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shd w:val="clear" w:color="auto" w:fill="auto"/>
            <w:vAlign w:val="center"/>
          </w:tcPr>
          <w:p w14:paraId="5BA7F63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shd w:val="clear" w:color="auto" w:fill="auto"/>
            <w:vAlign w:val="center"/>
          </w:tcPr>
          <w:p w14:paraId="0E58B278">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shd w:val="clear" w:color="auto" w:fill="auto"/>
            <w:vAlign w:val="center"/>
          </w:tcPr>
          <w:p w14:paraId="1CCF01A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751" w:type="dxa"/>
            <w:tcBorders>
              <w:top w:val="single" w:color="000000" w:sz="4" w:space="0"/>
              <w:bottom w:val="single" w:color="000000" w:sz="4" w:space="0"/>
            </w:tcBorders>
            <w:shd w:val="clear" w:color="auto" w:fill="auto"/>
            <w:vAlign w:val="center"/>
          </w:tcPr>
          <w:p w14:paraId="545C2E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9D64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0698B3A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3396" w:type="dxa"/>
            <w:gridSpan w:val="2"/>
            <w:tcBorders>
              <w:top w:val="single" w:color="000000" w:sz="4" w:space="0"/>
              <w:bottom w:val="single" w:color="000000" w:sz="4" w:space="0"/>
            </w:tcBorders>
            <w:vAlign w:val="center"/>
          </w:tcPr>
          <w:p w14:paraId="6DB94677">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769" w:type="dxa"/>
            <w:tcBorders>
              <w:top w:val="single" w:color="000000" w:sz="4" w:space="0"/>
              <w:bottom w:val="single" w:color="000000" w:sz="4" w:space="0"/>
            </w:tcBorders>
            <w:vAlign w:val="center"/>
          </w:tcPr>
          <w:p w14:paraId="7DB2DB97">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806" w:type="dxa"/>
            <w:tcBorders>
              <w:top w:val="single" w:color="000000" w:sz="4" w:space="0"/>
              <w:bottom w:val="single" w:color="000000" w:sz="4" w:space="0"/>
            </w:tcBorders>
            <w:vAlign w:val="center"/>
          </w:tcPr>
          <w:p w14:paraId="50E6BA2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12</w:t>
            </w:r>
          </w:p>
        </w:tc>
        <w:tc>
          <w:tcPr>
            <w:tcW w:w="1013" w:type="dxa"/>
            <w:tcBorders>
              <w:top w:val="single" w:color="000000" w:sz="4" w:space="0"/>
              <w:bottom w:val="single" w:color="000000" w:sz="4" w:space="0"/>
            </w:tcBorders>
            <w:vAlign w:val="center"/>
          </w:tcPr>
          <w:p w14:paraId="2690541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1078" w:type="dxa"/>
            <w:tcBorders>
              <w:top w:val="single" w:color="000000" w:sz="4" w:space="0"/>
              <w:bottom w:val="single" w:color="000000" w:sz="4" w:space="0"/>
            </w:tcBorders>
            <w:vAlign w:val="center"/>
          </w:tcPr>
          <w:p w14:paraId="568A80D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2812D11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r>
    </w:tbl>
    <w:p w14:paraId="46E88A79">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p>
    <w:p w14:paraId="2AA4BFF2">
      <w:pPr>
        <w:spacing w:line="14" w:lineRule="auto"/>
        <w:rPr>
          <w:rFonts w:hint="eastAsia" w:ascii="宋体" w:hAnsi="宋体" w:eastAsia="宋体" w:cs="宋体"/>
          <w:color w:val="auto"/>
          <w:sz w:val="2"/>
          <w:szCs w:val="2"/>
        </w:rPr>
        <w:sectPr>
          <w:type w:val="continuous"/>
          <w:pgSz w:w="11906" w:h="16815"/>
          <w:pgMar w:top="400" w:right="1152" w:bottom="954" w:left="1159" w:header="0" w:footer="742" w:gutter="0"/>
          <w:cols w:equalWidth="0" w:num="1">
            <w:col w:w="9595"/>
          </w:cols>
        </w:sectPr>
      </w:pPr>
    </w:p>
    <w:p w14:paraId="3A294D06">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36B87CD">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019EDDA">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1B7F77C8">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675E087">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427F084E">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F812F56">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658693DD">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747199BC">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3C935E3F">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40E28360">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52F04485">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36FC4DE2">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181DF9A9">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18904246">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7A8366F6">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2D605783">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529070E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四、血液透析设备</w:t>
      </w:r>
    </w:p>
    <w:p w14:paraId="69F09597">
      <w:pPr>
        <w:widowControl/>
        <w:kinsoku w:val="0"/>
        <w:autoSpaceDE w:val="0"/>
        <w:autoSpaceDN w:val="0"/>
        <w:adjustRightInd w:val="0"/>
        <w:snapToGrid w:val="0"/>
        <w:spacing w:before="180" w:line="240" w:lineRule="auto"/>
        <w:jc w:val="left"/>
        <w:textAlignment w:val="baseline"/>
        <w:rPr>
          <w:rFonts w:hint="eastAsia" w:ascii="宋体" w:hAnsi="宋体" w:eastAsia="宋体" w:cs="宋体"/>
          <w:snapToGrid w:val="0"/>
          <w:color w:val="auto"/>
          <w:kern w:val="0"/>
          <w:szCs w:val="21"/>
          <w:lang w:eastAsia="en-US"/>
        </w:rPr>
      </w:pPr>
    </w:p>
    <w:p w14:paraId="5212A4E3">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4D3E4E90">
      <w:pPr>
        <w:widowControl/>
        <w:kinsoku w:val="0"/>
        <w:autoSpaceDE w:val="0"/>
        <w:autoSpaceDN w:val="0"/>
        <w:adjustRightInd w:val="0"/>
        <w:snapToGrid w:val="0"/>
        <w:spacing w:before="35" w:line="219" w:lineRule="auto"/>
        <w:ind w:left="107"/>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工程名称：新化县紧密型县域医共体医疗卫生强基工程建设项目</w:t>
      </w:r>
    </w:p>
    <w:p w14:paraId="5F25AEEE">
      <w:pPr>
        <w:widowControl/>
        <w:kinsoku w:val="0"/>
        <w:autoSpaceDE w:val="0"/>
        <w:autoSpaceDN w:val="0"/>
        <w:adjustRightInd w:val="0"/>
        <w:snapToGrid w:val="0"/>
        <w:spacing w:line="27" w:lineRule="auto"/>
        <w:jc w:val="left"/>
        <w:textAlignment w:val="baseline"/>
        <w:rPr>
          <w:rFonts w:hint="eastAsia" w:ascii="宋体" w:hAnsi="宋体" w:eastAsia="宋体" w:cs="宋体"/>
          <w:snapToGrid w:val="0"/>
          <w:color w:val="auto"/>
          <w:kern w:val="0"/>
          <w:sz w:val="2"/>
          <w:szCs w:val="21"/>
          <w:lang w:eastAsia="en-US"/>
        </w:rPr>
      </w:pPr>
    </w:p>
    <w:p w14:paraId="44F2DF3D">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r>
        <w:rPr>
          <w:rFonts w:hint="eastAsia" w:ascii="宋体" w:hAnsi="宋体" w:eastAsia="宋体" w:cs="宋体"/>
          <w:snapToGrid w:val="0"/>
          <w:color w:val="auto"/>
          <w:kern w:val="0"/>
          <w:sz w:val="2"/>
          <w:szCs w:val="2"/>
          <w:lang w:eastAsia="en-US"/>
        </w:rPr>
        <w:br w:type="column"/>
      </w:r>
    </w:p>
    <w:p w14:paraId="6AD8F0A7">
      <w:pPr>
        <w:widowControl/>
        <w:kinsoku w:val="0"/>
        <w:autoSpaceDE w:val="0"/>
        <w:autoSpaceDN w:val="0"/>
        <w:adjustRightInd w:val="0"/>
        <w:snapToGrid w:val="0"/>
        <w:spacing w:before="34" w:line="219"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eastAsia="en-US"/>
        </w:rPr>
        <w:t>第</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页、共</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w:t>
      </w:r>
    </w:p>
    <w:p w14:paraId="29266063">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5A2D13FC">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04C11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5E08B7D3">
            <w:pPr>
              <w:keepNext w:val="0"/>
              <w:keepLines w:val="0"/>
              <w:pageBreakBefore w:val="0"/>
              <w:widowControl/>
              <w:kinsoku w:val="0"/>
              <w:wordWrap/>
              <w:overflowPunct/>
              <w:topLinePunct w:val="0"/>
              <w:autoSpaceDE w:val="0"/>
              <w:autoSpaceDN w:val="0"/>
              <w:bidi w:val="0"/>
              <w:adjustRightInd w:val="0"/>
              <w:snapToGrid w:val="0"/>
              <w:spacing w:line="221"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7DBC3E73">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4B4AD582">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42EBDBC8">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36B64101">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4C1DD79C">
            <w:pPr>
              <w:keepNext w:val="0"/>
              <w:keepLines w:val="0"/>
              <w:pageBreakBefore w:val="0"/>
              <w:widowControl/>
              <w:kinsoku w:val="0"/>
              <w:wordWrap/>
              <w:overflowPunct/>
              <w:topLinePunct w:val="0"/>
              <w:autoSpaceDE w:val="0"/>
              <w:autoSpaceDN w:val="0"/>
              <w:bidi w:val="0"/>
              <w:adjustRightInd w:val="0"/>
              <w:snapToGrid w:val="0"/>
              <w:spacing w:line="218"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3AEDF00B">
            <w:pPr>
              <w:keepNext w:val="0"/>
              <w:keepLines w:val="0"/>
              <w:pageBreakBefore w:val="0"/>
              <w:widowControl/>
              <w:kinsoku w:val="0"/>
              <w:wordWrap/>
              <w:overflowPunct/>
              <w:topLinePunct w:val="0"/>
              <w:autoSpaceDE w:val="0"/>
              <w:autoSpaceDN w:val="0"/>
              <w:bidi w:val="0"/>
              <w:adjustRightInd w:val="0"/>
              <w:snapToGrid w:val="0"/>
              <w:spacing w:line="218"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38EC29AB">
            <w:pPr>
              <w:keepNext w:val="0"/>
              <w:keepLines w:val="0"/>
              <w:pageBreakBefore w:val="0"/>
              <w:widowControl/>
              <w:kinsoku w:val="0"/>
              <w:wordWrap/>
              <w:overflowPunct/>
              <w:topLinePunct w:val="0"/>
              <w:autoSpaceDE w:val="0"/>
              <w:autoSpaceDN w:val="0"/>
              <w:bidi w:val="0"/>
              <w:adjustRightInd w:val="0"/>
              <w:snapToGrid w:val="0"/>
              <w:spacing w:line="221"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6FE1F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492F7205">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564" w:type="dxa"/>
            <w:tcBorders>
              <w:top w:val="single" w:color="000000" w:sz="4" w:space="0"/>
              <w:bottom w:val="single" w:color="000000" w:sz="4" w:space="0"/>
            </w:tcBorders>
            <w:vAlign w:val="center"/>
          </w:tcPr>
          <w:p w14:paraId="074BA61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1757" w:type="dxa"/>
            <w:tcBorders>
              <w:top w:val="single" w:color="000000" w:sz="4" w:space="0"/>
              <w:bottom w:val="single" w:color="000000" w:sz="4" w:space="0"/>
            </w:tcBorders>
            <w:vAlign w:val="center"/>
          </w:tcPr>
          <w:p w14:paraId="2DEE1A0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C6EDCB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vAlign w:val="center"/>
          </w:tcPr>
          <w:p w14:paraId="4E61622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1107" w:type="dxa"/>
            <w:tcBorders>
              <w:top w:val="single" w:color="000000" w:sz="4" w:space="0"/>
              <w:bottom w:val="single" w:color="000000" w:sz="4" w:space="0"/>
            </w:tcBorders>
            <w:vAlign w:val="center"/>
          </w:tcPr>
          <w:p w14:paraId="1547CA9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1A9175C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F57EDC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E0F1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637" w:type="dxa"/>
            <w:tcBorders>
              <w:top w:val="single" w:color="000000" w:sz="4" w:space="0"/>
              <w:bottom w:val="single" w:color="000000" w:sz="4" w:space="0"/>
            </w:tcBorders>
            <w:vAlign w:val="center"/>
          </w:tcPr>
          <w:p w14:paraId="0A19A6DF">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p>
        </w:tc>
        <w:tc>
          <w:tcPr>
            <w:tcW w:w="1564" w:type="dxa"/>
            <w:tcBorders>
              <w:top w:val="single" w:color="000000" w:sz="4" w:space="0"/>
              <w:bottom w:val="single" w:color="000000" w:sz="4" w:space="0"/>
            </w:tcBorders>
            <w:vAlign w:val="center"/>
          </w:tcPr>
          <w:p w14:paraId="065E3FA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血液透析用制水设备</w:t>
            </w:r>
          </w:p>
        </w:tc>
        <w:tc>
          <w:tcPr>
            <w:tcW w:w="1757" w:type="dxa"/>
            <w:tcBorders>
              <w:top w:val="single" w:color="000000" w:sz="4" w:space="0"/>
              <w:bottom w:val="single" w:color="000000" w:sz="4" w:space="0"/>
            </w:tcBorders>
            <w:vAlign w:val="center"/>
          </w:tcPr>
          <w:p w14:paraId="5CA6E7C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11D098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0A5697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68C562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F56CAA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E6BCA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5FB9C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7E8E10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3</w:t>
            </w:r>
          </w:p>
        </w:tc>
        <w:tc>
          <w:tcPr>
            <w:tcW w:w="1564" w:type="dxa"/>
            <w:tcBorders>
              <w:top w:val="single" w:color="000000" w:sz="4" w:space="0"/>
              <w:bottom w:val="single" w:color="000000" w:sz="4" w:space="0"/>
            </w:tcBorders>
            <w:vAlign w:val="center"/>
          </w:tcPr>
          <w:p w14:paraId="18B7C64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highlight w:val="none"/>
                <w:lang w:val="en-US" w:eastAsia="en-US" w:bidi="ar-SA"/>
              </w:rPr>
              <w:t>血液透析机单泵</w:t>
            </w:r>
          </w:p>
        </w:tc>
        <w:tc>
          <w:tcPr>
            <w:tcW w:w="1757" w:type="dxa"/>
            <w:tcBorders>
              <w:top w:val="single" w:color="000000" w:sz="4" w:space="0"/>
              <w:bottom w:val="single" w:color="000000" w:sz="4" w:space="0"/>
            </w:tcBorders>
            <w:vAlign w:val="center"/>
          </w:tcPr>
          <w:p w14:paraId="32D9BB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FE572C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highlight w:val="none"/>
                <w:lang w:val="en-US" w:eastAsia="en-US" w:bidi="ar-SA"/>
              </w:rPr>
              <w:t>台</w:t>
            </w:r>
          </w:p>
        </w:tc>
        <w:tc>
          <w:tcPr>
            <w:tcW w:w="778" w:type="dxa"/>
            <w:tcBorders>
              <w:top w:val="single" w:color="000000" w:sz="4" w:space="0"/>
              <w:bottom w:val="single" w:color="000000" w:sz="4" w:space="0"/>
            </w:tcBorders>
            <w:vAlign w:val="center"/>
          </w:tcPr>
          <w:p w14:paraId="761391D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highlight w:val="none"/>
                <w:lang w:val="en-US" w:eastAsia="zh-CN" w:bidi="ar-SA"/>
              </w:rPr>
              <w:t>8</w:t>
            </w:r>
          </w:p>
        </w:tc>
        <w:tc>
          <w:tcPr>
            <w:tcW w:w="1107" w:type="dxa"/>
            <w:tcBorders>
              <w:top w:val="single" w:color="000000" w:sz="4" w:space="0"/>
              <w:bottom w:val="single" w:color="000000" w:sz="4" w:space="0"/>
            </w:tcBorders>
            <w:vAlign w:val="center"/>
          </w:tcPr>
          <w:p w14:paraId="260AF52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07A0E22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DCB7B8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19387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2B29E5BF">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4</w:t>
            </w:r>
          </w:p>
        </w:tc>
        <w:tc>
          <w:tcPr>
            <w:tcW w:w="1564" w:type="dxa"/>
            <w:tcBorders>
              <w:top w:val="single" w:color="000000" w:sz="4" w:space="0"/>
              <w:bottom w:val="single" w:color="000000" w:sz="4" w:space="0"/>
            </w:tcBorders>
            <w:vAlign w:val="center"/>
          </w:tcPr>
          <w:p w14:paraId="6518759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血液透析机双泵</w:t>
            </w:r>
          </w:p>
        </w:tc>
        <w:tc>
          <w:tcPr>
            <w:tcW w:w="1757" w:type="dxa"/>
            <w:tcBorders>
              <w:top w:val="single" w:color="000000" w:sz="4" w:space="0"/>
              <w:bottom w:val="single" w:color="000000" w:sz="4" w:space="0"/>
            </w:tcBorders>
            <w:vAlign w:val="center"/>
          </w:tcPr>
          <w:p w14:paraId="5FA5D16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C7DAF9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AC33BC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71A80AC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CF8060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C1D77F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1D64A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3" w:hRule="atLeast"/>
        </w:trPr>
        <w:tc>
          <w:tcPr>
            <w:tcW w:w="637" w:type="dxa"/>
            <w:tcBorders>
              <w:top w:val="single" w:color="000000" w:sz="4" w:space="0"/>
              <w:bottom w:val="single" w:color="000000" w:sz="4" w:space="0"/>
            </w:tcBorders>
            <w:vAlign w:val="center"/>
          </w:tcPr>
          <w:p w14:paraId="0271962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5</w:t>
            </w:r>
          </w:p>
        </w:tc>
        <w:tc>
          <w:tcPr>
            <w:tcW w:w="1564" w:type="dxa"/>
            <w:tcBorders>
              <w:top w:val="single" w:color="000000" w:sz="4" w:space="0"/>
              <w:bottom w:val="single" w:color="000000" w:sz="4" w:space="0"/>
            </w:tcBorders>
            <w:vAlign w:val="center"/>
          </w:tcPr>
          <w:p w14:paraId="7EBE7646">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血液透析用水处理系统</w:t>
            </w:r>
          </w:p>
        </w:tc>
        <w:tc>
          <w:tcPr>
            <w:tcW w:w="1757" w:type="dxa"/>
            <w:tcBorders>
              <w:top w:val="single" w:color="000000" w:sz="4" w:space="0"/>
              <w:bottom w:val="single" w:color="000000" w:sz="4" w:space="0"/>
            </w:tcBorders>
            <w:vAlign w:val="center"/>
          </w:tcPr>
          <w:p w14:paraId="24B2E233">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9ECC175">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套</w:t>
            </w:r>
          </w:p>
        </w:tc>
        <w:tc>
          <w:tcPr>
            <w:tcW w:w="778" w:type="dxa"/>
            <w:tcBorders>
              <w:top w:val="single" w:color="000000" w:sz="4" w:space="0"/>
              <w:bottom w:val="single" w:color="000000" w:sz="4" w:space="0"/>
            </w:tcBorders>
            <w:vAlign w:val="center"/>
          </w:tcPr>
          <w:p w14:paraId="7E53F11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1</w:t>
            </w:r>
          </w:p>
        </w:tc>
        <w:tc>
          <w:tcPr>
            <w:tcW w:w="1107" w:type="dxa"/>
            <w:tcBorders>
              <w:top w:val="single" w:color="000000" w:sz="4" w:space="0"/>
              <w:bottom w:val="single" w:color="000000" w:sz="4" w:space="0"/>
            </w:tcBorders>
            <w:vAlign w:val="center"/>
          </w:tcPr>
          <w:p w14:paraId="1EE238D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AF85F0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54B05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0E495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8" w:hRule="atLeast"/>
        </w:trPr>
        <w:tc>
          <w:tcPr>
            <w:tcW w:w="637" w:type="dxa"/>
            <w:tcBorders>
              <w:top w:val="single" w:color="000000" w:sz="4" w:space="0"/>
              <w:bottom w:val="single" w:color="000000" w:sz="4" w:space="0"/>
            </w:tcBorders>
            <w:vAlign w:val="center"/>
          </w:tcPr>
          <w:p w14:paraId="46891BC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6</w:t>
            </w:r>
          </w:p>
        </w:tc>
        <w:tc>
          <w:tcPr>
            <w:tcW w:w="1564" w:type="dxa"/>
            <w:tcBorders>
              <w:top w:val="single" w:color="000000" w:sz="4" w:space="0"/>
              <w:bottom w:val="single" w:color="000000" w:sz="4" w:space="0"/>
            </w:tcBorders>
            <w:vAlign w:val="center"/>
          </w:tcPr>
          <w:p w14:paraId="6FF5135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21"/>
                <w:szCs w:val="21"/>
                <w:lang w:val="en-US" w:eastAsia="en-US" w:bidi="ar-SA"/>
              </w:rPr>
              <w:t>血液透析机</w:t>
            </w:r>
            <w:r>
              <w:rPr>
                <w:rFonts w:hint="eastAsia" w:ascii="宋体" w:hAnsi="宋体" w:eastAsia="宋体" w:cs="宋体"/>
                <w:snapToGrid w:val="0"/>
                <w:color w:val="auto"/>
                <w:spacing w:val="-1"/>
                <w:kern w:val="0"/>
                <w:sz w:val="21"/>
                <w:szCs w:val="21"/>
                <w:lang w:val="en-US" w:eastAsia="zh-CN" w:bidi="ar-SA"/>
              </w:rPr>
              <w:t>单泵</w:t>
            </w:r>
          </w:p>
        </w:tc>
        <w:tc>
          <w:tcPr>
            <w:tcW w:w="1757" w:type="dxa"/>
            <w:tcBorders>
              <w:top w:val="single" w:color="000000" w:sz="4" w:space="0"/>
              <w:bottom w:val="single" w:color="000000" w:sz="4" w:space="0"/>
            </w:tcBorders>
            <w:vAlign w:val="center"/>
          </w:tcPr>
          <w:p w14:paraId="3452AA4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5BA7F1A">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vAlign w:val="center"/>
          </w:tcPr>
          <w:p w14:paraId="44F5051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1107" w:type="dxa"/>
            <w:tcBorders>
              <w:top w:val="single" w:color="000000" w:sz="4" w:space="0"/>
              <w:bottom w:val="single" w:color="000000" w:sz="4" w:space="0"/>
            </w:tcBorders>
            <w:vAlign w:val="center"/>
          </w:tcPr>
          <w:p w14:paraId="57CCD60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522C2C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EF728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2"/>
                <w:kern w:val="0"/>
                <w:sz w:val="18"/>
                <w:szCs w:val="18"/>
                <w:lang w:val="en-US" w:eastAsia="zh-CN"/>
              </w:rPr>
              <w:t>洋溪镇中心卫生院</w:t>
            </w:r>
          </w:p>
        </w:tc>
      </w:tr>
      <w:tr w14:paraId="7182E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194B8B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p>
        </w:tc>
        <w:tc>
          <w:tcPr>
            <w:tcW w:w="3321" w:type="dxa"/>
            <w:gridSpan w:val="2"/>
            <w:tcBorders>
              <w:top w:val="single" w:color="000000" w:sz="4" w:space="0"/>
              <w:bottom w:val="single" w:color="000000" w:sz="4" w:space="0"/>
            </w:tcBorders>
            <w:vAlign w:val="center"/>
          </w:tcPr>
          <w:p w14:paraId="62C478FB">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2896408F">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2A928F3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bCs/>
                <w:snapToGrid w:val="0"/>
                <w:color w:val="auto"/>
                <w:kern w:val="0"/>
                <w:sz w:val="18"/>
                <w:szCs w:val="18"/>
                <w:lang w:eastAsia="en-US"/>
              </w:rPr>
              <w:fldChar w:fldCharType="begin"/>
            </w:r>
            <w:r>
              <w:rPr>
                <w:rFonts w:hint="eastAsia" w:ascii="宋体" w:hAnsi="宋体" w:eastAsia="宋体" w:cs="宋体"/>
                <w:b/>
                <w:bCs/>
                <w:snapToGrid w:val="0"/>
                <w:color w:val="auto"/>
                <w:kern w:val="0"/>
                <w:sz w:val="18"/>
                <w:szCs w:val="18"/>
                <w:lang w:eastAsia="en-US"/>
              </w:rPr>
              <w:instrText xml:space="preserve"> = sum(E2:E7) \* MERGEFORMAT </w:instrText>
            </w:r>
            <w:r>
              <w:rPr>
                <w:rFonts w:hint="eastAsia" w:ascii="宋体" w:hAnsi="宋体" w:eastAsia="宋体" w:cs="宋体"/>
                <w:b/>
                <w:bCs/>
                <w:snapToGrid w:val="0"/>
                <w:color w:val="auto"/>
                <w:kern w:val="0"/>
                <w:sz w:val="18"/>
                <w:szCs w:val="18"/>
                <w:lang w:eastAsia="en-US"/>
              </w:rPr>
              <w:fldChar w:fldCharType="separate"/>
            </w:r>
            <w:r>
              <w:rPr>
                <w:rFonts w:hint="eastAsia" w:ascii="宋体" w:hAnsi="宋体" w:eastAsia="宋体" w:cs="宋体"/>
                <w:b/>
                <w:bCs/>
                <w:snapToGrid w:val="0"/>
                <w:color w:val="auto"/>
                <w:kern w:val="0"/>
                <w:sz w:val="18"/>
                <w:szCs w:val="18"/>
                <w:lang w:eastAsia="en-US"/>
              </w:rPr>
              <w:t>28</w:t>
            </w:r>
            <w:r>
              <w:rPr>
                <w:rFonts w:hint="eastAsia" w:ascii="宋体" w:hAnsi="宋体" w:eastAsia="宋体" w:cs="宋体"/>
                <w:b/>
                <w:bCs/>
                <w:snapToGrid w:val="0"/>
                <w:color w:val="auto"/>
                <w:kern w:val="0"/>
                <w:sz w:val="18"/>
                <w:szCs w:val="18"/>
                <w:lang w:eastAsia="en-US"/>
              </w:rPr>
              <w:fldChar w:fldCharType="end"/>
            </w:r>
          </w:p>
        </w:tc>
        <w:tc>
          <w:tcPr>
            <w:tcW w:w="1107" w:type="dxa"/>
            <w:tcBorders>
              <w:top w:val="single" w:color="000000" w:sz="4" w:space="0"/>
              <w:bottom w:val="single" w:color="000000" w:sz="4" w:space="0"/>
            </w:tcBorders>
            <w:vAlign w:val="center"/>
          </w:tcPr>
          <w:p w14:paraId="0931AFE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p>
        </w:tc>
        <w:tc>
          <w:tcPr>
            <w:tcW w:w="1096" w:type="dxa"/>
            <w:tcBorders>
              <w:top w:val="single" w:color="000000" w:sz="4" w:space="0"/>
              <w:bottom w:val="single" w:color="000000" w:sz="4" w:space="0"/>
            </w:tcBorders>
            <w:vAlign w:val="center"/>
          </w:tcPr>
          <w:p w14:paraId="578DACE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3AB71F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p>
        </w:tc>
      </w:tr>
    </w:tbl>
    <w:p w14:paraId="4030D7C0">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5756C1F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56D554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br w:type="page"/>
      </w:r>
    </w:p>
    <w:p w14:paraId="5D013093">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五、牙科设备</w:t>
      </w:r>
    </w:p>
    <w:p w14:paraId="6C2F9CCE">
      <w:pPr>
        <w:widowControl/>
        <w:kinsoku w:val="0"/>
        <w:autoSpaceDE w:val="0"/>
        <w:autoSpaceDN w:val="0"/>
        <w:adjustRightInd w:val="0"/>
        <w:snapToGrid w:val="0"/>
        <w:spacing w:before="180" w:line="240" w:lineRule="auto"/>
        <w:jc w:val="left"/>
        <w:textAlignment w:val="baseline"/>
        <w:rPr>
          <w:rFonts w:hint="eastAsia" w:ascii="宋体" w:hAnsi="宋体" w:eastAsia="宋体" w:cs="宋体"/>
          <w:snapToGrid w:val="0"/>
          <w:color w:val="auto"/>
          <w:kern w:val="0"/>
          <w:szCs w:val="21"/>
          <w:lang w:eastAsia="en-US"/>
        </w:rPr>
      </w:pPr>
    </w:p>
    <w:p w14:paraId="65DF58C9">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6CD4FED5">
      <w:pPr>
        <w:widowControl/>
        <w:kinsoku w:val="0"/>
        <w:autoSpaceDE w:val="0"/>
        <w:autoSpaceDN w:val="0"/>
        <w:adjustRightInd w:val="0"/>
        <w:snapToGrid w:val="0"/>
        <w:spacing w:before="35" w:line="219" w:lineRule="auto"/>
        <w:ind w:left="107"/>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工程名称：新化县紧密型县域医共体医疗卫生强基工程建设项目</w:t>
      </w:r>
    </w:p>
    <w:p w14:paraId="0148F7A6">
      <w:pPr>
        <w:widowControl/>
        <w:kinsoku w:val="0"/>
        <w:autoSpaceDE w:val="0"/>
        <w:autoSpaceDN w:val="0"/>
        <w:adjustRightInd w:val="0"/>
        <w:snapToGrid w:val="0"/>
        <w:spacing w:line="27" w:lineRule="auto"/>
        <w:jc w:val="left"/>
        <w:textAlignment w:val="baseline"/>
        <w:rPr>
          <w:rFonts w:hint="eastAsia" w:ascii="宋体" w:hAnsi="宋体" w:eastAsia="宋体" w:cs="宋体"/>
          <w:snapToGrid w:val="0"/>
          <w:color w:val="auto"/>
          <w:kern w:val="0"/>
          <w:sz w:val="2"/>
          <w:szCs w:val="21"/>
          <w:lang w:eastAsia="en-US"/>
        </w:rPr>
      </w:pPr>
    </w:p>
    <w:p w14:paraId="56FD9042">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r>
        <w:rPr>
          <w:rFonts w:hint="eastAsia" w:ascii="宋体" w:hAnsi="宋体" w:eastAsia="宋体" w:cs="宋体"/>
          <w:snapToGrid w:val="0"/>
          <w:color w:val="auto"/>
          <w:kern w:val="0"/>
          <w:sz w:val="2"/>
          <w:szCs w:val="2"/>
          <w:lang w:eastAsia="en-US"/>
        </w:rPr>
        <w:br w:type="column"/>
      </w:r>
    </w:p>
    <w:p w14:paraId="2B358526">
      <w:pPr>
        <w:widowControl/>
        <w:kinsoku w:val="0"/>
        <w:autoSpaceDE w:val="0"/>
        <w:autoSpaceDN w:val="0"/>
        <w:adjustRightInd w:val="0"/>
        <w:snapToGrid w:val="0"/>
        <w:spacing w:before="34" w:line="219"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eastAsia="en-US"/>
        </w:rPr>
        <w:t>第</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页、共</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w:t>
      </w:r>
    </w:p>
    <w:p w14:paraId="48677E20">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68B47C1D">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02FA2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25D5E915">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54F80452">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7C6ECD53">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3E4FA1BD">
            <w:pPr>
              <w:keepNext w:val="0"/>
              <w:keepLines w:val="0"/>
              <w:pageBreakBefore w:val="0"/>
              <w:widowControl/>
              <w:kinsoku w:val="0"/>
              <w:wordWrap/>
              <w:overflowPunct/>
              <w:topLinePunct w:val="0"/>
              <w:autoSpaceDE w:val="0"/>
              <w:autoSpaceDN w:val="0"/>
              <w:bidi w:val="0"/>
              <w:adjustRightInd w:val="0"/>
              <w:snapToGrid w:val="0"/>
              <w:spacing w:line="22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5EC51791">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18F397A0">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6656AE42">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62CD53A1">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364EC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500E599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564" w:type="dxa"/>
            <w:tcBorders>
              <w:top w:val="single" w:color="000000" w:sz="4" w:space="0"/>
              <w:bottom w:val="single" w:color="000000" w:sz="4" w:space="0"/>
            </w:tcBorders>
            <w:vAlign w:val="center"/>
          </w:tcPr>
          <w:p w14:paraId="70681ED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757" w:type="dxa"/>
            <w:tcBorders>
              <w:top w:val="single" w:color="000000" w:sz="4" w:space="0"/>
              <w:bottom w:val="single" w:color="000000" w:sz="4" w:space="0"/>
            </w:tcBorders>
            <w:vAlign w:val="center"/>
          </w:tcPr>
          <w:p w14:paraId="2538B4B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FB5F7E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CF17F34">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325A208A">
            <w:pPr>
              <w:keepNext w:val="0"/>
              <w:keepLines w:val="0"/>
              <w:pageBreakBefore w:val="0"/>
              <w:widowControl/>
              <w:kinsoku w:val="0"/>
              <w:wordWrap/>
              <w:overflowPunct/>
              <w:topLinePunct w:val="0"/>
              <w:autoSpaceDE w:val="0"/>
              <w:autoSpaceDN w:val="0"/>
              <w:bidi w:val="0"/>
              <w:adjustRightInd w:val="0"/>
              <w:snapToGrid w:val="0"/>
              <w:spacing w:line="239"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C05BFF6">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1833AAF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8B20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D54840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564" w:type="dxa"/>
            <w:tcBorders>
              <w:top w:val="single" w:color="000000" w:sz="4" w:space="0"/>
              <w:bottom w:val="single" w:color="000000" w:sz="4" w:space="0"/>
            </w:tcBorders>
            <w:vAlign w:val="center"/>
          </w:tcPr>
          <w:p w14:paraId="5A0C2CB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牙床</w:t>
            </w:r>
          </w:p>
        </w:tc>
        <w:tc>
          <w:tcPr>
            <w:tcW w:w="1757" w:type="dxa"/>
            <w:tcBorders>
              <w:top w:val="single" w:color="000000" w:sz="4" w:space="0"/>
              <w:bottom w:val="single" w:color="000000" w:sz="4" w:space="0"/>
            </w:tcBorders>
            <w:vAlign w:val="center"/>
          </w:tcPr>
          <w:p w14:paraId="095CE15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DA5CC6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9BB0970">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4FB328F1">
            <w:pPr>
              <w:keepNext w:val="0"/>
              <w:keepLines w:val="0"/>
              <w:pageBreakBefore w:val="0"/>
              <w:widowControl/>
              <w:kinsoku w:val="0"/>
              <w:wordWrap/>
              <w:overflowPunct/>
              <w:topLinePunct w:val="0"/>
              <w:autoSpaceDE w:val="0"/>
              <w:autoSpaceDN w:val="0"/>
              <w:bidi w:val="0"/>
              <w:adjustRightInd w:val="0"/>
              <w:snapToGrid w:val="0"/>
              <w:spacing w:line="239"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8D6B0F5">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F36436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4142C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1EDFB1FB">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564" w:type="dxa"/>
            <w:tcBorders>
              <w:top w:val="single" w:color="000000" w:sz="4" w:space="0"/>
              <w:bottom w:val="single" w:color="000000" w:sz="4" w:space="0"/>
            </w:tcBorders>
            <w:vAlign w:val="center"/>
          </w:tcPr>
          <w:p w14:paraId="358529A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757" w:type="dxa"/>
            <w:tcBorders>
              <w:top w:val="single" w:color="000000" w:sz="4" w:space="0"/>
              <w:bottom w:val="single" w:color="000000" w:sz="4" w:space="0"/>
            </w:tcBorders>
            <w:vAlign w:val="center"/>
          </w:tcPr>
          <w:p w14:paraId="1DF9D3A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5F7E0B7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6E449E5">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1107" w:type="dxa"/>
            <w:tcBorders>
              <w:top w:val="single" w:color="000000" w:sz="4" w:space="0"/>
              <w:bottom w:val="single" w:color="000000" w:sz="4" w:space="0"/>
            </w:tcBorders>
            <w:vAlign w:val="center"/>
          </w:tcPr>
          <w:p w14:paraId="66C5504F">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B8183AB">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667" w:type="dxa"/>
            <w:tcBorders>
              <w:top w:val="single" w:color="000000" w:sz="4" w:space="0"/>
              <w:bottom w:val="single" w:color="000000" w:sz="4" w:space="0"/>
            </w:tcBorders>
            <w:vAlign w:val="center"/>
          </w:tcPr>
          <w:p w14:paraId="395A741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287FF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7" w:hRule="atLeast"/>
        </w:trPr>
        <w:tc>
          <w:tcPr>
            <w:tcW w:w="637" w:type="dxa"/>
            <w:tcBorders>
              <w:top w:val="single" w:color="000000" w:sz="4" w:space="0"/>
              <w:bottom w:val="single" w:color="000000" w:sz="4" w:space="0"/>
            </w:tcBorders>
            <w:vAlign w:val="center"/>
          </w:tcPr>
          <w:p w14:paraId="2BA4597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center"/>
          </w:tcPr>
          <w:p w14:paraId="5EC6C2BF">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46C9A426">
            <w:pPr>
              <w:keepNext w:val="0"/>
              <w:keepLines w:val="0"/>
              <w:pageBreakBefore w:val="0"/>
              <w:widowControl/>
              <w:kinsoku w:val="0"/>
              <w:wordWrap/>
              <w:overflowPunct/>
              <w:topLinePunct w:val="0"/>
              <w:autoSpaceDE w:val="0"/>
              <w:autoSpaceDN w:val="0"/>
              <w:bidi w:val="0"/>
              <w:adjustRightInd w:val="0"/>
              <w:snapToGrid w:val="0"/>
              <w:spacing w:line="22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1F20665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7</w:t>
            </w:r>
          </w:p>
        </w:tc>
        <w:tc>
          <w:tcPr>
            <w:tcW w:w="1107" w:type="dxa"/>
            <w:tcBorders>
              <w:top w:val="single" w:color="000000" w:sz="4" w:space="0"/>
              <w:bottom w:val="single" w:color="000000" w:sz="4" w:space="0"/>
            </w:tcBorders>
            <w:vAlign w:val="center"/>
          </w:tcPr>
          <w:p w14:paraId="6A8B3AE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center"/>
          </w:tcPr>
          <w:p w14:paraId="4E21F6A6">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55E189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r>
    </w:tbl>
    <w:p w14:paraId="325B6BCD">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1DEE9EB7">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EF96C7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2D7F4CEE">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0528630">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6ECDCD66">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CE855A0">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2DCEEBC1">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54CEA7AF">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6FA5AA8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28D8FCD6">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42307E69">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634AED41">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BD5462F">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1B9131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br w:type="page"/>
      </w:r>
    </w:p>
    <w:p w14:paraId="384A5C20">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六、康复理疗设备</w:t>
      </w:r>
    </w:p>
    <w:p w14:paraId="065C512B">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1E305461">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0B1E0137">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1007E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5AD28685">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55E46A84">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214B2DC0">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3EFABB53">
            <w:pPr>
              <w:keepNext w:val="0"/>
              <w:keepLines w:val="0"/>
              <w:pageBreakBefore w:val="0"/>
              <w:widowControl/>
              <w:kinsoku w:val="0"/>
              <w:wordWrap/>
              <w:overflowPunct/>
              <w:topLinePunct w:val="0"/>
              <w:autoSpaceDE w:val="0"/>
              <w:autoSpaceDN w:val="0"/>
              <w:bidi w:val="0"/>
              <w:adjustRightInd w:val="0"/>
              <w:snapToGrid w:val="0"/>
              <w:spacing w:line="22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5CFCEB5E">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6B9D8A41">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138E1388">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2A332888">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5243D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27308B88">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w:t>
            </w:r>
          </w:p>
        </w:tc>
        <w:tc>
          <w:tcPr>
            <w:tcW w:w="1564" w:type="dxa"/>
            <w:tcBorders>
              <w:top w:val="single" w:color="000000" w:sz="4" w:space="0"/>
              <w:bottom w:val="single" w:color="000000" w:sz="4" w:space="0"/>
            </w:tcBorders>
            <w:vAlign w:val="center"/>
          </w:tcPr>
          <w:p w14:paraId="3A762A2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757" w:type="dxa"/>
            <w:tcBorders>
              <w:top w:val="single" w:color="000000" w:sz="4" w:space="0"/>
              <w:bottom w:val="single" w:color="000000" w:sz="4" w:space="0"/>
            </w:tcBorders>
            <w:vAlign w:val="center"/>
          </w:tcPr>
          <w:p w14:paraId="742FFB1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E6F664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D369A3B">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w:t>
            </w:r>
          </w:p>
        </w:tc>
        <w:tc>
          <w:tcPr>
            <w:tcW w:w="1107" w:type="dxa"/>
            <w:tcBorders>
              <w:top w:val="single" w:color="000000" w:sz="4" w:space="0"/>
              <w:bottom w:val="single" w:color="000000" w:sz="4" w:space="0"/>
            </w:tcBorders>
            <w:vAlign w:val="center"/>
          </w:tcPr>
          <w:p w14:paraId="468C4E9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1FF2B141">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812032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洋溪镇中心卫生院</w:t>
            </w:r>
          </w:p>
        </w:tc>
      </w:tr>
      <w:tr w14:paraId="5F08D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shd w:val="clear" w:color="auto" w:fill="auto"/>
            <w:vAlign w:val="center"/>
          </w:tcPr>
          <w:p w14:paraId="7FAC9B5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w:t>
            </w:r>
          </w:p>
        </w:tc>
        <w:tc>
          <w:tcPr>
            <w:tcW w:w="1564" w:type="dxa"/>
            <w:tcBorders>
              <w:top w:val="single" w:color="000000" w:sz="4" w:space="0"/>
              <w:bottom w:val="single" w:color="000000" w:sz="4" w:space="0"/>
            </w:tcBorders>
            <w:shd w:val="clear" w:color="auto" w:fill="auto"/>
            <w:vAlign w:val="center"/>
          </w:tcPr>
          <w:p w14:paraId="784A69B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757" w:type="dxa"/>
            <w:tcBorders>
              <w:top w:val="single" w:color="000000" w:sz="4" w:space="0"/>
              <w:bottom w:val="single" w:color="000000" w:sz="4" w:space="0"/>
            </w:tcBorders>
            <w:shd w:val="clear" w:color="auto" w:fill="auto"/>
            <w:vAlign w:val="center"/>
          </w:tcPr>
          <w:p w14:paraId="783E5540">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DF5341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34E5B587">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704B728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F23A31A">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5EEB11C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1AA12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16AB71F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564" w:type="dxa"/>
            <w:tcBorders>
              <w:top w:val="single" w:color="000000" w:sz="4" w:space="0"/>
              <w:bottom w:val="single" w:color="000000" w:sz="4" w:space="0"/>
            </w:tcBorders>
            <w:shd w:val="clear" w:color="auto" w:fill="auto"/>
            <w:vAlign w:val="center"/>
          </w:tcPr>
          <w:p w14:paraId="1B906C2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牵引颈腰椎电动牵引机器</w:t>
            </w:r>
          </w:p>
        </w:tc>
        <w:tc>
          <w:tcPr>
            <w:tcW w:w="1757" w:type="dxa"/>
            <w:tcBorders>
              <w:top w:val="single" w:color="000000" w:sz="4" w:space="0"/>
              <w:bottom w:val="single" w:color="000000" w:sz="4" w:space="0"/>
            </w:tcBorders>
            <w:shd w:val="clear" w:color="auto" w:fill="auto"/>
            <w:vAlign w:val="center"/>
          </w:tcPr>
          <w:p w14:paraId="7F492BD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3FDE7A2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7FF808E4">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3EFC855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9969A41">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2051BF3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07DD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48A40E1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w:t>
            </w:r>
          </w:p>
        </w:tc>
        <w:tc>
          <w:tcPr>
            <w:tcW w:w="1564" w:type="dxa"/>
            <w:tcBorders>
              <w:top w:val="single" w:color="000000" w:sz="4" w:space="0"/>
              <w:bottom w:val="single" w:color="000000" w:sz="4" w:space="0"/>
            </w:tcBorders>
            <w:shd w:val="clear" w:color="auto" w:fill="auto"/>
            <w:vAlign w:val="center"/>
          </w:tcPr>
          <w:p w14:paraId="23291E7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多功能理疗床</w:t>
            </w:r>
          </w:p>
        </w:tc>
        <w:tc>
          <w:tcPr>
            <w:tcW w:w="1757" w:type="dxa"/>
            <w:tcBorders>
              <w:top w:val="single" w:color="000000" w:sz="4" w:space="0"/>
              <w:bottom w:val="single" w:color="000000" w:sz="4" w:space="0"/>
            </w:tcBorders>
            <w:shd w:val="clear" w:color="auto" w:fill="auto"/>
            <w:vAlign w:val="center"/>
          </w:tcPr>
          <w:p w14:paraId="26BADCB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DC9FBA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06FD27B9">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47DDBB96">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689C5C86">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6FFFC1A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0509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14223E3">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564" w:type="dxa"/>
            <w:tcBorders>
              <w:top w:val="single" w:color="000000" w:sz="4" w:space="0"/>
              <w:bottom w:val="single" w:color="000000" w:sz="4" w:space="0"/>
            </w:tcBorders>
            <w:shd w:val="clear" w:color="auto" w:fill="auto"/>
            <w:vAlign w:val="center"/>
          </w:tcPr>
          <w:p w14:paraId="6339737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多功能治疗床</w:t>
            </w:r>
          </w:p>
        </w:tc>
        <w:tc>
          <w:tcPr>
            <w:tcW w:w="1757" w:type="dxa"/>
            <w:tcBorders>
              <w:top w:val="single" w:color="000000" w:sz="4" w:space="0"/>
              <w:bottom w:val="single" w:color="000000" w:sz="4" w:space="0"/>
            </w:tcBorders>
            <w:shd w:val="clear" w:color="auto" w:fill="auto"/>
            <w:vAlign w:val="center"/>
          </w:tcPr>
          <w:p w14:paraId="69D3F95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5360B93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453DDB9D">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51AC7034">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54BF2F8C">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3477C54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D521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BAE807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564" w:type="dxa"/>
            <w:tcBorders>
              <w:top w:val="single" w:color="000000" w:sz="4" w:space="0"/>
              <w:bottom w:val="single" w:color="000000" w:sz="4" w:space="0"/>
            </w:tcBorders>
            <w:shd w:val="clear" w:color="auto" w:fill="auto"/>
            <w:vAlign w:val="center"/>
          </w:tcPr>
          <w:p w14:paraId="7115A48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按摩床</w:t>
            </w:r>
          </w:p>
        </w:tc>
        <w:tc>
          <w:tcPr>
            <w:tcW w:w="1757" w:type="dxa"/>
            <w:tcBorders>
              <w:top w:val="single" w:color="000000" w:sz="4" w:space="0"/>
              <w:bottom w:val="single" w:color="000000" w:sz="4" w:space="0"/>
            </w:tcBorders>
            <w:shd w:val="clear" w:color="auto" w:fill="auto"/>
            <w:vAlign w:val="center"/>
          </w:tcPr>
          <w:p w14:paraId="2A7457D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6844C12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18F8020">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1107" w:type="dxa"/>
            <w:tcBorders>
              <w:top w:val="single" w:color="000000" w:sz="4" w:space="0"/>
              <w:bottom w:val="single" w:color="000000" w:sz="4" w:space="0"/>
            </w:tcBorders>
            <w:shd w:val="clear" w:color="auto" w:fill="auto"/>
            <w:vAlign w:val="center"/>
          </w:tcPr>
          <w:p w14:paraId="5DF0172F">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9304E23">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46249BC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389ED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637" w:type="dxa"/>
            <w:tcBorders>
              <w:top w:val="single" w:color="000000" w:sz="4" w:space="0"/>
              <w:bottom w:val="single" w:color="000000" w:sz="4" w:space="0"/>
            </w:tcBorders>
            <w:vAlign w:val="center"/>
          </w:tcPr>
          <w:p w14:paraId="566D509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564" w:type="dxa"/>
            <w:tcBorders>
              <w:top w:val="single" w:color="000000" w:sz="4" w:space="0"/>
              <w:bottom w:val="single" w:color="000000" w:sz="4" w:space="0"/>
            </w:tcBorders>
            <w:shd w:val="clear" w:color="auto" w:fill="auto"/>
            <w:vAlign w:val="center"/>
          </w:tcPr>
          <w:p w14:paraId="5961C27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治</w:t>
            </w:r>
            <w:r>
              <w:rPr>
                <w:rFonts w:hint="eastAsia" w:ascii="宋体" w:hAnsi="宋体" w:eastAsia="宋体" w:cs="宋体"/>
                <w:snapToGrid w:val="0"/>
                <w:color w:val="auto"/>
                <w:spacing w:val="-2"/>
                <w:kern w:val="0"/>
                <w:sz w:val="18"/>
                <w:szCs w:val="18"/>
                <w:lang w:val="en-US" w:eastAsia="en-US" w:bidi="ar-SA"/>
              </w:rPr>
              <w:t>疗推车</w:t>
            </w:r>
          </w:p>
        </w:tc>
        <w:tc>
          <w:tcPr>
            <w:tcW w:w="1757" w:type="dxa"/>
            <w:tcBorders>
              <w:top w:val="single" w:color="000000" w:sz="4" w:space="0"/>
              <w:bottom w:val="single" w:color="000000" w:sz="4" w:space="0"/>
            </w:tcBorders>
            <w:shd w:val="clear" w:color="auto" w:fill="auto"/>
            <w:vAlign w:val="center"/>
          </w:tcPr>
          <w:p w14:paraId="18B57ED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2EA24B9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72573CEF">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358A8952">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B218FE1">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0BDB2B2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14F9D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55DE7C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564" w:type="dxa"/>
            <w:tcBorders>
              <w:top w:val="single" w:color="000000" w:sz="4" w:space="0"/>
              <w:bottom w:val="single" w:color="000000" w:sz="4" w:space="0"/>
            </w:tcBorders>
            <w:shd w:val="clear" w:color="auto" w:fill="auto"/>
            <w:vAlign w:val="center"/>
          </w:tcPr>
          <w:p w14:paraId="034121B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牵引床</w:t>
            </w:r>
          </w:p>
        </w:tc>
        <w:tc>
          <w:tcPr>
            <w:tcW w:w="1757" w:type="dxa"/>
            <w:tcBorders>
              <w:top w:val="single" w:color="000000" w:sz="4" w:space="0"/>
              <w:bottom w:val="single" w:color="000000" w:sz="4" w:space="0"/>
            </w:tcBorders>
            <w:shd w:val="clear" w:color="auto" w:fill="auto"/>
            <w:vAlign w:val="center"/>
          </w:tcPr>
          <w:p w14:paraId="1313295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6305989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42536235">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16EEDBCD">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C506EF0">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74494DD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6E288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D304C3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564" w:type="dxa"/>
            <w:tcBorders>
              <w:top w:val="single" w:color="000000" w:sz="4" w:space="0"/>
              <w:bottom w:val="single" w:color="000000" w:sz="4" w:space="0"/>
            </w:tcBorders>
            <w:shd w:val="clear" w:color="auto" w:fill="auto"/>
            <w:vAlign w:val="center"/>
          </w:tcPr>
          <w:p w14:paraId="7560D7C7">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悬空灸排烟系统</w:t>
            </w:r>
          </w:p>
        </w:tc>
        <w:tc>
          <w:tcPr>
            <w:tcW w:w="1757" w:type="dxa"/>
            <w:tcBorders>
              <w:top w:val="single" w:color="000000" w:sz="4" w:space="0"/>
              <w:bottom w:val="single" w:color="000000" w:sz="4" w:space="0"/>
            </w:tcBorders>
            <w:shd w:val="clear" w:color="auto" w:fill="auto"/>
            <w:vAlign w:val="center"/>
          </w:tcPr>
          <w:p w14:paraId="44F68671">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554EDF5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3DE372D6">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1B32A98A">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D4B83A9">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31AE1D9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33126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96F9DD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1564" w:type="dxa"/>
            <w:tcBorders>
              <w:top w:val="single" w:color="000000" w:sz="4" w:space="0"/>
              <w:bottom w:val="single" w:color="000000" w:sz="4" w:space="0"/>
            </w:tcBorders>
            <w:shd w:val="clear" w:color="auto" w:fill="auto"/>
            <w:vAlign w:val="center"/>
          </w:tcPr>
          <w:p w14:paraId="757668A6">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上下肢主被动康复训练器</w:t>
            </w:r>
          </w:p>
        </w:tc>
        <w:tc>
          <w:tcPr>
            <w:tcW w:w="1757" w:type="dxa"/>
            <w:tcBorders>
              <w:top w:val="single" w:color="000000" w:sz="4" w:space="0"/>
              <w:bottom w:val="single" w:color="000000" w:sz="4" w:space="0"/>
            </w:tcBorders>
            <w:shd w:val="clear" w:color="auto" w:fill="auto"/>
            <w:vAlign w:val="center"/>
          </w:tcPr>
          <w:p w14:paraId="76137B71">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4332F88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台</w:t>
            </w:r>
          </w:p>
        </w:tc>
        <w:tc>
          <w:tcPr>
            <w:tcW w:w="778" w:type="dxa"/>
            <w:tcBorders>
              <w:top w:val="single" w:color="000000" w:sz="4" w:space="0"/>
              <w:bottom w:val="single" w:color="000000" w:sz="4" w:space="0"/>
            </w:tcBorders>
            <w:shd w:val="clear" w:color="auto" w:fill="auto"/>
            <w:vAlign w:val="center"/>
          </w:tcPr>
          <w:p w14:paraId="72536088">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246F94D3">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257401F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1A9AB46B">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2E017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7" w:hRule="atLeast"/>
        </w:trPr>
        <w:tc>
          <w:tcPr>
            <w:tcW w:w="637" w:type="dxa"/>
            <w:tcBorders>
              <w:top w:val="single" w:color="000000" w:sz="4" w:space="0"/>
              <w:bottom w:val="single" w:color="000000" w:sz="4" w:space="0"/>
            </w:tcBorders>
            <w:vAlign w:val="top"/>
          </w:tcPr>
          <w:p w14:paraId="5E6304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top"/>
          </w:tcPr>
          <w:p w14:paraId="6FE76191">
            <w:pPr>
              <w:kinsoku w:val="0"/>
              <w:autoSpaceDE w:val="0"/>
              <w:autoSpaceDN w:val="0"/>
              <w:adjustRightInd w:val="0"/>
              <w:snapToGrid w:val="0"/>
              <w:spacing w:before="115" w:line="221" w:lineRule="auto"/>
              <w:ind w:left="1545"/>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top"/>
          </w:tcPr>
          <w:p w14:paraId="5536239C">
            <w:pPr>
              <w:kinsoku w:val="0"/>
              <w:autoSpaceDE w:val="0"/>
              <w:autoSpaceDN w:val="0"/>
              <w:adjustRightInd w:val="0"/>
              <w:snapToGrid w:val="0"/>
              <w:spacing w:before="115" w:line="220" w:lineRule="auto"/>
              <w:ind w:left="307"/>
              <w:jc w:val="left"/>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top"/>
          </w:tcPr>
          <w:p w14:paraId="48FD00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spacing w:val="-6"/>
                <w:kern w:val="0"/>
                <w:szCs w:val="21"/>
                <w:lang w:val="en-US" w:eastAsia="zh-CN"/>
              </w:rPr>
              <w:t>19</w:t>
            </w:r>
          </w:p>
        </w:tc>
        <w:tc>
          <w:tcPr>
            <w:tcW w:w="1107" w:type="dxa"/>
            <w:tcBorders>
              <w:top w:val="single" w:color="000000" w:sz="4" w:space="0"/>
              <w:bottom w:val="single" w:color="000000" w:sz="4" w:space="0"/>
            </w:tcBorders>
            <w:vAlign w:val="top"/>
          </w:tcPr>
          <w:p w14:paraId="4204FFD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top"/>
          </w:tcPr>
          <w:p w14:paraId="7A84F8A2">
            <w:pPr>
              <w:kinsoku w:val="0"/>
              <w:autoSpaceDE w:val="0"/>
              <w:autoSpaceDN w:val="0"/>
              <w:adjustRightInd w:val="0"/>
              <w:snapToGrid w:val="0"/>
              <w:spacing w:before="115" w:line="239" w:lineRule="auto"/>
              <w:ind w:right="24"/>
              <w:jc w:val="right"/>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top"/>
          </w:tcPr>
          <w:p w14:paraId="64EF35C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lang w:eastAsia="en-US"/>
              </w:rPr>
            </w:pPr>
          </w:p>
        </w:tc>
      </w:tr>
    </w:tbl>
    <w:p w14:paraId="0E77DFE8">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504BB92C">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36F811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br w:type="page"/>
      </w:r>
    </w:p>
    <w:tbl>
      <w:tblPr>
        <w:tblStyle w:val="474"/>
        <w:tblpPr w:leftFromText="180" w:rightFromText="180" w:vertAnchor="page" w:horzAnchor="page" w:tblpXSpec="center" w:tblpY="1855"/>
        <w:tblOverlap w:val="never"/>
        <w:tblW w:w="945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551E1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jc w:val="center"/>
        </w:trPr>
        <w:tc>
          <w:tcPr>
            <w:tcW w:w="637" w:type="dxa"/>
            <w:tcBorders>
              <w:top w:val="single" w:color="000000" w:sz="4" w:space="0"/>
              <w:bottom w:val="single" w:color="000000" w:sz="4" w:space="0"/>
            </w:tcBorders>
            <w:vAlign w:val="center"/>
          </w:tcPr>
          <w:p w14:paraId="232916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3908A22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153B86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02E28F2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1C57D5F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4A1F9C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65FA3EC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6793B1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55973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37AD75E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564" w:type="dxa"/>
            <w:tcBorders>
              <w:top w:val="single" w:color="000000" w:sz="4" w:space="0"/>
              <w:bottom w:val="single" w:color="000000" w:sz="4" w:space="0"/>
            </w:tcBorders>
            <w:vAlign w:val="center"/>
          </w:tcPr>
          <w:p w14:paraId="22DDF63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757" w:type="dxa"/>
            <w:tcBorders>
              <w:top w:val="single" w:color="000000" w:sz="4" w:space="0"/>
              <w:bottom w:val="single" w:color="000000" w:sz="4" w:space="0"/>
            </w:tcBorders>
            <w:vAlign w:val="center"/>
          </w:tcPr>
          <w:p w14:paraId="32CFF3A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26ED96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77C389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6039D1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1BD0C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A3767B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44D23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1F2FED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p>
        </w:tc>
        <w:tc>
          <w:tcPr>
            <w:tcW w:w="1564" w:type="dxa"/>
            <w:tcBorders>
              <w:top w:val="single" w:color="000000" w:sz="4" w:space="0"/>
              <w:bottom w:val="single" w:color="000000" w:sz="4" w:space="0"/>
            </w:tcBorders>
            <w:vAlign w:val="center"/>
          </w:tcPr>
          <w:p w14:paraId="031EB21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十二导心电图机</w:t>
            </w:r>
          </w:p>
        </w:tc>
        <w:tc>
          <w:tcPr>
            <w:tcW w:w="1757" w:type="dxa"/>
            <w:tcBorders>
              <w:top w:val="single" w:color="000000" w:sz="4" w:space="0"/>
              <w:bottom w:val="single" w:color="000000" w:sz="4" w:space="0"/>
            </w:tcBorders>
            <w:vAlign w:val="center"/>
          </w:tcPr>
          <w:p w14:paraId="6DA718B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8EDFC4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74DF92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w:t>
            </w:r>
          </w:p>
        </w:tc>
        <w:tc>
          <w:tcPr>
            <w:tcW w:w="1107" w:type="dxa"/>
            <w:tcBorders>
              <w:top w:val="single" w:color="000000" w:sz="4" w:space="0"/>
              <w:bottom w:val="single" w:color="000000" w:sz="4" w:space="0"/>
            </w:tcBorders>
            <w:vAlign w:val="center"/>
          </w:tcPr>
          <w:p w14:paraId="156A2C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E461E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320DEE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5FEE3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C2DBDA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3</w:t>
            </w:r>
          </w:p>
        </w:tc>
        <w:tc>
          <w:tcPr>
            <w:tcW w:w="1564" w:type="dxa"/>
            <w:tcBorders>
              <w:top w:val="single" w:color="000000" w:sz="4" w:space="0"/>
              <w:bottom w:val="single" w:color="000000" w:sz="4" w:space="0"/>
            </w:tcBorders>
            <w:shd w:val="clear" w:color="auto" w:fill="auto"/>
            <w:vAlign w:val="center"/>
          </w:tcPr>
          <w:p w14:paraId="6CD79B3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757" w:type="dxa"/>
            <w:tcBorders>
              <w:top w:val="single" w:color="000000" w:sz="4" w:space="0"/>
              <w:bottom w:val="single" w:color="000000" w:sz="4" w:space="0"/>
            </w:tcBorders>
            <w:shd w:val="clear" w:color="auto" w:fill="auto"/>
            <w:vAlign w:val="center"/>
          </w:tcPr>
          <w:p w14:paraId="62C1EDD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2C010B5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1497135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15</w:t>
            </w:r>
          </w:p>
        </w:tc>
        <w:tc>
          <w:tcPr>
            <w:tcW w:w="1107" w:type="dxa"/>
            <w:tcBorders>
              <w:top w:val="single" w:color="000000" w:sz="4" w:space="0"/>
              <w:bottom w:val="single" w:color="000000" w:sz="4" w:space="0"/>
            </w:tcBorders>
            <w:shd w:val="clear" w:color="auto" w:fill="auto"/>
            <w:vAlign w:val="center"/>
          </w:tcPr>
          <w:p w14:paraId="0479E9A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50BCE8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10BA7F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40863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4C2883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4</w:t>
            </w:r>
          </w:p>
        </w:tc>
        <w:tc>
          <w:tcPr>
            <w:tcW w:w="1564" w:type="dxa"/>
            <w:tcBorders>
              <w:top w:val="single" w:color="000000" w:sz="4" w:space="0"/>
              <w:bottom w:val="single" w:color="000000" w:sz="4" w:space="0"/>
            </w:tcBorders>
            <w:shd w:val="clear" w:color="auto" w:fill="auto"/>
            <w:vAlign w:val="center"/>
          </w:tcPr>
          <w:p w14:paraId="491CA5D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757" w:type="dxa"/>
            <w:tcBorders>
              <w:top w:val="single" w:color="000000" w:sz="4" w:space="0"/>
              <w:bottom w:val="single" w:color="000000" w:sz="4" w:space="0"/>
            </w:tcBorders>
            <w:shd w:val="clear" w:color="auto" w:fill="auto"/>
            <w:vAlign w:val="center"/>
          </w:tcPr>
          <w:p w14:paraId="30DCC06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34E76A9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356E9A0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1107" w:type="dxa"/>
            <w:tcBorders>
              <w:top w:val="single" w:color="000000" w:sz="4" w:space="0"/>
              <w:bottom w:val="single" w:color="000000" w:sz="4" w:space="0"/>
            </w:tcBorders>
            <w:shd w:val="clear" w:color="auto" w:fill="auto"/>
            <w:vAlign w:val="center"/>
          </w:tcPr>
          <w:p w14:paraId="4027CAF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AD845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3E1909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77BDB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9788A6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564" w:type="dxa"/>
            <w:tcBorders>
              <w:top w:val="single" w:color="000000" w:sz="4" w:space="0"/>
              <w:bottom w:val="single" w:color="000000" w:sz="4" w:space="0"/>
            </w:tcBorders>
            <w:shd w:val="clear" w:color="auto" w:fill="auto"/>
            <w:vAlign w:val="center"/>
          </w:tcPr>
          <w:p w14:paraId="3DE3C06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除颤仪</w:t>
            </w:r>
          </w:p>
        </w:tc>
        <w:tc>
          <w:tcPr>
            <w:tcW w:w="1757" w:type="dxa"/>
            <w:tcBorders>
              <w:top w:val="single" w:color="000000" w:sz="4" w:space="0"/>
              <w:bottom w:val="single" w:color="000000" w:sz="4" w:space="0"/>
            </w:tcBorders>
            <w:shd w:val="clear" w:color="auto" w:fill="auto"/>
            <w:vAlign w:val="center"/>
          </w:tcPr>
          <w:p w14:paraId="6942CB7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DF3E1E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43608A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07B3C41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4AA15F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1D6D963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A003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556798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564" w:type="dxa"/>
            <w:tcBorders>
              <w:top w:val="single" w:color="000000" w:sz="4" w:space="0"/>
              <w:bottom w:val="single" w:color="000000" w:sz="4" w:space="0"/>
            </w:tcBorders>
            <w:vAlign w:val="center"/>
          </w:tcPr>
          <w:p w14:paraId="213D9AC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胎心监护仪</w:t>
            </w:r>
          </w:p>
        </w:tc>
        <w:tc>
          <w:tcPr>
            <w:tcW w:w="1757" w:type="dxa"/>
            <w:tcBorders>
              <w:top w:val="single" w:color="000000" w:sz="4" w:space="0"/>
              <w:bottom w:val="single" w:color="000000" w:sz="4" w:space="0"/>
            </w:tcBorders>
            <w:vAlign w:val="center"/>
          </w:tcPr>
          <w:p w14:paraId="3A8785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6699DE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402176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4385E11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5EED2C6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D41466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089DA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2BCDB4E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564" w:type="dxa"/>
            <w:tcBorders>
              <w:top w:val="single" w:color="000000" w:sz="4" w:space="0"/>
              <w:bottom w:val="single" w:color="000000" w:sz="4" w:space="0"/>
            </w:tcBorders>
            <w:vAlign w:val="center"/>
          </w:tcPr>
          <w:p w14:paraId="71200BC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动态心电图</w:t>
            </w:r>
          </w:p>
        </w:tc>
        <w:tc>
          <w:tcPr>
            <w:tcW w:w="1757" w:type="dxa"/>
            <w:tcBorders>
              <w:top w:val="single" w:color="000000" w:sz="4" w:space="0"/>
              <w:bottom w:val="single" w:color="000000" w:sz="4" w:space="0"/>
            </w:tcBorders>
            <w:vAlign w:val="center"/>
          </w:tcPr>
          <w:p w14:paraId="417A4FA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07AFE2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vAlign w:val="center"/>
          </w:tcPr>
          <w:p w14:paraId="6EF7B90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7F957D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0DA07B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2F9C50F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1CE55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519DB65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564" w:type="dxa"/>
            <w:tcBorders>
              <w:top w:val="single" w:color="000000" w:sz="4" w:space="0"/>
              <w:bottom w:val="single" w:color="000000" w:sz="4" w:space="0"/>
            </w:tcBorders>
            <w:vAlign w:val="center"/>
          </w:tcPr>
          <w:p w14:paraId="7B46F2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757" w:type="dxa"/>
            <w:tcBorders>
              <w:top w:val="single" w:color="000000" w:sz="4" w:space="0"/>
              <w:bottom w:val="single" w:color="000000" w:sz="4" w:space="0"/>
            </w:tcBorders>
            <w:vAlign w:val="center"/>
          </w:tcPr>
          <w:p w14:paraId="1BA36BA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A648DE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4322E0F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37B2340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AD0E6C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5871E81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0CDBD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4492EF6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564" w:type="dxa"/>
            <w:tcBorders>
              <w:top w:val="single" w:color="000000" w:sz="4" w:space="0"/>
              <w:bottom w:val="single" w:color="000000" w:sz="4" w:space="0"/>
            </w:tcBorders>
            <w:shd w:val="clear" w:color="auto" w:fill="auto"/>
            <w:vAlign w:val="center"/>
          </w:tcPr>
          <w:p w14:paraId="54BFA5E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757" w:type="dxa"/>
            <w:tcBorders>
              <w:top w:val="single" w:color="000000" w:sz="4" w:space="0"/>
              <w:bottom w:val="single" w:color="000000" w:sz="4" w:space="0"/>
            </w:tcBorders>
            <w:shd w:val="clear" w:color="auto" w:fill="auto"/>
            <w:vAlign w:val="center"/>
          </w:tcPr>
          <w:p w14:paraId="3E22381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470EDDE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48273DA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1107" w:type="dxa"/>
            <w:tcBorders>
              <w:top w:val="single" w:color="000000" w:sz="4" w:space="0"/>
              <w:bottom w:val="single" w:color="000000" w:sz="4" w:space="0"/>
            </w:tcBorders>
            <w:shd w:val="clear" w:color="auto" w:fill="auto"/>
            <w:vAlign w:val="center"/>
          </w:tcPr>
          <w:p w14:paraId="439D913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76A47C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5847D42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38CD5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7" w:type="dxa"/>
            <w:tcBorders>
              <w:top w:val="single" w:color="000000" w:sz="4" w:space="0"/>
              <w:bottom w:val="single" w:color="000000" w:sz="4" w:space="0"/>
            </w:tcBorders>
            <w:vAlign w:val="center"/>
          </w:tcPr>
          <w:p w14:paraId="0C48C5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center"/>
          </w:tcPr>
          <w:p w14:paraId="189115A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5568D29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54F904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31</w:t>
            </w:r>
          </w:p>
        </w:tc>
        <w:tc>
          <w:tcPr>
            <w:tcW w:w="1107" w:type="dxa"/>
            <w:tcBorders>
              <w:top w:val="single" w:color="000000" w:sz="4" w:space="0"/>
              <w:bottom w:val="single" w:color="000000" w:sz="4" w:space="0"/>
            </w:tcBorders>
            <w:vAlign w:val="center"/>
          </w:tcPr>
          <w:p w14:paraId="2793E8B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center"/>
          </w:tcPr>
          <w:p w14:paraId="3AE10A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5392D8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r>
    </w:tbl>
    <w:p w14:paraId="04B792C4">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七、心电监护设备</w:t>
      </w:r>
    </w:p>
    <w:p w14:paraId="47B8241F">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2B410A78">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224557B7">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八、其他设备</w:t>
      </w:r>
    </w:p>
    <w:tbl>
      <w:tblPr>
        <w:tblStyle w:val="474"/>
        <w:tblW w:w="945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417"/>
        <w:gridCol w:w="1904"/>
        <w:gridCol w:w="844"/>
        <w:gridCol w:w="778"/>
        <w:gridCol w:w="1107"/>
        <w:gridCol w:w="1096"/>
        <w:gridCol w:w="1667"/>
      </w:tblGrid>
      <w:tr w14:paraId="76A93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jc w:val="center"/>
        </w:trPr>
        <w:tc>
          <w:tcPr>
            <w:tcW w:w="637" w:type="dxa"/>
            <w:tcBorders>
              <w:top w:val="single" w:color="000000" w:sz="4" w:space="0"/>
              <w:bottom w:val="single" w:color="000000" w:sz="4" w:space="0"/>
            </w:tcBorders>
            <w:vAlign w:val="center"/>
          </w:tcPr>
          <w:p w14:paraId="184FFB7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417" w:type="dxa"/>
            <w:tcBorders>
              <w:top w:val="single" w:color="000000" w:sz="4" w:space="0"/>
              <w:bottom w:val="single" w:color="000000" w:sz="4" w:space="0"/>
            </w:tcBorders>
            <w:vAlign w:val="center"/>
          </w:tcPr>
          <w:p w14:paraId="62B8965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904" w:type="dxa"/>
            <w:tcBorders>
              <w:top w:val="single" w:color="000000" w:sz="4" w:space="0"/>
              <w:bottom w:val="single" w:color="000000" w:sz="4" w:space="0"/>
            </w:tcBorders>
            <w:vAlign w:val="center"/>
          </w:tcPr>
          <w:p w14:paraId="55707BB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404F406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63D7341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220378C4">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2954FEB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300D4336">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263A3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02044BD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417" w:type="dxa"/>
            <w:tcBorders>
              <w:top w:val="single" w:color="000000" w:sz="4" w:space="0"/>
              <w:bottom w:val="single" w:color="000000" w:sz="4" w:space="0"/>
            </w:tcBorders>
            <w:vAlign w:val="center"/>
          </w:tcPr>
          <w:p w14:paraId="1C7EA3E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904" w:type="dxa"/>
            <w:tcBorders>
              <w:top w:val="single" w:color="000000" w:sz="4" w:space="0"/>
              <w:bottom w:val="single" w:color="000000" w:sz="4" w:space="0"/>
            </w:tcBorders>
            <w:vAlign w:val="center"/>
          </w:tcPr>
          <w:p w14:paraId="4DFA425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D0C3B2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33730B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095BA82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1CF28363">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6ADCFB2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0BE5F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2C64ACC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417" w:type="dxa"/>
            <w:tcBorders>
              <w:top w:val="single" w:color="000000" w:sz="4" w:space="0"/>
              <w:bottom w:val="single" w:color="000000" w:sz="4" w:space="0"/>
            </w:tcBorders>
            <w:shd w:val="clear" w:color="auto" w:fill="auto"/>
            <w:vAlign w:val="center"/>
          </w:tcPr>
          <w:p w14:paraId="7E330C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904" w:type="dxa"/>
            <w:tcBorders>
              <w:top w:val="single" w:color="000000" w:sz="4" w:space="0"/>
              <w:bottom w:val="single" w:color="000000" w:sz="4" w:space="0"/>
            </w:tcBorders>
            <w:shd w:val="clear" w:color="auto" w:fill="auto"/>
            <w:vAlign w:val="center"/>
          </w:tcPr>
          <w:p w14:paraId="226381A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10E152A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60ED4DA6">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4744B79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78DB924F">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3DBCD9A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2D782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40662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417" w:type="dxa"/>
            <w:tcBorders>
              <w:top w:val="single" w:color="000000" w:sz="4" w:space="0"/>
              <w:bottom w:val="single" w:color="000000" w:sz="4" w:space="0"/>
            </w:tcBorders>
            <w:vAlign w:val="center"/>
          </w:tcPr>
          <w:p w14:paraId="17BBBA2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904" w:type="dxa"/>
            <w:tcBorders>
              <w:top w:val="single" w:color="000000" w:sz="4" w:space="0"/>
              <w:bottom w:val="single" w:color="000000" w:sz="4" w:space="0"/>
            </w:tcBorders>
            <w:vAlign w:val="center"/>
          </w:tcPr>
          <w:p w14:paraId="5F7C082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DD96E4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4E0DDF7">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5D68856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0377E38A">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60ECD09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F8F8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F89527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w:t>
            </w:r>
          </w:p>
        </w:tc>
        <w:tc>
          <w:tcPr>
            <w:tcW w:w="1417" w:type="dxa"/>
            <w:tcBorders>
              <w:top w:val="single" w:color="000000" w:sz="4" w:space="0"/>
              <w:bottom w:val="single" w:color="000000" w:sz="4" w:space="0"/>
            </w:tcBorders>
            <w:shd w:val="clear" w:color="auto" w:fill="auto"/>
            <w:vAlign w:val="center"/>
          </w:tcPr>
          <w:p w14:paraId="7D28EC7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904" w:type="dxa"/>
            <w:tcBorders>
              <w:top w:val="single" w:color="000000" w:sz="4" w:space="0"/>
              <w:bottom w:val="single" w:color="000000" w:sz="4" w:space="0"/>
            </w:tcBorders>
            <w:shd w:val="clear" w:color="auto" w:fill="auto"/>
            <w:vAlign w:val="center"/>
          </w:tcPr>
          <w:p w14:paraId="6EAAC9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81ED68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102AC06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2393A3F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39D774B">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19BADB1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0EBDB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DB7CD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417" w:type="dxa"/>
            <w:tcBorders>
              <w:top w:val="single" w:color="000000" w:sz="4" w:space="0"/>
              <w:bottom w:val="single" w:color="000000" w:sz="4" w:space="0"/>
            </w:tcBorders>
            <w:vAlign w:val="center"/>
          </w:tcPr>
          <w:p w14:paraId="2F8232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医用高分子筛制氧系统</w:t>
            </w:r>
          </w:p>
        </w:tc>
        <w:tc>
          <w:tcPr>
            <w:tcW w:w="1904" w:type="dxa"/>
            <w:tcBorders>
              <w:top w:val="single" w:color="000000" w:sz="4" w:space="0"/>
              <w:bottom w:val="single" w:color="000000" w:sz="4" w:space="0"/>
            </w:tcBorders>
            <w:vAlign w:val="center"/>
          </w:tcPr>
          <w:p w14:paraId="72A19F2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961D4A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3BF87A5">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6A77E3F2">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BFC3AD0">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5D5CC3B">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4A554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A3E028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417" w:type="dxa"/>
            <w:tcBorders>
              <w:top w:val="single" w:color="000000" w:sz="4" w:space="0"/>
              <w:bottom w:val="single" w:color="000000" w:sz="4" w:space="0"/>
            </w:tcBorders>
            <w:vAlign w:val="center"/>
          </w:tcPr>
          <w:p w14:paraId="2FE1C0D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904" w:type="dxa"/>
            <w:tcBorders>
              <w:top w:val="single" w:color="000000" w:sz="4" w:space="0"/>
              <w:bottom w:val="single" w:color="000000" w:sz="4" w:space="0"/>
            </w:tcBorders>
            <w:vAlign w:val="center"/>
          </w:tcPr>
          <w:p w14:paraId="1CE337B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32D440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7C442F2">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4F10482C">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74CB0A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BC3734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21D14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9E31EB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417" w:type="dxa"/>
            <w:tcBorders>
              <w:top w:val="single" w:color="000000" w:sz="4" w:space="0"/>
              <w:bottom w:val="single" w:color="000000" w:sz="4" w:space="0"/>
            </w:tcBorders>
            <w:shd w:val="clear" w:color="auto" w:fill="auto"/>
            <w:vAlign w:val="center"/>
          </w:tcPr>
          <w:p w14:paraId="33AD87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904" w:type="dxa"/>
            <w:tcBorders>
              <w:top w:val="single" w:color="000000" w:sz="4" w:space="0"/>
              <w:bottom w:val="single" w:color="000000" w:sz="4" w:space="0"/>
            </w:tcBorders>
            <w:shd w:val="clear" w:color="auto" w:fill="auto"/>
            <w:vAlign w:val="center"/>
          </w:tcPr>
          <w:p w14:paraId="793D96A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78698C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7F2F7AE8">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21749A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E68E537">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4AED369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B5EA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9" w:hRule="atLeast"/>
          <w:jc w:val="center"/>
        </w:trPr>
        <w:tc>
          <w:tcPr>
            <w:tcW w:w="637" w:type="dxa"/>
            <w:tcBorders>
              <w:top w:val="single" w:color="000000" w:sz="4" w:space="0"/>
              <w:bottom w:val="single" w:color="000000" w:sz="4" w:space="0"/>
            </w:tcBorders>
            <w:shd w:val="clear" w:color="auto" w:fill="auto"/>
            <w:vAlign w:val="center"/>
          </w:tcPr>
          <w:p w14:paraId="28834CC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417" w:type="dxa"/>
            <w:tcBorders>
              <w:top w:val="single" w:color="000000" w:sz="4" w:space="0"/>
              <w:bottom w:val="single" w:color="000000" w:sz="4" w:space="0"/>
            </w:tcBorders>
            <w:vAlign w:val="center"/>
          </w:tcPr>
          <w:p w14:paraId="04C793A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烘干机</w:t>
            </w:r>
          </w:p>
        </w:tc>
        <w:tc>
          <w:tcPr>
            <w:tcW w:w="1904" w:type="dxa"/>
            <w:tcBorders>
              <w:top w:val="single" w:color="000000" w:sz="4" w:space="0"/>
              <w:bottom w:val="single" w:color="000000" w:sz="4" w:space="0"/>
            </w:tcBorders>
            <w:vAlign w:val="center"/>
          </w:tcPr>
          <w:p w14:paraId="6E3DE4F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0FD715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4660D19">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3F618441">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E5CDE88">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891174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71962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jc w:val="center"/>
        </w:trPr>
        <w:tc>
          <w:tcPr>
            <w:tcW w:w="637" w:type="dxa"/>
            <w:tcBorders>
              <w:top w:val="single" w:color="000000" w:sz="4" w:space="0"/>
              <w:bottom w:val="single" w:color="000000" w:sz="4" w:space="0"/>
            </w:tcBorders>
            <w:shd w:val="clear" w:color="auto" w:fill="auto"/>
            <w:vAlign w:val="center"/>
          </w:tcPr>
          <w:p w14:paraId="080B0EC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417" w:type="dxa"/>
            <w:tcBorders>
              <w:top w:val="single" w:color="000000" w:sz="4" w:space="0"/>
              <w:bottom w:val="single" w:color="000000" w:sz="4" w:space="0"/>
            </w:tcBorders>
            <w:vAlign w:val="center"/>
          </w:tcPr>
          <w:p w14:paraId="54BE1A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904" w:type="dxa"/>
            <w:tcBorders>
              <w:top w:val="single" w:color="000000" w:sz="4" w:space="0"/>
              <w:bottom w:val="single" w:color="000000" w:sz="4" w:space="0"/>
            </w:tcBorders>
            <w:vAlign w:val="center"/>
          </w:tcPr>
          <w:p w14:paraId="718CA6B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945535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1285BFAF">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816AF2F">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56339A0">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D22808F">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2791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jc w:val="center"/>
        </w:trPr>
        <w:tc>
          <w:tcPr>
            <w:tcW w:w="637" w:type="dxa"/>
            <w:tcBorders>
              <w:top w:val="single" w:color="000000" w:sz="4" w:space="0"/>
              <w:bottom w:val="single" w:color="000000" w:sz="4" w:space="0"/>
            </w:tcBorders>
            <w:shd w:val="clear" w:color="auto" w:fill="auto"/>
            <w:vAlign w:val="center"/>
          </w:tcPr>
          <w:p w14:paraId="61BF72E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0</w:t>
            </w:r>
          </w:p>
        </w:tc>
        <w:tc>
          <w:tcPr>
            <w:tcW w:w="1417" w:type="dxa"/>
            <w:tcBorders>
              <w:top w:val="single" w:color="000000" w:sz="4" w:space="0"/>
              <w:bottom w:val="single" w:color="000000" w:sz="4" w:space="0"/>
            </w:tcBorders>
            <w:shd w:val="clear" w:color="auto" w:fill="auto"/>
            <w:vAlign w:val="center"/>
          </w:tcPr>
          <w:p w14:paraId="293AF53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904" w:type="dxa"/>
            <w:tcBorders>
              <w:top w:val="single" w:color="000000" w:sz="4" w:space="0"/>
              <w:bottom w:val="single" w:color="000000" w:sz="4" w:space="0"/>
            </w:tcBorders>
            <w:shd w:val="clear" w:color="auto" w:fill="auto"/>
            <w:vAlign w:val="center"/>
          </w:tcPr>
          <w:p w14:paraId="2479566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720D8CB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245355F2">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7FEA6E1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29EF416C">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20DFB752">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73670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0B495D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1</w:t>
            </w:r>
          </w:p>
        </w:tc>
        <w:tc>
          <w:tcPr>
            <w:tcW w:w="1417" w:type="dxa"/>
            <w:tcBorders>
              <w:top w:val="single" w:color="000000" w:sz="4" w:space="0"/>
              <w:bottom w:val="single" w:color="000000" w:sz="4" w:space="0"/>
            </w:tcBorders>
            <w:vAlign w:val="center"/>
          </w:tcPr>
          <w:p w14:paraId="0793752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医用热敏打印机</w:t>
            </w:r>
          </w:p>
        </w:tc>
        <w:tc>
          <w:tcPr>
            <w:tcW w:w="1904" w:type="dxa"/>
            <w:tcBorders>
              <w:top w:val="single" w:color="000000" w:sz="4" w:space="0"/>
              <w:bottom w:val="single" w:color="000000" w:sz="4" w:space="0"/>
            </w:tcBorders>
            <w:vAlign w:val="center"/>
          </w:tcPr>
          <w:p w14:paraId="7C87ADC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603270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523353A8">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ADA54D1">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20ADAA5">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CAB66EB">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19133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637" w:type="dxa"/>
            <w:tcBorders>
              <w:top w:val="single" w:color="000000" w:sz="4" w:space="0"/>
              <w:bottom w:val="single" w:color="000000" w:sz="4" w:space="0"/>
            </w:tcBorders>
            <w:shd w:val="clear" w:color="auto" w:fill="auto"/>
            <w:vAlign w:val="center"/>
          </w:tcPr>
          <w:p w14:paraId="667AE62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12</w:t>
            </w:r>
          </w:p>
        </w:tc>
        <w:tc>
          <w:tcPr>
            <w:tcW w:w="1417" w:type="dxa"/>
            <w:tcBorders>
              <w:top w:val="single" w:color="000000" w:sz="4" w:space="0"/>
              <w:bottom w:val="single" w:color="000000" w:sz="4" w:space="0"/>
            </w:tcBorders>
            <w:vAlign w:val="center"/>
          </w:tcPr>
          <w:p w14:paraId="5C27C57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冷藏柜</w:t>
            </w:r>
          </w:p>
        </w:tc>
        <w:tc>
          <w:tcPr>
            <w:tcW w:w="1904" w:type="dxa"/>
            <w:tcBorders>
              <w:top w:val="single" w:color="000000" w:sz="4" w:space="0"/>
              <w:bottom w:val="single" w:color="000000" w:sz="4" w:space="0"/>
            </w:tcBorders>
            <w:vAlign w:val="center"/>
          </w:tcPr>
          <w:p w14:paraId="65CC89B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E9920D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09C456A">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A6E1074">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B2C48D9">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1B865F7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43989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jc w:val="center"/>
        </w:trPr>
        <w:tc>
          <w:tcPr>
            <w:tcW w:w="637" w:type="dxa"/>
            <w:tcBorders>
              <w:top w:val="single" w:color="000000" w:sz="4" w:space="0"/>
              <w:bottom w:val="single" w:color="000000" w:sz="4" w:space="0"/>
            </w:tcBorders>
            <w:shd w:val="clear" w:color="auto" w:fill="auto"/>
            <w:vAlign w:val="center"/>
          </w:tcPr>
          <w:p w14:paraId="613A5E0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13</w:t>
            </w:r>
          </w:p>
        </w:tc>
        <w:tc>
          <w:tcPr>
            <w:tcW w:w="1417" w:type="dxa"/>
            <w:tcBorders>
              <w:top w:val="single" w:color="000000" w:sz="4" w:space="0"/>
              <w:bottom w:val="single" w:color="000000" w:sz="4" w:space="0"/>
            </w:tcBorders>
            <w:vAlign w:val="center"/>
          </w:tcPr>
          <w:p w14:paraId="3D6274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UPS电源</w:t>
            </w:r>
          </w:p>
        </w:tc>
        <w:tc>
          <w:tcPr>
            <w:tcW w:w="1904" w:type="dxa"/>
            <w:tcBorders>
              <w:top w:val="single" w:color="000000" w:sz="4" w:space="0"/>
              <w:bottom w:val="single" w:color="000000" w:sz="4" w:space="0"/>
            </w:tcBorders>
            <w:vAlign w:val="center"/>
          </w:tcPr>
          <w:p w14:paraId="7C911A9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45BA9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B264E60">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4C22762E">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FECC32E">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3ABA1CA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73A4E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9" w:hRule="atLeast"/>
          <w:jc w:val="center"/>
        </w:trPr>
        <w:tc>
          <w:tcPr>
            <w:tcW w:w="637" w:type="dxa"/>
            <w:tcBorders>
              <w:top w:val="single" w:color="000000" w:sz="4" w:space="0"/>
              <w:bottom w:val="single" w:color="000000" w:sz="4" w:space="0"/>
            </w:tcBorders>
            <w:shd w:val="clear" w:color="auto" w:fill="auto"/>
            <w:vAlign w:val="center"/>
          </w:tcPr>
          <w:p w14:paraId="303FF1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14</w:t>
            </w:r>
          </w:p>
        </w:tc>
        <w:tc>
          <w:tcPr>
            <w:tcW w:w="1417" w:type="dxa"/>
            <w:tcBorders>
              <w:top w:val="single" w:color="000000" w:sz="4" w:space="0"/>
              <w:bottom w:val="single" w:color="000000" w:sz="4" w:space="0"/>
            </w:tcBorders>
            <w:vAlign w:val="center"/>
          </w:tcPr>
          <w:p w14:paraId="26191A0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煎药机</w:t>
            </w:r>
          </w:p>
        </w:tc>
        <w:tc>
          <w:tcPr>
            <w:tcW w:w="1904" w:type="dxa"/>
            <w:tcBorders>
              <w:top w:val="single" w:color="000000" w:sz="4" w:space="0"/>
              <w:bottom w:val="single" w:color="000000" w:sz="4" w:space="0"/>
            </w:tcBorders>
            <w:vAlign w:val="center"/>
          </w:tcPr>
          <w:p w14:paraId="0FD220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6EF871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4BB35A3A">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29ADC779">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91E2C2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AF2A9DD">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6D347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jc w:val="center"/>
        </w:trPr>
        <w:tc>
          <w:tcPr>
            <w:tcW w:w="637" w:type="dxa"/>
            <w:tcBorders>
              <w:top w:val="single" w:color="000000" w:sz="4" w:space="0"/>
              <w:bottom w:val="single" w:color="000000" w:sz="4" w:space="0"/>
            </w:tcBorders>
            <w:shd w:val="clear" w:color="auto" w:fill="auto"/>
            <w:vAlign w:val="center"/>
          </w:tcPr>
          <w:p w14:paraId="6832DCB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15</w:t>
            </w:r>
          </w:p>
        </w:tc>
        <w:tc>
          <w:tcPr>
            <w:tcW w:w="1417" w:type="dxa"/>
            <w:tcBorders>
              <w:top w:val="single" w:color="000000" w:sz="4" w:space="0"/>
              <w:bottom w:val="single" w:color="000000" w:sz="4" w:space="0"/>
            </w:tcBorders>
            <w:vAlign w:val="center"/>
          </w:tcPr>
          <w:p w14:paraId="74D0DC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人工流产吸引器</w:t>
            </w:r>
          </w:p>
        </w:tc>
        <w:tc>
          <w:tcPr>
            <w:tcW w:w="1904" w:type="dxa"/>
            <w:tcBorders>
              <w:top w:val="single" w:color="000000" w:sz="4" w:space="0"/>
              <w:bottom w:val="single" w:color="000000" w:sz="4" w:space="0"/>
            </w:tcBorders>
            <w:vAlign w:val="center"/>
          </w:tcPr>
          <w:p w14:paraId="4F27DCA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6E6105D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DE6F8D7">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2CD8BC32">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631729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38551756">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187E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0A651D3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16</w:t>
            </w:r>
          </w:p>
        </w:tc>
        <w:tc>
          <w:tcPr>
            <w:tcW w:w="1417" w:type="dxa"/>
            <w:tcBorders>
              <w:top w:val="single" w:color="000000" w:sz="4" w:space="0"/>
              <w:bottom w:val="single" w:color="000000" w:sz="4" w:space="0"/>
            </w:tcBorders>
            <w:vAlign w:val="center"/>
          </w:tcPr>
          <w:p w14:paraId="48439E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智慧药房硬件设施</w:t>
            </w:r>
          </w:p>
        </w:tc>
        <w:tc>
          <w:tcPr>
            <w:tcW w:w="1904" w:type="dxa"/>
            <w:tcBorders>
              <w:top w:val="single" w:color="000000" w:sz="4" w:space="0"/>
              <w:bottom w:val="single" w:color="000000" w:sz="4" w:space="0"/>
            </w:tcBorders>
            <w:vAlign w:val="center"/>
          </w:tcPr>
          <w:p w14:paraId="12474F1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Cs w:val="21"/>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A9FC33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48CA7F23">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05F69BA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3EB3906">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AEBFDD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Cs w:val="21"/>
                <w:lang w:val="en-US" w:eastAsia="zh-CN"/>
              </w:rPr>
            </w:pPr>
            <w:r>
              <w:rPr>
                <w:rFonts w:hint="eastAsia" w:ascii="宋体" w:hAnsi="宋体" w:eastAsia="宋体" w:cs="宋体"/>
                <w:snapToGrid w:val="0"/>
                <w:color w:val="auto"/>
                <w:spacing w:val="-2"/>
                <w:kern w:val="0"/>
                <w:sz w:val="18"/>
                <w:szCs w:val="18"/>
                <w:lang w:val="en-US" w:eastAsia="zh-CN" w:bidi="ar-SA"/>
              </w:rPr>
              <w:t>新化县人民医院</w:t>
            </w:r>
          </w:p>
        </w:tc>
      </w:tr>
      <w:tr w14:paraId="7A70B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76DFE6F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17</w:t>
            </w:r>
          </w:p>
        </w:tc>
        <w:tc>
          <w:tcPr>
            <w:tcW w:w="1417" w:type="dxa"/>
            <w:tcBorders>
              <w:top w:val="single" w:color="000000" w:sz="4" w:space="0"/>
              <w:bottom w:val="single" w:color="000000" w:sz="4" w:space="0"/>
            </w:tcBorders>
            <w:vAlign w:val="center"/>
          </w:tcPr>
          <w:p w14:paraId="479626B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脉动真空高温高压灭菌器</w:t>
            </w:r>
          </w:p>
        </w:tc>
        <w:tc>
          <w:tcPr>
            <w:tcW w:w="1904" w:type="dxa"/>
            <w:tcBorders>
              <w:top w:val="single" w:color="000000" w:sz="4" w:space="0"/>
              <w:bottom w:val="single" w:color="000000" w:sz="4" w:space="0"/>
            </w:tcBorders>
            <w:vAlign w:val="center"/>
          </w:tcPr>
          <w:p w14:paraId="5C1151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6097C00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1C14BF0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4DE6F8E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27B3103">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0C167A3D">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08937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351E865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18</w:t>
            </w:r>
          </w:p>
        </w:tc>
        <w:tc>
          <w:tcPr>
            <w:tcW w:w="1417" w:type="dxa"/>
            <w:tcBorders>
              <w:top w:val="single" w:color="000000" w:sz="4" w:space="0"/>
              <w:bottom w:val="single" w:color="000000" w:sz="4" w:space="0"/>
            </w:tcBorders>
            <w:vAlign w:val="center"/>
          </w:tcPr>
          <w:p w14:paraId="2FB668B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等离子消毒机</w:t>
            </w:r>
          </w:p>
        </w:tc>
        <w:tc>
          <w:tcPr>
            <w:tcW w:w="1904" w:type="dxa"/>
            <w:tcBorders>
              <w:top w:val="single" w:color="000000" w:sz="4" w:space="0"/>
              <w:bottom w:val="single" w:color="000000" w:sz="4" w:space="0"/>
            </w:tcBorders>
            <w:vAlign w:val="center"/>
          </w:tcPr>
          <w:p w14:paraId="1E0E946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01F706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EECB16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0969DAD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BB665C2">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60C8D7E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26329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0DCEA49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19</w:t>
            </w:r>
          </w:p>
        </w:tc>
        <w:tc>
          <w:tcPr>
            <w:tcW w:w="1417" w:type="dxa"/>
            <w:tcBorders>
              <w:top w:val="single" w:color="000000" w:sz="4" w:space="0"/>
              <w:bottom w:val="single" w:color="000000" w:sz="4" w:space="0"/>
            </w:tcBorders>
            <w:vAlign w:val="center"/>
          </w:tcPr>
          <w:p w14:paraId="182D075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手术显微镜系统</w:t>
            </w:r>
          </w:p>
        </w:tc>
        <w:tc>
          <w:tcPr>
            <w:tcW w:w="1904" w:type="dxa"/>
            <w:tcBorders>
              <w:top w:val="single" w:color="000000" w:sz="4" w:space="0"/>
              <w:bottom w:val="single" w:color="000000" w:sz="4" w:space="0"/>
            </w:tcBorders>
            <w:vAlign w:val="center"/>
          </w:tcPr>
          <w:p w14:paraId="768DBBC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48FE0A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54632F05">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11C380A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9238A05">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706763E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0261C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3CEBDD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20</w:t>
            </w:r>
          </w:p>
        </w:tc>
        <w:tc>
          <w:tcPr>
            <w:tcW w:w="1417" w:type="dxa"/>
            <w:tcBorders>
              <w:top w:val="single" w:color="000000" w:sz="4" w:space="0"/>
              <w:bottom w:val="single" w:color="000000" w:sz="4" w:space="0"/>
            </w:tcBorders>
            <w:vAlign w:val="center"/>
          </w:tcPr>
          <w:p w14:paraId="4E98F4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麻醉机</w:t>
            </w:r>
          </w:p>
        </w:tc>
        <w:tc>
          <w:tcPr>
            <w:tcW w:w="1904" w:type="dxa"/>
            <w:tcBorders>
              <w:top w:val="single" w:color="000000" w:sz="4" w:space="0"/>
              <w:bottom w:val="single" w:color="000000" w:sz="4" w:space="0"/>
            </w:tcBorders>
            <w:vAlign w:val="center"/>
          </w:tcPr>
          <w:p w14:paraId="75439FC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469D5F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1C65C24">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082694D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9CDA4C9">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1590D97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21457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02985C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21</w:t>
            </w:r>
          </w:p>
        </w:tc>
        <w:tc>
          <w:tcPr>
            <w:tcW w:w="1417" w:type="dxa"/>
            <w:tcBorders>
              <w:top w:val="single" w:color="000000" w:sz="4" w:space="0"/>
              <w:bottom w:val="single" w:color="000000" w:sz="4" w:space="0"/>
            </w:tcBorders>
            <w:vAlign w:val="center"/>
          </w:tcPr>
          <w:p w14:paraId="0356C09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智能多功能巡回</w:t>
            </w:r>
            <w:r>
              <w:rPr>
                <w:rFonts w:hint="eastAsia" w:ascii="宋体" w:hAnsi="宋体" w:eastAsia="宋体" w:cs="宋体"/>
                <w:snapToGrid w:val="0"/>
                <w:color w:val="auto"/>
                <w:spacing w:val="-2"/>
                <w:kern w:val="0"/>
                <w:sz w:val="18"/>
                <w:szCs w:val="18"/>
                <w:lang w:val="en-US" w:eastAsia="zh-CN" w:bidi="ar-SA"/>
              </w:rPr>
              <w:t>诊</w:t>
            </w:r>
            <w:r>
              <w:rPr>
                <w:rFonts w:hint="eastAsia" w:ascii="宋体" w:hAnsi="宋体" w:eastAsia="宋体" w:cs="宋体"/>
                <w:snapToGrid w:val="0"/>
                <w:color w:val="auto"/>
                <w:spacing w:val="-2"/>
                <w:kern w:val="0"/>
                <w:sz w:val="18"/>
                <w:szCs w:val="18"/>
                <w:lang w:val="en-US" w:eastAsia="en-US" w:bidi="ar-SA"/>
              </w:rPr>
              <w:t>疗车</w:t>
            </w:r>
          </w:p>
        </w:tc>
        <w:tc>
          <w:tcPr>
            <w:tcW w:w="1904" w:type="dxa"/>
            <w:tcBorders>
              <w:top w:val="single" w:color="000000" w:sz="4" w:space="0"/>
              <w:bottom w:val="single" w:color="000000" w:sz="4" w:space="0"/>
            </w:tcBorders>
            <w:vAlign w:val="center"/>
          </w:tcPr>
          <w:p w14:paraId="3EDF01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1B7EB3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912974D">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3F797E0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9C21A48">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01CD4FD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5176D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7447590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22</w:t>
            </w:r>
          </w:p>
        </w:tc>
        <w:tc>
          <w:tcPr>
            <w:tcW w:w="1417" w:type="dxa"/>
            <w:tcBorders>
              <w:top w:val="single" w:color="000000" w:sz="4" w:space="0"/>
              <w:bottom w:val="single" w:color="000000" w:sz="4" w:space="0"/>
            </w:tcBorders>
            <w:vAlign w:val="center"/>
          </w:tcPr>
          <w:p w14:paraId="3747C52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振动排痰机</w:t>
            </w:r>
          </w:p>
        </w:tc>
        <w:tc>
          <w:tcPr>
            <w:tcW w:w="1904" w:type="dxa"/>
            <w:tcBorders>
              <w:top w:val="single" w:color="000000" w:sz="4" w:space="0"/>
              <w:bottom w:val="single" w:color="000000" w:sz="4" w:space="0"/>
            </w:tcBorders>
            <w:vAlign w:val="center"/>
          </w:tcPr>
          <w:p w14:paraId="3709F1C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5C4E852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7941320E">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561645AF">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F4E04AD">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1BB9391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4185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193EE69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23</w:t>
            </w:r>
          </w:p>
        </w:tc>
        <w:tc>
          <w:tcPr>
            <w:tcW w:w="1417" w:type="dxa"/>
            <w:tcBorders>
              <w:top w:val="single" w:color="000000" w:sz="4" w:space="0"/>
              <w:bottom w:val="single" w:color="000000" w:sz="4" w:space="0"/>
            </w:tcBorders>
            <w:shd w:val="clear" w:color="auto" w:fill="auto"/>
            <w:vAlign w:val="center"/>
          </w:tcPr>
          <w:p w14:paraId="640C8C3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振动排痰机</w:t>
            </w:r>
          </w:p>
        </w:tc>
        <w:tc>
          <w:tcPr>
            <w:tcW w:w="1904" w:type="dxa"/>
            <w:tcBorders>
              <w:top w:val="single" w:color="000000" w:sz="4" w:space="0"/>
              <w:bottom w:val="single" w:color="000000" w:sz="4" w:space="0"/>
            </w:tcBorders>
            <w:shd w:val="clear" w:color="auto" w:fill="auto"/>
            <w:vAlign w:val="center"/>
          </w:tcPr>
          <w:p w14:paraId="5315347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详见参数附表</w:t>
            </w:r>
          </w:p>
        </w:tc>
        <w:tc>
          <w:tcPr>
            <w:tcW w:w="844" w:type="dxa"/>
            <w:tcBorders>
              <w:top w:val="single" w:color="000000" w:sz="4" w:space="0"/>
              <w:bottom w:val="single" w:color="000000" w:sz="4" w:space="0"/>
            </w:tcBorders>
            <w:shd w:val="clear" w:color="auto" w:fill="auto"/>
            <w:vAlign w:val="center"/>
          </w:tcPr>
          <w:p w14:paraId="5C64384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台</w:t>
            </w:r>
          </w:p>
        </w:tc>
        <w:tc>
          <w:tcPr>
            <w:tcW w:w="778" w:type="dxa"/>
            <w:tcBorders>
              <w:top w:val="single" w:color="000000" w:sz="4" w:space="0"/>
              <w:bottom w:val="single" w:color="000000" w:sz="4" w:space="0"/>
            </w:tcBorders>
            <w:shd w:val="clear" w:color="auto" w:fill="auto"/>
            <w:vAlign w:val="center"/>
          </w:tcPr>
          <w:p w14:paraId="5FD81232">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4</w:t>
            </w:r>
          </w:p>
        </w:tc>
        <w:tc>
          <w:tcPr>
            <w:tcW w:w="1107" w:type="dxa"/>
            <w:tcBorders>
              <w:top w:val="single" w:color="000000" w:sz="4" w:space="0"/>
              <w:bottom w:val="single" w:color="000000" w:sz="4" w:space="0"/>
            </w:tcBorders>
            <w:shd w:val="clear" w:color="auto" w:fill="auto"/>
            <w:vAlign w:val="center"/>
          </w:tcPr>
          <w:p w14:paraId="3BB0701C">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46B224E9">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55A1C6F4">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18915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5AF4D05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24</w:t>
            </w:r>
          </w:p>
        </w:tc>
        <w:tc>
          <w:tcPr>
            <w:tcW w:w="1417" w:type="dxa"/>
            <w:tcBorders>
              <w:top w:val="single" w:color="000000" w:sz="4" w:space="0"/>
              <w:bottom w:val="single" w:color="000000" w:sz="4" w:space="0"/>
            </w:tcBorders>
            <w:shd w:val="clear" w:color="auto" w:fill="auto"/>
            <w:vAlign w:val="center"/>
          </w:tcPr>
          <w:p w14:paraId="1A22E5B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中心供氧系统</w:t>
            </w:r>
          </w:p>
        </w:tc>
        <w:tc>
          <w:tcPr>
            <w:tcW w:w="1904" w:type="dxa"/>
            <w:tcBorders>
              <w:top w:val="single" w:color="000000" w:sz="4" w:space="0"/>
              <w:bottom w:val="single" w:color="000000" w:sz="4" w:space="0"/>
            </w:tcBorders>
            <w:shd w:val="clear" w:color="auto" w:fill="auto"/>
            <w:vAlign w:val="center"/>
          </w:tcPr>
          <w:p w14:paraId="255834A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52C180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shd w:val="clear" w:color="auto" w:fill="auto"/>
            <w:vAlign w:val="center"/>
          </w:tcPr>
          <w:p w14:paraId="6180EA8D">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66FF5DFC">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959A748">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23DB873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048F3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637" w:type="dxa"/>
            <w:tcBorders>
              <w:top w:val="single" w:color="000000" w:sz="4" w:space="0"/>
              <w:bottom w:val="single" w:color="000000" w:sz="4" w:space="0"/>
            </w:tcBorders>
            <w:shd w:val="clear" w:color="auto" w:fill="auto"/>
            <w:vAlign w:val="center"/>
          </w:tcPr>
          <w:p w14:paraId="15AB60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25</w:t>
            </w:r>
          </w:p>
        </w:tc>
        <w:tc>
          <w:tcPr>
            <w:tcW w:w="1417" w:type="dxa"/>
            <w:tcBorders>
              <w:top w:val="single" w:color="000000" w:sz="4" w:space="0"/>
              <w:bottom w:val="single" w:color="000000" w:sz="4" w:space="0"/>
            </w:tcBorders>
            <w:vAlign w:val="center"/>
          </w:tcPr>
          <w:p w14:paraId="303E2EA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904" w:type="dxa"/>
            <w:tcBorders>
              <w:top w:val="single" w:color="000000" w:sz="4" w:space="0"/>
              <w:bottom w:val="single" w:color="000000" w:sz="4" w:space="0"/>
            </w:tcBorders>
            <w:vAlign w:val="center"/>
          </w:tcPr>
          <w:p w14:paraId="321AEF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075C2E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1964441D">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4ECC1A06">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EE45E52">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5D96861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新化县妇幼保健院</w:t>
            </w:r>
          </w:p>
        </w:tc>
      </w:tr>
      <w:tr w14:paraId="05897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jc w:val="center"/>
        </w:trPr>
        <w:tc>
          <w:tcPr>
            <w:tcW w:w="637" w:type="dxa"/>
            <w:tcBorders>
              <w:top w:val="single" w:color="000000" w:sz="4" w:space="0"/>
              <w:bottom w:val="single" w:color="000000" w:sz="4" w:space="0"/>
            </w:tcBorders>
            <w:shd w:val="clear" w:color="auto" w:fill="auto"/>
            <w:vAlign w:val="center"/>
          </w:tcPr>
          <w:p w14:paraId="76BDD3E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26</w:t>
            </w:r>
          </w:p>
        </w:tc>
        <w:tc>
          <w:tcPr>
            <w:tcW w:w="1417" w:type="dxa"/>
            <w:tcBorders>
              <w:top w:val="single" w:color="000000" w:sz="4" w:space="0"/>
              <w:bottom w:val="single" w:color="000000" w:sz="4" w:space="0"/>
            </w:tcBorders>
            <w:vAlign w:val="center"/>
          </w:tcPr>
          <w:p w14:paraId="3A0793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904" w:type="dxa"/>
            <w:tcBorders>
              <w:top w:val="single" w:color="000000" w:sz="4" w:space="0"/>
              <w:bottom w:val="single" w:color="000000" w:sz="4" w:space="0"/>
            </w:tcBorders>
            <w:vAlign w:val="center"/>
          </w:tcPr>
          <w:p w14:paraId="66692A1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63DC69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AA250E8">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179DFE01">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B57C963">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0985395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4DE84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3" w:hRule="atLeast"/>
          <w:jc w:val="center"/>
        </w:trPr>
        <w:tc>
          <w:tcPr>
            <w:tcW w:w="637" w:type="dxa"/>
            <w:tcBorders>
              <w:top w:val="single" w:color="000000" w:sz="4" w:space="0"/>
              <w:bottom w:val="single" w:color="000000" w:sz="4" w:space="0"/>
            </w:tcBorders>
            <w:shd w:val="clear" w:color="auto" w:fill="auto"/>
            <w:vAlign w:val="center"/>
          </w:tcPr>
          <w:p w14:paraId="112C832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27</w:t>
            </w:r>
          </w:p>
        </w:tc>
        <w:tc>
          <w:tcPr>
            <w:tcW w:w="1417" w:type="dxa"/>
            <w:tcBorders>
              <w:top w:val="single" w:color="000000" w:sz="4" w:space="0"/>
              <w:bottom w:val="single" w:color="000000" w:sz="4" w:space="0"/>
            </w:tcBorders>
            <w:shd w:val="clear" w:color="auto" w:fill="auto"/>
            <w:vAlign w:val="center"/>
          </w:tcPr>
          <w:p w14:paraId="3C185F6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无创呼吸机</w:t>
            </w:r>
          </w:p>
        </w:tc>
        <w:tc>
          <w:tcPr>
            <w:tcW w:w="1904" w:type="dxa"/>
            <w:tcBorders>
              <w:top w:val="single" w:color="000000" w:sz="4" w:space="0"/>
              <w:bottom w:val="single" w:color="000000" w:sz="4" w:space="0"/>
            </w:tcBorders>
            <w:shd w:val="clear" w:color="auto" w:fill="auto"/>
            <w:vAlign w:val="center"/>
          </w:tcPr>
          <w:p w14:paraId="174A911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1987901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17D0EE23">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3FBEA5E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8F5D25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38D239C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63D75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37CA80E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28</w:t>
            </w:r>
          </w:p>
        </w:tc>
        <w:tc>
          <w:tcPr>
            <w:tcW w:w="1417" w:type="dxa"/>
            <w:tcBorders>
              <w:top w:val="single" w:color="000000" w:sz="4" w:space="0"/>
              <w:bottom w:val="single" w:color="000000" w:sz="4" w:space="0"/>
            </w:tcBorders>
            <w:shd w:val="clear" w:color="auto" w:fill="auto"/>
            <w:vAlign w:val="center"/>
          </w:tcPr>
          <w:p w14:paraId="37EACA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钬激光治疗机</w:t>
            </w:r>
          </w:p>
        </w:tc>
        <w:tc>
          <w:tcPr>
            <w:tcW w:w="1904" w:type="dxa"/>
            <w:tcBorders>
              <w:top w:val="single" w:color="000000" w:sz="4" w:space="0"/>
              <w:bottom w:val="single" w:color="000000" w:sz="4" w:space="0"/>
            </w:tcBorders>
            <w:shd w:val="clear" w:color="auto" w:fill="auto"/>
            <w:vAlign w:val="center"/>
          </w:tcPr>
          <w:p w14:paraId="6BD38FB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4E890E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3AD6FB1">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2F77B5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40324D3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5B186DD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6D5CF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1D92162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29</w:t>
            </w:r>
          </w:p>
        </w:tc>
        <w:tc>
          <w:tcPr>
            <w:tcW w:w="1417" w:type="dxa"/>
            <w:tcBorders>
              <w:top w:val="single" w:color="000000" w:sz="4" w:space="0"/>
              <w:bottom w:val="single" w:color="000000" w:sz="4" w:space="0"/>
            </w:tcBorders>
            <w:shd w:val="clear" w:color="auto" w:fill="auto"/>
            <w:vAlign w:val="center"/>
          </w:tcPr>
          <w:p w14:paraId="12CD3A0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电动综合手术床</w:t>
            </w:r>
          </w:p>
        </w:tc>
        <w:tc>
          <w:tcPr>
            <w:tcW w:w="1904" w:type="dxa"/>
            <w:tcBorders>
              <w:top w:val="single" w:color="000000" w:sz="4" w:space="0"/>
              <w:bottom w:val="single" w:color="000000" w:sz="4" w:space="0"/>
            </w:tcBorders>
            <w:shd w:val="clear" w:color="auto" w:fill="auto"/>
            <w:vAlign w:val="center"/>
          </w:tcPr>
          <w:p w14:paraId="1EB2CA2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5474B7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83D7B77">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337F78B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FEA98E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0BC0709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05569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7917CBE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center"/>
          </w:tcPr>
          <w:p w14:paraId="3025E0DF">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04B0A87D">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3A07AC9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42</w:t>
            </w:r>
          </w:p>
        </w:tc>
        <w:tc>
          <w:tcPr>
            <w:tcW w:w="1107" w:type="dxa"/>
            <w:tcBorders>
              <w:top w:val="single" w:color="000000" w:sz="4" w:space="0"/>
              <w:bottom w:val="single" w:color="000000" w:sz="4" w:space="0"/>
            </w:tcBorders>
            <w:vAlign w:val="center"/>
          </w:tcPr>
          <w:p w14:paraId="1472CCD6">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center"/>
          </w:tcPr>
          <w:p w14:paraId="4B3839E2">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733A50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r>
    </w:tbl>
    <w:p w14:paraId="64C3974C">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24"/>
          <w:szCs w:val="24"/>
          <w:lang w:val="en-US" w:eastAsia="zh-CN"/>
        </w:rPr>
        <w:br w:type="page"/>
      </w:r>
      <w:r>
        <w:rPr>
          <w:rFonts w:hint="eastAsia" w:ascii="宋体" w:hAnsi="宋体" w:eastAsia="宋体" w:cs="宋体"/>
          <w:b/>
          <w:bCs/>
          <w:snapToGrid w:val="0"/>
          <w:color w:val="auto"/>
          <w:kern w:val="0"/>
          <w:sz w:val="18"/>
          <w:szCs w:val="18"/>
          <w:lang w:val="en-US" w:eastAsia="zh-CN"/>
        </w:rPr>
        <w:t>参数附表</w:t>
      </w:r>
    </w:p>
    <w:p w14:paraId="15450F5C">
      <w:pPr>
        <w:widowControl/>
        <w:kinsoku w:val="0"/>
        <w:autoSpaceDE w:val="0"/>
        <w:autoSpaceDN w:val="0"/>
        <w:adjustRightInd w:val="0"/>
        <w:snapToGrid w:val="0"/>
        <w:spacing w:line="248" w:lineRule="auto"/>
        <w:jc w:val="left"/>
        <w:textAlignment w:val="baseline"/>
        <w:rPr>
          <w:rFonts w:hint="eastAsia" w:ascii="宋体" w:hAnsi="宋体" w:eastAsia="宋体" w:cs="宋体"/>
          <w:snapToGrid w:val="0"/>
          <w:color w:val="auto"/>
          <w:kern w:val="0"/>
          <w:sz w:val="18"/>
          <w:szCs w:val="18"/>
          <w:lang w:eastAsia="en-US"/>
        </w:rPr>
      </w:pPr>
    </w:p>
    <w:tbl>
      <w:tblPr>
        <w:tblStyle w:val="474"/>
        <w:tblW w:w="1022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415"/>
        <w:gridCol w:w="6878"/>
        <w:gridCol w:w="1297"/>
      </w:tblGrid>
      <w:tr w14:paraId="15BCD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47" w:hRule="atLeast"/>
          <w:jc w:val="center"/>
        </w:trPr>
        <w:tc>
          <w:tcPr>
            <w:tcW w:w="637" w:type="dxa"/>
            <w:tcBorders>
              <w:top w:val="single" w:color="000000" w:sz="4" w:space="0"/>
              <w:bottom w:val="single" w:color="000000" w:sz="4" w:space="0"/>
            </w:tcBorders>
            <w:vAlign w:val="top"/>
          </w:tcPr>
          <w:p w14:paraId="20C59D48">
            <w:pPr>
              <w:kinsoku w:val="0"/>
              <w:autoSpaceDE w:val="0"/>
              <w:autoSpaceDN w:val="0"/>
              <w:adjustRightInd w:val="0"/>
              <w:snapToGrid w:val="0"/>
              <w:spacing w:before="127" w:line="221" w:lineRule="auto"/>
              <w:ind w:left="133"/>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415" w:type="dxa"/>
            <w:tcBorders>
              <w:top w:val="single" w:color="000000" w:sz="4" w:space="0"/>
              <w:bottom w:val="single" w:color="000000" w:sz="4" w:space="0"/>
            </w:tcBorders>
            <w:vAlign w:val="top"/>
          </w:tcPr>
          <w:p w14:paraId="230860BA">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6878" w:type="dxa"/>
            <w:tcBorders>
              <w:top w:val="single" w:color="000000" w:sz="4" w:space="0"/>
              <w:bottom w:val="single" w:color="000000" w:sz="4" w:space="0"/>
            </w:tcBorders>
            <w:vAlign w:val="top"/>
          </w:tcPr>
          <w:p w14:paraId="787F1A07">
            <w:pPr>
              <w:kinsoku w:val="0"/>
              <w:autoSpaceDE w:val="0"/>
              <w:autoSpaceDN w:val="0"/>
              <w:adjustRightInd w:val="0"/>
              <w:snapToGrid w:val="0"/>
              <w:spacing w:before="127" w:line="219" w:lineRule="auto"/>
              <w:ind w:left="244"/>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技术参数</w:t>
            </w:r>
          </w:p>
        </w:tc>
        <w:tc>
          <w:tcPr>
            <w:tcW w:w="1297" w:type="dxa"/>
            <w:tcBorders>
              <w:top w:val="single" w:color="000000" w:sz="4" w:space="0"/>
              <w:bottom w:val="single" w:color="000000" w:sz="4" w:space="0"/>
            </w:tcBorders>
            <w:vAlign w:val="top"/>
          </w:tcPr>
          <w:p w14:paraId="0EB81BA5">
            <w:pPr>
              <w:kinsoku w:val="0"/>
              <w:autoSpaceDE w:val="0"/>
              <w:autoSpaceDN w:val="0"/>
              <w:adjustRightInd w:val="0"/>
              <w:snapToGrid w:val="0"/>
              <w:spacing w:before="127" w:line="219" w:lineRule="auto"/>
              <w:ind w:left="244"/>
              <w:jc w:val="left"/>
              <w:textAlignment w:val="baseline"/>
              <w:rPr>
                <w:rFonts w:hint="eastAsia" w:ascii="宋体" w:hAnsi="宋体" w:eastAsia="宋体" w:cs="宋体"/>
                <w:snapToGrid w:val="0"/>
                <w:color w:val="auto"/>
                <w:spacing w:val="-1"/>
                <w:kern w:val="0"/>
                <w:sz w:val="18"/>
                <w:szCs w:val="18"/>
                <w:lang w:val="en-US" w:eastAsia="en-US" w:bidi="ar-SA"/>
              </w:rPr>
            </w:pPr>
          </w:p>
        </w:tc>
      </w:tr>
      <w:tr w14:paraId="4CE79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6EBA07E5">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w:t>
            </w:r>
          </w:p>
        </w:tc>
        <w:tc>
          <w:tcPr>
            <w:tcW w:w="1415" w:type="dxa"/>
            <w:tcBorders>
              <w:top w:val="single" w:color="000000" w:sz="4" w:space="0"/>
              <w:bottom w:val="single" w:color="000000" w:sz="4" w:space="0"/>
            </w:tcBorders>
            <w:vAlign w:val="top"/>
          </w:tcPr>
          <w:p w14:paraId="6E4F7B5A">
            <w:pPr>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全自动核酸提纯及荧光PCR分析系统</w:t>
            </w:r>
          </w:p>
        </w:tc>
        <w:tc>
          <w:tcPr>
            <w:tcW w:w="6878" w:type="dxa"/>
            <w:tcBorders>
              <w:top w:val="single" w:color="000000" w:sz="4" w:space="0"/>
              <w:bottom w:val="single" w:color="000000" w:sz="4" w:space="0"/>
            </w:tcBorders>
            <w:vAlign w:val="top"/>
          </w:tcPr>
          <w:p w14:paraId="120F3740">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1.NMPA注册证：全自动核酸检测一体化设备需整机取得国家三类注册证书</w:t>
            </w:r>
          </w:p>
          <w:p w14:paraId="15864964">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2.生产质量管理体系：通过ISO13485质量管理体系认证。</w:t>
            </w:r>
          </w:p>
          <w:p w14:paraId="584D3764">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3.检测原理：采用实时荧光PCR检测技术。</w:t>
            </w:r>
          </w:p>
          <w:p w14:paraId="23F00561">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4.核酸提取方法：采用磁珠法提取技术</w:t>
            </w:r>
          </w:p>
          <w:p w14:paraId="3F42E6E9">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5.自动化：能够实现从样本原始管扫码开/闭盖-样本取样-核酸提纯-反应体系构建-反应管封膜/盖盖- PCR扩增-结果分析全程自动化，无需人工干预。</w:t>
            </w:r>
          </w:p>
          <w:p w14:paraId="33436BF5">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6.开/闭盖适配样本管类型：能够兼容呼吸道采样管/HPV病毒采样管/采血管等不同类型的样本管。</w:t>
            </w:r>
          </w:p>
          <w:p w14:paraId="3148E7C8">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7.可同时处理标本类型：应至少包含血清、血浆、全血、拭子、宫颈分泌物、痰液、尿液等样本类型。</w:t>
            </w:r>
          </w:p>
          <w:p w14:paraId="2D3F0378">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8.试剂位：可放置≥12组PCR试剂，带盖上机自动配置</w:t>
            </w:r>
          </w:p>
          <w:p w14:paraId="4F35353E">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9.试剂冷藏功能：具备试剂2-8℃冷藏位</w:t>
            </w:r>
          </w:p>
          <w:p w14:paraId="062FD6CE">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10.提取通量：提取通量应≥96个样本</w:t>
            </w:r>
          </w:p>
          <w:p w14:paraId="4CC9A417">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11.提取程序：≥2种不同的提取程序同时运行</w:t>
            </w:r>
          </w:p>
          <w:p w14:paraId="65B6BF86">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12.检测通量：日检测通量≥300个样本/8小时</w:t>
            </w:r>
          </w:p>
          <w:p w14:paraId="2CBC0CFA">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13.扩增模块：≥2*96孔检测通量</w:t>
            </w:r>
          </w:p>
          <w:p w14:paraId="767B4696">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14.荧光通道数量：4通道（FAM/HEX/ROX/CY5）</w:t>
            </w:r>
          </w:p>
          <w:p w14:paraId="51016455">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15.升降温速度：最大升温速度≥8℃/秒；最大降温速度≥6℃/秒</w:t>
            </w:r>
          </w:p>
          <w:p w14:paraId="596350F2">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16.温度均匀性应：≤0.2℃</w:t>
            </w:r>
          </w:p>
          <w:p w14:paraId="00895DAA">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17.扩增管密封：采用热封膜技术，避免产物泄露</w:t>
            </w:r>
          </w:p>
          <w:p w14:paraId="4FBEDAE6">
            <w:pPr>
              <w:keepNext w:val="0"/>
              <w:keepLines w:val="0"/>
              <w:pageBreakBefore w:val="0"/>
              <w:widowControl/>
              <w:kinsoku w:val="0"/>
              <w:wordWrap/>
              <w:overflowPunct/>
              <w:topLinePunct w:val="0"/>
              <w:autoSpaceDE w:val="0"/>
              <w:autoSpaceDN w:val="0"/>
              <w:bidi w:val="0"/>
              <w:adjustRightInd w:val="0"/>
              <w:snapToGrid w:val="0"/>
              <w:spacing w:line="340" w:lineRule="exact"/>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5008E9C7">
            <w:pPr>
              <w:widowControl/>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40879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B1B6735">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w:t>
            </w:r>
          </w:p>
        </w:tc>
        <w:tc>
          <w:tcPr>
            <w:tcW w:w="1415" w:type="dxa"/>
            <w:tcBorders>
              <w:top w:val="single" w:color="000000" w:sz="4" w:space="0"/>
              <w:bottom w:val="single" w:color="000000" w:sz="4" w:space="0"/>
            </w:tcBorders>
            <w:vAlign w:val="top"/>
          </w:tcPr>
          <w:p w14:paraId="0551D5D8">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全自动特定蛋白分析仪</w:t>
            </w:r>
          </w:p>
        </w:tc>
        <w:tc>
          <w:tcPr>
            <w:tcW w:w="6878" w:type="dxa"/>
            <w:tcBorders>
              <w:top w:val="single" w:color="000000" w:sz="4" w:space="0"/>
              <w:bottom w:val="single" w:color="000000" w:sz="4" w:space="0"/>
            </w:tcBorders>
            <w:vAlign w:val="top"/>
          </w:tcPr>
          <w:p w14:paraId="74862EF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1、测试速度：单机检测速度≥280测试/小时；</w:t>
            </w:r>
          </w:p>
          <w:p w14:paraId="10383D43">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2、分析原理：免疫散射比浊法、比色法；</w:t>
            </w:r>
          </w:p>
          <w:p w14:paraId="75FD0CE9">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3、光学系统：激光光源，散射比浊双光路检测技术；</w:t>
            </w:r>
          </w:p>
          <w:p w14:paraId="46E961F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4、加样系统：独立样本针、试剂针、双搅拌针，实现加样、搅拌完美衔接，无需等待，大大提高检测效率；试剂针、加样针具有随量跟踪、垂直防撞等功能；</w:t>
            </w:r>
          </w:p>
          <w:p w14:paraId="2D41D98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5、可检测项目</w:t>
            </w:r>
          </w:p>
          <w:p w14:paraId="1F8112C1">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尿液项目：尿总蛋白（UTP）、尿微量白蛋白（UMA）、尿肌酐（UCRE）、尿ɑ1微球蛋白（Uɑ1-mG)、尿β2微球蛋白（Uβ2-mG)、尿免疫球蛋白G(UIgG)、尿转铁蛋白（UTRF)、尿中性粒细胞明胶相关脂质运载蛋白（UNGAL)、尿胱抑素C（UCysC)、尿ɑ2巨球蛋白（Uɑ2-mG)、尿KAP轻链（UKAP)、尿LAM轻链(ULAM)、尿视黄醇结合蛋白(URBP)、尿N-乙酰-β-D-氨基葡萄糖苷酶(UNAG)、尿淀粉酶(UAMY)等,能做ACR（尿微量白蛋白/尿肌酐比值）、PCR（尿总蛋白/尿肌酐比值）；</w:t>
            </w:r>
          </w:p>
          <w:p w14:paraId="18530410">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血液项目：CRP、HS-CRP、RF、ASO、SAA、CCP、IgG、IgA、IgM、补体C3、补体C4、κ游离轻链、λ游离轻链等；</w:t>
            </w:r>
          </w:p>
          <w:p w14:paraId="21A38115">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6、室间质评：仪器所使用的配套试剂尿液蛋白标志物在国家卫生健康委临床检验中心室间质评有独立分组；</w:t>
            </w:r>
          </w:p>
          <w:p w14:paraId="121F16C0">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7、试剂位：冷藏试剂位≥50个，支持灵活自定义设置、自动条码扫描；</w:t>
            </w:r>
          </w:p>
          <w:p w14:paraId="64CF17F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8、样本稀释功能：样本自动稀释、自定义稀释、一键稀释；</w:t>
            </w:r>
          </w:p>
          <w:p w14:paraId="46C0FAA7">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1"/>
                <w:kern w:val="0"/>
                <w:sz w:val="18"/>
                <w:szCs w:val="18"/>
                <w:lang w:val="en-US" w:eastAsia="zh-CN"/>
              </w:rPr>
              <w:t>9、样本种类：血清、血浆、全血、尿液、脑脊液等；</w:t>
            </w:r>
          </w:p>
        </w:tc>
        <w:tc>
          <w:tcPr>
            <w:tcW w:w="1297" w:type="dxa"/>
            <w:tcBorders>
              <w:top w:val="single" w:color="000000" w:sz="4" w:space="0"/>
              <w:bottom w:val="single" w:color="000000" w:sz="4" w:space="0"/>
            </w:tcBorders>
            <w:vAlign w:val="top"/>
          </w:tcPr>
          <w:p w14:paraId="22E50635">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3441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69E4E7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w:t>
            </w:r>
          </w:p>
        </w:tc>
        <w:tc>
          <w:tcPr>
            <w:tcW w:w="1415" w:type="dxa"/>
            <w:tcBorders>
              <w:top w:val="single" w:color="000000" w:sz="4" w:space="0"/>
              <w:bottom w:val="single" w:color="000000" w:sz="4" w:space="0"/>
            </w:tcBorders>
            <w:vAlign w:val="top"/>
          </w:tcPr>
          <w:p w14:paraId="63968E6B">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全自动血细胞分析仪</w:t>
            </w:r>
          </w:p>
        </w:tc>
        <w:tc>
          <w:tcPr>
            <w:tcW w:w="6878" w:type="dxa"/>
            <w:tcBorders>
              <w:top w:val="single" w:color="000000" w:sz="4" w:space="0"/>
              <w:bottom w:val="single" w:color="000000" w:sz="4" w:space="0"/>
            </w:tcBorders>
            <w:vAlign w:val="top"/>
          </w:tcPr>
          <w:p w14:paraId="2D11E4BE">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1检测原理与分类能力：设备需采用成熟的流式细胞技术或同等原理，结合核酸荧光染色或细胞化学染色技术，实现白细胞精准五分类检测。要求具备抗干扰能力，确保在复杂样本下分类结果的准确性与重复性。</w:t>
            </w:r>
          </w:p>
          <w:p w14:paraId="28DC9D4B">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2检测速度与通量：仪器综合检测速度需≥110样本/小时（含血常规及CRP、SAA联检模式），满足科室高峰期高通量样本处理需求。</w:t>
            </w:r>
          </w:p>
          <w:p w14:paraId="1F157846">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3样本微量进样量：支持微量全血模式，全血进样量需≤50μL，以适应儿科、急诊及老年科等特殊患者的采血需求。</w:t>
            </w:r>
          </w:p>
          <w:p w14:paraId="2E8BA3C3">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4联合检测功能：必须具备血常规与C反应蛋白（CRP）、SAA同机、同管、同步联检功能，单次进样可同时出具血常规与CRP报告，提升临床诊疗效率。</w:t>
            </w:r>
          </w:p>
          <w:p w14:paraId="38760893">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5线性范围要求：红细胞与血小板检测需具备宽线性范围，血小板线性上限需≥1000×10⁹/L，红细胞线性上限需≥8.00×10¹²/L，确保异常高值样本无需稀释即可直接报告。</w:t>
            </w:r>
          </w:p>
          <w:p w14:paraId="32EFC261">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6量值溯源与校准体系：提供原厂配套校准品及室内质控品。为保证检测结果的准确性与可比性，具备完善的量值溯源体系者优先（如：提供经国家权威参考实验室验证的溯源性证明文件、文献或相关认证报告）。</w:t>
            </w:r>
          </w:p>
          <w:p w14:paraId="0C6C4ACE">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7体液分析功能：具备体液模式，支持脑脊液、胸腹水、尿液等多种体液样本的检测。体液报告参数需≥6项（包含白细胞总数、多核细胞、单核细胞等核心诊断指标），满足临床对体液常规检验的需求。</w:t>
            </w:r>
          </w:p>
          <w:p w14:paraId="0F6462E7">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8智能复检与异常提示：具备低值白细胞/血小板自动复检功能；针对异常样本，仪器需具备智能报警与异常细胞提示功能，辅助检验人员快速识别并处理疑难样本。</w:t>
            </w:r>
          </w:p>
          <w:p w14:paraId="763640DA">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9试剂管理与环保设计：试剂采用封闭式管理，具备冷藏保存功能以延长开瓶稳定性；仪器废液处理系统需符合环保要求，支持废液自动压缩或减容处理，降低科室医疗废物处理成本。</w:t>
            </w:r>
          </w:p>
          <w:p w14:paraId="4D61C60C">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10信息化与LIS对接：支持双向LIS通讯，具备与科室现有中间件系统无缝对接的能力；支持历史数据回溯、质控图自动生成及远程设备状态监控功能。</w:t>
            </w:r>
          </w:p>
        </w:tc>
        <w:tc>
          <w:tcPr>
            <w:tcW w:w="1297" w:type="dxa"/>
            <w:tcBorders>
              <w:top w:val="single" w:color="000000" w:sz="4" w:space="0"/>
              <w:bottom w:val="single" w:color="000000" w:sz="4" w:space="0"/>
            </w:tcBorders>
            <w:vAlign w:val="top"/>
          </w:tcPr>
          <w:p w14:paraId="269A7A92">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D2A8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58C15F4">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w:t>
            </w:r>
          </w:p>
        </w:tc>
        <w:tc>
          <w:tcPr>
            <w:tcW w:w="1415" w:type="dxa"/>
            <w:tcBorders>
              <w:top w:val="single" w:color="000000" w:sz="4" w:space="0"/>
              <w:bottom w:val="single" w:color="000000" w:sz="4" w:space="0"/>
            </w:tcBorders>
            <w:vAlign w:val="top"/>
          </w:tcPr>
          <w:p w14:paraId="62865B85">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全自动化学发光分析仪</w:t>
            </w:r>
          </w:p>
        </w:tc>
        <w:tc>
          <w:tcPr>
            <w:tcW w:w="6878" w:type="dxa"/>
            <w:tcBorders>
              <w:top w:val="single" w:color="000000" w:sz="4" w:space="0"/>
              <w:bottom w:val="single" w:color="000000" w:sz="4" w:space="0"/>
            </w:tcBorders>
            <w:vAlign w:val="top"/>
          </w:tcPr>
          <w:p w14:paraId="77637C44">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1检测原理与性能：设备需采用磁微粒载体ALP酶促化学发光免疫分析技术，具备高灵敏度与宽线性范围，确保微量抗原/抗体检测的准确性与重复性；整体检测精密度要求极高，变异系数（CV）需≤3%。</w:t>
            </w:r>
          </w:p>
          <w:p w14:paraId="37482F12">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2检测速度与通量：仪器需具备高速检测能力≥600测试/小时，综合检测速度需满足科室高峰期的样本处理需求；支持急诊优先插入功能（STAT），首个急诊结果出具时间需≤12分钟，极大缩短急诊样本的周转时间（TAT），满足临床快速响应要求。</w:t>
            </w:r>
          </w:p>
          <w:p w14:paraId="7041B69C">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3样本位与进样系统：具备≥160个样本装载位，支持样本连续加载；具备完善的防错与防污染设计（如液面探测、防撞针等），保障生物安全。</w:t>
            </w:r>
          </w:p>
          <w:p w14:paraId="22E9FC77">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4试剂管理：采用全封闭试剂管理系统，试剂仓具备原位冷藏功能（2-8℃），保障试剂稳定性并减少挥发；支持试剂不停机在线加载。</w:t>
            </w:r>
          </w:p>
          <w:p w14:paraId="65E7AFB7">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5项目覆盖：平台需具备丰富的检测菜单，涵盖甲状腺功能、肿瘤标志物、心肌标志物（如高敏肌钙蛋白 hs-cTnI）、传染病及激素等核心检测项目。</w:t>
            </w:r>
          </w:p>
          <w:p w14:paraId="02D897A7">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6智能化与信息化对接：支持双向 LIS 通讯，具备与科室现有中间件系统无缝对接的能力；支持历史数据回溯、质控图自动生成及远程设备状态监控功能。</w:t>
            </w:r>
          </w:p>
          <w:p w14:paraId="4C691988">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7智能维护与质控：具备智能防呆设计，支持耗材/试剂余量实时监测与低量预警；支持自动清洗、自动定标及自动质控功能，降低人工操作负荷。</w:t>
            </w:r>
          </w:p>
          <w:p w14:paraId="7A5813BB">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8结果溯源与质控体系：提供原厂配套校准品及室内质控品，具备完善的量值溯源体系，确保检测结果在不同批次间的准确性与可比性。</w:t>
            </w:r>
          </w:p>
          <w:p w14:paraId="389148DA">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9环保与废液处理：仪器废液处理系统需符合环保要求，支持废液自动分类收集或减容处理，降低科室医疗废物处理成本。</w:t>
            </w:r>
          </w:p>
          <w:p w14:paraId="45445D5B">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10扩展性与模块化：平台设计需具备良好的扩展性，支持后续根据临床需求增加新的检测模块或连接自动化流水线，以适应实验室未来的升维需求。</w:t>
            </w:r>
          </w:p>
          <w:p w14:paraId="570D6DB7">
            <w:pPr>
              <w:widowControl/>
              <w:tabs>
                <w:tab w:val="left" w:pos="1498"/>
              </w:tabs>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07CC9269">
            <w:pPr>
              <w:widowControl/>
              <w:tabs>
                <w:tab w:val="left" w:pos="1498"/>
              </w:tabs>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0A893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DA41618">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w:t>
            </w:r>
          </w:p>
        </w:tc>
        <w:tc>
          <w:tcPr>
            <w:tcW w:w="1415" w:type="dxa"/>
            <w:tcBorders>
              <w:top w:val="single" w:color="000000" w:sz="4" w:space="0"/>
              <w:bottom w:val="single" w:color="000000" w:sz="4" w:space="0"/>
            </w:tcBorders>
            <w:vAlign w:val="top"/>
          </w:tcPr>
          <w:p w14:paraId="69A642F9">
            <w:pPr>
              <w:kinsoku w:val="0"/>
              <w:autoSpaceDE w:val="0"/>
              <w:autoSpaceDN w:val="0"/>
              <w:adjustRightInd w:val="0"/>
              <w:snapToGrid w:val="0"/>
              <w:spacing w:before="123" w:line="219" w:lineRule="auto"/>
              <w:ind w:left="2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6878" w:type="dxa"/>
            <w:tcBorders>
              <w:top w:val="single" w:color="000000" w:sz="4" w:space="0"/>
              <w:bottom w:val="single" w:color="000000" w:sz="4" w:space="0"/>
            </w:tcBorders>
            <w:vAlign w:val="top"/>
          </w:tcPr>
          <w:p w14:paraId="699DEC5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支持标准12导联心电图同步采集、测量、分析与输出的全数字心电图机，触摸显示屏，</w:t>
            </w:r>
            <w:r>
              <w:rPr>
                <w:rFonts w:hint="eastAsia" w:ascii="宋体" w:hAnsi="宋体" w:eastAsia="宋体" w:cs="宋体"/>
                <w:snapToGrid w:val="0"/>
                <w:color w:val="auto"/>
                <w:kern w:val="0"/>
                <w:sz w:val="18"/>
                <w:szCs w:val="18"/>
                <w:lang w:eastAsia="zh-CN"/>
              </w:rPr>
              <w:t>整机为采集、显示屏、主机、分析系统、操作系统一体化设计。</w:t>
            </w:r>
            <w:r>
              <w:rPr>
                <w:rFonts w:hint="eastAsia" w:ascii="宋体" w:hAnsi="宋体" w:eastAsia="宋体" w:cs="宋体"/>
                <w:snapToGrid w:val="0"/>
                <w:color w:val="auto"/>
                <w:kern w:val="0"/>
                <w:sz w:val="18"/>
                <w:szCs w:val="18"/>
                <w:lang w:eastAsia="en-US"/>
              </w:rPr>
              <w:t>具备数据处理、网络交互、信号质量分析及心电图质控功能。</w:t>
            </w:r>
          </w:p>
          <w:p w14:paraId="5336624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显示：分辨率≥1280×800，可同屏显示12导联波形、心率、患者信息、导联质量、走纸速度、增益、滤波等。</w:t>
            </w:r>
          </w:p>
          <w:p w14:paraId="37D3364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抗除颤电击保护级别：CF级</w:t>
            </w:r>
          </w:p>
          <w:p w14:paraId="127E4B2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输入回路电流：≤0.1μA。</w:t>
            </w:r>
          </w:p>
          <w:p w14:paraId="4C2741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抗极化电压/动态范围：±600mV</w:t>
            </w:r>
          </w:p>
          <w:p w14:paraId="66BD0F5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心率范围：30~300bpm，精度 ± 10%或5BPM。</w:t>
            </w:r>
          </w:p>
          <w:p w14:paraId="5DB602C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采样率：≧512000HZ/秒/通道；12+1导联体系，心电图机采集和报告界面均显示独立的起搏标注通道，起搏采样率≥75500HZ。</w:t>
            </w:r>
          </w:p>
          <w:p w14:paraId="4F87CFA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起搏器脉冲检测：振幅2mV至700mV；持续时间0.2ms至2.1ms；可识别单腔、双腔、三腔起搏器</w:t>
            </w:r>
          </w:p>
          <w:p w14:paraId="42A7E0F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前端采样分辨率：1.22µV</w:t>
            </w:r>
          </w:p>
          <w:p w14:paraId="3F4ADC0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输入阻抗：≥50MΩ。</w:t>
            </w:r>
          </w:p>
          <w:p w14:paraId="5622FDD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共模抑制比：≥125dB(工频滤波器关闭时&gt;100dB)</w:t>
            </w:r>
          </w:p>
          <w:p w14:paraId="4EC1FAD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12.</w:t>
            </w:r>
            <w:r>
              <w:rPr>
                <w:rFonts w:hint="eastAsia" w:ascii="宋体" w:hAnsi="宋体" w:eastAsia="宋体" w:cs="宋体"/>
                <w:snapToGrid w:val="0"/>
                <w:color w:val="auto"/>
                <w:kern w:val="0"/>
                <w:sz w:val="18"/>
                <w:szCs w:val="18"/>
                <w:lang w:eastAsia="en-US"/>
              </w:rPr>
              <w:t>频率响应：0.04-150Hz (-3dB)</w:t>
            </w:r>
          </w:p>
          <w:p w14:paraId="6F9E899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13</w:t>
            </w:r>
            <w:r>
              <w:rPr>
                <w:rFonts w:hint="eastAsia" w:ascii="宋体" w:hAnsi="宋体" w:eastAsia="宋体" w:cs="宋体"/>
                <w:snapToGrid w:val="0"/>
                <w:color w:val="auto"/>
                <w:kern w:val="0"/>
                <w:sz w:val="18"/>
                <w:szCs w:val="18"/>
                <w:lang w:eastAsia="en-US"/>
              </w:rPr>
              <w:t>内部噪声：≤15µVp-p</w:t>
            </w:r>
          </w:p>
          <w:p w14:paraId="558AB30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14.</w:t>
            </w:r>
            <w:r>
              <w:rPr>
                <w:rFonts w:hint="eastAsia" w:ascii="宋体" w:hAnsi="宋体" w:eastAsia="宋体" w:cs="宋体"/>
                <w:snapToGrid w:val="0"/>
                <w:color w:val="auto"/>
                <w:kern w:val="0"/>
                <w:sz w:val="18"/>
                <w:szCs w:val="18"/>
                <w:lang w:eastAsia="en-US"/>
              </w:rPr>
              <w:t>时间常数：≥3.2s</w:t>
            </w:r>
          </w:p>
          <w:p w14:paraId="5CC97D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en-US"/>
              </w:rPr>
              <w:t>道间干扰：≤0.5mm</w:t>
            </w:r>
          </w:p>
          <w:p w14:paraId="6C6657F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定标电压：1mV±5%</w:t>
            </w:r>
          </w:p>
          <w:p w14:paraId="55342DA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17.</w:t>
            </w:r>
            <w:r>
              <w:rPr>
                <w:rFonts w:hint="eastAsia" w:ascii="宋体" w:hAnsi="宋体" w:eastAsia="宋体" w:cs="宋体"/>
                <w:snapToGrid w:val="0"/>
                <w:color w:val="auto"/>
                <w:kern w:val="0"/>
                <w:sz w:val="18"/>
                <w:szCs w:val="18"/>
                <w:lang w:eastAsia="en-US"/>
              </w:rPr>
              <w:t>滤波器：支持20Hz、40Hz、100Hz、150Hz滤波设置，具有工频滤波和基线漂移滤波设置。</w:t>
            </w:r>
          </w:p>
          <w:p w14:paraId="6C53004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灵敏度/增益：5、10、20mm/mV。</w:t>
            </w:r>
          </w:p>
          <w:p w14:paraId="7618776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19.</w:t>
            </w:r>
            <w:r>
              <w:rPr>
                <w:rFonts w:hint="eastAsia" w:ascii="宋体" w:hAnsi="宋体" w:eastAsia="宋体" w:cs="宋体"/>
                <w:snapToGrid w:val="0"/>
                <w:color w:val="auto"/>
                <w:kern w:val="0"/>
                <w:sz w:val="18"/>
                <w:szCs w:val="18"/>
                <w:lang w:eastAsia="en-US"/>
              </w:rPr>
              <w:t>记录速度/走纸速度：12.5、25、50mm/s。</w:t>
            </w:r>
          </w:p>
          <w:p w14:paraId="22D5573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20.</w:t>
            </w:r>
            <w:r>
              <w:rPr>
                <w:rFonts w:hint="eastAsia" w:ascii="宋体" w:hAnsi="宋体" w:eastAsia="宋体" w:cs="宋体"/>
                <w:snapToGrid w:val="0"/>
                <w:color w:val="auto"/>
                <w:kern w:val="0"/>
                <w:sz w:val="18"/>
                <w:szCs w:val="18"/>
                <w:lang w:eastAsia="en-US"/>
              </w:rPr>
              <w:t>支持前采集与后采集，前采集捕获触发采集前的一过性心律失常事件，后采集采集触发后的稳定波形。</w:t>
            </w:r>
          </w:p>
          <w:p w14:paraId="3C94678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21.</w:t>
            </w:r>
            <w:r>
              <w:rPr>
                <w:rFonts w:hint="eastAsia" w:ascii="宋体" w:hAnsi="宋体" w:eastAsia="宋体" w:cs="宋体"/>
                <w:snapToGrid w:val="0"/>
                <w:color w:val="auto"/>
                <w:kern w:val="0"/>
                <w:sz w:val="18"/>
                <w:szCs w:val="18"/>
                <w:lang w:eastAsia="en-US"/>
              </w:rPr>
              <w:t>具备信号质量智能监测及预警功能，通过红、黄、绿状态条实时提示心电图波形质量，并明确提示电极脱落、干扰导联及基线漂移等情况。信号质量数据需同步传输至心电系统，有效避免因信号质量问题导致的误诊与漏诊。</w:t>
            </w:r>
          </w:p>
          <w:p w14:paraId="454A84C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22.</w:t>
            </w:r>
            <w:r>
              <w:rPr>
                <w:rFonts w:hint="eastAsia" w:ascii="宋体" w:hAnsi="宋体" w:eastAsia="宋体" w:cs="宋体"/>
                <w:snapToGrid w:val="0"/>
                <w:color w:val="auto"/>
                <w:kern w:val="0"/>
                <w:sz w:val="18"/>
                <w:szCs w:val="18"/>
                <w:lang w:eastAsia="en-US"/>
              </w:rPr>
              <w:t xml:space="preserve"> 患者信息录入：支持直连读卡器或扫码枪录入0-32位患者编号或申请单号。</w:t>
            </w:r>
          </w:p>
          <w:p w14:paraId="30A015E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23.</w:t>
            </w:r>
            <w:r>
              <w:rPr>
                <w:rFonts w:hint="eastAsia" w:ascii="宋体" w:hAnsi="宋体" w:eastAsia="宋体" w:cs="宋体"/>
                <w:snapToGrid w:val="0"/>
                <w:color w:val="auto"/>
                <w:kern w:val="0"/>
                <w:sz w:val="18"/>
                <w:szCs w:val="18"/>
                <w:lang w:eastAsia="en-US"/>
              </w:rPr>
              <w:t>技师信息管理：支持录入心电图采集技师的编号及姓名，采集时可选择对应技师或者设置的默认技师作为检查人，技师信息与心电图同步上传至医院心电系统和电子病历。</w:t>
            </w:r>
          </w:p>
          <w:p w14:paraId="5417318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24.</w:t>
            </w:r>
            <w:r>
              <w:rPr>
                <w:rFonts w:hint="eastAsia" w:ascii="宋体" w:hAnsi="宋体" w:eastAsia="宋体" w:cs="宋体"/>
                <w:snapToGrid w:val="0"/>
                <w:color w:val="auto"/>
                <w:kern w:val="0"/>
                <w:sz w:val="18"/>
                <w:szCs w:val="18"/>
                <w:lang w:eastAsia="en-US"/>
              </w:rPr>
              <w:t>存储：主机内置存储可保存≥1000份完整心电图报告(包含每导联原始波形、测量参数、分析结果及患者信息)；存储满载后具备自动循环覆盖功能； 支持USB接口扩展存储；支持升级内置存储≥10000份。</w:t>
            </w:r>
          </w:p>
          <w:p w14:paraId="484E29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25.</w:t>
            </w:r>
            <w:r>
              <w:rPr>
                <w:rFonts w:hint="eastAsia" w:ascii="宋体" w:hAnsi="宋体" w:eastAsia="宋体" w:cs="宋体"/>
                <w:snapToGrid w:val="0"/>
                <w:color w:val="auto"/>
                <w:kern w:val="0"/>
                <w:sz w:val="18"/>
                <w:szCs w:val="18"/>
                <w:lang w:eastAsia="en-US"/>
              </w:rPr>
              <w:t>具备 PDF、XML 等多格式数据导出能力，支持 U 盘本地导出，并可通过 FTP、MQTT 等协议进行网络化数据传输。</w:t>
            </w:r>
          </w:p>
          <w:p w14:paraId="301DD3D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26.</w:t>
            </w:r>
            <w:r>
              <w:rPr>
                <w:rFonts w:hint="eastAsia" w:ascii="宋体" w:hAnsi="宋体" w:eastAsia="宋体" w:cs="宋体"/>
                <w:snapToGrid w:val="0"/>
                <w:color w:val="auto"/>
                <w:kern w:val="0"/>
                <w:sz w:val="18"/>
                <w:szCs w:val="18"/>
                <w:lang w:eastAsia="en-US"/>
              </w:rPr>
              <w:t>打印：支持连接网络打印机打印，并可升级直连激光或热敏打印机。</w:t>
            </w:r>
          </w:p>
          <w:p w14:paraId="331A208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27.</w:t>
            </w:r>
            <w:r>
              <w:rPr>
                <w:rFonts w:hint="eastAsia" w:ascii="宋体" w:hAnsi="宋体" w:eastAsia="宋体" w:cs="宋体"/>
                <w:snapToGrid w:val="0"/>
                <w:color w:val="auto"/>
                <w:kern w:val="0"/>
                <w:sz w:val="18"/>
                <w:szCs w:val="18"/>
                <w:lang w:eastAsia="en-US"/>
              </w:rPr>
              <w:t>内置无线通讯WLAN模块，支持2.4G、5G WIFI网络接入，支持802.1x安全认证协议。</w:t>
            </w:r>
          </w:p>
          <w:p w14:paraId="0A21445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28.</w:t>
            </w:r>
            <w:r>
              <w:rPr>
                <w:rFonts w:hint="eastAsia" w:ascii="宋体" w:hAnsi="宋体" w:eastAsia="宋体" w:cs="宋体"/>
                <w:snapToGrid w:val="0"/>
                <w:color w:val="auto"/>
                <w:kern w:val="0"/>
                <w:sz w:val="18"/>
                <w:szCs w:val="18"/>
                <w:lang w:eastAsia="en-US"/>
              </w:rPr>
              <w:t>具备RJ45网络接口支持有线LAN传输。</w:t>
            </w:r>
          </w:p>
          <w:p w14:paraId="7F15216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29.</w:t>
            </w:r>
            <w:r>
              <w:rPr>
                <w:rFonts w:hint="eastAsia" w:ascii="宋体" w:hAnsi="宋体" w:eastAsia="宋体" w:cs="宋体"/>
                <w:snapToGrid w:val="0"/>
                <w:color w:val="auto"/>
                <w:kern w:val="0"/>
                <w:sz w:val="18"/>
                <w:szCs w:val="18"/>
                <w:lang w:eastAsia="en-US"/>
              </w:rPr>
              <w:t>▲自动诊断及预览：心电信号采样期间且还未形成心电图报告前，即可在机器屏幕上预览心电波形测量值和自动诊断分析报告，便于操作者在紧急情况下第一时间了解患者状况，为临床决策争取时间。</w:t>
            </w:r>
          </w:p>
          <w:p w14:paraId="2EA7437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采集的心电图数据符合国际先进的临床科研标准，数据内容含量和测量指标参照《中国人正常心电图数据库》数据标准，每导联心电测量参数不低于53个。</w:t>
            </w:r>
          </w:p>
          <w:p w14:paraId="5224F65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31.</w:t>
            </w:r>
            <w:r>
              <w:rPr>
                <w:rFonts w:hint="eastAsia" w:ascii="宋体" w:hAnsi="宋体" w:eastAsia="宋体" w:cs="宋体"/>
                <w:snapToGrid w:val="0"/>
                <w:color w:val="auto"/>
                <w:kern w:val="0"/>
                <w:sz w:val="18"/>
                <w:szCs w:val="18"/>
                <w:lang w:eastAsia="en-US"/>
              </w:rPr>
              <w:t>支持12导同步5分钟全息长程心电图的记录与传输。</w:t>
            </w:r>
          </w:p>
          <w:p w14:paraId="31F64AD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32.</w:t>
            </w:r>
            <w:r>
              <w:rPr>
                <w:rFonts w:hint="eastAsia" w:ascii="宋体" w:hAnsi="宋体" w:eastAsia="宋体" w:cs="宋体"/>
                <w:snapToGrid w:val="0"/>
                <w:color w:val="auto"/>
                <w:kern w:val="0"/>
                <w:sz w:val="18"/>
                <w:szCs w:val="18"/>
                <w:lang w:eastAsia="en-US"/>
              </w:rPr>
              <w:t>可升级药物试验心电图采集，标记药物试验心电图，并将其纳入药物心电图诊断流程。</w:t>
            </w:r>
          </w:p>
          <w:p w14:paraId="59403A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33.</w:t>
            </w:r>
            <w:r>
              <w:rPr>
                <w:rFonts w:hint="eastAsia" w:ascii="宋体" w:hAnsi="宋体" w:eastAsia="宋体" w:cs="宋体"/>
                <w:snapToGrid w:val="0"/>
                <w:color w:val="auto"/>
                <w:kern w:val="0"/>
                <w:sz w:val="18"/>
                <w:szCs w:val="18"/>
                <w:lang w:eastAsia="en-US"/>
              </w:rPr>
              <w:t>ACV主动危急管理(Active Critical Value Management)：具备危急心电图自动识别与预警能力；配备“加急”标记按钮，支持一键快速标记紧急心电图；危急值和加急标记心电图在诊断中心工作列表中自动置顶并标红，提示诊断中心优先出具报告。</w:t>
            </w:r>
          </w:p>
          <w:p w14:paraId="1EAE358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34.</w:t>
            </w:r>
            <w:r>
              <w:rPr>
                <w:rFonts w:hint="eastAsia" w:ascii="宋体" w:hAnsi="宋体" w:eastAsia="宋体" w:cs="宋体"/>
                <w:snapToGrid w:val="0"/>
                <w:color w:val="auto"/>
                <w:kern w:val="0"/>
                <w:sz w:val="18"/>
                <w:szCs w:val="18"/>
                <w:lang w:eastAsia="en-US"/>
              </w:rPr>
              <w:t>▲数据联通与交互：采集的原始底层数据，可以实现以结构化数据为基础的双向数据交互，单个数据容量≥220000个字符数</w:t>
            </w:r>
            <w:r>
              <w:rPr>
                <w:rFonts w:hint="eastAsia" w:ascii="宋体" w:hAnsi="宋体" w:eastAsia="宋体" w:cs="宋体"/>
                <w:snapToGrid w:val="0"/>
                <w:color w:val="auto"/>
                <w:kern w:val="0"/>
                <w:sz w:val="18"/>
                <w:szCs w:val="18"/>
                <w:lang w:eastAsia="zh-CN"/>
              </w:rPr>
              <w:t>。</w:t>
            </w:r>
          </w:p>
          <w:p w14:paraId="1F06E44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35.</w:t>
            </w:r>
            <w:r>
              <w:rPr>
                <w:rFonts w:hint="eastAsia" w:ascii="宋体" w:hAnsi="宋体" w:eastAsia="宋体" w:cs="宋体"/>
                <w:snapToGrid w:val="0"/>
                <w:color w:val="auto"/>
                <w:kern w:val="0"/>
                <w:sz w:val="18"/>
                <w:szCs w:val="18"/>
                <w:lang w:eastAsia="en-US"/>
              </w:rPr>
              <w:t>心电图机支持双向通讯，可升级医嘱申请单下载功能，在待检查列表选择申请单可直接进入采集流程。</w:t>
            </w:r>
          </w:p>
          <w:p w14:paraId="4122D591">
            <w:pPr>
              <w:numPr>
                <w:ilvl w:val="0"/>
                <w:numId w:val="0"/>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4B981051">
            <w:pPr>
              <w:numPr>
                <w:ilvl w:val="0"/>
                <w:numId w:val="0"/>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5EC8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3EDFA49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6</w:t>
            </w:r>
          </w:p>
        </w:tc>
        <w:tc>
          <w:tcPr>
            <w:tcW w:w="1415" w:type="dxa"/>
            <w:tcBorders>
              <w:top w:val="single" w:color="000000" w:sz="4" w:space="0"/>
              <w:bottom w:val="single" w:color="000000" w:sz="4" w:space="0"/>
            </w:tcBorders>
            <w:vAlign w:val="top"/>
          </w:tcPr>
          <w:p w14:paraId="789B607D">
            <w:pPr>
              <w:kinsoku w:val="0"/>
              <w:autoSpaceDE w:val="0"/>
              <w:autoSpaceDN w:val="0"/>
              <w:adjustRightInd w:val="0"/>
              <w:snapToGrid w:val="0"/>
              <w:spacing w:before="122"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智慧药房硬件设施</w:t>
            </w:r>
          </w:p>
        </w:tc>
        <w:tc>
          <w:tcPr>
            <w:tcW w:w="6878" w:type="dxa"/>
            <w:tcBorders>
              <w:top w:val="single" w:color="000000" w:sz="4" w:space="0"/>
              <w:bottom w:val="single" w:color="000000" w:sz="4" w:space="0"/>
            </w:tcBorders>
            <w:vAlign w:val="top"/>
          </w:tcPr>
          <w:tbl>
            <w:tblPr>
              <w:tblStyle w:val="47"/>
              <w:tblW w:w="5934" w:type="dxa"/>
              <w:tblInd w:w="-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5"/>
              <w:gridCol w:w="2521"/>
              <w:gridCol w:w="1242"/>
              <w:gridCol w:w="808"/>
              <w:gridCol w:w="908"/>
            </w:tblGrid>
            <w:tr w14:paraId="49D3B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BDC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序号</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456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名称</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C41B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型号</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685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单位</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CCF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数量</w:t>
                  </w:r>
                </w:p>
              </w:tc>
            </w:tr>
            <w:tr w14:paraId="5B8DB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F0FA6">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3B8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TDM（治疗药物浓度监测）</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37B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C368">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套</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E66D">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r>
            <w:tr w14:paraId="62F12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F1021">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2</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90EF1">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药物基因组学(PGX）</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9E13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F94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2E5A">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r>
            <w:tr w14:paraId="65DE4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67B9">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3</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FBE4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智能冷藏柜（1300L）</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8EC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2D2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3E4F">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9</w:t>
                  </w:r>
                </w:p>
              </w:tc>
            </w:tr>
            <w:tr w14:paraId="7940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24B2">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4</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E17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i5电脑（显示器+主机）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009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2FB6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套</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68F8">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7</w:t>
                  </w:r>
                </w:p>
              </w:tc>
            </w:tr>
            <w:tr w14:paraId="51AAF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D197">
                  <w:pPr>
                    <w:widowControl/>
                    <w:kinsoku w:val="0"/>
                    <w:autoSpaceDE w:val="0"/>
                    <w:autoSpaceDN w:val="0"/>
                    <w:adjustRightInd w:val="0"/>
                    <w:snapToGrid w:val="0"/>
                    <w:spacing w:line="240" w:lineRule="auto"/>
                    <w:jc w:val="right"/>
                    <w:textAlignment w:val="baseline"/>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rPr>
                    <w:t>5</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6F4F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扫描打印一体机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189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1BD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1AA68">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2</w:t>
                  </w:r>
                </w:p>
              </w:tc>
            </w:tr>
            <w:tr w14:paraId="63D86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9FD4">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6</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D1BA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激光打印机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5618">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F97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019E">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3</w:t>
                  </w:r>
                </w:p>
              </w:tc>
            </w:tr>
            <w:tr w14:paraId="0A9D1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E3F92">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7</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8818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多联针式打印机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270A">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6F26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39BF">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5</w:t>
                  </w:r>
                </w:p>
              </w:tc>
            </w:tr>
            <w:tr w14:paraId="2C9EE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2AAC">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8</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872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读卡器</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D50E">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5A0F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DC90B">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5</w:t>
                  </w:r>
                </w:p>
              </w:tc>
            </w:tr>
            <w:tr w14:paraId="1AC80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D1936">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9</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E13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壁柜式空调（1.5匹）</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45FA2">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528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4892">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r>
            <w:tr w14:paraId="504AC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8F4F">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10</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7788">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除湿加湿一体机(480L)</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6AE38">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CDBA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9AE1">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6</w:t>
                  </w:r>
                </w:p>
              </w:tc>
            </w:tr>
          </w:tbl>
          <w:p w14:paraId="142F00E8">
            <w:p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E1200DC">
            <w:p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7FB2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589572E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w:t>
            </w:r>
          </w:p>
        </w:tc>
        <w:tc>
          <w:tcPr>
            <w:tcW w:w="1415" w:type="dxa"/>
            <w:tcBorders>
              <w:top w:val="single" w:color="000000" w:sz="4" w:space="0"/>
              <w:bottom w:val="single" w:color="000000" w:sz="4" w:space="0"/>
            </w:tcBorders>
            <w:vAlign w:val="top"/>
          </w:tcPr>
          <w:p w14:paraId="53C32BC9">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脉动真空高温高压灭菌器</w:t>
            </w:r>
          </w:p>
        </w:tc>
        <w:tc>
          <w:tcPr>
            <w:tcW w:w="6878" w:type="dxa"/>
            <w:tcBorders>
              <w:top w:val="single" w:color="000000" w:sz="4" w:space="0"/>
              <w:bottom w:val="single" w:color="000000" w:sz="4" w:space="0"/>
            </w:tcBorders>
            <w:vAlign w:val="top"/>
          </w:tcPr>
          <w:p w14:paraId="7B457B1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脉动真空</w:t>
            </w:r>
            <w:r>
              <w:rPr>
                <w:rFonts w:hint="eastAsia" w:ascii="宋体" w:hAnsi="宋体" w:eastAsia="宋体" w:cs="宋体"/>
                <w:b/>
                <w:bCs/>
                <w:snapToGrid w:val="0"/>
                <w:color w:val="auto"/>
                <w:kern w:val="0"/>
                <w:sz w:val="18"/>
                <w:szCs w:val="18"/>
                <w:lang w:val="en-US" w:eastAsia="zh-CN"/>
              </w:rPr>
              <w:t>高温高压</w:t>
            </w:r>
            <w:r>
              <w:rPr>
                <w:rFonts w:hint="eastAsia" w:ascii="宋体" w:hAnsi="宋体" w:eastAsia="宋体" w:cs="宋体"/>
                <w:b/>
                <w:bCs/>
                <w:snapToGrid w:val="0"/>
                <w:color w:val="auto"/>
                <w:kern w:val="0"/>
                <w:sz w:val="18"/>
                <w:szCs w:val="18"/>
                <w:lang w:eastAsia="en-US"/>
              </w:rPr>
              <w:t>灭菌器技术参数</w:t>
            </w:r>
          </w:p>
          <w:tbl>
            <w:tblPr>
              <w:tblStyle w:val="47"/>
              <w:tblW w:w="6729" w:type="dxa"/>
              <w:tblInd w:w="-3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062"/>
              <w:gridCol w:w="4805"/>
            </w:tblGrid>
            <w:tr w14:paraId="1D1A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6D4BB8C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tc>
              <w:tc>
                <w:tcPr>
                  <w:tcW w:w="5867" w:type="dxa"/>
                  <w:gridSpan w:val="2"/>
                  <w:noWrap w:val="0"/>
                  <w:vAlign w:val="top"/>
                </w:tcPr>
                <w:p w14:paraId="048991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技术要求</w:t>
                  </w:r>
                </w:p>
              </w:tc>
            </w:tr>
            <w:tr w14:paraId="4131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434435CE">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一</w:t>
                  </w:r>
                </w:p>
              </w:tc>
              <w:tc>
                <w:tcPr>
                  <w:tcW w:w="5867" w:type="dxa"/>
                  <w:gridSpan w:val="2"/>
                  <w:noWrap w:val="0"/>
                  <w:vAlign w:val="top"/>
                </w:tcPr>
                <w:p w14:paraId="1BA44805">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主体</w:t>
                  </w:r>
                </w:p>
              </w:tc>
            </w:tr>
            <w:tr w14:paraId="28DE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043C1FC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7D30FF8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容积：</w:t>
                  </w:r>
                </w:p>
              </w:tc>
              <w:tc>
                <w:tcPr>
                  <w:tcW w:w="4805" w:type="dxa"/>
                  <w:noWrap w:val="0"/>
                  <w:vAlign w:val="top"/>
                </w:tcPr>
                <w:p w14:paraId="476A19E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00L</w:t>
                  </w:r>
                </w:p>
              </w:tc>
            </w:tr>
            <w:tr w14:paraId="7ED4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795817B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13D97C1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en-US"/>
                    </w:rPr>
                    <w:t>主体结构：</w:t>
                  </w:r>
                </w:p>
              </w:tc>
              <w:tc>
                <w:tcPr>
                  <w:tcW w:w="4805" w:type="dxa"/>
                  <w:noWrap w:val="0"/>
                  <w:vAlign w:val="top"/>
                </w:tcPr>
                <w:p w14:paraId="298DA352">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highlight w:val="none"/>
                      <w:lang w:val="en-US" w:eastAsia="zh-CN"/>
                    </w:rPr>
                    <w:t>双门平移门,地坑安装,矩形内室，</w:t>
                  </w:r>
                  <w:r>
                    <w:rPr>
                      <w:rFonts w:hint="eastAsia" w:ascii="宋体" w:hAnsi="宋体" w:eastAsia="宋体" w:cs="宋体"/>
                      <w:snapToGrid w:val="0"/>
                      <w:color w:val="auto"/>
                      <w:kern w:val="0"/>
                      <w:sz w:val="18"/>
                      <w:szCs w:val="18"/>
                      <w:lang w:val="zh-CN" w:eastAsia="en-US"/>
                    </w:rPr>
                    <w:t>内置蒸汽发生器</w:t>
                  </w:r>
                  <w:r>
                    <w:rPr>
                      <w:rFonts w:hint="eastAsia" w:ascii="宋体" w:hAnsi="宋体" w:eastAsia="宋体" w:cs="宋体"/>
                      <w:snapToGrid w:val="0"/>
                      <w:color w:val="auto"/>
                      <w:kern w:val="0"/>
                      <w:sz w:val="18"/>
                      <w:szCs w:val="18"/>
                      <w:highlight w:val="none"/>
                      <w:lang w:val="en-US" w:eastAsia="zh-CN"/>
                    </w:rPr>
                    <w:t>。灭菌器和蒸汽发生器采用焊接方式，为完整的一体机，只有一本产品质量证明书，只需办理一个使用登记证，（提供竣工图复印件和质量证明书复印件予以证明）。</w:t>
                  </w:r>
                </w:p>
              </w:tc>
            </w:tr>
            <w:tr w14:paraId="4051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5A0191D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32DFCB8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zh-CN"/>
                    </w:rPr>
                    <w:t>主体</w:t>
                  </w:r>
                  <w:r>
                    <w:rPr>
                      <w:rFonts w:hint="eastAsia" w:ascii="宋体" w:hAnsi="宋体" w:eastAsia="宋体" w:cs="宋体"/>
                      <w:snapToGrid w:val="0"/>
                      <w:color w:val="auto"/>
                      <w:kern w:val="0"/>
                      <w:sz w:val="18"/>
                      <w:szCs w:val="18"/>
                      <w:lang w:eastAsia="en-US"/>
                    </w:rPr>
                    <w:t>材质：</w:t>
                  </w:r>
                </w:p>
              </w:tc>
              <w:tc>
                <w:tcPr>
                  <w:tcW w:w="4805" w:type="dxa"/>
                  <w:noWrap w:val="0"/>
                  <w:vAlign w:val="top"/>
                </w:tcPr>
                <w:p w14:paraId="4C39349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不锈钢</w:t>
                  </w:r>
                  <w:r>
                    <w:rPr>
                      <w:rFonts w:hint="eastAsia" w:ascii="宋体" w:hAnsi="宋体" w:eastAsia="宋体" w:cs="宋体"/>
                      <w:snapToGrid w:val="0"/>
                      <w:color w:val="auto"/>
                      <w:kern w:val="0"/>
                      <w:sz w:val="18"/>
                      <w:szCs w:val="18"/>
                      <w:lang w:eastAsia="zh-CN"/>
                    </w:rPr>
                    <w:t>，夹屋</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zh-CN"/>
                    </w:rPr>
                    <w:t>内室厚度</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mm</w:t>
                  </w:r>
                  <w:r>
                    <w:rPr>
                      <w:rFonts w:hint="eastAsia" w:ascii="宋体" w:hAnsi="宋体" w:eastAsia="宋体" w:cs="宋体"/>
                      <w:snapToGrid w:val="0"/>
                      <w:color w:val="auto"/>
                      <w:kern w:val="0"/>
                      <w:sz w:val="18"/>
                      <w:szCs w:val="18"/>
                      <w:lang w:eastAsia="zh-CN"/>
                    </w:rPr>
                    <w:t>（提供产品数据表</w:t>
                  </w:r>
                  <w:r>
                    <w:rPr>
                      <w:rFonts w:hint="eastAsia" w:ascii="宋体" w:hAnsi="宋体" w:eastAsia="宋体" w:cs="宋体"/>
                      <w:snapToGrid w:val="0"/>
                      <w:color w:val="auto"/>
                      <w:kern w:val="0"/>
                      <w:sz w:val="18"/>
                      <w:szCs w:val="18"/>
                      <w:highlight w:val="none"/>
                      <w:lang w:val="en-US" w:eastAsia="zh-CN"/>
                    </w:rPr>
                    <w:t>复印件予以证明</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p>
              </w:tc>
            </w:tr>
            <w:tr w14:paraId="1580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6BBE9AB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4BB1EA8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设计压力：</w:t>
                  </w:r>
                </w:p>
              </w:tc>
              <w:tc>
                <w:tcPr>
                  <w:tcW w:w="4805" w:type="dxa"/>
                  <w:noWrap w:val="0"/>
                  <w:vAlign w:val="top"/>
                </w:tcPr>
                <w:p w14:paraId="7E73465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-0.1--0.3</w:t>
                  </w:r>
                  <w:r>
                    <w:rPr>
                      <w:rFonts w:hint="eastAsia" w:ascii="宋体" w:hAnsi="宋体" w:eastAsia="宋体" w:cs="宋体"/>
                      <w:snapToGrid w:val="0"/>
                      <w:color w:val="auto"/>
                      <w:kern w:val="0"/>
                      <w:sz w:val="18"/>
                      <w:szCs w:val="18"/>
                      <w:lang w:eastAsia="en-US"/>
                    </w:rPr>
                    <w:t>Mpa</w:t>
                  </w:r>
                </w:p>
              </w:tc>
            </w:tr>
            <w:tr w14:paraId="774D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6C2ED97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p>
              </w:tc>
              <w:tc>
                <w:tcPr>
                  <w:tcW w:w="1062" w:type="dxa"/>
                  <w:noWrap w:val="0"/>
                  <w:vAlign w:val="top"/>
                </w:tcPr>
                <w:p w14:paraId="32C6B7B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使用寿命：</w:t>
                  </w:r>
                </w:p>
              </w:tc>
              <w:tc>
                <w:tcPr>
                  <w:tcW w:w="4805" w:type="dxa"/>
                  <w:noWrap w:val="0"/>
                  <w:vAlign w:val="top"/>
                </w:tcPr>
                <w:p w14:paraId="7A5CC0F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15年/30000次灭菌循环</w:t>
                  </w:r>
                </w:p>
              </w:tc>
            </w:tr>
            <w:tr w14:paraId="1E47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1396F2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二</w:t>
                  </w:r>
                </w:p>
              </w:tc>
              <w:tc>
                <w:tcPr>
                  <w:tcW w:w="5867" w:type="dxa"/>
                  <w:gridSpan w:val="2"/>
                  <w:noWrap w:val="0"/>
                  <w:vAlign w:val="top"/>
                </w:tcPr>
                <w:p w14:paraId="1C171C06">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密封门</w:t>
                  </w:r>
                </w:p>
              </w:tc>
            </w:tr>
            <w:tr w14:paraId="0C87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6B0C628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523A637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门数量：</w:t>
                  </w:r>
                </w:p>
              </w:tc>
              <w:tc>
                <w:tcPr>
                  <w:tcW w:w="4805" w:type="dxa"/>
                  <w:noWrap w:val="0"/>
                  <w:vAlign w:val="top"/>
                </w:tcPr>
                <w:p w14:paraId="737CC75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双门</w:t>
                  </w:r>
                  <w:r>
                    <w:rPr>
                      <w:rFonts w:hint="eastAsia" w:ascii="宋体" w:hAnsi="宋体" w:eastAsia="宋体" w:cs="宋体"/>
                      <w:snapToGrid w:val="0"/>
                      <w:color w:val="auto"/>
                      <w:kern w:val="0"/>
                      <w:sz w:val="18"/>
                      <w:szCs w:val="18"/>
                      <w:lang w:eastAsia="zh-CN"/>
                    </w:rPr>
                    <w:t>，通道型</w:t>
                  </w:r>
                  <w:r>
                    <w:rPr>
                      <w:rFonts w:hint="eastAsia" w:ascii="宋体" w:hAnsi="宋体" w:eastAsia="宋体" w:cs="宋体"/>
                      <w:snapToGrid w:val="0"/>
                      <w:color w:val="auto"/>
                      <w:kern w:val="0"/>
                      <w:sz w:val="18"/>
                      <w:szCs w:val="18"/>
                      <w:lang w:val="en-US" w:eastAsia="zh-CN"/>
                    </w:rPr>
                    <w:t>,门胶条安装在设备主体上</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并非门板上</w:t>
                  </w:r>
                  <w:r>
                    <w:rPr>
                      <w:rFonts w:hint="eastAsia" w:ascii="宋体" w:hAnsi="宋体" w:eastAsia="宋体" w:cs="宋体"/>
                      <w:snapToGrid w:val="0"/>
                      <w:color w:val="auto"/>
                      <w:kern w:val="0"/>
                      <w:sz w:val="18"/>
                      <w:szCs w:val="18"/>
                      <w:lang w:val="zh-CN" w:eastAsia="en-US"/>
                    </w:rPr>
                    <w:t>。</w:t>
                  </w:r>
                </w:p>
              </w:tc>
            </w:tr>
            <w:tr w14:paraId="660F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3A85E65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5978519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材质：</w:t>
                  </w:r>
                </w:p>
              </w:tc>
              <w:tc>
                <w:tcPr>
                  <w:tcW w:w="4805" w:type="dxa"/>
                  <w:noWrap w:val="0"/>
                  <w:vAlign w:val="top"/>
                </w:tcPr>
                <w:p w14:paraId="4E5346F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门板SUS3</w:t>
                  </w: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不锈钢，灭菌器门体钢板厚度≥</w:t>
                  </w:r>
                  <w:r>
                    <w:rPr>
                      <w:rFonts w:hint="eastAsia" w:ascii="宋体" w:hAnsi="宋体" w:eastAsia="宋体" w:cs="宋体"/>
                      <w:snapToGrid w:val="0"/>
                      <w:color w:val="auto"/>
                      <w:kern w:val="0"/>
                      <w:sz w:val="18"/>
                      <w:szCs w:val="18"/>
                      <w:lang w:val="zh-CN" w:eastAsia="en-US"/>
                    </w:rPr>
                    <w:t>10mm。</w:t>
                  </w:r>
                </w:p>
              </w:tc>
            </w:tr>
            <w:tr w14:paraId="0D04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06D571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6D20B22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动力方式：</w:t>
                  </w:r>
                </w:p>
              </w:tc>
              <w:tc>
                <w:tcPr>
                  <w:tcW w:w="4805" w:type="dxa"/>
                  <w:noWrap w:val="0"/>
                  <w:vAlign w:val="top"/>
                </w:tcPr>
                <w:p w14:paraId="18EBE15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密封门自动开启左右平移，气动密封。</w:t>
                  </w:r>
                </w:p>
              </w:tc>
            </w:tr>
            <w:tr w14:paraId="0C73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304A6F4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349A0EB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安全联锁：</w:t>
                  </w:r>
                </w:p>
              </w:tc>
              <w:tc>
                <w:tcPr>
                  <w:tcW w:w="4805" w:type="dxa"/>
                  <w:noWrap w:val="0"/>
                  <w:vAlign w:val="top"/>
                </w:tcPr>
                <w:p w14:paraId="09767D0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设计有压力安全联锁装置，门只有关闭到位，电源才能接通设备启动；</w:t>
                  </w:r>
                  <w:r>
                    <w:rPr>
                      <w:rFonts w:hint="eastAsia" w:ascii="宋体" w:hAnsi="宋体" w:eastAsia="宋体" w:cs="宋体"/>
                      <w:snapToGrid w:val="0"/>
                      <w:color w:val="auto"/>
                      <w:kern w:val="0"/>
                      <w:sz w:val="18"/>
                      <w:szCs w:val="18"/>
                      <w:lang w:eastAsia="zh-CN"/>
                    </w:rPr>
                    <w:t>门板背面焊接加强筋</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内室有正压或负压压力，门无法打开。</w:t>
                  </w:r>
                </w:p>
              </w:tc>
            </w:tr>
            <w:tr w14:paraId="04EE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6FA65F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w:t>
                  </w:r>
                </w:p>
              </w:tc>
              <w:tc>
                <w:tcPr>
                  <w:tcW w:w="1062" w:type="dxa"/>
                  <w:noWrap w:val="0"/>
                  <w:vAlign w:val="top"/>
                </w:tcPr>
                <w:p w14:paraId="5E6E93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双门互锁：</w:t>
                  </w:r>
                </w:p>
              </w:tc>
              <w:tc>
                <w:tcPr>
                  <w:tcW w:w="4805" w:type="dxa"/>
                  <w:noWrap w:val="0"/>
                  <w:vAlign w:val="top"/>
                </w:tcPr>
                <w:p w14:paraId="5D7C56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双门互锁，一个门打开时，另一个门关闭无法开启。</w:t>
                  </w:r>
                </w:p>
              </w:tc>
            </w:tr>
            <w:tr w14:paraId="1A64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07BE5C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三</w:t>
                  </w:r>
                </w:p>
              </w:tc>
              <w:tc>
                <w:tcPr>
                  <w:tcW w:w="5867" w:type="dxa"/>
                  <w:gridSpan w:val="2"/>
                  <w:noWrap w:val="0"/>
                  <w:vAlign w:val="top"/>
                </w:tcPr>
                <w:p w14:paraId="6606977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管路系统</w:t>
                  </w:r>
                </w:p>
              </w:tc>
            </w:tr>
            <w:tr w14:paraId="4D85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8F5681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4992215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管路材质：</w:t>
                  </w:r>
                </w:p>
              </w:tc>
              <w:tc>
                <w:tcPr>
                  <w:tcW w:w="4805" w:type="dxa"/>
                  <w:noWrap w:val="0"/>
                  <w:vAlign w:val="top"/>
                </w:tcPr>
                <w:p w14:paraId="1A37A63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不锈钢卫生级管路，卡箍链接</w:t>
                  </w:r>
                  <w:r>
                    <w:rPr>
                      <w:rFonts w:hint="eastAsia" w:ascii="宋体" w:hAnsi="宋体" w:eastAsia="宋体" w:cs="宋体"/>
                      <w:snapToGrid w:val="0"/>
                      <w:color w:val="auto"/>
                      <w:kern w:val="0"/>
                      <w:sz w:val="18"/>
                      <w:szCs w:val="18"/>
                      <w:lang w:eastAsia="zh-CN"/>
                    </w:rPr>
                    <w:t>且管路上具有保温棉</w:t>
                  </w:r>
                  <w:r>
                    <w:rPr>
                      <w:rFonts w:hint="eastAsia" w:ascii="宋体" w:hAnsi="宋体" w:eastAsia="宋体" w:cs="宋体"/>
                      <w:snapToGrid w:val="0"/>
                      <w:color w:val="auto"/>
                      <w:kern w:val="0"/>
                      <w:sz w:val="18"/>
                      <w:szCs w:val="18"/>
                      <w:lang w:eastAsia="en-US"/>
                    </w:rPr>
                    <w:t>。</w:t>
                  </w:r>
                </w:p>
              </w:tc>
            </w:tr>
            <w:tr w14:paraId="64EB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6BE4B09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01FE62D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主要元器件：</w:t>
                  </w:r>
                </w:p>
              </w:tc>
              <w:tc>
                <w:tcPr>
                  <w:tcW w:w="4805" w:type="dxa"/>
                  <w:noWrap w:val="0"/>
                  <w:vAlign w:val="top"/>
                </w:tcPr>
                <w:p w14:paraId="3805C1C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气动阀，电磁阀，减压阀，压力变送器等主要原器件采用进口。</w:t>
                  </w:r>
                </w:p>
              </w:tc>
            </w:tr>
            <w:tr w14:paraId="6664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AE7370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6D51EAF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en-US"/>
                    </w:rPr>
                    <w:t>真空泵：</w:t>
                  </w:r>
                </w:p>
              </w:tc>
              <w:tc>
                <w:tcPr>
                  <w:tcW w:w="4805" w:type="dxa"/>
                  <w:noWrap w:val="0"/>
                  <w:vAlign w:val="top"/>
                </w:tcPr>
                <w:p w14:paraId="778094C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采用双级分体式水环真空泵</w:t>
                  </w:r>
                  <w:r>
                    <w:rPr>
                      <w:rFonts w:hint="eastAsia" w:ascii="宋体" w:hAnsi="宋体" w:eastAsia="宋体" w:cs="宋体"/>
                      <w:snapToGrid w:val="0"/>
                      <w:color w:val="auto"/>
                      <w:kern w:val="0"/>
                      <w:sz w:val="18"/>
                      <w:szCs w:val="18"/>
                      <w:lang w:val="en-US" w:eastAsia="zh-CN"/>
                    </w:rPr>
                    <w:t>或单极泵</w:t>
                  </w:r>
                  <w:r>
                    <w:rPr>
                      <w:rFonts w:hint="eastAsia" w:ascii="宋体" w:hAnsi="宋体" w:eastAsia="宋体" w:cs="宋体"/>
                      <w:snapToGrid w:val="0"/>
                      <w:color w:val="auto"/>
                      <w:kern w:val="0"/>
                      <w:sz w:val="18"/>
                      <w:szCs w:val="18"/>
                      <w:lang w:eastAsia="en-US"/>
                    </w:rPr>
                    <w:t>，电机和真空泵平行摆放，之间用皮带传送。</w:t>
                  </w:r>
                  <w:r>
                    <w:rPr>
                      <w:rFonts w:hint="eastAsia" w:ascii="宋体" w:hAnsi="宋体" w:eastAsia="宋体" w:cs="宋体"/>
                      <w:snapToGrid w:val="0"/>
                      <w:color w:val="auto"/>
                      <w:kern w:val="0"/>
                      <w:sz w:val="18"/>
                      <w:szCs w:val="18"/>
                      <w:lang w:val="zh-CN" w:eastAsia="en-US"/>
                    </w:rPr>
                    <w:t>真空泵、管道、电器及所有需要维修的配件均装在设备的一侧，独立悬挂（提供实物图片证明）。</w:t>
                  </w:r>
                </w:p>
              </w:tc>
            </w:tr>
            <w:tr w14:paraId="666C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DDB8C06">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四</w:t>
                  </w:r>
                </w:p>
              </w:tc>
              <w:tc>
                <w:tcPr>
                  <w:tcW w:w="5867" w:type="dxa"/>
                  <w:gridSpan w:val="2"/>
                  <w:noWrap w:val="0"/>
                  <w:vAlign w:val="top"/>
                </w:tcPr>
                <w:p w14:paraId="3997D8A1">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zh-CN"/>
                    </w:rPr>
                    <w:t>操作</w:t>
                  </w:r>
                  <w:r>
                    <w:rPr>
                      <w:rFonts w:hint="eastAsia" w:ascii="宋体" w:hAnsi="宋体" w:eastAsia="宋体" w:cs="宋体"/>
                      <w:b/>
                      <w:bCs/>
                      <w:snapToGrid w:val="0"/>
                      <w:color w:val="auto"/>
                      <w:kern w:val="0"/>
                      <w:sz w:val="18"/>
                      <w:szCs w:val="18"/>
                      <w:lang w:eastAsia="en-US"/>
                    </w:rPr>
                    <w:t>控制系统</w:t>
                  </w:r>
                </w:p>
              </w:tc>
            </w:tr>
            <w:tr w14:paraId="7CB9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FB4E63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174FD55D">
                  <w:pPr>
                    <w:widowControl/>
                    <w:kinsoku w:val="0"/>
                    <w:autoSpaceDE w:val="0"/>
                    <w:autoSpaceDN w:val="0"/>
                    <w:adjustRightInd w:val="0"/>
                    <w:snapToGrid w:val="0"/>
                    <w:spacing w:line="240" w:lineRule="auto"/>
                    <w:ind w:firstLine="180" w:firstLineChars="10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PLC</w:t>
                  </w:r>
                </w:p>
              </w:tc>
              <w:tc>
                <w:tcPr>
                  <w:tcW w:w="4805" w:type="dxa"/>
                  <w:noWrap w:val="0"/>
                  <w:vAlign w:val="top"/>
                </w:tcPr>
                <w:p w14:paraId="6ABC193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要求采用进口品牌可编程序控制器，不得采用单片机或者国产品牌的PLC（含进口CPU的国产整机）。</w:t>
                  </w:r>
                </w:p>
              </w:tc>
            </w:tr>
            <w:tr w14:paraId="4F23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AD9E05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3148240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p w14:paraId="2155B92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操作系统</w:t>
                  </w:r>
                </w:p>
              </w:tc>
              <w:tc>
                <w:tcPr>
                  <w:tcW w:w="4805" w:type="dxa"/>
                  <w:noWrap w:val="0"/>
                  <w:vAlign w:val="top"/>
                </w:tcPr>
                <w:p w14:paraId="0D7C31F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触摸</w:t>
                  </w:r>
                  <w:r>
                    <w:rPr>
                      <w:rFonts w:hint="eastAsia" w:ascii="宋体" w:hAnsi="宋体" w:eastAsia="宋体" w:cs="宋体"/>
                      <w:snapToGrid w:val="0"/>
                      <w:color w:val="auto"/>
                      <w:kern w:val="0"/>
                      <w:sz w:val="18"/>
                      <w:szCs w:val="18"/>
                      <w:lang w:val="en-US" w:eastAsia="zh-CN"/>
                    </w:rPr>
                    <w:t>屏操作</w:t>
                  </w:r>
                  <w:r>
                    <w:rPr>
                      <w:rFonts w:hint="eastAsia" w:ascii="宋体" w:hAnsi="宋体" w:eastAsia="宋体" w:cs="宋体"/>
                      <w:snapToGrid w:val="0"/>
                      <w:color w:val="auto"/>
                      <w:kern w:val="0"/>
                      <w:sz w:val="18"/>
                      <w:szCs w:val="18"/>
                      <w:lang w:eastAsia="en-US"/>
                    </w:rPr>
                    <w:t>，LED背光，电阻式触摸，尺寸≥10英寸，保证显示清晰，操作方便</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预留</w:t>
                  </w:r>
                  <w:r>
                    <w:rPr>
                      <w:rFonts w:hint="eastAsia" w:ascii="宋体" w:hAnsi="宋体" w:eastAsia="宋体" w:cs="宋体"/>
                      <w:snapToGrid w:val="0"/>
                      <w:color w:val="auto"/>
                      <w:kern w:val="0"/>
                      <w:sz w:val="18"/>
                      <w:szCs w:val="18"/>
                      <w:lang w:val="en-US" w:eastAsia="zh-CN"/>
                    </w:rPr>
                    <w:t>追溯</w:t>
                  </w:r>
                  <w:r>
                    <w:rPr>
                      <w:rFonts w:hint="eastAsia" w:ascii="宋体" w:hAnsi="宋体" w:eastAsia="宋体" w:cs="宋体"/>
                      <w:snapToGrid w:val="0"/>
                      <w:color w:val="auto"/>
                      <w:kern w:val="0"/>
                      <w:sz w:val="18"/>
                      <w:szCs w:val="18"/>
                      <w:lang w:eastAsia="zh-CN"/>
                    </w:rPr>
                    <w:t>接</w:t>
                  </w:r>
                  <w:r>
                    <w:rPr>
                      <w:rFonts w:hint="eastAsia" w:ascii="宋体" w:hAnsi="宋体" w:eastAsia="宋体" w:cs="宋体"/>
                      <w:snapToGrid w:val="0"/>
                      <w:color w:val="auto"/>
                      <w:kern w:val="0"/>
                      <w:sz w:val="18"/>
                      <w:szCs w:val="18"/>
                      <w:lang w:val="en-US" w:eastAsia="zh-CN"/>
                    </w:rPr>
                    <w:t>口，可以对接医院追溯系统</w:t>
                  </w:r>
                  <w:r>
                    <w:rPr>
                      <w:rFonts w:hint="eastAsia" w:ascii="宋体" w:hAnsi="宋体" w:eastAsia="宋体" w:cs="宋体"/>
                      <w:snapToGrid w:val="0"/>
                      <w:color w:val="auto"/>
                      <w:kern w:val="0"/>
                      <w:sz w:val="18"/>
                      <w:szCs w:val="18"/>
                      <w:lang w:eastAsia="en-US"/>
                    </w:rPr>
                    <w:t>。</w:t>
                  </w:r>
                </w:p>
              </w:tc>
            </w:tr>
            <w:tr w14:paraId="583E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FC5AEE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p w14:paraId="0CDB2C8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0ECD526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p w14:paraId="3E49F59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记录方式：</w:t>
                  </w:r>
                </w:p>
              </w:tc>
              <w:tc>
                <w:tcPr>
                  <w:tcW w:w="4805" w:type="dxa"/>
                  <w:noWrap w:val="0"/>
                  <w:vAlign w:val="top"/>
                </w:tcPr>
                <w:p w14:paraId="6632453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微型打印机记录：程序运行过程中的相关信息通过内置打印机打印出来</w:t>
                  </w:r>
                  <w:r>
                    <w:rPr>
                      <w:rFonts w:hint="eastAsia" w:ascii="宋体" w:hAnsi="宋体" w:eastAsia="宋体" w:cs="宋体"/>
                      <w:snapToGrid w:val="0"/>
                      <w:color w:val="auto"/>
                      <w:kern w:val="0"/>
                      <w:sz w:val="18"/>
                      <w:szCs w:val="18"/>
                      <w:lang w:eastAsia="zh-CN"/>
                    </w:rPr>
                    <w:t>，也可以外接至电脑中储存打印。</w:t>
                  </w:r>
                </w:p>
              </w:tc>
            </w:tr>
            <w:tr w14:paraId="40F3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890471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0DDC50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记录内容：</w:t>
                  </w:r>
                </w:p>
              </w:tc>
              <w:tc>
                <w:tcPr>
                  <w:tcW w:w="4805" w:type="dxa"/>
                  <w:noWrap w:val="0"/>
                  <w:vAlign w:val="top"/>
                </w:tcPr>
                <w:p w14:paraId="71170C0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灭菌过程参数：灭菌过程的温度、压力、时间、过程阶段，预置参数等均可通过微型打印机打印</w:t>
                  </w:r>
                  <w:r>
                    <w:rPr>
                      <w:rFonts w:hint="eastAsia" w:ascii="宋体" w:hAnsi="宋体" w:eastAsia="宋体" w:cs="宋体"/>
                      <w:snapToGrid w:val="0"/>
                      <w:color w:val="auto"/>
                      <w:kern w:val="0"/>
                      <w:sz w:val="18"/>
                      <w:szCs w:val="18"/>
                      <w:lang w:eastAsia="zh-CN"/>
                    </w:rPr>
                    <w:t>，平板电脑</w:t>
                  </w:r>
                  <w:r>
                    <w:rPr>
                      <w:rFonts w:hint="eastAsia" w:ascii="宋体" w:hAnsi="宋体" w:eastAsia="宋体" w:cs="宋体"/>
                      <w:snapToGrid w:val="0"/>
                      <w:color w:val="auto"/>
                      <w:kern w:val="0"/>
                      <w:sz w:val="18"/>
                      <w:szCs w:val="18"/>
                      <w:lang w:eastAsia="en-US"/>
                    </w:rPr>
                    <w:t>储存。</w:t>
                  </w:r>
                </w:p>
              </w:tc>
            </w:tr>
            <w:tr w14:paraId="2B08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8B36A2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w:t>
                  </w:r>
                </w:p>
              </w:tc>
              <w:tc>
                <w:tcPr>
                  <w:tcW w:w="1062" w:type="dxa"/>
                  <w:noWrap w:val="0"/>
                  <w:vAlign w:val="top"/>
                </w:tcPr>
                <w:p w14:paraId="41394CF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权限管理</w:t>
                  </w:r>
                </w:p>
              </w:tc>
              <w:tc>
                <w:tcPr>
                  <w:tcW w:w="4805" w:type="dxa"/>
                  <w:noWrap w:val="0"/>
                  <w:vAlign w:val="top"/>
                </w:tcPr>
                <w:p w14:paraId="286EF14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zh-CN"/>
                    </w:rPr>
                    <w:t>六</w:t>
                  </w:r>
                  <w:r>
                    <w:rPr>
                      <w:rFonts w:hint="eastAsia" w:ascii="宋体" w:hAnsi="宋体" w:eastAsia="宋体" w:cs="宋体"/>
                      <w:snapToGrid w:val="0"/>
                      <w:color w:val="auto"/>
                      <w:kern w:val="0"/>
                      <w:sz w:val="18"/>
                      <w:szCs w:val="18"/>
                      <w:lang w:eastAsia="en-US"/>
                    </w:rPr>
                    <w:t>级密码保护。</w:t>
                  </w:r>
                </w:p>
              </w:tc>
            </w:tr>
            <w:tr w14:paraId="4F45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987A32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w:t>
                  </w:r>
                </w:p>
              </w:tc>
              <w:tc>
                <w:tcPr>
                  <w:tcW w:w="1062" w:type="dxa"/>
                  <w:noWrap w:val="0"/>
                  <w:vAlign w:val="top"/>
                </w:tcPr>
                <w:p w14:paraId="0E8ED2B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安全保护</w:t>
                  </w:r>
                </w:p>
              </w:tc>
              <w:tc>
                <w:tcPr>
                  <w:tcW w:w="4805" w:type="dxa"/>
                  <w:noWrap w:val="0"/>
                  <w:vAlign w:val="top"/>
                </w:tcPr>
                <w:p w14:paraId="0AB99D7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超压保护：内室压力超过程序运行允许压力，程序自动退出转入故障状态下处理；</w:t>
                  </w:r>
                </w:p>
                <w:p w14:paraId="13C4CEF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门到位检测保护：门开关在程序运行过程中检测异常，程序自动退出转入故障状态下处理。</w:t>
                  </w:r>
                </w:p>
              </w:tc>
            </w:tr>
            <w:tr w14:paraId="629B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3635AA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w:t>
                  </w:r>
                </w:p>
              </w:tc>
              <w:tc>
                <w:tcPr>
                  <w:tcW w:w="1062" w:type="dxa"/>
                  <w:noWrap w:val="0"/>
                  <w:vAlign w:val="top"/>
                </w:tcPr>
                <w:p w14:paraId="3DDDA71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温控系统</w:t>
                  </w:r>
                </w:p>
              </w:tc>
              <w:tc>
                <w:tcPr>
                  <w:tcW w:w="4805" w:type="dxa"/>
                  <w:noWrap w:val="0"/>
                  <w:vAlign w:val="top"/>
                </w:tcPr>
                <w:p w14:paraId="795D3C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zh-CN" w:eastAsia="en-US"/>
                    </w:rPr>
                    <w:t>温控采用</w:t>
                  </w:r>
                  <w:r>
                    <w:rPr>
                      <w:rFonts w:hint="eastAsia" w:ascii="宋体" w:hAnsi="宋体" w:eastAsia="宋体" w:cs="宋体"/>
                      <w:snapToGrid w:val="0"/>
                      <w:color w:val="auto"/>
                      <w:kern w:val="0"/>
                      <w:sz w:val="18"/>
                      <w:szCs w:val="18"/>
                      <w:lang w:eastAsia="en-US"/>
                    </w:rPr>
                    <w:t>双系统设计：两套温控系统，双系统互相验证，互相监测，确保设备的安全及灭菌质量。</w:t>
                  </w:r>
                </w:p>
              </w:tc>
            </w:tr>
            <w:tr w14:paraId="0ED8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EB03FA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w:t>
                  </w:r>
                </w:p>
              </w:tc>
              <w:tc>
                <w:tcPr>
                  <w:tcW w:w="1062" w:type="dxa"/>
                  <w:noWrap w:val="0"/>
                  <w:vAlign w:val="top"/>
                </w:tcPr>
                <w:p w14:paraId="496365C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追溯系统接口方式</w:t>
                  </w:r>
                </w:p>
              </w:tc>
              <w:tc>
                <w:tcPr>
                  <w:tcW w:w="4805" w:type="dxa"/>
                  <w:noWrap w:val="0"/>
                  <w:vAlign w:val="top"/>
                </w:tcPr>
                <w:p w14:paraId="43BAEB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设备预留</w:t>
                  </w:r>
                  <w:r>
                    <w:rPr>
                      <w:rFonts w:hint="eastAsia" w:ascii="宋体" w:hAnsi="宋体" w:eastAsia="宋体" w:cs="宋体"/>
                      <w:snapToGrid w:val="0"/>
                      <w:color w:val="auto"/>
                      <w:kern w:val="0"/>
                      <w:sz w:val="18"/>
                      <w:szCs w:val="18"/>
                      <w:lang w:val="en-US" w:eastAsia="zh-CN"/>
                    </w:rPr>
                    <w:t>追溯接口</w:t>
                  </w:r>
                  <w:r>
                    <w:rPr>
                      <w:rFonts w:hint="eastAsia" w:ascii="宋体" w:hAnsi="宋体" w:eastAsia="宋体" w:cs="宋体"/>
                      <w:snapToGrid w:val="0"/>
                      <w:color w:val="auto"/>
                      <w:kern w:val="0"/>
                      <w:sz w:val="18"/>
                      <w:szCs w:val="18"/>
                      <w:lang w:eastAsia="en-US"/>
                    </w:rPr>
                    <w:t>，可以与追溯系统软件</w:t>
                  </w:r>
                  <w:r>
                    <w:rPr>
                      <w:rFonts w:hint="eastAsia" w:ascii="宋体" w:hAnsi="宋体" w:eastAsia="宋体" w:cs="宋体"/>
                      <w:snapToGrid w:val="0"/>
                      <w:color w:val="auto"/>
                      <w:kern w:val="0"/>
                      <w:sz w:val="18"/>
                      <w:szCs w:val="18"/>
                      <w:lang w:eastAsia="zh-CN"/>
                    </w:rPr>
                    <w:t>对接</w:t>
                  </w:r>
                  <w:r>
                    <w:rPr>
                      <w:rFonts w:hint="eastAsia" w:ascii="宋体" w:hAnsi="宋体" w:eastAsia="宋体" w:cs="宋体"/>
                      <w:snapToGrid w:val="0"/>
                      <w:color w:val="auto"/>
                      <w:kern w:val="0"/>
                      <w:sz w:val="18"/>
                      <w:szCs w:val="18"/>
                      <w:lang w:eastAsia="en-US"/>
                    </w:rPr>
                    <w:t>，实现对无菌包整个循环流程的全面追溯。</w:t>
                  </w:r>
                </w:p>
              </w:tc>
            </w:tr>
            <w:tr w14:paraId="401B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33542C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五</w:t>
                  </w:r>
                </w:p>
              </w:tc>
              <w:tc>
                <w:tcPr>
                  <w:tcW w:w="5867" w:type="dxa"/>
                  <w:gridSpan w:val="2"/>
                  <w:noWrap w:val="0"/>
                  <w:vAlign w:val="top"/>
                </w:tcPr>
                <w:p w14:paraId="227ACE5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程序系统</w:t>
                  </w:r>
                </w:p>
              </w:tc>
            </w:tr>
            <w:tr w14:paraId="4A0F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260EB0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79021D6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en-US"/>
                    </w:rPr>
                    <w:t>程序种类及数量</w:t>
                  </w:r>
                </w:p>
              </w:tc>
              <w:tc>
                <w:tcPr>
                  <w:tcW w:w="4805" w:type="dxa"/>
                  <w:noWrap w:val="0"/>
                  <w:vAlign w:val="top"/>
                </w:tcPr>
                <w:p w14:paraId="2CBAA3B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灭菌程</w:t>
                  </w:r>
                  <w:r>
                    <w:rPr>
                      <w:rFonts w:hint="eastAsia" w:ascii="宋体" w:hAnsi="宋体" w:eastAsia="宋体" w:cs="宋体"/>
                      <w:snapToGrid w:val="0"/>
                      <w:color w:val="auto"/>
                      <w:kern w:val="0"/>
                      <w:sz w:val="18"/>
                      <w:szCs w:val="18"/>
                      <w:lang w:eastAsia="zh-CN"/>
                    </w:rPr>
                    <w:t>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灭菌类程序</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（具有织物敷料、常规器械、管腔负载、阮毒体、重型负载等程序）</w:t>
                  </w:r>
                  <w:r>
                    <w:rPr>
                      <w:rFonts w:hint="eastAsia" w:ascii="宋体" w:hAnsi="宋体" w:eastAsia="宋体" w:cs="宋体"/>
                      <w:snapToGrid w:val="0"/>
                      <w:color w:val="auto"/>
                      <w:kern w:val="0"/>
                      <w:sz w:val="18"/>
                      <w:szCs w:val="18"/>
                      <w:lang w:eastAsia="en-US"/>
                    </w:rPr>
                    <w:t>；测试类程序：</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BD测试、PCD测试、真空测试</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eastAsia="zh-CN"/>
                    </w:rPr>
                    <w:t>低温灭菌程序</w:t>
                  </w:r>
                  <w:r>
                    <w:rPr>
                      <w:rFonts w:hint="eastAsia" w:ascii="宋体" w:hAnsi="宋体" w:eastAsia="宋体" w:cs="宋体"/>
                      <w:snapToGrid w:val="0"/>
                      <w:color w:val="auto"/>
                      <w:kern w:val="0"/>
                      <w:sz w:val="18"/>
                      <w:szCs w:val="18"/>
                      <w:lang w:val="en-US" w:eastAsia="zh-CN"/>
                    </w:rPr>
                    <w:t>2套(下排气、液体等），</w:t>
                  </w:r>
                  <w:r>
                    <w:rPr>
                      <w:rFonts w:hint="eastAsia" w:ascii="宋体" w:hAnsi="宋体" w:eastAsia="宋体" w:cs="宋体"/>
                      <w:snapToGrid w:val="0"/>
                      <w:color w:val="auto"/>
                      <w:kern w:val="0"/>
                      <w:sz w:val="18"/>
                      <w:szCs w:val="18"/>
                      <w:lang w:eastAsia="en-US"/>
                    </w:rPr>
                    <w:t>辅助类程序：</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（辅助干燥、热敏负载）</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以上</w:t>
                  </w:r>
                  <w:r>
                    <w:rPr>
                      <w:rFonts w:hint="eastAsia" w:ascii="宋体" w:hAnsi="宋体" w:eastAsia="宋体" w:cs="宋体"/>
                      <w:snapToGrid w:val="0"/>
                      <w:color w:val="auto"/>
                      <w:kern w:val="0"/>
                      <w:sz w:val="18"/>
                      <w:szCs w:val="18"/>
                      <w:lang w:eastAsia="en-US"/>
                    </w:rPr>
                    <w:t>程序自定义</w:t>
                  </w:r>
                  <w:r>
                    <w:rPr>
                      <w:rFonts w:hint="eastAsia" w:ascii="宋体" w:hAnsi="宋体" w:eastAsia="宋体" w:cs="宋体"/>
                      <w:snapToGrid w:val="0"/>
                      <w:color w:val="auto"/>
                      <w:kern w:val="0"/>
                      <w:sz w:val="18"/>
                      <w:szCs w:val="18"/>
                      <w:lang w:eastAsia="zh-CN"/>
                    </w:rPr>
                    <w:t>（提供实物图片证明）。</w:t>
                  </w:r>
                </w:p>
              </w:tc>
            </w:tr>
            <w:tr w14:paraId="0C0C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A41BF8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4C4E846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程序运行时间</w:t>
                  </w:r>
                </w:p>
              </w:tc>
              <w:tc>
                <w:tcPr>
                  <w:tcW w:w="4805" w:type="dxa"/>
                  <w:noWrap w:val="0"/>
                  <w:vAlign w:val="top"/>
                </w:tcPr>
                <w:p w14:paraId="71320C3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标准循环≦</w:t>
                  </w:r>
                  <w:r>
                    <w:rPr>
                      <w:rFonts w:hint="eastAsia" w:ascii="宋体" w:hAnsi="宋体" w:eastAsia="宋体" w:cs="宋体"/>
                      <w:snapToGrid w:val="0"/>
                      <w:color w:val="auto"/>
                      <w:kern w:val="0"/>
                      <w:sz w:val="18"/>
                      <w:szCs w:val="18"/>
                      <w:lang w:val="en-US" w:eastAsia="zh-CN"/>
                    </w:rPr>
                    <w:t>50</w:t>
                  </w:r>
                  <w:r>
                    <w:rPr>
                      <w:rFonts w:hint="eastAsia" w:ascii="宋体" w:hAnsi="宋体" w:eastAsia="宋体" w:cs="宋体"/>
                      <w:snapToGrid w:val="0"/>
                      <w:color w:val="auto"/>
                      <w:kern w:val="0"/>
                      <w:sz w:val="18"/>
                      <w:szCs w:val="18"/>
                      <w:lang w:eastAsia="en-US"/>
                    </w:rPr>
                    <w:t>分钟。</w:t>
                  </w:r>
                </w:p>
              </w:tc>
            </w:tr>
            <w:tr w14:paraId="2699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DE622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539C853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脉动次数</w:t>
                  </w:r>
                </w:p>
              </w:tc>
              <w:tc>
                <w:tcPr>
                  <w:tcW w:w="4805" w:type="dxa"/>
                  <w:noWrap w:val="0"/>
                  <w:vAlign w:val="top"/>
                </w:tcPr>
                <w:p w14:paraId="7E2FECA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3次，0~99次可</w:t>
                  </w:r>
                  <w:r>
                    <w:rPr>
                      <w:rFonts w:hint="eastAsia" w:ascii="宋体" w:hAnsi="宋体" w:eastAsia="宋体" w:cs="宋体"/>
                      <w:snapToGrid w:val="0"/>
                      <w:color w:val="auto"/>
                      <w:kern w:val="0"/>
                      <w:sz w:val="18"/>
                      <w:szCs w:val="18"/>
                      <w:lang w:eastAsia="zh-CN"/>
                    </w:rPr>
                    <w:t>自行</w:t>
                  </w:r>
                  <w:r>
                    <w:rPr>
                      <w:rFonts w:hint="eastAsia" w:ascii="宋体" w:hAnsi="宋体" w:eastAsia="宋体" w:cs="宋体"/>
                      <w:snapToGrid w:val="0"/>
                      <w:color w:val="auto"/>
                      <w:kern w:val="0"/>
                      <w:sz w:val="18"/>
                      <w:szCs w:val="18"/>
                      <w:lang w:eastAsia="en-US"/>
                    </w:rPr>
                    <w:t>设</w:t>
                  </w:r>
                  <w:r>
                    <w:rPr>
                      <w:rFonts w:hint="eastAsia" w:ascii="宋体" w:hAnsi="宋体" w:eastAsia="宋体" w:cs="宋体"/>
                      <w:snapToGrid w:val="0"/>
                      <w:color w:val="auto"/>
                      <w:kern w:val="0"/>
                      <w:sz w:val="18"/>
                      <w:szCs w:val="18"/>
                      <w:lang w:eastAsia="zh-CN"/>
                    </w:rPr>
                    <w:t>定</w:t>
                  </w:r>
                  <w:r>
                    <w:rPr>
                      <w:rFonts w:hint="eastAsia" w:ascii="宋体" w:hAnsi="宋体" w:eastAsia="宋体" w:cs="宋体"/>
                      <w:snapToGrid w:val="0"/>
                      <w:color w:val="auto"/>
                      <w:kern w:val="0"/>
                      <w:sz w:val="18"/>
                      <w:szCs w:val="18"/>
                      <w:lang w:eastAsia="en-US"/>
                    </w:rPr>
                    <w:t>。</w:t>
                  </w:r>
                </w:p>
              </w:tc>
            </w:tr>
            <w:tr w14:paraId="7A7C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FEACA7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5D022AC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灭菌温度</w:t>
                  </w:r>
                </w:p>
              </w:tc>
              <w:tc>
                <w:tcPr>
                  <w:tcW w:w="4805" w:type="dxa"/>
                  <w:noWrap w:val="0"/>
                  <w:vAlign w:val="top"/>
                </w:tcPr>
                <w:p w14:paraId="7E05831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121℃和134℃，参数可设</w:t>
                  </w:r>
                </w:p>
              </w:tc>
            </w:tr>
            <w:tr w14:paraId="1C9C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3530AF5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w:t>
                  </w:r>
                </w:p>
              </w:tc>
              <w:tc>
                <w:tcPr>
                  <w:tcW w:w="1062" w:type="dxa"/>
                  <w:noWrap w:val="0"/>
                  <w:vAlign w:val="top"/>
                </w:tcPr>
                <w:p w14:paraId="04393EA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灭菌时间</w:t>
                  </w:r>
                </w:p>
              </w:tc>
              <w:tc>
                <w:tcPr>
                  <w:tcW w:w="4805" w:type="dxa"/>
                  <w:noWrap w:val="0"/>
                  <w:vAlign w:val="top"/>
                </w:tcPr>
                <w:p w14:paraId="0C1F26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121℃  20分钟，134℃  5分钟，参数</w:t>
                  </w:r>
                  <w:r>
                    <w:rPr>
                      <w:rFonts w:hint="eastAsia" w:ascii="宋体" w:hAnsi="宋体" w:eastAsia="宋体" w:cs="宋体"/>
                      <w:snapToGrid w:val="0"/>
                      <w:color w:val="auto"/>
                      <w:kern w:val="0"/>
                      <w:sz w:val="18"/>
                      <w:szCs w:val="18"/>
                      <w:lang w:eastAsia="zh-CN"/>
                    </w:rPr>
                    <w:t>可</w:t>
                  </w:r>
                  <w:r>
                    <w:rPr>
                      <w:rFonts w:hint="eastAsia" w:ascii="宋体" w:hAnsi="宋体" w:eastAsia="宋体" w:cs="宋体"/>
                      <w:snapToGrid w:val="0"/>
                      <w:color w:val="auto"/>
                      <w:kern w:val="0"/>
                      <w:sz w:val="18"/>
                      <w:szCs w:val="18"/>
                      <w:lang w:eastAsia="en-US"/>
                    </w:rPr>
                    <w:t>可设</w:t>
                  </w:r>
                </w:p>
              </w:tc>
            </w:tr>
            <w:tr w14:paraId="2AC7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278D11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w:t>
                  </w:r>
                </w:p>
              </w:tc>
              <w:tc>
                <w:tcPr>
                  <w:tcW w:w="1062" w:type="dxa"/>
                  <w:noWrap w:val="0"/>
                  <w:vAlign w:val="top"/>
                </w:tcPr>
                <w:p w14:paraId="6F03EAC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干燥时间</w:t>
                  </w:r>
                </w:p>
              </w:tc>
              <w:tc>
                <w:tcPr>
                  <w:tcW w:w="4805" w:type="dxa"/>
                  <w:noWrap w:val="0"/>
                  <w:vAlign w:val="top"/>
                </w:tcPr>
                <w:p w14:paraId="763E71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8分钟和10分钟，参数可设。</w:t>
                  </w:r>
                </w:p>
              </w:tc>
            </w:tr>
            <w:tr w14:paraId="1C88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64EF6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w:t>
                  </w:r>
                </w:p>
              </w:tc>
              <w:tc>
                <w:tcPr>
                  <w:tcW w:w="1062" w:type="dxa"/>
                  <w:noWrap w:val="0"/>
                  <w:vAlign w:val="top"/>
                </w:tcPr>
                <w:p w14:paraId="263A6E4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干燥</w:t>
                  </w:r>
                  <w:r>
                    <w:rPr>
                      <w:rFonts w:hint="eastAsia" w:ascii="宋体" w:hAnsi="宋体" w:eastAsia="宋体" w:cs="宋体"/>
                      <w:snapToGrid w:val="0"/>
                      <w:color w:val="auto"/>
                      <w:kern w:val="0"/>
                      <w:sz w:val="18"/>
                      <w:szCs w:val="18"/>
                      <w:lang w:eastAsia="zh-CN"/>
                    </w:rPr>
                    <w:t>方式</w:t>
                  </w:r>
                </w:p>
              </w:tc>
              <w:tc>
                <w:tcPr>
                  <w:tcW w:w="4805" w:type="dxa"/>
                  <w:noWrap w:val="0"/>
                  <w:vAlign w:val="top"/>
                </w:tcPr>
                <w:p w14:paraId="7F6AFAE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具有脉动</w:t>
                  </w:r>
                  <w:r>
                    <w:rPr>
                      <w:rFonts w:hint="eastAsia" w:ascii="宋体" w:hAnsi="宋体" w:eastAsia="宋体" w:cs="宋体"/>
                      <w:snapToGrid w:val="0"/>
                      <w:color w:val="auto"/>
                      <w:kern w:val="0"/>
                      <w:sz w:val="18"/>
                      <w:szCs w:val="18"/>
                      <w:lang w:eastAsia="en-US"/>
                    </w:rPr>
                    <w:t>干燥</w:t>
                  </w:r>
                  <w:r>
                    <w:rPr>
                      <w:rFonts w:hint="eastAsia" w:ascii="宋体" w:hAnsi="宋体" w:eastAsia="宋体" w:cs="宋体"/>
                      <w:snapToGrid w:val="0"/>
                      <w:color w:val="auto"/>
                      <w:kern w:val="0"/>
                      <w:sz w:val="18"/>
                      <w:szCs w:val="18"/>
                      <w:lang w:eastAsia="zh-CN"/>
                    </w:rPr>
                    <w:t>和真空</w:t>
                  </w:r>
                  <w:r>
                    <w:rPr>
                      <w:rFonts w:hint="eastAsia" w:ascii="宋体" w:hAnsi="宋体" w:eastAsia="宋体" w:cs="宋体"/>
                      <w:snapToGrid w:val="0"/>
                      <w:color w:val="auto"/>
                      <w:kern w:val="0"/>
                      <w:sz w:val="18"/>
                      <w:szCs w:val="18"/>
                      <w:lang w:eastAsia="en-US"/>
                    </w:rPr>
                    <w:t>干燥。</w:t>
                  </w:r>
                </w:p>
              </w:tc>
            </w:tr>
            <w:tr w14:paraId="291A4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0121068">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六</w:t>
                  </w:r>
                </w:p>
              </w:tc>
              <w:tc>
                <w:tcPr>
                  <w:tcW w:w="5867" w:type="dxa"/>
                  <w:gridSpan w:val="2"/>
                  <w:noWrap w:val="0"/>
                  <w:vAlign w:val="top"/>
                </w:tcPr>
                <w:p w14:paraId="2C4A5C1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物品装载</w:t>
                  </w:r>
                </w:p>
              </w:tc>
            </w:tr>
            <w:tr w14:paraId="2E04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8B9FDD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1FC5159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物品装载方式：</w:t>
                  </w:r>
                </w:p>
              </w:tc>
              <w:tc>
                <w:tcPr>
                  <w:tcW w:w="4805" w:type="dxa"/>
                  <w:noWrap w:val="0"/>
                  <w:vAlign w:val="top"/>
                </w:tcPr>
                <w:p w14:paraId="247A28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标配</w:t>
                  </w:r>
                  <w:r>
                    <w:rPr>
                      <w:rFonts w:hint="eastAsia" w:ascii="宋体" w:hAnsi="宋体" w:eastAsia="宋体" w:cs="宋体"/>
                      <w:snapToGrid w:val="0"/>
                      <w:color w:val="auto"/>
                      <w:kern w:val="0"/>
                      <w:sz w:val="18"/>
                      <w:szCs w:val="18"/>
                      <w:lang w:eastAsia="zh-CN"/>
                    </w:rPr>
                    <w:t>内推式消毒</w:t>
                  </w:r>
                  <w:r>
                    <w:rPr>
                      <w:rFonts w:hint="eastAsia" w:ascii="宋体" w:hAnsi="宋体" w:eastAsia="宋体" w:cs="宋体"/>
                      <w:snapToGrid w:val="0"/>
                      <w:color w:val="auto"/>
                      <w:kern w:val="0"/>
                      <w:sz w:val="18"/>
                      <w:szCs w:val="18"/>
                      <w:lang w:eastAsia="en-US"/>
                    </w:rPr>
                    <w:t>车</w:t>
                  </w:r>
                  <w:r>
                    <w:rPr>
                      <w:rFonts w:hint="eastAsia" w:ascii="宋体" w:hAnsi="宋体" w:eastAsia="宋体" w:cs="宋体"/>
                      <w:snapToGrid w:val="0"/>
                      <w:color w:val="auto"/>
                      <w:kern w:val="0"/>
                      <w:sz w:val="18"/>
                      <w:szCs w:val="18"/>
                      <w:lang w:eastAsia="zh-CN"/>
                    </w:rPr>
                    <w:t>一台，装载搬运一体</w:t>
                  </w:r>
                  <w:r>
                    <w:rPr>
                      <w:rFonts w:hint="eastAsia" w:ascii="宋体" w:hAnsi="宋体" w:eastAsia="宋体" w:cs="宋体"/>
                      <w:snapToGrid w:val="0"/>
                      <w:color w:val="auto"/>
                      <w:kern w:val="0"/>
                      <w:sz w:val="18"/>
                      <w:szCs w:val="18"/>
                      <w:lang w:eastAsia="en-US"/>
                    </w:rPr>
                    <w:t>。</w:t>
                  </w:r>
                </w:p>
              </w:tc>
            </w:tr>
            <w:tr w14:paraId="7124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DB46C8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361DD85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材质：</w:t>
                  </w:r>
                </w:p>
              </w:tc>
              <w:tc>
                <w:tcPr>
                  <w:tcW w:w="4805" w:type="dxa"/>
                  <w:noWrap w:val="0"/>
                  <w:vAlign w:val="top"/>
                </w:tcPr>
                <w:p w14:paraId="42E086C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zh-CN"/>
                    </w:rPr>
                    <w:t>内</w:t>
                  </w:r>
                  <w:r>
                    <w:rPr>
                      <w:rFonts w:hint="eastAsia" w:ascii="宋体" w:hAnsi="宋体" w:eastAsia="宋体" w:cs="宋体"/>
                      <w:snapToGrid w:val="0"/>
                      <w:color w:val="auto"/>
                      <w:kern w:val="0"/>
                      <w:sz w:val="18"/>
                      <w:szCs w:val="18"/>
                      <w:lang w:eastAsia="en-US"/>
                    </w:rPr>
                    <w:t>车标配SUS304。</w:t>
                  </w:r>
                </w:p>
              </w:tc>
            </w:tr>
            <w:tr w14:paraId="6904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2575FE5">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七</w:t>
                  </w:r>
                </w:p>
              </w:tc>
              <w:tc>
                <w:tcPr>
                  <w:tcW w:w="5867" w:type="dxa"/>
                  <w:gridSpan w:val="2"/>
                  <w:noWrap w:val="0"/>
                  <w:vAlign w:val="top"/>
                </w:tcPr>
                <w:p w14:paraId="7E1F1C10">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其他要求</w:t>
                  </w:r>
                </w:p>
              </w:tc>
            </w:tr>
            <w:tr w14:paraId="77CA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68C24A6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4A7C5D3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设备功率：</w:t>
                  </w:r>
                </w:p>
              </w:tc>
              <w:tc>
                <w:tcPr>
                  <w:tcW w:w="4805" w:type="dxa"/>
                  <w:noWrap w:val="0"/>
                  <w:vAlign w:val="top"/>
                </w:tcPr>
                <w:p w14:paraId="5891A52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380V/50HZ/总功率≤65KW</w:t>
                  </w:r>
                  <w:r>
                    <w:rPr>
                      <w:rFonts w:hint="eastAsia" w:ascii="宋体" w:hAnsi="宋体" w:eastAsia="宋体" w:cs="宋体"/>
                      <w:snapToGrid w:val="0"/>
                      <w:color w:val="auto"/>
                      <w:kern w:val="0"/>
                      <w:sz w:val="18"/>
                      <w:szCs w:val="18"/>
                      <w:lang w:eastAsia="zh-CN"/>
                    </w:rPr>
                    <w:t>。</w:t>
                  </w:r>
                </w:p>
              </w:tc>
            </w:tr>
            <w:tr w14:paraId="281D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0DF452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2E71EBE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搬运安装：</w:t>
                  </w:r>
                </w:p>
              </w:tc>
              <w:tc>
                <w:tcPr>
                  <w:tcW w:w="4805" w:type="dxa"/>
                  <w:noWrap w:val="0"/>
                  <w:vAlign w:val="top"/>
                </w:tcPr>
                <w:p w14:paraId="0A2576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交钥匙工程，供方自行测量场地，负责旧设备的拆除，新设备的搬运安装。</w:t>
                  </w:r>
                </w:p>
              </w:tc>
            </w:tr>
            <w:tr w14:paraId="0C0E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A84001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298D8D8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使用手续：</w:t>
                  </w:r>
                </w:p>
              </w:tc>
              <w:tc>
                <w:tcPr>
                  <w:tcW w:w="4805" w:type="dxa"/>
                  <w:noWrap w:val="0"/>
                  <w:vAlign w:val="top"/>
                </w:tcPr>
                <w:p w14:paraId="7C54A0F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供方负责办理压力容器的安装告知及使用手续。</w:t>
                  </w:r>
                </w:p>
              </w:tc>
            </w:tr>
          </w:tbl>
          <w:p w14:paraId="754204EE">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6E07F503">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5E66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453EAD30">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w:t>
            </w:r>
          </w:p>
        </w:tc>
        <w:tc>
          <w:tcPr>
            <w:tcW w:w="1415" w:type="dxa"/>
            <w:tcBorders>
              <w:top w:val="single" w:color="000000" w:sz="4" w:space="0"/>
              <w:bottom w:val="single" w:color="000000" w:sz="4" w:space="0"/>
            </w:tcBorders>
            <w:vAlign w:val="top"/>
          </w:tcPr>
          <w:p w14:paraId="01718EB7">
            <w:pPr>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智能多功能巡回</w:t>
            </w:r>
            <w:r>
              <w:rPr>
                <w:rFonts w:hint="eastAsia" w:ascii="宋体" w:hAnsi="宋体" w:eastAsia="宋体" w:cs="宋体"/>
                <w:snapToGrid w:val="0"/>
                <w:color w:val="auto"/>
                <w:spacing w:val="-2"/>
                <w:kern w:val="0"/>
                <w:sz w:val="18"/>
                <w:szCs w:val="18"/>
                <w:lang w:val="en-US" w:eastAsia="zh-CN" w:bidi="ar-SA"/>
              </w:rPr>
              <w:t>诊</w:t>
            </w:r>
            <w:r>
              <w:rPr>
                <w:rFonts w:hint="eastAsia" w:ascii="宋体" w:hAnsi="宋体" w:eastAsia="宋体" w:cs="宋体"/>
                <w:snapToGrid w:val="0"/>
                <w:color w:val="auto"/>
                <w:spacing w:val="-2"/>
                <w:kern w:val="0"/>
                <w:sz w:val="18"/>
                <w:szCs w:val="18"/>
                <w:lang w:val="en-US" w:eastAsia="en-US" w:bidi="ar-SA"/>
              </w:rPr>
              <w:t>疗车</w:t>
            </w:r>
          </w:p>
        </w:tc>
        <w:tc>
          <w:tcPr>
            <w:tcW w:w="6878" w:type="dxa"/>
            <w:tcBorders>
              <w:top w:val="single" w:color="000000" w:sz="4" w:space="0"/>
              <w:bottom w:val="single" w:color="000000" w:sz="4" w:space="0"/>
            </w:tcBorders>
            <w:vAlign w:val="top"/>
          </w:tcPr>
          <w:p w14:paraId="4F2043E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一、总体要求</w:t>
            </w:r>
          </w:p>
          <w:p w14:paraId="036AF27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本项目采购智能多功能巡回诊疗车，用于乡镇、村居、偏远地区巡回义诊、基本公共卫生服务、慢病筛查、健康体检、远程诊疗、应急医疗保障等工作。整车须符合国家机动车及移动医疗车相关标准，具备机动化、智能化、标准化、规范化特点，满足全天候、全场景基层流动医疗服务需求。</w:t>
            </w:r>
          </w:p>
          <w:p w14:paraId="3BD42C4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整车改装须纳入国家工信部公告，可正常上牌、上路行驶，所有医疗设备具备合法医疗器械资质，整车通过医用环境、电气、辐射、院感安全检测，满足基层医疗机构常态化使用。</w:t>
            </w:r>
          </w:p>
          <w:p w14:paraId="08123F4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二、主要执行标准（全部满足）</w:t>
            </w:r>
          </w:p>
          <w:p w14:paraId="35A3215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1.《机动车运行安全技术条件》（GB 7258）</w:t>
            </w:r>
          </w:p>
          <w:p w14:paraId="14FD3CF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2.《巡回医疗车》（GB/T 18103-2013）</w:t>
            </w:r>
          </w:p>
          <w:p w14:paraId="2D21698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3.《移动医疗车通用技术条件》（GB/T 38900-2020）</w:t>
            </w:r>
          </w:p>
          <w:p w14:paraId="2B77D7A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4.《医用电气设备 第 1 部分：基本安全和基本性能通用要求》（GB 9706.1）</w:t>
            </w:r>
          </w:p>
          <w:p w14:paraId="270BD35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5.《医用 X 射线诊断放射防护要求》（GBZ 130）</w:t>
            </w:r>
          </w:p>
          <w:p w14:paraId="6CF5C3A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6.《医院消毒卫生标准》（WS 310）</w:t>
            </w:r>
          </w:p>
          <w:p w14:paraId="1D31CF3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7.《救护车》（QC/T 776）</w:t>
            </w:r>
          </w:p>
          <w:p w14:paraId="66FB0C9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8.《医用设备环境通用规范》抗振、抗干扰、车载适应性标准</w:t>
            </w:r>
          </w:p>
          <w:p w14:paraId="77E9DE3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三、整车底盘及总体结构参数</w:t>
            </w:r>
          </w:p>
          <w:p w14:paraId="73DC0C4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底盘类型：国内知名品牌轻型 / 中型专用医疗车底盘，国六排放标准，自动挡 / 手动挡可选，适配乡村复杂路况。</w:t>
            </w:r>
          </w:p>
          <w:p w14:paraId="043DA4E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车身结构：整体封闭式一体化医疗方舱，高强度防腐骨架，防水、防尘、阻燃、防潮。</w:t>
            </w:r>
          </w:p>
          <w:p w14:paraId="3985E07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使用环境：适应环境温度 -20℃～+40℃，高湿、山区、颠簸路面稳定工作。</w:t>
            </w:r>
          </w:p>
          <w:p w14:paraId="0EE23E2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车内空间：内部净高≥1.9m，主通道宽度≥0.8m，满足医患分流、多点位同时作业。</w:t>
            </w:r>
          </w:p>
          <w:p w14:paraId="7040C92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内饰材质：医用环保阻燃板材、无死角圆弧设计、耐消毒剂擦洗、低 VOC、防霉变。</w:t>
            </w:r>
          </w:p>
          <w:p w14:paraId="4B7318C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整车降噪：设备运行及行车状态舱内噪声≤65dB。</w:t>
            </w:r>
          </w:p>
          <w:p w14:paraId="3B912F0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四、车内功能分区（标准化四区布局）</w:t>
            </w:r>
          </w:p>
          <w:p w14:paraId="5D7ED07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车内严格分区、功能独立、动线合理、隐私性好：</w:t>
            </w:r>
          </w:p>
          <w:p w14:paraId="5B804CE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信息登记与宣教区</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配备接诊工作台、办公系统、身份证 / 医保卡读卡器、打印设备、健康宣教展示位。</w:t>
            </w:r>
          </w:p>
          <w:p w14:paraId="1CD7F58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诊查检查区</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设置诊查床、B 超检查位、心电检查位、体格检查位，独立隔断，保障体检隐私。</w:t>
            </w:r>
          </w:p>
          <w:p w14:paraId="3C806EB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检验影像区</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预留 DR 影像检测工位、采血留样工位、快速生化检测工位，辐射独立防护。</w:t>
            </w:r>
          </w:p>
          <w:p w14:paraId="7AACB45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药品物资及消毒处置区</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医用药品柜、器械柜、恒温冷藏设备、医疗废物收纳、洗手消毒设施。</w:t>
            </w:r>
          </w:p>
          <w:p w14:paraId="3AB4881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五、车载医疗设备配置要求</w:t>
            </w:r>
          </w:p>
          <w:p w14:paraId="3FFAEDB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（一）基础诊疗设备</w:t>
            </w:r>
          </w:p>
          <w:p w14:paraId="4887FAB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多参数监护仪：支持血压、血氧、心率、体温、呼吸监测。</w:t>
            </w:r>
          </w:p>
          <w:p w14:paraId="709B7478">
            <w:pPr>
              <w:keepNext w:val="0"/>
              <w:keepLines w:val="0"/>
              <w:pageBreakBefore w:val="0"/>
              <w:widowControl w:val="0"/>
              <w:kinsoku/>
              <w:wordWrap/>
              <w:overflowPunct/>
              <w:topLinePunct w:val="0"/>
              <w:autoSpaceDE/>
              <w:autoSpaceDN/>
              <w:bidi w:val="0"/>
              <w:adjustRightInd/>
              <w:snapToGrid/>
              <w:spacing w:line="240" w:lineRule="auto"/>
              <w:ind w:firstLine="336" w:firstLineChars="200"/>
              <w:jc w:val="left"/>
              <w:textAlignment w:val="auto"/>
              <w:rPr>
                <w:rFonts w:hint="eastAsia" w:ascii="宋体" w:hAnsi="宋体" w:eastAsia="宋体" w:cs="宋体"/>
                <w:snapToGrid w:val="0"/>
                <w:color w:val="auto"/>
                <w:spacing w:val="-6"/>
                <w:kern w:val="0"/>
                <w:sz w:val="18"/>
                <w:szCs w:val="18"/>
                <w:lang w:eastAsia="en-US"/>
              </w:rPr>
            </w:pPr>
            <w:r>
              <w:rPr>
                <w:rFonts w:hint="eastAsia" w:ascii="宋体" w:hAnsi="宋体" w:eastAsia="宋体" w:cs="宋体"/>
                <w:snapToGrid w:val="0"/>
                <w:color w:val="auto"/>
                <w:spacing w:val="-6"/>
                <w:kern w:val="0"/>
                <w:sz w:val="18"/>
                <w:szCs w:val="18"/>
                <w:lang w:val="en-US" w:eastAsia="zh-CN"/>
              </w:rPr>
              <w:t>2.</w:t>
            </w:r>
            <w:r>
              <w:rPr>
                <w:rFonts w:hint="eastAsia" w:ascii="宋体" w:hAnsi="宋体" w:eastAsia="宋体" w:cs="宋体"/>
                <w:snapToGrid w:val="0"/>
                <w:color w:val="auto"/>
                <w:spacing w:val="-6"/>
                <w:kern w:val="0"/>
                <w:sz w:val="18"/>
                <w:szCs w:val="18"/>
                <w:lang w:eastAsia="en-US"/>
              </w:rPr>
              <w:t>12 导联全自动心电图机：自动分析、存储、打印、数据可上传公卫系统。</w:t>
            </w:r>
          </w:p>
          <w:p w14:paraId="127757D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便携式除颤仪：全自动、语音提示，满足应急抢救。</w:t>
            </w:r>
          </w:p>
          <w:p w14:paraId="520A259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彩色 B 超机：腹部、浅表双探头，满足肝胆、泌尿系、甲状腺、乳腺基础筛查。</w:t>
            </w:r>
          </w:p>
          <w:p w14:paraId="05777C4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（二）公共卫生体检设备</w:t>
            </w:r>
          </w:p>
          <w:p w14:paraId="313AF56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全自动身高体重体脂一体机</w:t>
            </w:r>
            <w:r>
              <w:rPr>
                <w:rFonts w:hint="eastAsia" w:ascii="宋体" w:hAnsi="宋体" w:eastAsia="宋体" w:cs="宋体"/>
                <w:snapToGrid w:val="0"/>
                <w:color w:val="auto"/>
                <w:kern w:val="0"/>
                <w:sz w:val="18"/>
                <w:szCs w:val="18"/>
                <w:lang w:val="en-US" w:eastAsia="zh-CN"/>
              </w:rPr>
              <w:t>;</w:t>
            </w:r>
          </w:p>
          <w:p w14:paraId="73F4C72A">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电子血压仪、快速血糖检测仪</w:t>
            </w:r>
            <w:r>
              <w:rPr>
                <w:rFonts w:hint="eastAsia" w:ascii="宋体" w:hAnsi="宋体" w:eastAsia="宋体" w:cs="宋体"/>
                <w:snapToGrid w:val="0"/>
                <w:color w:val="auto"/>
                <w:kern w:val="0"/>
                <w:sz w:val="18"/>
                <w:szCs w:val="18"/>
                <w:lang w:val="en-US" w:eastAsia="zh-CN"/>
              </w:rPr>
              <w:t>;</w:t>
            </w:r>
          </w:p>
          <w:p w14:paraId="133CBEE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便携式肺功能检测仪</w:t>
            </w:r>
            <w:r>
              <w:rPr>
                <w:rFonts w:hint="eastAsia" w:ascii="宋体" w:hAnsi="宋体" w:eastAsia="宋体" w:cs="宋体"/>
                <w:snapToGrid w:val="0"/>
                <w:color w:val="auto"/>
                <w:kern w:val="0"/>
                <w:sz w:val="18"/>
                <w:szCs w:val="18"/>
                <w:lang w:val="en-US" w:eastAsia="zh-CN"/>
              </w:rPr>
              <w:t>;</w:t>
            </w:r>
          </w:p>
          <w:p w14:paraId="06D1AF6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尿常规、血常规快速检测设备</w:t>
            </w:r>
            <w:r>
              <w:rPr>
                <w:rFonts w:hint="eastAsia" w:ascii="宋体" w:hAnsi="宋体" w:eastAsia="宋体" w:cs="宋体"/>
                <w:snapToGrid w:val="0"/>
                <w:color w:val="auto"/>
                <w:kern w:val="0"/>
                <w:sz w:val="18"/>
                <w:szCs w:val="18"/>
                <w:lang w:val="en-US" w:eastAsia="zh-CN"/>
              </w:rPr>
              <w:t>;</w:t>
            </w:r>
          </w:p>
          <w:p w14:paraId="4447C68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医用 2～8℃药品冷藏柜</w:t>
            </w:r>
            <w:r>
              <w:rPr>
                <w:rFonts w:hint="eastAsia" w:ascii="宋体" w:hAnsi="宋体" w:eastAsia="宋体" w:cs="宋体"/>
                <w:snapToGrid w:val="0"/>
                <w:color w:val="auto"/>
                <w:kern w:val="0"/>
                <w:sz w:val="18"/>
                <w:szCs w:val="18"/>
                <w:lang w:val="en-US" w:eastAsia="zh-CN"/>
              </w:rPr>
              <w:t>.</w:t>
            </w:r>
          </w:p>
          <w:p w14:paraId="54B30EE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（三）影像系统（可选标配）</w:t>
            </w:r>
          </w:p>
          <w:p w14:paraId="140F173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车载数字化 DR 拍片系统，配套专用铅防护舱，满足国家放射防护标准：</w:t>
            </w:r>
          </w:p>
          <w:p w14:paraId="4A08F04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防护舱墙体铅当量≥2.0mmPb，门窗≥1.5mmPb</w:t>
            </w:r>
            <w:r>
              <w:rPr>
                <w:rFonts w:hint="eastAsia" w:ascii="宋体" w:hAnsi="宋体" w:eastAsia="宋体" w:cs="宋体"/>
                <w:snapToGrid w:val="0"/>
                <w:color w:val="auto"/>
                <w:kern w:val="0"/>
                <w:sz w:val="18"/>
                <w:szCs w:val="18"/>
                <w:lang w:val="en-US" w:eastAsia="zh-CN"/>
              </w:rPr>
              <w:t>;</w:t>
            </w:r>
          </w:p>
          <w:p w14:paraId="13D553D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具备辐射警示灯、工作指示灯、门禁联锁保护</w:t>
            </w:r>
            <w:r>
              <w:rPr>
                <w:rFonts w:hint="eastAsia" w:ascii="宋体" w:hAnsi="宋体" w:eastAsia="宋体" w:cs="宋体"/>
                <w:snapToGrid w:val="0"/>
                <w:color w:val="auto"/>
                <w:kern w:val="0"/>
                <w:sz w:val="18"/>
                <w:szCs w:val="18"/>
                <w:lang w:val="en-US" w:eastAsia="zh-CN"/>
              </w:rPr>
              <w:t>;</w:t>
            </w:r>
          </w:p>
          <w:p w14:paraId="3BBB583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辐射剂量符合国家职业卫生限值，可出具第三方检测报告。</w:t>
            </w:r>
          </w:p>
          <w:p w14:paraId="289FDD4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（四）急救配套设施</w:t>
            </w:r>
          </w:p>
          <w:p w14:paraId="3CB8C4F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医用中心供氧、负压吸引装置</w:t>
            </w:r>
            <w:r>
              <w:rPr>
                <w:rFonts w:hint="eastAsia" w:ascii="宋体" w:hAnsi="宋体" w:eastAsia="宋体" w:cs="宋体"/>
                <w:snapToGrid w:val="0"/>
                <w:color w:val="auto"/>
                <w:kern w:val="0"/>
                <w:sz w:val="18"/>
                <w:szCs w:val="18"/>
                <w:lang w:val="en-US" w:eastAsia="zh-CN"/>
              </w:rPr>
              <w:t>:</w:t>
            </w:r>
          </w:p>
          <w:p w14:paraId="31B21C0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全套急救药品、急救包、气道管理器械</w:t>
            </w:r>
            <w:r>
              <w:rPr>
                <w:rFonts w:hint="eastAsia" w:ascii="宋体" w:hAnsi="宋体" w:eastAsia="宋体" w:cs="宋体"/>
                <w:snapToGrid w:val="0"/>
                <w:color w:val="auto"/>
                <w:kern w:val="0"/>
                <w:sz w:val="18"/>
                <w:szCs w:val="18"/>
                <w:lang w:val="en-US" w:eastAsia="zh-CN"/>
              </w:rPr>
              <w:t>;</w:t>
            </w:r>
          </w:p>
          <w:p w14:paraId="7C9499F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车载担架、固定装置、应急照明系统</w:t>
            </w:r>
            <w:r>
              <w:rPr>
                <w:rFonts w:hint="eastAsia" w:ascii="宋体" w:hAnsi="宋体" w:eastAsia="宋体" w:cs="宋体"/>
                <w:snapToGrid w:val="0"/>
                <w:color w:val="auto"/>
                <w:kern w:val="0"/>
                <w:sz w:val="18"/>
                <w:szCs w:val="18"/>
                <w:lang w:val="en-US" w:eastAsia="zh-CN"/>
              </w:rPr>
              <w:t>.</w:t>
            </w:r>
          </w:p>
          <w:p w14:paraId="46D3943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六、智能信息化系统功能要求</w:t>
            </w:r>
          </w:p>
          <w:p w14:paraId="1F558DD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5G + 双链路网络：5G 无线 + 有线双备份，车载 WiFi 全域覆盖。</w:t>
            </w:r>
          </w:p>
          <w:p w14:paraId="6A5EA2A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智慧医疗车载终端：支持居民健康档案调取、更新、随访录入、公卫数据实时上传。</w:t>
            </w:r>
          </w:p>
          <w:p w14:paraId="275B0A0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远程会诊系统：高清视频、双向语音、远程阅片、远程指导、实时连线院内专家。</w:t>
            </w:r>
          </w:p>
          <w:p w14:paraId="193FF00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身份智能识别：支持身份证、社保卡读卡建档、现场体检登记。</w:t>
            </w:r>
          </w:p>
          <w:p w14:paraId="182B043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数据一体化：检查、检验、影像、体检数据自动归档，支持对接区域卫健平台、HIS/LIS/PACS 系统。</w:t>
            </w:r>
          </w:p>
          <w:p w14:paraId="1975D06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智能轨迹管理：GPS 定位、巡诊轨迹记录、服务台账自动统计，满足公卫考核。</w:t>
            </w:r>
          </w:p>
          <w:p w14:paraId="577AE67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现场打印输出：体检报告、诊断记录、宣教资料即时打印。</w:t>
            </w:r>
          </w:p>
          <w:p w14:paraId="6532D98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七、供电与电气系统（核心硬性指标）</w:t>
            </w:r>
          </w:p>
          <w:p w14:paraId="78492AF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三模式自动供电：外接市电、静音发电机组、锂电储能，无缝自动切换。</w:t>
            </w:r>
          </w:p>
          <w:p w14:paraId="5DA0CB9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医用隔离供电：医疗区采用 IT 隔离电源，防漏电、防干扰、保障精密设备稳定。</w:t>
            </w:r>
          </w:p>
          <w:p w14:paraId="7FFC75A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安全防护：独立回路布线，具备过载、短路、漏电、防雷多级保护。</w:t>
            </w:r>
          </w:p>
          <w:p w14:paraId="03DD125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接地指标：整车接地电阻≤0.1Ω，绝缘电阻≥10MΩ。</w:t>
            </w:r>
          </w:p>
          <w:p w14:paraId="0BB0651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稳压保障：影像、检验设备配备独立稳压电源，电压波动≤±1%。</w:t>
            </w:r>
          </w:p>
          <w:p w14:paraId="773E42C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八、空气环境与消毒系统</w:t>
            </w:r>
          </w:p>
          <w:p w14:paraId="23D845C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恒温空调系统：医疗舱独立中央空调，恒温 22℃±3℃，湿度 50%～60%。</w:t>
            </w:r>
          </w:p>
          <w:p w14:paraId="1FFDCF5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新风净化系统：强制新风换气，换气次数≥15 次 / 小时。</w:t>
            </w:r>
          </w:p>
          <w:p w14:paraId="35B5D6D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智能消毒：紫外定时消毒 + 空气动态消毒，无人自动消杀，符合院感标准。</w:t>
            </w:r>
          </w:p>
          <w:p w14:paraId="7D3EE4E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污水污物处理：独立医疗废物密封存放、车载污水收集装置，零野外直排。</w:t>
            </w:r>
          </w:p>
          <w:p w14:paraId="51110ED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九、安全、防护与院感要求</w:t>
            </w:r>
          </w:p>
          <w:p w14:paraId="287C2ED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全车电路、设备通过车载振动、颠簸、高低温测试</w:t>
            </w:r>
            <w:r>
              <w:rPr>
                <w:rFonts w:hint="eastAsia" w:ascii="宋体" w:hAnsi="宋体" w:eastAsia="宋体" w:cs="宋体"/>
                <w:snapToGrid w:val="0"/>
                <w:color w:val="auto"/>
                <w:kern w:val="0"/>
                <w:sz w:val="18"/>
                <w:szCs w:val="18"/>
                <w:lang w:val="en-US" w:eastAsia="zh-CN"/>
              </w:rPr>
              <w:t>;</w:t>
            </w:r>
          </w:p>
          <w:p w14:paraId="4A37735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所有医用设备具备 NMPA 注册证、合格证</w:t>
            </w:r>
            <w:r>
              <w:rPr>
                <w:rFonts w:hint="eastAsia" w:ascii="宋体" w:hAnsi="宋体" w:eastAsia="宋体" w:cs="宋体"/>
                <w:snapToGrid w:val="0"/>
                <w:color w:val="auto"/>
                <w:kern w:val="0"/>
                <w:sz w:val="18"/>
                <w:szCs w:val="18"/>
                <w:lang w:val="en-US" w:eastAsia="zh-CN"/>
              </w:rPr>
              <w:t>;</w:t>
            </w:r>
          </w:p>
          <w:p w14:paraId="26889F8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放射防护、电气安全、消毒效果可提供第三方检测报告</w:t>
            </w:r>
            <w:r>
              <w:rPr>
                <w:rFonts w:hint="eastAsia" w:ascii="宋体" w:hAnsi="宋体" w:eastAsia="宋体" w:cs="宋体"/>
                <w:snapToGrid w:val="0"/>
                <w:color w:val="auto"/>
                <w:kern w:val="0"/>
                <w:sz w:val="18"/>
                <w:szCs w:val="18"/>
                <w:lang w:val="en-US" w:eastAsia="zh-CN"/>
              </w:rPr>
              <w:t>;</w:t>
            </w:r>
          </w:p>
          <w:p w14:paraId="55E03CA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整车阻燃、防火、防漏电、防辐射，满足医疗机构院感管理要求。</w:t>
            </w:r>
          </w:p>
          <w:p w14:paraId="5DBA47F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十、智能化拓展功能</w:t>
            </w:r>
          </w:p>
          <w:p w14:paraId="4B95E44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车载户外 LED 宣教屏，支持下乡健康宣传、政策宣讲</w:t>
            </w:r>
            <w:r>
              <w:rPr>
                <w:rFonts w:hint="eastAsia" w:ascii="宋体" w:hAnsi="宋体" w:eastAsia="宋体" w:cs="宋体"/>
                <w:snapToGrid w:val="0"/>
                <w:color w:val="auto"/>
                <w:kern w:val="0"/>
                <w:sz w:val="18"/>
                <w:szCs w:val="18"/>
                <w:lang w:val="en-US" w:eastAsia="zh-CN"/>
              </w:rPr>
              <w:t>;</w:t>
            </w:r>
          </w:p>
          <w:p w14:paraId="0D5FD55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设备运行状态智能监测、温湿度监测、故障预警</w:t>
            </w:r>
            <w:r>
              <w:rPr>
                <w:rFonts w:hint="eastAsia" w:ascii="宋体" w:hAnsi="宋体" w:eastAsia="宋体" w:cs="宋体"/>
                <w:snapToGrid w:val="0"/>
                <w:color w:val="auto"/>
                <w:kern w:val="0"/>
                <w:sz w:val="18"/>
                <w:szCs w:val="18"/>
                <w:lang w:val="en-US" w:eastAsia="zh-CN"/>
              </w:rPr>
              <w:t>;</w:t>
            </w:r>
          </w:p>
          <w:p w14:paraId="0CC4B0B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可拓展现场签约、医保结算、疫苗接种配套功能</w:t>
            </w:r>
            <w:r>
              <w:rPr>
                <w:rFonts w:hint="eastAsia" w:ascii="宋体" w:hAnsi="宋体" w:eastAsia="宋体" w:cs="宋体"/>
                <w:snapToGrid w:val="0"/>
                <w:color w:val="auto"/>
                <w:kern w:val="0"/>
                <w:sz w:val="18"/>
                <w:szCs w:val="18"/>
                <w:lang w:val="en-US" w:eastAsia="zh-CN"/>
              </w:rPr>
              <w:t>;</w:t>
            </w:r>
          </w:p>
          <w:p w14:paraId="6EB1EF3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可对接智慧卫健、基本公卫绩效考核系统。</w:t>
            </w:r>
          </w:p>
          <w:p w14:paraId="0EE4041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十一、验收及交付标准</w:t>
            </w:r>
          </w:p>
          <w:p w14:paraId="71A7CC0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整车具备工信部公告、合格证，可正常上牌。</w:t>
            </w:r>
          </w:p>
          <w:p w14:paraId="480EB5D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所有改造工艺、设备参数、防护指标完全符合本技术规格书及对应国标。</w:t>
            </w:r>
          </w:p>
          <w:p w14:paraId="00791EF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提供全套设备资料、合格证、注册证、检测报告、竣工图纸。</w:t>
            </w:r>
          </w:p>
          <w:p w14:paraId="2453A4D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完成系统联调、数据对接、操作培训、售后质保服务。</w:t>
            </w:r>
          </w:p>
          <w:p w14:paraId="1A76758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十二、质保及售后服务</w:t>
            </w:r>
          </w:p>
          <w:p w14:paraId="5B0AC63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整车改装质保≥3年或6万公里，核心医疗设备按厂家标准质保。</w:t>
            </w:r>
          </w:p>
          <w:p w14:paraId="776FCB10">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提供现场安装调试、人员操作培训。</w:t>
            </w:r>
          </w:p>
          <w:p w14:paraId="47EEB10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属地快速售后响应，2小时响应、24小时到场处置。</w:t>
            </w:r>
          </w:p>
        </w:tc>
        <w:tc>
          <w:tcPr>
            <w:tcW w:w="1297" w:type="dxa"/>
            <w:tcBorders>
              <w:top w:val="single" w:color="000000" w:sz="4" w:space="0"/>
              <w:bottom w:val="single" w:color="000000" w:sz="4" w:space="0"/>
            </w:tcBorders>
            <w:vAlign w:val="top"/>
          </w:tcPr>
          <w:p w14:paraId="29EA57AA">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p>
        </w:tc>
      </w:tr>
      <w:tr w14:paraId="0EAA3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6E38CD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9</w:t>
            </w:r>
          </w:p>
        </w:tc>
        <w:tc>
          <w:tcPr>
            <w:tcW w:w="1415" w:type="dxa"/>
            <w:tcBorders>
              <w:top w:val="single" w:color="000000" w:sz="4" w:space="0"/>
              <w:bottom w:val="single" w:color="000000" w:sz="4" w:space="0"/>
            </w:tcBorders>
            <w:vAlign w:val="top"/>
          </w:tcPr>
          <w:p w14:paraId="665E7FE1">
            <w:pPr>
              <w:kinsoku w:val="0"/>
              <w:autoSpaceDE w:val="0"/>
              <w:autoSpaceDN w:val="0"/>
              <w:adjustRightInd w:val="0"/>
              <w:snapToGrid w:val="0"/>
              <w:spacing w:before="127"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DR</w:t>
            </w:r>
            <w:r>
              <w:rPr>
                <w:rFonts w:hint="eastAsia" w:ascii="宋体" w:hAnsi="宋体" w:eastAsia="宋体" w:cs="宋体"/>
                <w:snapToGrid w:val="0"/>
                <w:color w:val="auto"/>
                <w:spacing w:val="-1"/>
                <w:kern w:val="0"/>
                <w:sz w:val="18"/>
                <w:szCs w:val="18"/>
                <w:lang w:val="en-US" w:eastAsia="en-US" w:bidi="ar-SA"/>
              </w:rPr>
              <w:t>机</w:t>
            </w:r>
          </w:p>
        </w:tc>
        <w:tc>
          <w:tcPr>
            <w:tcW w:w="6878" w:type="dxa"/>
            <w:tcBorders>
              <w:top w:val="single" w:color="000000" w:sz="4" w:space="0"/>
              <w:bottom w:val="single" w:color="000000" w:sz="4" w:space="0"/>
            </w:tcBorders>
            <w:vAlign w:val="top"/>
          </w:tcPr>
          <w:p w14:paraId="2BA02F80">
            <w:pPr>
              <w:widowControl/>
              <w:kinsoku w:val="0"/>
              <w:autoSpaceDE w:val="0"/>
              <w:autoSpaceDN w:val="0"/>
              <w:adjustRightInd w:val="0"/>
              <w:snapToGrid w:val="0"/>
              <w:spacing w:line="439"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（一）整体要求：</w:t>
            </w:r>
          </w:p>
          <w:p w14:paraId="71A95FF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1.1设备用途：能进行人体全身各部位的立位和卧位X线影像学检查，实现数字化X线摄影、数字化X线透视、数字图像的存贮管理。</w:t>
            </w:r>
          </w:p>
          <w:p w14:paraId="0E18148B">
            <w:pPr>
              <w:widowControl/>
              <w:kinsoku w:val="0"/>
              <w:autoSpaceDE w:val="0"/>
              <w:autoSpaceDN w:val="0"/>
              <w:adjustRightInd w:val="0"/>
              <w:snapToGrid w:val="0"/>
              <w:spacing w:line="439"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（二）设备主要构成及附件：</w:t>
            </w:r>
          </w:p>
          <w:p w14:paraId="44330429">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2.1动态平板探测器一块。</w:t>
            </w:r>
          </w:p>
          <w:p w14:paraId="77E7BFD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2.2静态平板探测器一块</w:t>
            </w:r>
          </w:p>
          <w:p w14:paraId="1485BF9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 xml:space="preserve"> X线球管一套。</w:t>
            </w:r>
          </w:p>
          <w:p w14:paraId="2ADC4BE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高频高压发生器1套。</w:t>
            </w:r>
          </w:p>
          <w:p w14:paraId="308BDB4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 xml:space="preserve"> </w:t>
            </w:r>
            <w:r>
              <w:rPr>
                <w:rFonts w:hint="eastAsia" w:ascii="宋体" w:hAnsi="宋体" w:eastAsia="宋体" w:cs="宋体"/>
                <w:snapToGrid w:val="0"/>
                <w:color w:val="auto"/>
                <w:kern w:val="0"/>
                <w:sz w:val="18"/>
                <w:szCs w:val="18"/>
                <w:lang w:val="en-US" w:eastAsia="zh-CN"/>
              </w:rPr>
              <w:t>悬吊式一套</w:t>
            </w:r>
          </w:p>
          <w:p w14:paraId="00CD19E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限束器一个。</w:t>
            </w:r>
          </w:p>
          <w:p w14:paraId="7018D52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专用图像采集/处理工作站一套。</w:t>
            </w:r>
          </w:p>
          <w:p w14:paraId="037475FD">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语音呼叫系统一套。</w:t>
            </w:r>
          </w:p>
          <w:p w14:paraId="66B1E61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2.9虑线栅2块</w:t>
            </w:r>
          </w:p>
          <w:p w14:paraId="09A694A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2.10遥控台1个</w:t>
            </w:r>
          </w:p>
          <w:p w14:paraId="43269B4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2.11电离室2套</w:t>
            </w:r>
          </w:p>
          <w:p w14:paraId="30F33C2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2.12诊断床</w:t>
            </w:r>
          </w:p>
          <w:p w14:paraId="4F0A3EA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2.13诊断工作站</w:t>
            </w:r>
          </w:p>
          <w:p w14:paraId="1DE9AAE3">
            <w:pPr>
              <w:widowControl/>
              <w:kinsoku w:val="0"/>
              <w:autoSpaceDE w:val="0"/>
              <w:autoSpaceDN w:val="0"/>
              <w:adjustRightInd w:val="0"/>
              <w:snapToGrid w:val="0"/>
              <w:spacing w:line="439"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（三）主要技术及系统概述：</w:t>
            </w:r>
          </w:p>
          <w:p w14:paraId="451A197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3.1</w:t>
            </w:r>
            <w:r>
              <w:rPr>
                <w:rFonts w:hint="eastAsia" w:ascii="宋体" w:hAnsi="宋体" w:eastAsia="宋体" w:cs="宋体"/>
                <w:b/>
                <w:bCs/>
                <w:snapToGrid w:val="0"/>
                <w:color w:val="auto"/>
                <w:kern w:val="0"/>
                <w:sz w:val="18"/>
                <w:szCs w:val="18"/>
                <w:lang w:eastAsia="en-US"/>
              </w:rPr>
              <w:t>探测器：</w:t>
            </w:r>
          </w:p>
          <w:p w14:paraId="070E6C65">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3.1.1</w:t>
            </w:r>
            <w:r>
              <w:rPr>
                <w:rFonts w:hint="eastAsia" w:ascii="宋体" w:hAnsi="宋体" w:eastAsia="宋体" w:cs="宋体"/>
                <w:b/>
                <w:bCs/>
                <w:snapToGrid w:val="0"/>
                <w:color w:val="auto"/>
                <w:kern w:val="0"/>
                <w:sz w:val="18"/>
                <w:szCs w:val="18"/>
                <w:lang w:eastAsia="zh-CN"/>
              </w:rPr>
              <w:t>：</w:t>
            </w:r>
            <w:r>
              <w:rPr>
                <w:rFonts w:hint="eastAsia" w:ascii="宋体" w:hAnsi="宋体" w:eastAsia="宋体" w:cs="宋体"/>
                <w:b/>
                <w:bCs/>
                <w:snapToGrid w:val="0"/>
                <w:color w:val="auto"/>
                <w:kern w:val="0"/>
                <w:sz w:val="18"/>
                <w:szCs w:val="18"/>
                <w:lang w:eastAsia="en-US"/>
              </w:rPr>
              <w:t>动态平板探测器</w:t>
            </w:r>
          </w:p>
          <w:p w14:paraId="61C36CC6">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 xml:space="preserve">像素尺寸:≤139um </w:t>
            </w:r>
          </w:p>
          <w:p w14:paraId="242E063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 xml:space="preserve"> </w:t>
            </w:r>
            <w:r>
              <w:rPr>
                <w:rFonts w:hint="eastAsia" w:ascii="宋体" w:hAnsi="宋体" w:eastAsia="宋体" w:cs="宋体"/>
                <w:snapToGrid w:val="0"/>
                <w:color w:val="auto"/>
                <w:kern w:val="0"/>
                <w:sz w:val="18"/>
                <w:szCs w:val="18"/>
                <w:lang w:eastAsia="en-US"/>
              </w:rPr>
              <w:t>MTF 指标:0.5lp/mm≥0.8</w:t>
            </w:r>
            <w:r>
              <w:rPr>
                <w:rFonts w:hint="eastAsia" w:ascii="宋体" w:hAnsi="宋体" w:eastAsia="宋体" w:cs="宋体"/>
                <w:snapToGrid w:val="0"/>
                <w:color w:val="auto"/>
                <w:kern w:val="0"/>
                <w:sz w:val="18"/>
                <w:szCs w:val="18"/>
                <w:lang w:val="en-US" w:eastAsia="zh-CN"/>
              </w:rPr>
              <w:t xml:space="preserve">4 </w:t>
            </w:r>
          </w:p>
          <w:p w14:paraId="2BF9354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成像时间：≤</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秒</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 xml:space="preserve"> </w:t>
            </w:r>
          </w:p>
          <w:p w14:paraId="3F9A443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空间分辨率：≥3.</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LP/MM。</w:t>
            </w:r>
          </w:p>
          <w:p w14:paraId="5FBB9B5F">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 xml:space="preserve"> </w:t>
            </w:r>
            <w:r>
              <w:rPr>
                <w:rFonts w:hint="eastAsia" w:ascii="宋体" w:hAnsi="宋体" w:eastAsia="宋体" w:cs="宋体"/>
                <w:snapToGrid w:val="0"/>
                <w:color w:val="auto"/>
                <w:kern w:val="0"/>
                <w:sz w:val="18"/>
                <w:szCs w:val="18"/>
                <w:lang w:eastAsia="en-US"/>
              </w:rPr>
              <w:t>最大透视帧率：≥</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fps。</w:t>
            </w:r>
          </w:p>
          <w:p w14:paraId="1600672F">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 xml:space="preserve">6. </w:t>
            </w:r>
            <w:r>
              <w:rPr>
                <w:rFonts w:hint="eastAsia" w:ascii="宋体" w:hAnsi="宋体" w:eastAsia="宋体" w:cs="宋体"/>
                <w:snapToGrid w:val="0"/>
                <w:color w:val="auto"/>
                <w:kern w:val="0"/>
                <w:sz w:val="18"/>
                <w:szCs w:val="18"/>
                <w:lang w:eastAsia="en-US"/>
              </w:rPr>
              <w:t>点片摄影准备时间：≤</w:t>
            </w:r>
            <w:r>
              <w:rPr>
                <w:rFonts w:hint="eastAsia" w:ascii="宋体" w:hAnsi="宋体" w:eastAsia="宋体" w:cs="宋体"/>
                <w:snapToGrid w:val="0"/>
                <w:color w:val="auto"/>
                <w:kern w:val="0"/>
                <w:sz w:val="18"/>
                <w:szCs w:val="18"/>
                <w:lang w:val="en-US" w:eastAsia="zh-CN"/>
              </w:rPr>
              <w:t>0.8</w:t>
            </w:r>
            <w:r>
              <w:rPr>
                <w:rFonts w:hint="eastAsia" w:ascii="宋体" w:hAnsi="宋体" w:eastAsia="宋体" w:cs="宋体"/>
                <w:snapToGrid w:val="0"/>
                <w:color w:val="auto"/>
                <w:kern w:val="0"/>
                <w:sz w:val="18"/>
                <w:szCs w:val="18"/>
                <w:lang w:eastAsia="en-US"/>
              </w:rPr>
              <w:t>s。</w:t>
            </w:r>
          </w:p>
          <w:p w14:paraId="5D13FBF0">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bCs/>
                <w:snapToGrid w:val="0"/>
                <w:color w:val="auto"/>
                <w:kern w:val="0"/>
                <w:sz w:val="18"/>
                <w:szCs w:val="18"/>
                <w:highlight w:val="yellow"/>
                <w:lang w:eastAsia="zh-CN"/>
              </w:rPr>
            </w:pPr>
            <w:r>
              <w:rPr>
                <w:rFonts w:hint="eastAsia" w:ascii="宋体" w:hAnsi="宋体" w:eastAsia="宋体" w:cs="宋体"/>
                <w:b/>
                <w:bCs/>
                <w:snapToGrid w:val="0"/>
                <w:color w:val="auto"/>
                <w:kern w:val="0"/>
                <w:sz w:val="18"/>
                <w:szCs w:val="18"/>
                <w:lang w:eastAsia="en-US"/>
              </w:rPr>
              <w:t>3.1.</w:t>
            </w:r>
            <w:r>
              <w:rPr>
                <w:rFonts w:hint="eastAsia" w:ascii="宋体" w:hAnsi="宋体" w:eastAsia="宋体" w:cs="宋体"/>
                <w:b/>
                <w:bCs/>
                <w:snapToGrid w:val="0"/>
                <w:color w:val="auto"/>
                <w:kern w:val="0"/>
                <w:sz w:val="18"/>
                <w:szCs w:val="18"/>
                <w:lang w:val="en-US" w:eastAsia="zh-CN"/>
              </w:rPr>
              <w:t>2</w:t>
            </w:r>
            <w:r>
              <w:rPr>
                <w:rFonts w:hint="eastAsia" w:ascii="宋体" w:hAnsi="宋体" w:eastAsia="宋体" w:cs="宋体"/>
                <w:b/>
                <w:bCs/>
                <w:snapToGrid w:val="0"/>
                <w:color w:val="auto"/>
                <w:kern w:val="0"/>
                <w:sz w:val="18"/>
                <w:szCs w:val="18"/>
                <w:lang w:eastAsia="zh-CN"/>
              </w:rPr>
              <w:t>：</w:t>
            </w:r>
            <w:r>
              <w:rPr>
                <w:rFonts w:hint="eastAsia" w:ascii="宋体" w:hAnsi="宋体" w:eastAsia="宋体" w:cs="宋体"/>
                <w:b/>
                <w:bCs/>
                <w:snapToGrid w:val="0"/>
                <w:color w:val="auto"/>
                <w:kern w:val="0"/>
                <w:sz w:val="18"/>
                <w:szCs w:val="18"/>
                <w:lang w:val="en-US" w:eastAsia="zh-CN"/>
              </w:rPr>
              <w:t>静态</w:t>
            </w:r>
            <w:r>
              <w:rPr>
                <w:rFonts w:hint="eastAsia" w:ascii="宋体" w:hAnsi="宋体" w:eastAsia="宋体" w:cs="宋体"/>
                <w:b/>
                <w:bCs/>
                <w:snapToGrid w:val="0"/>
                <w:color w:val="auto"/>
                <w:kern w:val="0"/>
                <w:sz w:val="18"/>
                <w:szCs w:val="18"/>
                <w:lang w:eastAsia="en-US"/>
              </w:rPr>
              <w:t>平板探测器</w:t>
            </w:r>
          </w:p>
          <w:p w14:paraId="3ECDD56A">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 xml:space="preserve">像素尺寸:≤139um </w:t>
            </w:r>
          </w:p>
          <w:p w14:paraId="036BAEB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2 </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MTF 指标:0.5lp/mm≥0.87</w:t>
            </w:r>
            <w:r>
              <w:rPr>
                <w:rFonts w:hint="eastAsia" w:ascii="宋体" w:hAnsi="宋体" w:eastAsia="宋体" w:cs="宋体"/>
                <w:snapToGrid w:val="0"/>
                <w:color w:val="auto"/>
                <w:kern w:val="0"/>
                <w:sz w:val="18"/>
                <w:szCs w:val="18"/>
                <w:lang w:val="en-US" w:eastAsia="zh-CN"/>
              </w:rPr>
              <w:t xml:space="preserve"> </w:t>
            </w:r>
          </w:p>
          <w:p w14:paraId="1FA6E2F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成像时间：≤</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秒</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 xml:space="preserve"> </w:t>
            </w:r>
          </w:p>
          <w:p w14:paraId="3ED60D58">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空间分辨率：≥3.</w:t>
            </w: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LP/MM。</w:t>
            </w:r>
          </w:p>
          <w:p w14:paraId="030BD24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3.2 X线球管组件:</w:t>
            </w:r>
          </w:p>
          <w:p w14:paraId="13AE785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3.2.1</w:t>
            </w:r>
            <w:r>
              <w:rPr>
                <w:rFonts w:hint="eastAsia" w:ascii="宋体" w:hAnsi="宋体" w:eastAsia="宋体" w:cs="宋体"/>
                <w:snapToGrid w:val="0"/>
                <w:color w:val="auto"/>
                <w:kern w:val="0"/>
                <w:sz w:val="18"/>
                <w:szCs w:val="18"/>
                <w:lang w:val="en-US" w:eastAsia="zh-CN"/>
              </w:rPr>
              <w:t>最大功率</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85kW</w:t>
            </w:r>
            <w:r>
              <w:rPr>
                <w:rFonts w:hint="eastAsia" w:ascii="宋体" w:hAnsi="宋体" w:eastAsia="宋体" w:cs="宋体"/>
                <w:snapToGrid w:val="0"/>
                <w:color w:val="auto"/>
                <w:kern w:val="0"/>
                <w:sz w:val="18"/>
                <w:szCs w:val="18"/>
                <w:lang w:eastAsia="zh-CN"/>
              </w:rPr>
              <w:t>。</w:t>
            </w:r>
          </w:p>
          <w:p w14:paraId="268FCE7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3.2.2标称管电压:150kV</w:t>
            </w:r>
          </w:p>
          <w:p w14:paraId="0FC3027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3.2.3阳极容量：≥</w:t>
            </w:r>
            <w:r>
              <w:rPr>
                <w:rFonts w:hint="eastAsia" w:ascii="宋体" w:hAnsi="宋体" w:eastAsia="宋体" w:cs="宋体"/>
                <w:snapToGrid w:val="0"/>
                <w:color w:val="auto"/>
                <w:kern w:val="0"/>
                <w:sz w:val="18"/>
                <w:szCs w:val="18"/>
                <w:lang w:val="en-US" w:eastAsia="zh-CN"/>
              </w:rPr>
              <w:t>400</w:t>
            </w:r>
            <w:r>
              <w:rPr>
                <w:rFonts w:hint="eastAsia" w:ascii="宋体" w:hAnsi="宋体" w:eastAsia="宋体" w:cs="宋体"/>
                <w:snapToGrid w:val="0"/>
                <w:color w:val="auto"/>
                <w:kern w:val="0"/>
                <w:sz w:val="18"/>
                <w:szCs w:val="18"/>
                <w:lang w:eastAsia="en-US"/>
              </w:rPr>
              <w:t>KHU。</w:t>
            </w:r>
          </w:p>
          <w:p w14:paraId="5D2B2CA9">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3.3高压发生器（数字高压发生器）及曝光控制系统:</w:t>
            </w:r>
          </w:p>
          <w:p w14:paraId="25FC11C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3.3.1加载时间范围:0.001s~10s。</w:t>
            </w:r>
          </w:p>
          <w:p w14:paraId="30084F4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3.3.2输出电压：40kV～150kV。</w:t>
            </w:r>
          </w:p>
          <w:p w14:paraId="2567DEF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3.3.3最大摄影电流：≥</w:t>
            </w:r>
            <w:r>
              <w:rPr>
                <w:rFonts w:hint="eastAsia" w:ascii="宋体" w:hAnsi="宋体" w:eastAsia="宋体" w:cs="宋体"/>
                <w:snapToGrid w:val="0"/>
                <w:color w:val="auto"/>
                <w:kern w:val="0"/>
                <w:sz w:val="18"/>
                <w:szCs w:val="18"/>
                <w:lang w:val="en-US" w:eastAsia="zh-CN"/>
              </w:rPr>
              <w:t>800</w:t>
            </w:r>
            <w:r>
              <w:rPr>
                <w:rFonts w:hint="eastAsia" w:ascii="宋体" w:hAnsi="宋体" w:eastAsia="宋体" w:cs="宋体"/>
                <w:snapToGrid w:val="0"/>
                <w:color w:val="auto"/>
                <w:kern w:val="0"/>
                <w:sz w:val="18"/>
                <w:szCs w:val="18"/>
                <w:lang w:eastAsia="en-US"/>
              </w:rPr>
              <w:t>mA。</w:t>
            </w:r>
          </w:p>
          <w:p w14:paraId="6465FAC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3.3.4最大输出功率：≥</w:t>
            </w:r>
            <w:r>
              <w:rPr>
                <w:rFonts w:hint="eastAsia" w:ascii="宋体" w:hAnsi="宋体" w:eastAsia="宋体" w:cs="宋体"/>
                <w:snapToGrid w:val="0"/>
                <w:color w:val="auto"/>
                <w:kern w:val="0"/>
                <w:sz w:val="18"/>
                <w:szCs w:val="18"/>
                <w:lang w:val="en-US" w:eastAsia="zh-CN"/>
              </w:rPr>
              <w:t>85</w:t>
            </w:r>
            <w:r>
              <w:rPr>
                <w:rFonts w:hint="eastAsia" w:ascii="宋体" w:hAnsi="宋体" w:eastAsia="宋体" w:cs="宋体"/>
                <w:snapToGrid w:val="0"/>
                <w:color w:val="auto"/>
                <w:kern w:val="0"/>
                <w:sz w:val="18"/>
                <w:szCs w:val="18"/>
                <w:lang w:eastAsia="en-US"/>
              </w:rPr>
              <w:t>KW。</w:t>
            </w:r>
          </w:p>
          <w:p w14:paraId="12C8255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3.3.5摄影电流时间积: 0.1mAs-1000mAs。</w:t>
            </w:r>
          </w:p>
          <w:p w14:paraId="3960D4E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逆变频率:≥500kHz。</w:t>
            </w:r>
          </w:p>
          <w:p w14:paraId="20218120">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3.3.</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连续透视管电流</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20</w:t>
            </w:r>
            <w:r>
              <w:rPr>
                <w:rFonts w:hint="eastAsia" w:ascii="宋体" w:hAnsi="宋体" w:eastAsia="宋体" w:cs="宋体"/>
                <w:snapToGrid w:val="0"/>
                <w:color w:val="auto"/>
                <w:kern w:val="0"/>
                <w:sz w:val="18"/>
                <w:szCs w:val="18"/>
                <w:lang w:eastAsia="en-US"/>
              </w:rPr>
              <w:t>mA</w:t>
            </w:r>
            <w:r>
              <w:rPr>
                <w:rFonts w:hint="eastAsia" w:ascii="宋体" w:hAnsi="宋体" w:eastAsia="宋体" w:cs="宋体"/>
                <w:snapToGrid w:val="0"/>
                <w:color w:val="auto"/>
                <w:kern w:val="0"/>
                <w:sz w:val="18"/>
                <w:szCs w:val="18"/>
                <w:lang w:eastAsia="zh-CN"/>
              </w:rPr>
              <w:t>；</w:t>
            </w:r>
          </w:p>
          <w:p w14:paraId="755B7BA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3.3.</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脉冲透视管电流</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40</w:t>
            </w:r>
            <w:r>
              <w:rPr>
                <w:rFonts w:hint="eastAsia" w:ascii="宋体" w:hAnsi="宋体" w:eastAsia="宋体" w:cs="宋体"/>
                <w:snapToGrid w:val="0"/>
                <w:color w:val="auto"/>
                <w:kern w:val="0"/>
                <w:sz w:val="18"/>
                <w:szCs w:val="18"/>
                <w:lang w:eastAsia="en-US"/>
              </w:rPr>
              <w:t>mA。</w:t>
            </w:r>
          </w:p>
          <w:p w14:paraId="4CC3AFAA">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w:t>
            </w:r>
            <w:r>
              <w:rPr>
                <w:rFonts w:hint="eastAsia" w:ascii="宋体" w:hAnsi="宋体" w:eastAsia="宋体" w:cs="宋体"/>
                <w:b/>
                <w:snapToGrid w:val="0"/>
                <w:color w:val="auto"/>
                <w:kern w:val="0"/>
                <w:sz w:val="18"/>
                <w:szCs w:val="18"/>
                <w:lang w:val="en-US" w:eastAsia="zh-CN"/>
              </w:rPr>
              <w:t>4</w:t>
            </w:r>
            <w:r>
              <w:rPr>
                <w:rFonts w:hint="eastAsia" w:ascii="宋体" w:hAnsi="宋体" w:eastAsia="宋体" w:cs="宋体"/>
                <w:b/>
                <w:snapToGrid w:val="0"/>
                <w:color w:val="auto"/>
                <w:kern w:val="0"/>
                <w:sz w:val="18"/>
                <w:szCs w:val="18"/>
                <w:lang w:eastAsia="en-US"/>
              </w:rPr>
              <w:t xml:space="preserve">限束器： </w:t>
            </w:r>
          </w:p>
          <w:p w14:paraId="60ACAD9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.1固有滤过：</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1.2mm Al@75kV</w:t>
            </w:r>
          </w:p>
          <w:p w14:paraId="15505A7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.2 等效滤过:</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2.8mmAl@75kV</w:t>
            </w:r>
          </w:p>
          <w:p w14:paraId="2F8D922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.3 铅门控制方式：</w:t>
            </w:r>
            <w:r>
              <w:rPr>
                <w:rFonts w:hint="eastAsia" w:ascii="宋体" w:hAnsi="宋体" w:eastAsia="宋体" w:cs="宋体"/>
                <w:snapToGrid w:val="0"/>
                <w:color w:val="auto"/>
                <w:kern w:val="0"/>
                <w:sz w:val="18"/>
                <w:szCs w:val="18"/>
                <w:lang w:val="en-US" w:eastAsia="zh-CN"/>
              </w:rPr>
              <w:t>电动</w:t>
            </w:r>
          </w:p>
          <w:p w14:paraId="54419178">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3.4.4 具备自动开缩窗功能：在软件上选择部位体位后，自动控制限束器缩窗或开窗到适合拍摄所选部位的开窗位置;</w:t>
            </w:r>
          </w:p>
          <w:p w14:paraId="4942F70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w:t>
            </w:r>
            <w:r>
              <w:rPr>
                <w:rFonts w:hint="eastAsia" w:ascii="宋体" w:hAnsi="宋体" w:eastAsia="宋体" w:cs="宋体"/>
                <w:b/>
                <w:snapToGrid w:val="0"/>
                <w:color w:val="auto"/>
                <w:kern w:val="0"/>
                <w:sz w:val="18"/>
                <w:szCs w:val="18"/>
                <w:lang w:val="en-US" w:eastAsia="zh-CN"/>
              </w:rPr>
              <w:t>5</w:t>
            </w:r>
            <w:r>
              <w:rPr>
                <w:rFonts w:hint="eastAsia" w:ascii="宋体" w:hAnsi="宋体" w:eastAsia="宋体" w:cs="宋体"/>
                <w:b/>
                <w:snapToGrid w:val="0"/>
                <w:color w:val="auto"/>
                <w:kern w:val="0"/>
                <w:sz w:val="18"/>
                <w:szCs w:val="18"/>
                <w:lang w:eastAsia="en-US"/>
              </w:rPr>
              <w:t>图像采集/处理工作站:</w:t>
            </w:r>
          </w:p>
          <w:p w14:paraId="243F88F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.1专业图像工作站:</w:t>
            </w:r>
          </w:p>
          <w:p w14:paraId="40D42F8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.2配置：CPU≥i5-10500。</w:t>
            </w:r>
          </w:p>
          <w:p w14:paraId="2BD4DC09">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.3内存容量：≥16GB。</w:t>
            </w:r>
          </w:p>
          <w:p w14:paraId="2CE7CB5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.4硬盘容量：≥1T。</w:t>
            </w:r>
          </w:p>
          <w:p w14:paraId="6ABA9AE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.5工作站显示器：≥2</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"液晶显示器。</w:t>
            </w:r>
          </w:p>
          <w:p w14:paraId="5B9F220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.6 ≥1000M网络接口。</w:t>
            </w:r>
          </w:p>
          <w:p w14:paraId="0796849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.7 DICOM 3.0接口。</w:t>
            </w:r>
          </w:p>
          <w:p w14:paraId="0F65116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w:t>
            </w:r>
            <w:r>
              <w:rPr>
                <w:rFonts w:hint="eastAsia" w:ascii="宋体" w:hAnsi="宋体" w:eastAsia="宋体" w:cs="宋体"/>
                <w:b/>
                <w:snapToGrid w:val="0"/>
                <w:color w:val="auto"/>
                <w:kern w:val="0"/>
                <w:sz w:val="18"/>
                <w:szCs w:val="18"/>
                <w:lang w:val="en-US" w:eastAsia="zh-CN"/>
              </w:rPr>
              <w:t>6</w:t>
            </w:r>
            <w:r>
              <w:rPr>
                <w:rFonts w:hint="eastAsia" w:ascii="宋体" w:hAnsi="宋体" w:eastAsia="宋体" w:cs="宋体"/>
                <w:b/>
                <w:snapToGrid w:val="0"/>
                <w:color w:val="auto"/>
                <w:kern w:val="0"/>
                <w:sz w:val="18"/>
                <w:szCs w:val="18"/>
                <w:lang w:eastAsia="en-US"/>
              </w:rPr>
              <w:t xml:space="preserve"> 工作站图像处理软件功能：</w:t>
            </w:r>
          </w:p>
          <w:p w14:paraId="7324DB80">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.1 图像采集工作站软件操作界面均为中文界面。</w:t>
            </w:r>
          </w:p>
          <w:p w14:paraId="3A2DA506">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.2 支持DICOM3.0，包括支持DICOM打印、支持DICOM存档、支持DICOM网络传输、支持DICOM WORKLIST，具有移动存储或DVD刻录功能。</w:t>
            </w:r>
          </w:p>
          <w:p w14:paraId="0DC970D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.3器官程序摄影(APR):在软件上选择部位体位后，自动设置和显示所用高压曝光参数。</w:t>
            </w:r>
          </w:p>
          <w:p w14:paraId="75984EB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.4具有病人管理、图像采集、图像处理（图像校正、图像翻转、组织均衡、USM锐化、图像滤波）、图像观察（提供图像观察工具，测量工具）。</w:t>
            </w:r>
          </w:p>
          <w:p w14:paraId="5C96950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3.6.5具备长骨图像拼接功能，</w:t>
            </w:r>
            <w:r>
              <w:rPr>
                <w:rFonts w:hint="eastAsia" w:ascii="宋体" w:hAnsi="宋体" w:eastAsia="宋体" w:cs="宋体"/>
                <w:snapToGrid w:val="0"/>
                <w:color w:val="auto"/>
                <w:kern w:val="0"/>
                <w:sz w:val="18"/>
                <w:szCs w:val="18"/>
                <w:lang w:eastAsia="en-US"/>
              </w:rPr>
              <w:t>自动图像拼接采集过程中，相邻两次拍摄的射线野重叠区域</w:t>
            </w:r>
            <w:r>
              <w:rPr>
                <w:rFonts w:hint="eastAsia" w:ascii="宋体" w:hAnsi="宋体" w:eastAsia="宋体" w:cs="宋体"/>
                <w:snapToGrid w:val="0"/>
                <w:color w:val="auto"/>
                <w:kern w:val="0"/>
                <w:sz w:val="18"/>
                <w:szCs w:val="18"/>
                <w:lang w:val="en-US" w:eastAsia="zh-CN"/>
              </w:rPr>
              <w:t>≤4cm-6cm。</w:t>
            </w:r>
          </w:p>
          <w:p w14:paraId="02FC7063">
            <w:pPr>
              <w:widowControl/>
              <w:kinsoku w:val="0"/>
              <w:autoSpaceDE w:val="0"/>
              <w:autoSpaceDN w:val="0"/>
              <w:adjustRightInd w:val="0"/>
              <w:snapToGrid w:val="0"/>
              <w:spacing w:line="360"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3.6.6</w:t>
            </w:r>
            <w:r>
              <w:rPr>
                <w:rFonts w:hint="eastAsia" w:ascii="宋体" w:hAnsi="宋体" w:eastAsia="宋体" w:cs="宋体"/>
                <w:snapToGrid w:val="0"/>
                <w:color w:val="auto"/>
                <w:kern w:val="0"/>
                <w:sz w:val="18"/>
                <w:szCs w:val="18"/>
                <w:lang w:eastAsia="en-US"/>
              </w:rPr>
              <w:t>自动拼接后的图像上，拼接部位的重叠或拉升</w:t>
            </w:r>
            <w:r>
              <w:rPr>
                <w:rFonts w:hint="eastAsia" w:ascii="宋体" w:hAnsi="宋体" w:eastAsia="宋体" w:cs="宋体"/>
                <w:snapToGrid w:val="0"/>
                <w:color w:val="auto"/>
                <w:kern w:val="0"/>
                <w:sz w:val="18"/>
                <w:szCs w:val="18"/>
                <w:lang w:val="en-US" w:eastAsia="zh-CN"/>
              </w:rPr>
              <w:t>≤0.5</w:t>
            </w:r>
            <w:r>
              <w:rPr>
                <w:rFonts w:hint="eastAsia" w:ascii="宋体" w:hAnsi="宋体" w:eastAsia="宋体" w:cs="宋体"/>
                <w:snapToGrid w:val="0"/>
                <w:color w:val="auto"/>
                <w:kern w:val="0"/>
                <w:sz w:val="18"/>
                <w:szCs w:val="18"/>
                <w:lang w:eastAsia="en-US"/>
              </w:rPr>
              <w:t>mm</w:t>
            </w: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mm；</w:t>
            </w:r>
          </w:p>
          <w:p w14:paraId="6D440223">
            <w:pPr>
              <w:widowControl/>
              <w:kinsoku w:val="0"/>
              <w:autoSpaceDE w:val="0"/>
              <w:autoSpaceDN w:val="0"/>
              <w:adjustRightInd w:val="0"/>
              <w:snapToGrid w:val="0"/>
              <w:spacing w:line="360"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.7配备3兆医用专用显示器一台</w:t>
            </w:r>
          </w:p>
          <w:p w14:paraId="6A5FA661">
            <w:pPr>
              <w:widowControl/>
              <w:kinsoku w:val="0"/>
              <w:autoSpaceDE w:val="0"/>
              <w:autoSpaceDN w:val="0"/>
              <w:adjustRightInd w:val="0"/>
              <w:snapToGrid w:val="0"/>
              <w:spacing w:line="480" w:lineRule="auto"/>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3.7</w:t>
            </w:r>
            <w:r>
              <w:rPr>
                <w:rFonts w:hint="eastAsia" w:ascii="宋体" w:hAnsi="宋体" w:eastAsia="宋体" w:cs="宋体"/>
                <w:b/>
                <w:bCs/>
                <w:snapToGrid w:val="0"/>
                <w:color w:val="auto"/>
                <w:kern w:val="0"/>
                <w:sz w:val="18"/>
                <w:szCs w:val="18"/>
                <w:lang w:val="en-US" w:eastAsia="zh-CN" w:bidi="ar"/>
              </w:rPr>
              <w:t>近台触控屏</w:t>
            </w:r>
          </w:p>
          <w:p w14:paraId="2A1CABC9">
            <w:pPr>
              <w:widowControl/>
              <w:kinsoku w:val="0"/>
              <w:autoSpaceDE w:val="0"/>
              <w:autoSpaceDN w:val="0"/>
              <w:adjustRightInd w:val="0"/>
              <w:snapToGrid w:val="0"/>
              <w:spacing w:line="48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3.7.1球管近台操控彩色触摸屏</w:t>
            </w:r>
          </w:p>
          <w:p w14:paraId="14C612EC">
            <w:pPr>
              <w:widowControl/>
              <w:kinsoku w:val="0"/>
              <w:autoSpaceDE w:val="0"/>
              <w:autoSpaceDN w:val="0"/>
              <w:adjustRightInd w:val="0"/>
              <w:snapToGrid w:val="0"/>
              <w:spacing w:line="48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3.7.2可显示曝光图像预览</w:t>
            </w:r>
          </w:p>
          <w:p w14:paraId="4EBD4B08">
            <w:pPr>
              <w:widowControl/>
              <w:kinsoku w:val="0"/>
              <w:autoSpaceDE w:val="0"/>
              <w:autoSpaceDN w:val="0"/>
              <w:adjustRightInd w:val="0"/>
              <w:snapToGrid w:val="0"/>
              <w:spacing w:line="48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3.7.2屏幕尺寸≥13寸</w:t>
            </w:r>
          </w:p>
          <w:p w14:paraId="732E4A43">
            <w:pPr>
              <w:numPr>
                <w:ilvl w:val="1"/>
                <w:numId w:val="7"/>
              </w:numPr>
              <w:kinsoku w:val="0"/>
              <w:autoSpaceDE w:val="0"/>
              <w:autoSpaceDN w:val="0"/>
              <w:adjustRightInd w:val="0"/>
              <w:snapToGrid w:val="0"/>
              <w:spacing w:line="240" w:lineRule="auto"/>
              <w:ind w:left="567" w:leftChars="0" w:hanging="567" w:firstLineChars="0"/>
              <w:jc w:val="both"/>
              <w:textAlignment w:val="baseline"/>
              <w:rPr>
                <w:rFonts w:hint="eastAsia" w:ascii="宋体" w:hAnsi="宋体" w:eastAsia="宋体" w:cs="宋体"/>
                <w:b/>
                <w:bCs/>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 xml:space="preserve"> 总机（含球管）质保三年</w:t>
            </w:r>
          </w:p>
          <w:p w14:paraId="0C21960F">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3C9CAE02">
            <w:pPr>
              <w:widowControl/>
              <w:kinsoku w:val="0"/>
              <w:autoSpaceDE w:val="0"/>
              <w:autoSpaceDN w:val="0"/>
              <w:adjustRightInd w:val="0"/>
              <w:snapToGrid w:val="0"/>
              <w:spacing w:before="127"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23673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667BB18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10</w:t>
            </w:r>
          </w:p>
        </w:tc>
        <w:tc>
          <w:tcPr>
            <w:tcW w:w="1415" w:type="dxa"/>
            <w:tcBorders>
              <w:top w:val="single" w:color="000000" w:sz="4" w:space="0"/>
              <w:bottom w:val="single" w:color="000000" w:sz="4" w:space="0"/>
            </w:tcBorders>
            <w:vAlign w:val="top"/>
          </w:tcPr>
          <w:p w14:paraId="3B107585">
            <w:pPr>
              <w:kinsoku w:val="0"/>
              <w:autoSpaceDE w:val="0"/>
              <w:autoSpaceDN w:val="0"/>
              <w:adjustRightInd w:val="0"/>
              <w:snapToGrid w:val="0"/>
              <w:spacing w:before="125"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微量五元素</w:t>
            </w:r>
          </w:p>
        </w:tc>
        <w:tc>
          <w:tcPr>
            <w:tcW w:w="6878" w:type="dxa"/>
            <w:tcBorders>
              <w:top w:val="single" w:color="000000" w:sz="4" w:space="0"/>
              <w:bottom w:val="single" w:color="000000" w:sz="4" w:space="0"/>
            </w:tcBorders>
            <w:vAlign w:val="top"/>
          </w:tcPr>
          <w:tbl>
            <w:tblPr>
              <w:tblStyle w:val="47"/>
              <w:tblpPr w:leftFromText="180" w:rightFromText="180" w:vertAnchor="text" w:horzAnchor="page" w:tblpX="1540" w:tblpY="596"/>
              <w:tblOverlap w:val="never"/>
              <w:tblW w:w="67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6"/>
            </w:tblGrid>
            <w:tr w14:paraId="0D4C9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B82095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shd w:val="pct10" w:color="auto" w:fill="FFFFFF"/>
                      <w:lang w:eastAsia="en-US"/>
                    </w:rPr>
                  </w:pPr>
                  <w:r>
                    <w:rPr>
                      <w:rFonts w:hint="eastAsia" w:ascii="宋体" w:hAnsi="宋体" w:eastAsia="宋体" w:cs="宋体"/>
                      <w:b/>
                      <w:bCs/>
                      <w:snapToGrid w:val="0"/>
                      <w:color w:val="auto"/>
                      <w:kern w:val="0"/>
                      <w:sz w:val="18"/>
                      <w:szCs w:val="18"/>
                      <w:lang w:val="en-US" w:eastAsia="zh-CN"/>
                    </w:rPr>
                    <w:t>1、</w:t>
                  </w:r>
                  <w:r>
                    <w:rPr>
                      <w:rFonts w:hint="eastAsia" w:ascii="宋体" w:hAnsi="宋体" w:eastAsia="宋体" w:cs="宋体"/>
                      <w:b/>
                      <w:bCs/>
                      <w:snapToGrid w:val="0"/>
                      <w:color w:val="auto"/>
                      <w:kern w:val="0"/>
                      <w:sz w:val="18"/>
                      <w:szCs w:val="18"/>
                      <w:lang w:eastAsia="en-US"/>
                    </w:rPr>
                    <w:t>产品资质：</w:t>
                  </w:r>
                  <w:r>
                    <w:rPr>
                      <w:rFonts w:hint="eastAsia" w:ascii="宋体" w:hAnsi="宋体" w:eastAsia="宋体" w:cs="宋体"/>
                      <w:snapToGrid w:val="0"/>
                      <w:color w:val="auto"/>
                      <w:kern w:val="0"/>
                      <w:sz w:val="18"/>
                      <w:szCs w:val="18"/>
                      <w:lang w:eastAsia="en-US"/>
                    </w:rPr>
                    <w:t>全系列产品均已取得国家药监局和国家技术监督局的（准）字认证</w:t>
                  </w:r>
                </w:p>
              </w:tc>
            </w:tr>
            <w:tr w14:paraId="0F787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6A8F61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w:t>
                  </w:r>
                  <w:r>
                    <w:rPr>
                      <w:rFonts w:hint="eastAsia" w:ascii="宋体" w:hAnsi="宋体" w:eastAsia="宋体" w:cs="宋体"/>
                      <w:b/>
                      <w:bCs/>
                      <w:snapToGrid w:val="0"/>
                      <w:color w:val="auto"/>
                      <w:kern w:val="0"/>
                      <w:sz w:val="18"/>
                      <w:szCs w:val="18"/>
                      <w:lang w:eastAsia="en-US"/>
                    </w:rPr>
                    <w:t>分析方法：</w:t>
                  </w:r>
                  <w:r>
                    <w:rPr>
                      <w:rFonts w:hint="eastAsia" w:ascii="宋体" w:hAnsi="宋体" w:eastAsia="宋体" w:cs="宋体"/>
                      <w:snapToGrid w:val="0"/>
                      <w:color w:val="auto"/>
                      <w:kern w:val="0"/>
                      <w:sz w:val="18"/>
                      <w:szCs w:val="18"/>
                      <w:lang w:eastAsia="en-US"/>
                    </w:rPr>
                    <w:t>火焰原子吸收光谱法 （国际通用的测量微量元素的金标准方法）</w:t>
                  </w:r>
                </w:p>
              </w:tc>
            </w:tr>
            <w:tr w14:paraId="2C2EF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5825F2D2">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3、</w:t>
                  </w:r>
                  <w:r>
                    <w:rPr>
                      <w:rFonts w:hint="eastAsia" w:ascii="宋体" w:hAnsi="宋体" w:eastAsia="宋体" w:cs="宋体"/>
                      <w:b/>
                      <w:bCs/>
                      <w:snapToGrid w:val="0"/>
                      <w:color w:val="auto"/>
                      <w:kern w:val="0"/>
                      <w:sz w:val="18"/>
                      <w:szCs w:val="18"/>
                      <w:lang w:eastAsia="en-US"/>
                    </w:rPr>
                    <w:t>通道数：</w:t>
                  </w:r>
                  <w:r>
                    <w:rPr>
                      <w:rFonts w:hint="eastAsia" w:ascii="宋体" w:hAnsi="宋体" w:eastAsia="宋体" w:cs="宋体"/>
                      <w:snapToGrid w:val="0"/>
                      <w:color w:val="auto"/>
                      <w:kern w:val="0"/>
                      <w:sz w:val="18"/>
                      <w:szCs w:val="18"/>
                      <w:lang w:eastAsia="en-US"/>
                    </w:rPr>
                    <w:t>五通道（国内首创多通道原子吸收技术，2-3秒钟内同时测量出五项元素的结果）</w:t>
                  </w:r>
                </w:p>
              </w:tc>
            </w:tr>
            <w:tr w14:paraId="6CD11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63FDC9D">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4、</w:t>
                  </w:r>
                  <w:r>
                    <w:rPr>
                      <w:rFonts w:hint="eastAsia" w:ascii="宋体" w:hAnsi="宋体" w:eastAsia="宋体" w:cs="宋体"/>
                      <w:b/>
                      <w:bCs/>
                      <w:snapToGrid w:val="0"/>
                      <w:color w:val="auto"/>
                      <w:kern w:val="0"/>
                      <w:sz w:val="18"/>
                      <w:szCs w:val="18"/>
                      <w:lang w:eastAsia="en-US"/>
                    </w:rPr>
                    <w:t>光学单色器：</w:t>
                  </w:r>
                  <w:r>
                    <w:rPr>
                      <w:rFonts w:hint="eastAsia" w:ascii="宋体" w:hAnsi="宋体" w:eastAsia="宋体" w:cs="宋体"/>
                      <w:snapToGrid w:val="0"/>
                      <w:color w:val="auto"/>
                      <w:kern w:val="0"/>
                      <w:sz w:val="18"/>
                      <w:szCs w:val="18"/>
                      <w:lang w:eastAsia="en-US"/>
                    </w:rPr>
                    <w:t>全息光栅单色器</w:t>
                  </w:r>
                </w:p>
              </w:tc>
            </w:tr>
            <w:tr w14:paraId="24CE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31726FB5">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5、</w:t>
                  </w:r>
                  <w:r>
                    <w:rPr>
                      <w:rFonts w:hint="eastAsia" w:ascii="宋体" w:hAnsi="宋体" w:eastAsia="宋体" w:cs="宋体"/>
                      <w:b/>
                      <w:bCs/>
                      <w:snapToGrid w:val="0"/>
                      <w:color w:val="auto"/>
                      <w:kern w:val="0"/>
                      <w:sz w:val="18"/>
                      <w:szCs w:val="18"/>
                      <w:lang w:eastAsia="en-US"/>
                    </w:rPr>
                    <w:t>溶血量：</w:t>
                  </w:r>
                  <w:r>
                    <w:rPr>
                      <w:rFonts w:hint="eastAsia" w:ascii="宋体" w:hAnsi="宋体" w:eastAsia="宋体" w:cs="宋体"/>
                      <w:snapToGrid w:val="0"/>
                      <w:color w:val="auto"/>
                      <w:kern w:val="0"/>
                      <w:sz w:val="18"/>
                      <w:szCs w:val="18"/>
                      <w:lang w:eastAsia="en-US"/>
                    </w:rPr>
                    <w:t>40微升</w:t>
                  </w:r>
                </w:p>
              </w:tc>
            </w:tr>
            <w:tr w14:paraId="0D7F6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5E05A6CA">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6、</w:t>
                  </w:r>
                  <w:r>
                    <w:rPr>
                      <w:rFonts w:hint="eastAsia" w:ascii="宋体" w:hAnsi="宋体" w:eastAsia="宋体" w:cs="宋体"/>
                      <w:b/>
                      <w:bCs/>
                      <w:snapToGrid w:val="0"/>
                      <w:color w:val="auto"/>
                      <w:kern w:val="0"/>
                      <w:sz w:val="18"/>
                      <w:szCs w:val="18"/>
                      <w:lang w:eastAsia="en-US"/>
                    </w:rPr>
                    <w:t>原子化器：</w:t>
                  </w:r>
                  <w:r>
                    <w:rPr>
                      <w:rFonts w:hint="eastAsia" w:ascii="宋体" w:hAnsi="宋体" w:eastAsia="宋体" w:cs="宋体"/>
                      <w:snapToGrid w:val="0"/>
                      <w:color w:val="auto"/>
                      <w:kern w:val="0"/>
                      <w:sz w:val="18"/>
                      <w:szCs w:val="18"/>
                      <w:lang w:eastAsia="en-US"/>
                    </w:rPr>
                    <w:t>预混合型100mm单缝全钛燃烧器</w:t>
                  </w:r>
                </w:p>
              </w:tc>
            </w:tr>
            <w:tr w14:paraId="33BF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0D750C2">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7、</w:t>
                  </w:r>
                  <w:r>
                    <w:rPr>
                      <w:rFonts w:hint="eastAsia" w:ascii="宋体" w:hAnsi="宋体" w:eastAsia="宋体" w:cs="宋体"/>
                      <w:b/>
                      <w:bCs/>
                      <w:snapToGrid w:val="0"/>
                      <w:color w:val="auto"/>
                      <w:kern w:val="0"/>
                      <w:sz w:val="18"/>
                      <w:szCs w:val="18"/>
                      <w:lang w:eastAsia="en-US"/>
                    </w:rPr>
                    <w:t>雾化器：</w:t>
                  </w:r>
                  <w:r>
                    <w:rPr>
                      <w:rFonts w:hint="eastAsia" w:ascii="宋体" w:hAnsi="宋体" w:eastAsia="宋体" w:cs="宋体"/>
                      <w:snapToGrid w:val="0"/>
                      <w:color w:val="auto"/>
                      <w:kern w:val="0"/>
                      <w:sz w:val="18"/>
                      <w:szCs w:val="18"/>
                      <w:lang w:eastAsia="en-US"/>
                    </w:rPr>
                    <w:t>高效金属雾化器（雾化效果好，易清洗，寿命长）</w:t>
                  </w:r>
                </w:p>
              </w:tc>
            </w:tr>
            <w:tr w14:paraId="1C57E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4486096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8、</w:t>
                  </w:r>
                  <w:r>
                    <w:rPr>
                      <w:rFonts w:hint="eastAsia" w:ascii="宋体" w:hAnsi="宋体" w:eastAsia="宋体" w:cs="宋体"/>
                      <w:b/>
                      <w:bCs/>
                      <w:snapToGrid w:val="0"/>
                      <w:color w:val="auto"/>
                      <w:kern w:val="0"/>
                      <w:sz w:val="18"/>
                      <w:szCs w:val="18"/>
                      <w:lang w:eastAsia="en-US"/>
                    </w:rPr>
                    <w:t>波长范围：</w:t>
                  </w:r>
                  <w:r>
                    <w:rPr>
                      <w:rFonts w:hint="eastAsia" w:ascii="宋体" w:hAnsi="宋体" w:eastAsia="宋体" w:cs="宋体"/>
                      <w:snapToGrid w:val="0"/>
                      <w:color w:val="auto"/>
                      <w:kern w:val="0"/>
                      <w:sz w:val="18"/>
                      <w:szCs w:val="18"/>
                      <w:lang w:eastAsia="en-US"/>
                    </w:rPr>
                    <w:t>190 - 650nm</w:t>
                  </w:r>
                </w:p>
              </w:tc>
            </w:tr>
            <w:tr w14:paraId="47999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032959E">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9、</w:t>
                  </w:r>
                  <w:r>
                    <w:rPr>
                      <w:rFonts w:hint="eastAsia" w:ascii="宋体" w:hAnsi="宋体" w:eastAsia="宋体" w:cs="宋体"/>
                      <w:b/>
                      <w:bCs/>
                      <w:snapToGrid w:val="0"/>
                      <w:color w:val="auto"/>
                      <w:kern w:val="0"/>
                      <w:sz w:val="18"/>
                      <w:szCs w:val="18"/>
                      <w:lang w:eastAsia="en-US"/>
                    </w:rPr>
                    <w:t>光谱带宽：</w:t>
                  </w:r>
                  <w:r>
                    <w:rPr>
                      <w:rFonts w:hint="eastAsia" w:ascii="宋体" w:hAnsi="宋体" w:eastAsia="宋体" w:cs="宋体"/>
                      <w:snapToGrid w:val="0"/>
                      <w:color w:val="auto"/>
                      <w:kern w:val="0"/>
                      <w:sz w:val="18"/>
                      <w:szCs w:val="18"/>
                      <w:lang w:eastAsia="en-US"/>
                    </w:rPr>
                    <w:t>0.15-2.0nm</w:t>
                  </w:r>
                </w:p>
              </w:tc>
            </w:tr>
            <w:tr w14:paraId="1DBD0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0E5DABD4">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10、</w:t>
                  </w:r>
                  <w:r>
                    <w:rPr>
                      <w:rFonts w:hint="eastAsia" w:ascii="宋体" w:hAnsi="宋体" w:eastAsia="宋体" w:cs="宋体"/>
                      <w:b/>
                      <w:bCs/>
                      <w:snapToGrid w:val="0"/>
                      <w:color w:val="auto"/>
                      <w:kern w:val="0"/>
                      <w:sz w:val="18"/>
                      <w:szCs w:val="18"/>
                      <w:lang w:eastAsia="en-US"/>
                    </w:rPr>
                    <w:t>光源：</w:t>
                  </w:r>
                  <w:r>
                    <w:rPr>
                      <w:rFonts w:hint="eastAsia" w:ascii="宋体" w:hAnsi="宋体" w:eastAsia="宋体" w:cs="宋体"/>
                      <w:snapToGrid w:val="0"/>
                      <w:color w:val="auto"/>
                      <w:kern w:val="0"/>
                      <w:sz w:val="18"/>
                      <w:szCs w:val="18"/>
                      <w:lang w:eastAsia="en-US"/>
                    </w:rPr>
                    <w:t>铜、锌复合元素空心阴极灯、钙元素空心阴极灯；镁、铁复合元素空心阴极灯（专利光源夹角技术，阴极灯交替打开，分别发射元素特征谱线，消除了铜、铁元素间的干扰）</w:t>
                  </w:r>
                </w:p>
              </w:tc>
            </w:tr>
            <w:tr w14:paraId="38196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6CF5137">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11、</w:t>
                  </w:r>
                  <w:r>
                    <w:rPr>
                      <w:rFonts w:hint="eastAsia" w:ascii="宋体" w:hAnsi="宋体" w:eastAsia="宋体" w:cs="宋体"/>
                      <w:b/>
                      <w:bCs/>
                      <w:snapToGrid w:val="0"/>
                      <w:color w:val="auto"/>
                      <w:kern w:val="0"/>
                      <w:sz w:val="18"/>
                      <w:szCs w:val="18"/>
                      <w:lang w:eastAsia="en-US"/>
                    </w:rPr>
                    <w:t>吸光度：</w:t>
                  </w:r>
                  <w:r>
                    <w:rPr>
                      <w:rFonts w:hint="eastAsia" w:ascii="宋体" w:hAnsi="宋体" w:eastAsia="宋体" w:cs="宋体"/>
                      <w:snapToGrid w:val="0"/>
                      <w:color w:val="auto"/>
                      <w:kern w:val="0"/>
                      <w:sz w:val="18"/>
                      <w:szCs w:val="18"/>
                      <w:lang w:eastAsia="en-US"/>
                    </w:rPr>
                    <w:t>0 - 2 Abs</w:t>
                  </w:r>
                </w:p>
              </w:tc>
            </w:tr>
            <w:tr w14:paraId="5598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2B081EA7">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12、</w:t>
                  </w:r>
                  <w:r>
                    <w:rPr>
                      <w:rFonts w:hint="eastAsia" w:ascii="宋体" w:hAnsi="宋体" w:eastAsia="宋体" w:cs="宋体"/>
                      <w:b/>
                      <w:bCs/>
                      <w:snapToGrid w:val="0"/>
                      <w:color w:val="auto"/>
                      <w:kern w:val="0"/>
                      <w:sz w:val="18"/>
                      <w:szCs w:val="18"/>
                      <w:lang w:eastAsia="en-US"/>
                    </w:rPr>
                    <w:t>基线稳定性</w:t>
                  </w:r>
                  <w:r>
                    <w:rPr>
                      <w:rFonts w:hint="eastAsia" w:ascii="宋体" w:hAnsi="宋体" w:eastAsia="宋体" w:cs="宋体"/>
                      <w:snapToGrid w:val="0"/>
                      <w:color w:val="auto"/>
                      <w:kern w:val="0"/>
                      <w:sz w:val="18"/>
                      <w:szCs w:val="18"/>
                      <w:lang w:eastAsia="en-US"/>
                    </w:rPr>
                    <w:t>：每30min内各线基线稳定性不应超过0.005Abs</w:t>
                  </w:r>
                </w:p>
              </w:tc>
            </w:tr>
            <w:tr w14:paraId="7FA40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4AAF9588">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13、</w:t>
                  </w:r>
                  <w:r>
                    <w:rPr>
                      <w:rFonts w:hint="eastAsia" w:ascii="宋体" w:hAnsi="宋体" w:eastAsia="宋体" w:cs="宋体"/>
                      <w:b/>
                      <w:bCs/>
                      <w:snapToGrid w:val="0"/>
                      <w:color w:val="auto"/>
                      <w:kern w:val="0"/>
                      <w:sz w:val="18"/>
                      <w:szCs w:val="18"/>
                      <w:lang w:eastAsia="en-US"/>
                    </w:rPr>
                    <w:t>仪器特征浓度：</w:t>
                  </w:r>
                  <w:r>
                    <w:rPr>
                      <w:rFonts w:hint="eastAsia" w:ascii="宋体" w:hAnsi="宋体" w:eastAsia="宋体" w:cs="宋体"/>
                      <w:snapToGrid w:val="0"/>
                      <w:color w:val="auto"/>
                      <w:kern w:val="0"/>
                      <w:sz w:val="18"/>
                      <w:szCs w:val="18"/>
                      <w:lang w:eastAsia="en-US"/>
                    </w:rPr>
                    <w:t>用含有铜、锌、钙、镁、铁五元素的特征浓度标准检查溶液喷样，每种元素的特征浓度应分别大于0.035mg/L/1%、0.015 mg/L/1%、0.080/L/1%、0.040/L/1%、1.05/L/1%</w:t>
                  </w:r>
                </w:p>
              </w:tc>
            </w:tr>
            <w:tr w14:paraId="2E786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45A729C3">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14、</w:t>
                  </w:r>
                  <w:r>
                    <w:rPr>
                      <w:rFonts w:hint="eastAsia" w:ascii="宋体" w:hAnsi="宋体" w:eastAsia="宋体" w:cs="宋体"/>
                      <w:b/>
                      <w:bCs/>
                      <w:snapToGrid w:val="0"/>
                      <w:color w:val="auto"/>
                      <w:kern w:val="0"/>
                      <w:sz w:val="18"/>
                      <w:szCs w:val="18"/>
                      <w:lang w:eastAsia="en-US"/>
                    </w:rPr>
                    <w:t>精密度：</w:t>
                  </w:r>
                  <w:r>
                    <w:rPr>
                      <w:rFonts w:hint="eastAsia" w:ascii="宋体" w:hAnsi="宋体" w:eastAsia="宋体" w:cs="宋体"/>
                      <w:snapToGrid w:val="0"/>
                      <w:color w:val="auto"/>
                      <w:kern w:val="0"/>
                      <w:sz w:val="18"/>
                      <w:szCs w:val="18"/>
                      <w:lang w:eastAsia="en-US"/>
                    </w:rPr>
                    <w:t>对铜、锌、钙、镁、铁的精密度不大于1.0%（Abs&gt;0.1）</w:t>
                  </w:r>
                </w:p>
              </w:tc>
            </w:tr>
            <w:tr w14:paraId="4ADF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210CA48D">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spacing w:val="-8"/>
                      <w:kern w:val="0"/>
                      <w:sz w:val="18"/>
                      <w:szCs w:val="18"/>
                      <w:lang w:val="en-US" w:eastAsia="zh-CN"/>
                    </w:rPr>
                    <w:t>15、</w:t>
                  </w:r>
                  <w:r>
                    <w:rPr>
                      <w:rFonts w:hint="eastAsia" w:ascii="宋体" w:hAnsi="宋体" w:eastAsia="宋体" w:cs="宋体"/>
                      <w:b/>
                      <w:bCs/>
                      <w:snapToGrid w:val="0"/>
                      <w:color w:val="auto"/>
                      <w:spacing w:val="-8"/>
                      <w:kern w:val="0"/>
                      <w:sz w:val="18"/>
                      <w:szCs w:val="18"/>
                      <w:lang w:eastAsia="en-US"/>
                    </w:rPr>
                    <w:t>质控品：</w:t>
                  </w:r>
                  <w:r>
                    <w:rPr>
                      <w:rFonts w:hint="eastAsia" w:ascii="宋体" w:hAnsi="宋体" w:eastAsia="宋体" w:cs="宋体"/>
                      <w:snapToGrid w:val="0"/>
                      <w:color w:val="auto"/>
                      <w:spacing w:val="-8"/>
                      <w:kern w:val="0"/>
                      <w:sz w:val="18"/>
                      <w:szCs w:val="18"/>
                      <w:lang w:eastAsia="en-US"/>
                    </w:rPr>
                    <w:t>为国家二级标准物质（多元素混标）并且已取得医疗器械注册证</w:t>
                  </w:r>
                </w:p>
              </w:tc>
            </w:tr>
            <w:tr w14:paraId="2F754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6938A8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spacing w:val="-10"/>
                      <w:kern w:val="0"/>
                      <w:sz w:val="18"/>
                      <w:szCs w:val="18"/>
                      <w:lang w:eastAsia="en-US"/>
                    </w:rPr>
                  </w:pPr>
                  <w:r>
                    <w:rPr>
                      <w:rFonts w:hint="eastAsia" w:ascii="宋体" w:hAnsi="宋体" w:eastAsia="宋体" w:cs="宋体"/>
                      <w:b/>
                      <w:bCs/>
                      <w:snapToGrid w:val="0"/>
                      <w:color w:val="auto"/>
                      <w:spacing w:val="-10"/>
                      <w:kern w:val="0"/>
                      <w:sz w:val="18"/>
                      <w:szCs w:val="18"/>
                      <w:lang w:val="en-US" w:eastAsia="zh-CN"/>
                    </w:rPr>
                    <w:t>16、</w:t>
                  </w:r>
                  <w:r>
                    <w:rPr>
                      <w:rFonts w:hint="eastAsia" w:ascii="宋体" w:hAnsi="宋体" w:eastAsia="宋体" w:cs="宋体"/>
                      <w:b/>
                      <w:bCs/>
                      <w:snapToGrid w:val="0"/>
                      <w:color w:val="auto"/>
                      <w:spacing w:val="-10"/>
                      <w:kern w:val="0"/>
                      <w:sz w:val="18"/>
                      <w:szCs w:val="18"/>
                      <w:lang w:eastAsia="en-US"/>
                    </w:rPr>
                    <w:t>标准溶液：</w:t>
                  </w:r>
                  <w:r>
                    <w:rPr>
                      <w:rFonts w:hint="eastAsia" w:ascii="宋体" w:hAnsi="宋体" w:eastAsia="宋体" w:cs="宋体"/>
                      <w:snapToGrid w:val="0"/>
                      <w:color w:val="auto"/>
                      <w:spacing w:val="-10"/>
                      <w:kern w:val="0"/>
                      <w:sz w:val="18"/>
                      <w:szCs w:val="18"/>
                      <w:lang w:eastAsia="en-US"/>
                    </w:rPr>
                    <w:t>为国家二级标准物质（多元素混标）并且已取得医疗器械注册证，有效期12个月</w:t>
                  </w:r>
                </w:p>
              </w:tc>
            </w:tr>
            <w:tr w14:paraId="115FD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3AFA6F5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17、</w:t>
                  </w:r>
                  <w:r>
                    <w:rPr>
                      <w:rFonts w:hint="eastAsia" w:ascii="宋体" w:hAnsi="宋体" w:eastAsia="宋体" w:cs="宋体"/>
                      <w:b/>
                      <w:bCs/>
                      <w:snapToGrid w:val="0"/>
                      <w:color w:val="auto"/>
                      <w:kern w:val="0"/>
                      <w:sz w:val="18"/>
                      <w:szCs w:val="18"/>
                      <w:lang w:eastAsia="en-US"/>
                    </w:rPr>
                    <w:t>稀释液：</w:t>
                  </w:r>
                  <w:r>
                    <w:rPr>
                      <w:rFonts w:hint="eastAsia" w:ascii="宋体" w:hAnsi="宋体" w:eastAsia="宋体" w:cs="宋体"/>
                      <w:snapToGrid w:val="0"/>
                      <w:color w:val="auto"/>
                      <w:kern w:val="0"/>
                      <w:sz w:val="18"/>
                      <w:szCs w:val="18"/>
                      <w:lang w:eastAsia="en-US"/>
                    </w:rPr>
                    <w:t>50人份/盒，有效期12个月</w:t>
                  </w:r>
                </w:p>
              </w:tc>
            </w:tr>
            <w:tr w14:paraId="20932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2779F73">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18、</w:t>
                  </w:r>
                  <w:r>
                    <w:rPr>
                      <w:rFonts w:hint="eastAsia" w:ascii="宋体" w:hAnsi="宋体" w:eastAsia="宋体" w:cs="宋体"/>
                      <w:b/>
                      <w:bCs/>
                      <w:snapToGrid w:val="0"/>
                      <w:color w:val="auto"/>
                      <w:kern w:val="0"/>
                      <w:sz w:val="18"/>
                      <w:szCs w:val="18"/>
                      <w:lang w:eastAsia="en-US"/>
                    </w:rPr>
                    <w:t>信号测量类型：</w:t>
                  </w:r>
                  <w:r>
                    <w:rPr>
                      <w:rFonts w:hint="eastAsia" w:ascii="宋体" w:hAnsi="宋体" w:eastAsia="宋体" w:cs="宋体"/>
                      <w:snapToGrid w:val="0"/>
                      <w:color w:val="auto"/>
                      <w:kern w:val="0"/>
                      <w:sz w:val="18"/>
                      <w:szCs w:val="18"/>
                      <w:lang w:eastAsia="en-US"/>
                    </w:rPr>
                    <w:t>全部元素使用主灵敏线，同时测量铜、锌、钙、镁、铁五种元素含量</w:t>
                  </w:r>
                </w:p>
              </w:tc>
            </w:tr>
            <w:tr w14:paraId="05255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A0D111F">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19、</w:t>
                  </w:r>
                  <w:r>
                    <w:rPr>
                      <w:rFonts w:hint="eastAsia" w:ascii="宋体" w:hAnsi="宋体" w:eastAsia="宋体" w:cs="宋体"/>
                      <w:b/>
                      <w:bCs/>
                      <w:snapToGrid w:val="0"/>
                      <w:color w:val="auto"/>
                      <w:kern w:val="0"/>
                      <w:sz w:val="18"/>
                      <w:szCs w:val="18"/>
                      <w:lang w:eastAsia="en-US"/>
                    </w:rPr>
                    <w:t>检测时间：</w:t>
                  </w:r>
                  <w:r>
                    <w:rPr>
                      <w:rFonts w:hint="eastAsia" w:ascii="宋体" w:hAnsi="宋体" w:eastAsia="宋体" w:cs="宋体"/>
                      <w:snapToGrid w:val="0"/>
                      <w:color w:val="auto"/>
                      <w:kern w:val="0"/>
                      <w:sz w:val="18"/>
                      <w:szCs w:val="18"/>
                      <w:lang w:eastAsia="en-US"/>
                    </w:rPr>
                    <w:t>2-3秒钟内同时检测出五种元素结果</w:t>
                  </w:r>
                </w:p>
              </w:tc>
            </w:tr>
            <w:tr w14:paraId="4C772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2818C8C">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20、</w:t>
                  </w:r>
                  <w:r>
                    <w:rPr>
                      <w:rFonts w:hint="eastAsia" w:ascii="宋体" w:hAnsi="宋体" w:eastAsia="宋体" w:cs="宋体"/>
                      <w:b/>
                      <w:bCs/>
                      <w:snapToGrid w:val="0"/>
                      <w:color w:val="auto"/>
                      <w:kern w:val="0"/>
                      <w:sz w:val="18"/>
                      <w:szCs w:val="18"/>
                      <w:lang w:eastAsia="en-US"/>
                    </w:rPr>
                    <w:t>测量结果：</w:t>
                  </w:r>
                  <w:r>
                    <w:rPr>
                      <w:rFonts w:hint="eastAsia" w:ascii="宋体" w:hAnsi="宋体" w:eastAsia="宋体" w:cs="宋体"/>
                      <w:snapToGrid w:val="0"/>
                      <w:color w:val="auto"/>
                      <w:kern w:val="0"/>
                      <w:sz w:val="18"/>
                      <w:szCs w:val="18"/>
                      <w:lang w:eastAsia="en-US"/>
                    </w:rPr>
                    <w:t>自动计算、整理、存储并打印；符合卫生部医疗机构临床实验室管理方法的要求</w:t>
                  </w:r>
                </w:p>
              </w:tc>
            </w:tr>
            <w:tr w14:paraId="2DFF0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C457020">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21、</w:t>
                  </w:r>
                  <w:r>
                    <w:rPr>
                      <w:rFonts w:hint="eastAsia" w:ascii="宋体" w:hAnsi="宋体" w:eastAsia="宋体" w:cs="宋体"/>
                      <w:b/>
                      <w:bCs/>
                      <w:snapToGrid w:val="0"/>
                      <w:color w:val="auto"/>
                      <w:kern w:val="0"/>
                      <w:sz w:val="18"/>
                      <w:szCs w:val="18"/>
                      <w:lang w:eastAsia="en-US"/>
                    </w:rPr>
                    <w:t>安全措施：</w:t>
                  </w:r>
                  <w:r>
                    <w:rPr>
                      <w:rFonts w:hint="eastAsia" w:ascii="宋体" w:hAnsi="宋体" w:eastAsia="宋体" w:cs="宋体"/>
                      <w:snapToGrid w:val="0"/>
                      <w:color w:val="auto"/>
                      <w:kern w:val="0"/>
                      <w:sz w:val="18"/>
                      <w:szCs w:val="18"/>
                      <w:lang w:eastAsia="en-US"/>
                    </w:rPr>
                    <w:t>采用三重保护装置（乙炔防回火器、电磁阀断电和空气压力不足自动切断装置、燃烧器防爆装置）</w:t>
                  </w:r>
                </w:p>
              </w:tc>
            </w:tr>
            <w:tr w14:paraId="61512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04425BA">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22、</w:t>
                  </w:r>
                  <w:r>
                    <w:rPr>
                      <w:rFonts w:hint="eastAsia" w:ascii="宋体" w:hAnsi="宋体" w:eastAsia="宋体" w:cs="宋体"/>
                      <w:b/>
                      <w:bCs/>
                      <w:snapToGrid w:val="0"/>
                      <w:color w:val="auto"/>
                      <w:kern w:val="0"/>
                      <w:sz w:val="18"/>
                      <w:szCs w:val="18"/>
                      <w:lang w:eastAsia="en-US"/>
                    </w:rPr>
                    <w:t>供电电源：</w:t>
                  </w:r>
                  <w:r>
                    <w:rPr>
                      <w:rFonts w:hint="eastAsia" w:ascii="宋体" w:hAnsi="宋体" w:eastAsia="宋体" w:cs="宋体"/>
                      <w:snapToGrid w:val="0"/>
                      <w:color w:val="auto"/>
                      <w:kern w:val="0"/>
                      <w:sz w:val="18"/>
                      <w:szCs w:val="18"/>
                      <w:lang w:eastAsia="en-US"/>
                    </w:rPr>
                    <w:t>电压220V，频率50Hz</w:t>
                  </w:r>
                </w:p>
              </w:tc>
            </w:tr>
            <w:tr w14:paraId="60B7C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368780D5">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23、</w:t>
                  </w:r>
                  <w:r>
                    <w:rPr>
                      <w:rFonts w:hint="eastAsia" w:ascii="宋体" w:hAnsi="宋体" w:eastAsia="宋体" w:cs="宋体"/>
                      <w:b/>
                      <w:bCs/>
                      <w:snapToGrid w:val="0"/>
                      <w:color w:val="auto"/>
                      <w:kern w:val="0"/>
                      <w:sz w:val="18"/>
                      <w:szCs w:val="18"/>
                      <w:lang w:eastAsia="en-US"/>
                    </w:rPr>
                    <w:t>输入功率：</w:t>
                  </w:r>
                  <w:r>
                    <w:rPr>
                      <w:rFonts w:hint="eastAsia" w:ascii="宋体" w:hAnsi="宋体" w:eastAsia="宋体" w:cs="宋体"/>
                      <w:snapToGrid w:val="0"/>
                      <w:color w:val="auto"/>
                      <w:kern w:val="0"/>
                      <w:sz w:val="18"/>
                      <w:szCs w:val="18"/>
                      <w:lang w:eastAsia="en-US"/>
                    </w:rPr>
                    <w:t>330VA</w:t>
                  </w:r>
                </w:p>
              </w:tc>
            </w:tr>
            <w:tr w14:paraId="3154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6726" w:type="dxa"/>
                  <w:noWrap w:val="0"/>
                  <w:vAlign w:val="top"/>
                </w:tcPr>
                <w:p w14:paraId="64BD3185">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24、</w:t>
                  </w:r>
                  <w:r>
                    <w:rPr>
                      <w:rFonts w:hint="eastAsia" w:ascii="宋体" w:hAnsi="宋体" w:eastAsia="宋体" w:cs="宋体"/>
                      <w:b/>
                      <w:bCs/>
                      <w:snapToGrid w:val="0"/>
                      <w:color w:val="auto"/>
                      <w:kern w:val="0"/>
                      <w:sz w:val="18"/>
                      <w:szCs w:val="18"/>
                      <w:lang w:eastAsia="en-US"/>
                    </w:rPr>
                    <w:t>工作条件：</w:t>
                  </w:r>
                  <w:r>
                    <w:rPr>
                      <w:rFonts w:hint="eastAsia" w:ascii="宋体" w:hAnsi="宋体" w:eastAsia="宋体" w:cs="宋体"/>
                      <w:snapToGrid w:val="0"/>
                      <w:color w:val="auto"/>
                      <w:kern w:val="0"/>
                      <w:sz w:val="18"/>
                      <w:szCs w:val="18"/>
                      <w:lang w:eastAsia="en-US"/>
                    </w:rPr>
                    <w:t>环境温度10℃ - 30℃；相对湿度≤70%，大气压力700hpa-1060hpa,环境无震动、腐蚀性气体和电磁场干扰</w:t>
                  </w:r>
                </w:p>
              </w:tc>
            </w:tr>
            <w:tr w14:paraId="1C1A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7C6EB88">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25、</w:t>
                  </w:r>
                  <w:r>
                    <w:rPr>
                      <w:rFonts w:hint="eastAsia" w:ascii="宋体" w:hAnsi="宋体" w:eastAsia="宋体" w:cs="宋体"/>
                      <w:b/>
                      <w:bCs/>
                      <w:snapToGrid w:val="0"/>
                      <w:color w:val="auto"/>
                      <w:kern w:val="0"/>
                      <w:sz w:val="18"/>
                      <w:szCs w:val="18"/>
                      <w:lang w:eastAsia="en-US"/>
                    </w:rPr>
                    <w:t>网络连接：</w:t>
                  </w:r>
                  <w:r>
                    <w:rPr>
                      <w:rFonts w:hint="eastAsia" w:ascii="宋体" w:hAnsi="宋体" w:eastAsia="宋体" w:cs="宋体"/>
                      <w:snapToGrid w:val="0"/>
                      <w:color w:val="auto"/>
                      <w:kern w:val="0"/>
                      <w:sz w:val="18"/>
                      <w:szCs w:val="18"/>
                      <w:lang w:eastAsia="en-US"/>
                    </w:rPr>
                    <w:t>与LIS系统无缝连接</w:t>
                  </w:r>
                </w:p>
              </w:tc>
            </w:tr>
            <w:tr w14:paraId="0B71F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2807D677">
                  <w:pPr>
                    <w:widowControl/>
                    <w:numPr>
                      <w:ilvl w:val="0"/>
                      <w:numId w:val="8"/>
                    </w:numPr>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软件功能：</w:t>
                  </w:r>
                  <w:r>
                    <w:rPr>
                      <w:rFonts w:hint="eastAsia" w:ascii="宋体" w:hAnsi="宋体" w:eastAsia="宋体" w:cs="宋体"/>
                      <w:snapToGrid w:val="0"/>
                      <w:color w:val="auto"/>
                      <w:kern w:val="0"/>
                      <w:sz w:val="18"/>
                      <w:szCs w:val="18"/>
                      <w:lang w:eastAsia="en-US"/>
                    </w:rPr>
                    <w:t>具有室内质量控制，数据库完全开放，局域网双方通讯，中文界面，免费升级。</w:t>
                  </w:r>
                </w:p>
                <w:p w14:paraId="4B046CE6">
                  <w:pPr>
                    <w:widowControl/>
                    <w:numPr>
                      <w:ilvl w:val="0"/>
                      <w:numId w:val="8"/>
                    </w:numPr>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2"/>
                      <w:sz w:val="18"/>
                      <w:szCs w:val="18"/>
                      <w:lang w:val="en-US" w:eastAsia="zh-CN" w:bidi="ar-SA"/>
                    </w:rPr>
                    <w:t>总机质保三年</w:t>
                  </w:r>
                </w:p>
              </w:tc>
            </w:tr>
          </w:tbl>
          <w:p w14:paraId="39EB8FA4">
            <w:pPr>
              <w:widowControl/>
              <w:numPr>
                <w:ilvl w:val="0"/>
                <w:numId w:val="0"/>
              </w:numPr>
              <w:kinsoku w:val="0"/>
              <w:autoSpaceDE w:val="0"/>
              <w:autoSpaceDN w:val="0"/>
              <w:adjustRightInd w:val="0"/>
              <w:snapToGrid w:val="0"/>
              <w:spacing w:before="125" w:line="219"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0C30BDD5">
            <w:pPr>
              <w:widowControl/>
              <w:numPr>
                <w:ilvl w:val="0"/>
                <w:numId w:val="0"/>
              </w:numPr>
              <w:kinsoku w:val="0"/>
              <w:autoSpaceDE w:val="0"/>
              <w:autoSpaceDN w:val="0"/>
              <w:adjustRightInd w:val="0"/>
              <w:snapToGrid w:val="0"/>
              <w:spacing w:before="125" w:line="219" w:lineRule="auto"/>
              <w:ind w:left="17"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542CE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E0ADF85">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11</w:t>
            </w:r>
          </w:p>
        </w:tc>
        <w:tc>
          <w:tcPr>
            <w:tcW w:w="1415" w:type="dxa"/>
            <w:tcBorders>
              <w:top w:val="single" w:color="000000" w:sz="4" w:space="0"/>
              <w:bottom w:val="single" w:color="000000" w:sz="4" w:space="0"/>
            </w:tcBorders>
            <w:vAlign w:val="top"/>
          </w:tcPr>
          <w:p w14:paraId="05CC2F1E">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4K超高清宫腔镜系统</w:t>
            </w:r>
          </w:p>
        </w:tc>
        <w:tc>
          <w:tcPr>
            <w:tcW w:w="6878" w:type="dxa"/>
            <w:tcBorders>
              <w:top w:val="single" w:color="000000" w:sz="4" w:space="0"/>
              <w:bottom w:val="single" w:color="000000" w:sz="4" w:space="0"/>
            </w:tcBorders>
            <w:vAlign w:val="top"/>
          </w:tcPr>
          <w:p w14:paraId="60544BD0">
            <w:pPr>
              <w:widowControl/>
              <w:kinsoku w:val="0"/>
              <w:autoSpaceDE w:val="0"/>
              <w:autoSpaceDN w:val="0"/>
              <w:adjustRightInd w:val="0"/>
              <w:snapToGrid w:val="0"/>
              <w:spacing w:line="240" w:lineRule="auto"/>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基本参数</w:t>
            </w:r>
          </w:p>
          <w:p w14:paraId="26873479">
            <w:pPr>
              <w:numPr>
                <w:ilvl w:val="1"/>
                <w:numId w:val="9"/>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b/>
                <w:bCs/>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 xml:space="preserve"> 4K摄</w:t>
            </w:r>
            <w:r>
              <w:rPr>
                <w:rFonts w:hint="eastAsia" w:ascii="宋体" w:hAnsi="宋体" w:eastAsia="宋体" w:cs="宋体"/>
                <w:snapToGrid w:val="0"/>
                <w:color w:val="auto"/>
                <w:kern w:val="0"/>
                <w:sz w:val="18"/>
                <w:szCs w:val="18"/>
                <w:lang w:val="en-US" w:eastAsia="en-US" w:bidi="ar-SA"/>
              </w:rPr>
              <w:t>像</w:t>
            </w:r>
            <w:r>
              <w:rPr>
                <w:rFonts w:hint="eastAsia" w:ascii="宋体" w:hAnsi="宋体" w:eastAsia="宋体" w:cs="宋体"/>
                <w:snapToGrid w:val="0"/>
                <w:color w:val="auto"/>
                <w:kern w:val="0"/>
                <w:sz w:val="18"/>
                <w:szCs w:val="18"/>
                <w:lang w:val="en-US" w:eastAsia="zh-CN" w:bidi="ar-SA"/>
              </w:rPr>
              <w:t>主机</w:t>
            </w:r>
            <w:r>
              <w:rPr>
                <w:rFonts w:hint="eastAsia" w:ascii="宋体" w:hAnsi="宋体" w:eastAsia="宋体" w:cs="宋体"/>
                <w:snapToGrid w:val="0"/>
                <w:color w:val="auto"/>
                <w:kern w:val="0"/>
                <w:sz w:val="18"/>
                <w:szCs w:val="18"/>
                <w:lang w:val="en-US" w:eastAsia="en-US" w:bidi="ar-SA"/>
              </w:rPr>
              <w:t>、</w:t>
            </w:r>
            <w:r>
              <w:rPr>
                <w:rFonts w:hint="eastAsia" w:ascii="宋体" w:hAnsi="宋体" w:eastAsia="宋体" w:cs="宋体"/>
                <w:snapToGrid w:val="0"/>
                <w:color w:val="auto"/>
                <w:kern w:val="0"/>
                <w:sz w:val="18"/>
                <w:szCs w:val="18"/>
                <w:lang w:val="en-US" w:eastAsia="zh-CN" w:bidi="ar-SA"/>
              </w:rPr>
              <w:t>4K摄像头、冷</w:t>
            </w:r>
            <w:r>
              <w:rPr>
                <w:rFonts w:hint="eastAsia" w:ascii="宋体" w:hAnsi="宋体" w:eastAsia="宋体" w:cs="宋体"/>
                <w:snapToGrid w:val="0"/>
                <w:color w:val="auto"/>
                <w:kern w:val="0"/>
                <w:sz w:val="18"/>
                <w:szCs w:val="18"/>
                <w:lang w:val="en-US" w:eastAsia="en-US" w:bidi="ar-SA"/>
              </w:rPr>
              <w:t>光源、</w:t>
            </w:r>
            <w:r>
              <w:rPr>
                <w:rFonts w:hint="eastAsia" w:ascii="宋体" w:hAnsi="宋体" w:eastAsia="宋体" w:cs="宋体"/>
                <w:snapToGrid w:val="0"/>
                <w:color w:val="auto"/>
                <w:kern w:val="0"/>
                <w:sz w:val="18"/>
                <w:szCs w:val="18"/>
                <w:lang w:val="en-US" w:eastAsia="zh-CN" w:bidi="ar-SA"/>
              </w:rPr>
              <w:t>膨宫泵、宫腔</w:t>
            </w:r>
            <w:r>
              <w:rPr>
                <w:rFonts w:hint="eastAsia" w:ascii="宋体" w:hAnsi="宋体" w:eastAsia="宋体" w:cs="宋体"/>
                <w:snapToGrid w:val="0"/>
                <w:color w:val="auto"/>
                <w:kern w:val="0"/>
                <w:sz w:val="18"/>
                <w:szCs w:val="18"/>
                <w:lang w:val="en-US" w:eastAsia="en-US" w:bidi="ar-SA"/>
              </w:rPr>
              <w:t>镜，保证设备性能兼容性</w:t>
            </w:r>
            <w:r>
              <w:rPr>
                <w:rFonts w:hint="eastAsia" w:ascii="宋体" w:hAnsi="宋体" w:eastAsia="宋体" w:cs="宋体"/>
                <w:snapToGrid w:val="0"/>
                <w:color w:val="auto"/>
                <w:kern w:val="0"/>
                <w:sz w:val="18"/>
                <w:szCs w:val="18"/>
                <w:lang w:val="en-US" w:eastAsia="zh-CN" w:bidi="ar-SA"/>
              </w:rPr>
              <w:t>能</w:t>
            </w:r>
            <w:r>
              <w:rPr>
                <w:rFonts w:hint="eastAsia" w:ascii="宋体" w:hAnsi="宋体" w:eastAsia="宋体" w:cs="宋体"/>
                <w:snapToGrid w:val="0"/>
                <w:color w:val="auto"/>
                <w:kern w:val="0"/>
                <w:sz w:val="18"/>
                <w:szCs w:val="18"/>
                <w:lang w:val="en-US" w:eastAsia="en-US" w:bidi="ar-SA"/>
              </w:rPr>
              <w:t>处于最佳状态</w:t>
            </w:r>
          </w:p>
          <w:p w14:paraId="3058D430">
            <w:pPr>
              <w:numPr>
                <w:ilvl w:val="0"/>
                <w:numId w:val="0"/>
              </w:numPr>
              <w:kinsoku w:val="0"/>
              <w:autoSpaceDE w:val="0"/>
              <w:autoSpaceDN w:val="0"/>
              <w:adjustRightInd w:val="0"/>
              <w:snapToGrid w:val="0"/>
              <w:spacing w:line="240" w:lineRule="auto"/>
              <w:ind w:leftChars="0" w:firstLine="361" w:firstLineChars="200"/>
              <w:jc w:val="left"/>
              <w:textAlignment w:val="baseline"/>
              <w:rPr>
                <w:rFonts w:hint="eastAsia" w:ascii="宋体" w:hAnsi="宋体" w:eastAsia="宋体" w:cs="宋体"/>
                <w:b/>
                <w:bCs/>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2.   4K摄像主机</w:t>
            </w:r>
          </w:p>
          <w:p w14:paraId="174AE942">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输出分辨率≥4096×2160，与内窥镜达到更佳的图像匹配</w:t>
            </w:r>
          </w:p>
          <w:p w14:paraId="652E517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主机自带≥7.5英寸触摸显示屏，便捷进行功能及参数设定</w:t>
            </w:r>
          </w:p>
          <w:p w14:paraId="2D87967C">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具有数字降噪功能，消除动态图像中的噪声和阴影，使图像显示更加柔和细腻。</w:t>
            </w:r>
          </w:p>
          <w:p w14:paraId="0C070DCD">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电子放大和电子缩小功能，放大缩小范围：X1.0-X3.0</w:t>
            </w:r>
          </w:p>
          <w:p w14:paraId="0F220051">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电气安全：医用设备电气安全CF-1类，可应用于心脏设备</w:t>
            </w:r>
          </w:p>
          <w:p w14:paraId="79144518">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具有防除颤功能，除颤恢复时间</w:t>
            </w:r>
            <w:r>
              <w:rPr>
                <w:rFonts w:hint="eastAsia" w:ascii="宋体" w:hAnsi="宋体" w:eastAsia="宋体" w:cs="宋体"/>
                <w:snapToGrid w:val="0"/>
                <w:color w:val="auto"/>
                <w:kern w:val="0"/>
                <w:sz w:val="18"/>
                <w:szCs w:val="18"/>
                <w:lang w:val="en-US" w:eastAsia="en-US" w:bidi="ar-SA"/>
              </w:rPr>
              <w:t>≤</w:t>
            </w:r>
            <w:r>
              <w:rPr>
                <w:rFonts w:hint="eastAsia" w:ascii="宋体" w:hAnsi="宋体" w:eastAsia="宋体" w:cs="宋体"/>
                <w:snapToGrid w:val="0"/>
                <w:color w:val="auto"/>
                <w:kern w:val="0"/>
                <w:sz w:val="18"/>
                <w:szCs w:val="18"/>
                <w:lang w:val="en-US" w:eastAsia="zh-CN" w:bidi="ar-SA"/>
              </w:rPr>
              <w:t>1秒</w:t>
            </w:r>
          </w:p>
          <w:p w14:paraId="26F243D3">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具有图像亮度调节功能</w:t>
            </w:r>
          </w:p>
          <w:p w14:paraId="1600B3C6">
            <w:pPr>
              <w:numPr>
                <w:ilvl w:val="1"/>
                <w:numId w:val="10"/>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具有图像饱和度调节功能</w:t>
            </w:r>
          </w:p>
          <w:p w14:paraId="123BBCB2">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具有智能曝光功能，可精准统计成像区域的亮度值</w:t>
            </w:r>
          </w:p>
          <w:p w14:paraId="10406A5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具有暗区改善功能和高亮度抑制功能</w:t>
            </w:r>
          </w:p>
          <w:p w14:paraId="3B09195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具有去摩尔纹功能，支持连接纤维光学内窥镜</w:t>
            </w:r>
          </w:p>
          <w:p w14:paraId="48C6DD2F">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具有电子光谱染色功能</w:t>
            </w:r>
          </w:p>
          <w:p w14:paraId="7C82D298">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具有图像翻转功能</w:t>
            </w:r>
          </w:p>
          <w:p w14:paraId="249F0801">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视频输出帧率：60Hz和30Hz可选</w:t>
            </w:r>
          </w:p>
          <w:p w14:paraId="44FD721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主机前面板内置≥2个USB刻录接口，可进行4K刻录</w:t>
            </w:r>
          </w:p>
          <w:p w14:paraId="649989D3">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录制格式为MP4 ，支持画质选择≥4种</w:t>
            </w:r>
          </w:p>
          <w:p w14:paraId="321477F1">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USB接口≥3个，可插入U 盘或硬盘</w:t>
            </w:r>
          </w:p>
          <w:p w14:paraId="24B3487B">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具有画面冻结功能，可冻结当前画面</w:t>
            </w:r>
          </w:p>
          <w:p w14:paraId="2971EE4F">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支持脚踏开关接入并进行功能设置</w:t>
            </w:r>
          </w:p>
          <w:p w14:paraId="5AD4EE4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主机具有软键盘支持病人信息输入</w:t>
            </w:r>
          </w:p>
          <w:p w14:paraId="68303CEB">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支持系统多种语言进行切换</w:t>
            </w:r>
          </w:p>
          <w:p w14:paraId="69E6365A">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最大噪音≤55dB（A）</w:t>
            </w:r>
          </w:p>
          <w:p w14:paraId="4072744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信噪比标称值最低范围须达到48dB，峰值信噪比最低范围须达到82dB</w:t>
            </w:r>
          </w:p>
          <w:p w14:paraId="6452A45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可搭配选择≥3种非电子摄像头，其中必须包含重量＜120g的摄像头</w:t>
            </w:r>
          </w:p>
          <w:p w14:paraId="7857DF1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主机</w:t>
            </w:r>
            <w:r>
              <w:rPr>
                <w:rFonts w:hint="eastAsia" w:ascii="宋体" w:hAnsi="宋体" w:eastAsia="宋体" w:cs="宋体"/>
                <w:snapToGrid w:val="0"/>
                <w:color w:val="auto"/>
                <w:kern w:val="0"/>
                <w:sz w:val="18"/>
                <w:szCs w:val="18"/>
                <w:lang w:eastAsia="en-US"/>
              </w:rPr>
              <w:t>可兼容≥</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一次性电子内窥镜</w:t>
            </w:r>
          </w:p>
          <w:p w14:paraId="0F7FA32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具有画幅自适应调控功能</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可根据内窥镜成像画面圆大小调整至有效合适画面</w:t>
            </w:r>
          </w:p>
          <w:p w14:paraId="3186CD4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该产品环保使用年限为20年，具有相关环保标志</w:t>
            </w:r>
          </w:p>
          <w:p w14:paraId="7AEE9438">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4K摄像头</w:t>
            </w:r>
          </w:p>
          <w:p w14:paraId="3ACA7F9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摄像头搭载单4K CMOS</w:t>
            </w:r>
          </w:p>
          <w:p w14:paraId="7839AEC6">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水平分辨力≥2000线</w:t>
            </w:r>
          </w:p>
          <w:p w14:paraId="3E4B2C3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具有≥4个按键</w:t>
            </w:r>
          </w:p>
          <w:p w14:paraId="19BBB737">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防水等级：≥IPX7, 可浸泡消毒、低温等离子灭菌</w:t>
            </w:r>
          </w:p>
          <w:p w14:paraId="41CD719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具有自</w:t>
            </w:r>
            <w:r>
              <w:rPr>
                <w:rFonts w:hint="eastAsia" w:ascii="宋体" w:hAnsi="宋体" w:eastAsia="宋体" w:cs="宋体"/>
                <w:snapToGrid w:val="0"/>
                <w:color w:val="auto"/>
                <w:kern w:val="0"/>
                <w:sz w:val="18"/>
                <w:szCs w:val="18"/>
                <w:lang w:val="en-US" w:eastAsia="zh-CN"/>
              </w:rPr>
              <w:t>动</w:t>
            </w:r>
            <w:r>
              <w:rPr>
                <w:rFonts w:hint="eastAsia" w:ascii="宋体" w:hAnsi="宋体" w:eastAsia="宋体" w:cs="宋体"/>
                <w:snapToGrid w:val="0"/>
                <w:color w:val="auto"/>
                <w:kern w:val="0"/>
                <w:sz w:val="18"/>
                <w:szCs w:val="18"/>
                <w:lang w:eastAsia="en-US"/>
              </w:rPr>
              <w:t>对焦功能</w:t>
            </w:r>
            <w:r>
              <w:rPr>
                <w:rFonts w:hint="eastAsia" w:ascii="宋体" w:hAnsi="宋体" w:eastAsia="宋体" w:cs="宋体"/>
                <w:snapToGrid w:val="0"/>
                <w:color w:val="auto"/>
                <w:kern w:val="0"/>
                <w:sz w:val="18"/>
                <w:szCs w:val="18"/>
                <w:lang w:val="en-US" w:eastAsia="zh-CN"/>
              </w:rPr>
              <w:t>的同时</w:t>
            </w:r>
            <w:r>
              <w:rPr>
                <w:rFonts w:hint="eastAsia" w:ascii="宋体" w:hAnsi="宋体" w:eastAsia="宋体" w:cs="宋体"/>
                <w:snapToGrid w:val="0"/>
                <w:color w:val="auto"/>
                <w:kern w:val="0"/>
                <w:sz w:val="18"/>
                <w:szCs w:val="18"/>
                <w:lang w:eastAsia="en-US"/>
              </w:rPr>
              <w:t>可通过旋转转轮</w:t>
            </w:r>
            <w:r>
              <w:rPr>
                <w:rFonts w:hint="eastAsia" w:ascii="宋体" w:hAnsi="宋体" w:eastAsia="宋体" w:cs="宋体"/>
                <w:snapToGrid w:val="0"/>
                <w:color w:val="auto"/>
                <w:kern w:val="0"/>
                <w:sz w:val="18"/>
                <w:szCs w:val="18"/>
                <w:lang w:val="en-US" w:eastAsia="zh-CN"/>
              </w:rPr>
              <w:t>进行</w:t>
            </w:r>
            <w:r>
              <w:rPr>
                <w:rFonts w:hint="eastAsia" w:ascii="宋体" w:hAnsi="宋体" w:eastAsia="宋体" w:cs="宋体"/>
                <w:snapToGrid w:val="0"/>
                <w:color w:val="auto"/>
                <w:kern w:val="0"/>
                <w:sz w:val="18"/>
                <w:szCs w:val="18"/>
                <w:lang w:eastAsia="en-US"/>
              </w:rPr>
              <w:t>手动</w:t>
            </w:r>
            <w:r>
              <w:rPr>
                <w:rFonts w:hint="eastAsia" w:ascii="宋体" w:hAnsi="宋体" w:eastAsia="宋体" w:cs="宋体"/>
                <w:snapToGrid w:val="0"/>
                <w:color w:val="auto"/>
                <w:kern w:val="0"/>
                <w:sz w:val="18"/>
                <w:szCs w:val="18"/>
                <w:lang w:val="en-US" w:eastAsia="zh-CN"/>
              </w:rPr>
              <w:t>调</w:t>
            </w:r>
            <w:r>
              <w:rPr>
                <w:rFonts w:hint="eastAsia" w:ascii="宋体" w:hAnsi="宋体" w:eastAsia="宋体" w:cs="宋体"/>
                <w:snapToGrid w:val="0"/>
                <w:color w:val="auto"/>
                <w:kern w:val="0"/>
                <w:sz w:val="18"/>
                <w:szCs w:val="18"/>
                <w:lang w:eastAsia="en-US"/>
              </w:rPr>
              <w:t>焦</w:t>
            </w:r>
          </w:p>
          <w:p w14:paraId="346D521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摄像头可以控制光源开关</w:t>
            </w:r>
          </w:p>
          <w:p w14:paraId="33370D1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摄像头重量≤195g</w:t>
            </w:r>
          </w:p>
          <w:p w14:paraId="75564CA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摄像头需为一体化摄像头，不支持拆卸</w:t>
            </w:r>
          </w:p>
          <w:p w14:paraId="33F32A8B">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医用冷光源</w:t>
            </w:r>
          </w:p>
          <w:p w14:paraId="7371921C">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独立光源设计，LED 型光源</w:t>
            </w:r>
          </w:p>
          <w:p w14:paraId="039A07D6">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正常使用寿命≥60000h</w:t>
            </w:r>
          </w:p>
          <w:p w14:paraId="5A434EB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显色指数：≥90</w:t>
            </w:r>
          </w:p>
          <w:p w14:paraId="669E4BE0">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色温：3000K～7000K</w:t>
            </w:r>
          </w:p>
          <w:p w14:paraId="09D9F60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输出总光通量：≥1200lm</w:t>
            </w:r>
          </w:p>
          <w:p w14:paraId="1DB0500A">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主机导光束插口有保护装置，意外拔出自动关闭保护</w:t>
            </w:r>
          </w:p>
          <w:p w14:paraId="5E2032E6">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电气安全：医用设备电气安全CF-1类，可应用于心脏设备</w:t>
            </w:r>
          </w:p>
          <w:p w14:paraId="6E0FE219">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bidi="ar-SA"/>
              </w:rPr>
              <w:t>具有防除颤功能，除颤恢复时间</w:t>
            </w:r>
            <w:r>
              <w:rPr>
                <w:rFonts w:hint="eastAsia" w:ascii="宋体" w:hAnsi="宋体" w:eastAsia="宋体" w:cs="宋体"/>
                <w:snapToGrid w:val="0"/>
                <w:color w:val="auto"/>
                <w:kern w:val="0"/>
                <w:sz w:val="18"/>
                <w:szCs w:val="18"/>
                <w:lang w:val="en-US" w:eastAsia="en-US" w:bidi="ar-SA"/>
              </w:rPr>
              <w:t>≤</w:t>
            </w:r>
            <w:r>
              <w:rPr>
                <w:rFonts w:hint="eastAsia" w:ascii="宋体" w:hAnsi="宋体" w:eastAsia="宋体" w:cs="宋体"/>
                <w:snapToGrid w:val="0"/>
                <w:color w:val="auto"/>
                <w:kern w:val="0"/>
                <w:sz w:val="18"/>
                <w:szCs w:val="18"/>
                <w:lang w:val="en-US" w:eastAsia="zh-CN" w:bidi="ar-SA"/>
              </w:rPr>
              <w:t>1秒</w:t>
            </w:r>
          </w:p>
          <w:p w14:paraId="34091DD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该产品环保使用年限为20年，具有相关环保标志</w:t>
            </w:r>
          </w:p>
          <w:p w14:paraId="19099BAC">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最大噪音≤55dB（A）</w:t>
            </w:r>
          </w:p>
          <w:p w14:paraId="16A26436">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4K液晶显示器</w:t>
            </w:r>
          </w:p>
          <w:p w14:paraId="520EC3C8">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4K医用LCD显示器，尺寸≥32寸</w:t>
            </w:r>
          </w:p>
          <w:p w14:paraId="113BAF5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支持3840*2160和4096*2160分辨率</w:t>
            </w:r>
          </w:p>
          <w:p w14:paraId="2A25662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输入接口：HDMI≥1个，12G-SDI≥1个，DP≥1个，DVI≥1个</w:t>
            </w:r>
          </w:p>
          <w:p w14:paraId="23E649C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输出接口：12G-SDI≥1个，DP≥1个</w:t>
            </w:r>
          </w:p>
          <w:p w14:paraId="19D2F8F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对比度≥1500：1</w:t>
            </w:r>
          </w:p>
          <w:p w14:paraId="03050116">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最大背光亮度≥500cd/m²</w:t>
            </w:r>
          </w:p>
          <w:p w14:paraId="7F34154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snapToGrid w:val="0"/>
                <w:color w:val="auto"/>
                <w:kern w:val="2"/>
                <w:sz w:val="18"/>
                <w:szCs w:val="18"/>
                <w:lang w:val="en-US" w:eastAsia="zh-CN" w:bidi="ar-SA"/>
              </w:rPr>
              <w:t>具有≥178°可视角度</w:t>
            </w:r>
          </w:p>
          <w:p w14:paraId="1A6122A4">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宫腔镜(5F）</w:t>
            </w:r>
          </w:p>
          <w:p w14:paraId="7EB0B4B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宫腔镜由光学内窥镜、内鞘、外鞘组成</w:t>
            </w:r>
          </w:p>
          <w:p w14:paraId="362F3260">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分体鞘套设计，快锁安装方式，便于清洗和消毒</w:t>
            </w:r>
          </w:p>
          <w:p w14:paraId="75454AC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独立进水与出水通道设计，连续灌流</w:t>
            </w:r>
          </w:p>
          <w:p w14:paraId="7058F6B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光学内窥镜直径：≤2.9mm，镜体</w:t>
            </w:r>
            <w:r>
              <w:rPr>
                <w:rFonts w:hint="eastAsia" w:ascii="宋体" w:hAnsi="宋体" w:eastAsia="宋体" w:cs="宋体"/>
                <w:snapToGrid w:val="0"/>
                <w:color w:val="auto"/>
                <w:kern w:val="2"/>
                <w:sz w:val="18"/>
                <w:szCs w:val="18"/>
                <w:lang w:val="en-US" w:eastAsia="en-US" w:bidi="ar-SA"/>
              </w:rPr>
              <w:t>工作长度L</w:t>
            </w:r>
            <w:r>
              <w:rPr>
                <w:rFonts w:hint="eastAsia" w:ascii="宋体" w:hAnsi="宋体" w:eastAsia="宋体" w:cs="宋体"/>
                <w:snapToGrid w:val="0"/>
                <w:color w:val="auto"/>
                <w:kern w:val="2"/>
                <w:sz w:val="18"/>
                <w:szCs w:val="18"/>
                <w:lang w:val="en-US" w:eastAsia="zh-CN" w:bidi="ar-SA"/>
              </w:rPr>
              <w:t>≥300</w:t>
            </w:r>
            <w:r>
              <w:rPr>
                <w:rFonts w:hint="eastAsia" w:ascii="宋体" w:hAnsi="宋体" w:eastAsia="宋体" w:cs="宋体"/>
                <w:snapToGrid w:val="0"/>
                <w:color w:val="auto"/>
                <w:kern w:val="2"/>
                <w:sz w:val="18"/>
                <w:szCs w:val="18"/>
                <w:lang w:val="en-US" w:eastAsia="en-US" w:bidi="ar-SA"/>
              </w:rPr>
              <w:t>mm</w:t>
            </w:r>
          </w:p>
          <w:p w14:paraId="6F25028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插入部分最大宽度</w:t>
            </w:r>
            <w:r>
              <w:rPr>
                <w:rFonts w:hint="eastAsia" w:ascii="宋体" w:hAnsi="宋体" w:eastAsia="宋体" w:cs="宋体"/>
                <w:snapToGrid w:val="0"/>
                <w:color w:val="auto"/>
                <w:kern w:val="2"/>
                <w:sz w:val="18"/>
                <w:szCs w:val="18"/>
                <w:lang w:val="en-US" w:eastAsia="zh-CN" w:bidi="ar-SA"/>
              </w:rPr>
              <w:t>≤16.8</w:t>
            </w:r>
            <w:r>
              <w:rPr>
                <w:rFonts w:hint="eastAsia" w:ascii="宋体" w:hAnsi="宋体" w:eastAsia="宋体" w:cs="宋体"/>
                <w:snapToGrid w:val="0"/>
                <w:color w:val="auto"/>
                <w:kern w:val="2"/>
                <w:sz w:val="18"/>
                <w:szCs w:val="18"/>
                <w:lang w:val="en-US" w:eastAsia="en-US" w:bidi="ar-SA"/>
              </w:rPr>
              <w:t>Fr</w:t>
            </w:r>
            <w:r>
              <w:rPr>
                <w:rFonts w:hint="eastAsia" w:ascii="宋体" w:hAnsi="宋体" w:eastAsia="宋体" w:cs="宋体"/>
                <w:snapToGrid w:val="0"/>
                <w:color w:val="auto"/>
                <w:kern w:val="2"/>
                <w:sz w:val="18"/>
                <w:szCs w:val="18"/>
                <w:lang w:val="en-US" w:eastAsia="zh-CN" w:bidi="ar-SA"/>
              </w:rPr>
              <w:t>，器械通道≥5Fr</w:t>
            </w:r>
          </w:p>
          <w:p w14:paraId="624B97C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视向角</w:t>
            </w:r>
            <w:r>
              <w:rPr>
                <w:rFonts w:hint="eastAsia" w:ascii="宋体" w:hAnsi="宋体" w:eastAsia="宋体" w:cs="宋体"/>
                <w:snapToGrid w:val="0"/>
                <w:color w:val="auto"/>
                <w:kern w:val="2"/>
                <w:sz w:val="18"/>
                <w:szCs w:val="18"/>
                <w:lang w:val="en-US" w:eastAsia="zh-CN" w:bidi="ar-SA"/>
              </w:rPr>
              <w:t>：30</w:t>
            </w:r>
            <w:r>
              <w:rPr>
                <w:rFonts w:hint="eastAsia" w:ascii="宋体" w:hAnsi="宋体" w:eastAsia="宋体" w:cs="宋体"/>
                <w:snapToGrid w:val="0"/>
                <w:color w:val="auto"/>
                <w:kern w:val="2"/>
                <w:sz w:val="18"/>
                <w:szCs w:val="18"/>
                <w:lang w:val="en-US" w:eastAsia="en-US" w:bidi="ar-SA"/>
              </w:rPr>
              <w:t xml:space="preserve"> </w:t>
            </w:r>
            <w:r>
              <w:rPr>
                <w:rFonts w:hint="eastAsia" w:ascii="宋体" w:hAnsi="宋体" w:eastAsia="宋体" w:cs="宋体"/>
                <w:snapToGrid w:val="0"/>
                <w:color w:val="auto"/>
                <w:kern w:val="2"/>
                <w:sz w:val="18"/>
                <w:szCs w:val="18"/>
                <w:lang w:val="en-US" w:eastAsia="zh-CN" w:bidi="ar-SA"/>
              </w:rPr>
              <w:t>°，</w:t>
            </w:r>
            <w:r>
              <w:rPr>
                <w:rFonts w:hint="eastAsia" w:ascii="宋体" w:hAnsi="宋体" w:eastAsia="宋体" w:cs="宋体"/>
                <w:snapToGrid w:val="0"/>
                <w:color w:val="auto"/>
                <w:kern w:val="2"/>
                <w:sz w:val="18"/>
                <w:szCs w:val="18"/>
                <w:lang w:val="en-US" w:eastAsia="en-US" w:bidi="ar-SA"/>
              </w:rPr>
              <w:t>视场角</w:t>
            </w:r>
            <w:r>
              <w:rPr>
                <w:rFonts w:hint="eastAsia" w:ascii="宋体" w:hAnsi="宋体" w:eastAsia="宋体" w:cs="宋体"/>
                <w:snapToGrid w:val="0"/>
                <w:color w:val="auto"/>
                <w:kern w:val="2"/>
                <w:sz w:val="18"/>
                <w:szCs w:val="18"/>
                <w:lang w:val="en-US" w:eastAsia="zh-CN" w:bidi="ar-SA"/>
              </w:rPr>
              <w:t>:≥80°</w:t>
            </w:r>
          </w:p>
          <w:p w14:paraId="33F21BC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snapToGrid w:val="0"/>
                <w:color w:val="auto"/>
                <w:kern w:val="2"/>
                <w:sz w:val="18"/>
                <w:szCs w:val="18"/>
                <w:lang w:val="en-US" w:eastAsia="zh-CN" w:bidi="ar-SA"/>
              </w:rPr>
              <w:t>视场中心角分辨力≥3.0C/(°)</w:t>
            </w:r>
          </w:p>
          <w:p w14:paraId="76D61A9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有效光度率：</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1400</w:t>
            </w:r>
          </w:p>
          <w:p w14:paraId="6A53688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有效景深范围：最小≤1mm，最大≥100mm</w:t>
            </w:r>
          </w:p>
          <w:p w14:paraId="5CF27E4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支持高温高压、低温等离子、环氧乙烷等消毒灭菌</w:t>
            </w:r>
          </w:p>
          <w:p w14:paraId="7123809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该产品环保使用年限为20年，具有相关环保标志</w:t>
            </w:r>
          </w:p>
          <w:p w14:paraId="0D168BE4">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宫腔镜（7F)</w:t>
            </w:r>
          </w:p>
          <w:p w14:paraId="043C0FC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宫腔镜由光学内窥镜、内鞘、外鞘组成</w:t>
            </w:r>
          </w:p>
          <w:p w14:paraId="66A3362E">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分体鞘套设计，快锁安装方式，便于清洗和消毒</w:t>
            </w:r>
          </w:p>
          <w:p w14:paraId="16F34CAF">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独立进水与出水通道设计，连续灌流</w:t>
            </w:r>
          </w:p>
          <w:p w14:paraId="65ADBF9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光学内窥镜直径：≤4mm，镜体</w:t>
            </w:r>
            <w:r>
              <w:rPr>
                <w:rFonts w:hint="eastAsia" w:ascii="宋体" w:hAnsi="宋体" w:eastAsia="宋体" w:cs="宋体"/>
                <w:snapToGrid w:val="0"/>
                <w:color w:val="auto"/>
                <w:kern w:val="2"/>
                <w:sz w:val="18"/>
                <w:szCs w:val="18"/>
                <w:lang w:val="en-US" w:eastAsia="en-US" w:bidi="ar-SA"/>
              </w:rPr>
              <w:t>工作长度L</w:t>
            </w:r>
            <w:r>
              <w:rPr>
                <w:rFonts w:hint="eastAsia" w:ascii="宋体" w:hAnsi="宋体" w:eastAsia="宋体" w:cs="宋体"/>
                <w:snapToGrid w:val="0"/>
                <w:color w:val="auto"/>
                <w:kern w:val="2"/>
                <w:sz w:val="18"/>
                <w:szCs w:val="18"/>
                <w:lang w:val="en-US" w:eastAsia="zh-CN" w:bidi="ar-SA"/>
              </w:rPr>
              <w:t>≥300</w:t>
            </w:r>
            <w:r>
              <w:rPr>
                <w:rFonts w:hint="eastAsia" w:ascii="宋体" w:hAnsi="宋体" w:eastAsia="宋体" w:cs="宋体"/>
                <w:snapToGrid w:val="0"/>
                <w:color w:val="auto"/>
                <w:kern w:val="2"/>
                <w:sz w:val="18"/>
                <w:szCs w:val="18"/>
                <w:lang w:val="en-US" w:eastAsia="en-US" w:bidi="ar-SA"/>
              </w:rPr>
              <w:t>mm</w:t>
            </w:r>
          </w:p>
          <w:p w14:paraId="7D89297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插入部分最大宽度</w:t>
            </w:r>
            <w:r>
              <w:rPr>
                <w:rFonts w:hint="eastAsia" w:ascii="宋体" w:hAnsi="宋体" w:eastAsia="宋体" w:cs="宋体"/>
                <w:snapToGrid w:val="0"/>
                <w:color w:val="auto"/>
                <w:kern w:val="2"/>
                <w:sz w:val="18"/>
                <w:szCs w:val="18"/>
                <w:lang w:val="en-US" w:eastAsia="zh-CN" w:bidi="ar-SA"/>
              </w:rPr>
              <w:t>≥20.3</w:t>
            </w:r>
            <w:r>
              <w:rPr>
                <w:rFonts w:hint="eastAsia" w:ascii="宋体" w:hAnsi="宋体" w:eastAsia="宋体" w:cs="宋体"/>
                <w:snapToGrid w:val="0"/>
                <w:color w:val="auto"/>
                <w:kern w:val="2"/>
                <w:sz w:val="18"/>
                <w:szCs w:val="18"/>
                <w:lang w:val="en-US" w:eastAsia="en-US" w:bidi="ar-SA"/>
              </w:rPr>
              <w:t>Fr</w:t>
            </w:r>
            <w:r>
              <w:rPr>
                <w:rFonts w:hint="eastAsia" w:ascii="宋体" w:hAnsi="宋体" w:eastAsia="宋体" w:cs="宋体"/>
                <w:snapToGrid w:val="0"/>
                <w:color w:val="auto"/>
                <w:kern w:val="2"/>
                <w:sz w:val="18"/>
                <w:szCs w:val="18"/>
                <w:lang w:val="en-US" w:eastAsia="zh-CN" w:bidi="ar-SA"/>
              </w:rPr>
              <w:t>,器械通道≥7Fr</w:t>
            </w:r>
          </w:p>
          <w:p w14:paraId="1B34010C">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视向角</w:t>
            </w:r>
            <w:r>
              <w:rPr>
                <w:rFonts w:hint="eastAsia" w:ascii="宋体" w:hAnsi="宋体" w:eastAsia="宋体" w:cs="宋体"/>
                <w:snapToGrid w:val="0"/>
                <w:color w:val="auto"/>
                <w:kern w:val="2"/>
                <w:sz w:val="18"/>
                <w:szCs w:val="18"/>
                <w:lang w:val="en-US" w:eastAsia="zh-CN" w:bidi="ar-SA"/>
              </w:rPr>
              <w:t>：30</w:t>
            </w:r>
            <w:r>
              <w:rPr>
                <w:rFonts w:hint="eastAsia" w:ascii="宋体" w:hAnsi="宋体" w:eastAsia="宋体" w:cs="宋体"/>
                <w:snapToGrid w:val="0"/>
                <w:color w:val="auto"/>
                <w:kern w:val="2"/>
                <w:sz w:val="18"/>
                <w:szCs w:val="18"/>
                <w:lang w:val="en-US" w:eastAsia="en-US" w:bidi="ar-SA"/>
              </w:rPr>
              <w:t xml:space="preserve"> </w:t>
            </w:r>
            <w:r>
              <w:rPr>
                <w:rFonts w:hint="eastAsia" w:ascii="宋体" w:hAnsi="宋体" w:eastAsia="宋体" w:cs="宋体"/>
                <w:snapToGrid w:val="0"/>
                <w:color w:val="auto"/>
                <w:kern w:val="2"/>
                <w:sz w:val="18"/>
                <w:szCs w:val="18"/>
                <w:lang w:val="en-US" w:eastAsia="zh-CN" w:bidi="ar-SA"/>
              </w:rPr>
              <w:t>°，</w:t>
            </w:r>
            <w:r>
              <w:rPr>
                <w:rFonts w:hint="eastAsia" w:ascii="宋体" w:hAnsi="宋体" w:eastAsia="宋体" w:cs="宋体"/>
                <w:snapToGrid w:val="0"/>
                <w:color w:val="auto"/>
                <w:kern w:val="2"/>
                <w:sz w:val="18"/>
                <w:szCs w:val="18"/>
                <w:lang w:val="en-US" w:eastAsia="en-US" w:bidi="ar-SA"/>
              </w:rPr>
              <w:t>视场角</w:t>
            </w:r>
            <w:r>
              <w:rPr>
                <w:rFonts w:hint="eastAsia" w:ascii="宋体" w:hAnsi="宋体" w:eastAsia="宋体" w:cs="宋体"/>
                <w:snapToGrid w:val="0"/>
                <w:color w:val="auto"/>
                <w:kern w:val="2"/>
                <w:sz w:val="18"/>
                <w:szCs w:val="18"/>
                <w:lang w:val="en-US" w:eastAsia="zh-CN" w:bidi="ar-SA"/>
              </w:rPr>
              <w:t>:≥68°</w:t>
            </w:r>
          </w:p>
          <w:p w14:paraId="26AD6B8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视场中心角分辨力≥4.5C/(°)</w:t>
            </w:r>
          </w:p>
          <w:p w14:paraId="0303FA9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有效光度率：</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1425</w:t>
            </w:r>
          </w:p>
          <w:p w14:paraId="2FF03DC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有效景深范围：最小≤1mm，最大≥100mm</w:t>
            </w:r>
          </w:p>
          <w:p w14:paraId="3C56DBA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支持高温高压、低温等离子、环氧乙烷等消毒灭菌</w:t>
            </w:r>
          </w:p>
          <w:p w14:paraId="512D14C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该产品环保使用年限为20年，具有相关环保标志</w:t>
            </w:r>
          </w:p>
          <w:p w14:paraId="3E1A8CEE">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膨宫泵</w:t>
            </w:r>
          </w:p>
          <w:p w14:paraId="4AAD71E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≥7英寸触摸屏设计，具有一键锁屏功能</w:t>
            </w:r>
          </w:p>
          <w:p w14:paraId="4F67D3B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压强调节范围：0mmHg～200mmHg</w:t>
            </w:r>
          </w:p>
          <w:p w14:paraId="29AF6C9F">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最大冲洗流量≤0.5L/min</w:t>
            </w:r>
          </w:p>
          <w:p w14:paraId="527881AA">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可设定和显示各种功能数据</w:t>
            </w:r>
          </w:p>
          <w:p w14:paraId="1B9700E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具有双极模式，可通过脚踏开关进行切换</w:t>
            </w:r>
          </w:p>
          <w:p w14:paraId="0406D3D5">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主机具有软键盘，可进行信息输入</w:t>
            </w:r>
          </w:p>
          <w:p w14:paraId="2124ABD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具有报警复位键，按键确认当前报警</w:t>
            </w:r>
          </w:p>
          <w:p w14:paraId="4CFAD61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具有医生配置键，可根据需要对设备参数进行自定义</w:t>
            </w:r>
          </w:p>
          <w:p w14:paraId="2A17261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血液/粘液模式下设备可快速增加冲洗压力和流速，保持清晰的手术视野</w:t>
            </w:r>
          </w:p>
          <w:p w14:paraId="0D863CC7">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主机设置具有选择镜鞘功能，并添加和删除镜鞘型号</w:t>
            </w:r>
          </w:p>
          <w:p w14:paraId="7A91698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具有清零键，可一键清除实时区域内的参数信息</w:t>
            </w:r>
          </w:p>
          <w:p w14:paraId="648BCA6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可通过USB接口实现软件升级</w:t>
            </w:r>
          </w:p>
          <w:p w14:paraId="5EE68205">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具有快速排气+自动校准二合一功能，可自动校准人机高度差和镜鞘压强差</w:t>
            </w:r>
          </w:p>
          <w:p w14:paraId="69BDD90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具有上压力传感器，可检测液袋剩余液量，具有空瓶声光报警</w:t>
            </w:r>
          </w:p>
          <w:p w14:paraId="6FD5B7A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具有CAN接口≥2个，可连接外部设备</w:t>
            </w:r>
          </w:p>
          <w:p w14:paraId="601A9E07">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管路可高温高压和低温等离子消毒灭菌</w:t>
            </w:r>
          </w:p>
          <w:p w14:paraId="0C45AB6C">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脚踏</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IPX8防护等级，全方位防水设计</w:t>
            </w:r>
          </w:p>
          <w:p w14:paraId="19B305A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膨宫泵使用年限≥10年</w:t>
            </w:r>
          </w:p>
          <w:p w14:paraId="01ECAD8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该产品环保使用年限为20年，具有相关环保标志</w:t>
            </w:r>
          </w:p>
          <w:p w14:paraId="719A865C">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4K工作站</w:t>
            </w:r>
          </w:p>
          <w:p w14:paraId="5C10C13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snapToGrid w:val="0"/>
                <w:color w:val="auto"/>
                <w:kern w:val="2"/>
                <w:sz w:val="18"/>
                <w:szCs w:val="18"/>
                <w:lang w:val="en-US" w:eastAsia="zh-CN" w:bidi="ar-SA"/>
              </w:rPr>
              <w:t>提供图像报告4K工作站1套，分辨率达到3840*2160（含电脑1套、打印机一台、采集卡1块、台车1台），实现4K图像采集与报告打印功能</w:t>
            </w:r>
          </w:p>
          <w:p w14:paraId="29DA3A90">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 xml:space="preserve"> 总机质保3年（</w:t>
            </w:r>
            <w:r>
              <w:rPr>
                <w:rFonts w:hint="eastAsia" w:ascii="宋体" w:hAnsi="宋体" w:eastAsia="宋体" w:cs="宋体"/>
                <w:b/>
                <w:bCs/>
                <w:snapToGrid w:val="0"/>
                <w:color w:val="auto"/>
                <w:kern w:val="2"/>
                <w:sz w:val="18"/>
                <w:szCs w:val="18"/>
                <w:lang w:val="en-US" w:eastAsia="zh-CN" w:bidi="ar-SA"/>
              </w:rPr>
              <w:t>含4K摄像主机、4K摄像头、冷光源、膨宫泵、宫腔镜、4K工作站</w:t>
            </w:r>
            <w:r>
              <w:rPr>
                <w:rFonts w:hint="eastAsia" w:ascii="宋体" w:hAnsi="宋体" w:eastAsia="宋体" w:cs="宋体"/>
                <w:b/>
                <w:bCs/>
                <w:snapToGrid w:val="0"/>
                <w:color w:val="auto"/>
                <w:kern w:val="0"/>
                <w:sz w:val="18"/>
                <w:szCs w:val="18"/>
                <w:lang w:val="en-US" w:eastAsia="zh-CN"/>
              </w:rPr>
              <w:t>）</w:t>
            </w:r>
          </w:p>
          <w:p w14:paraId="4A7F87A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b/>
                <w:bCs/>
                <w:i w:val="0"/>
                <w:iCs w:val="0"/>
                <w:snapToGrid w:val="0"/>
                <w:color w:val="auto"/>
                <w:kern w:val="0"/>
                <w:sz w:val="18"/>
                <w:szCs w:val="18"/>
                <w:u w:val="none"/>
                <w:lang w:val="en-US" w:eastAsia="zh-CN" w:bidi="ar"/>
              </w:rPr>
            </w:pPr>
            <w:r>
              <w:rPr>
                <w:rFonts w:hint="eastAsia" w:ascii="宋体" w:hAnsi="宋体" w:eastAsia="宋体" w:cs="宋体"/>
                <w:b/>
                <w:bCs/>
                <w:i w:val="0"/>
                <w:iCs w:val="0"/>
                <w:snapToGrid w:val="0"/>
                <w:color w:val="auto"/>
                <w:kern w:val="0"/>
                <w:sz w:val="18"/>
                <w:szCs w:val="18"/>
                <w:u w:val="none"/>
                <w:lang w:val="en-US" w:eastAsia="zh-CN" w:bidi="ar"/>
              </w:rPr>
              <w:t>配置清单</w:t>
            </w:r>
          </w:p>
          <w:tbl>
            <w:tblPr>
              <w:tblStyle w:val="47"/>
              <w:tblW w:w="64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57"/>
              <w:gridCol w:w="3768"/>
              <w:gridCol w:w="1304"/>
            </w:tblGrid>
            <w:tr w14:paraId="10B39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0E92C11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val="0"/>
                      <w:i w:val="0"/>
                      <w:iCs w:val="0"/>
                      <w:snapToGrid w:val="0"/>
                      <w:color w:val="auto"/>
                      <w:kern w:val="0"/>
                      <w:sz w:val="18"/>
                      <w:szCs w:val="18"/>
                      <w:u w:val="none"/>
                      <w:lang w:eastAsia="en-US"/>
                    </w:rPr>
                  </w:pPr>
                  <w:r>
                    <w:rPr>
                      <w:rFonts w:hint="eastAsia" w:ascii="宋体" w:hAnsi="宋体" w:eastAsia="宋体" w:cs="宋体"/>
                      <w:b/>
                      <w:bCs w:val="0"/>
                      <w:i w:val="0"/>
                      <w:iCs w:val="0"/>
                      <w:snapToGrid w:val="0"/>
                      <w:color w:val="auto"/>
                      <w:kern w:val="0"/>
                      <w:sz w:val="18"/>
                      <w:szCs w:val="18"/>
                      <w:u w:val="none"/>
                      <w:lang w:val="en-US" w:eastAsia="zh-CN" w:bidi="ar"/>
                    </w:rPr>
                    <w:t>序号</w:t>
                  </w:r>
                </w:p>
              </w:tc>
              <w:tc>
                <w:tcPr>
                  <w:tcW w:w="3768" w:type="dxa"/>
                  <w:tcBorders>
                    <w:top w:val="single" w:color="000000" w:sz="4" w:space="0"/>
                    <w:left w:val="single" w:color="000000" w:sz="4" w:space="0"/>
                    <w:bottom w:val="single" w:color="000000" w:sz="4" w:space="0"/>
                    <w:right w:val="single" w:color="000000" w:sz="4" w:space="0"/>
                  </w:tcBorders>
                  <w:noWrap w:val="0"/>
                  <w:vAlign w:val="center"/>
                </w:tcPr>
                <w:p w14:paraId="2996E06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val="0"/>
                      <w:i w:val="0"/>
                      <w:iCs w:val="0"/>
                      <w:snapToGrid w:val="0"/>
                      <w:color w:val="auto"/>
                      <w:kern w:val="0"/>
                      <w:sz w:val="18"/>
                      <w:szCs w:val="18"/>
                      <w:u w:val="none"/>
                      <w:lang w:eastAsia="en-US"/>
                    </w:rPr>
                  </w:pPr>
                  <w:r>
                    <w:rPr>
                      <w:rFonts w:hint="eastAsia" w:ascii="宋体" w:hAnsi="宋体" w:eastAsia="宋体" w:cs="宋体"/>
                      <w:b/>
                      <w:bCs w:val="0"/>
                      <w:i w:val="0"/>
                      <w:iCs w:val="0"/>
                      <w:snapToGrid w:val="0"/>
                      <w:color w:val="auto"/>
                      <w:kern w:val="0"/>
                      <w:sz w:val="18"/>
                      <w:szCs w:val="18"/>
                      <w:u w:val="none"/>
                      <w:lang w:val="en-US" w:eastAsia="zh-CN" w:bidi="ar"/>
                    </w:rPr>
                    <w:t>名称</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14:paraId="2116F48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val="0"/>
                      <w:i w:val="0"/>
                      <w:iCs w:val="0"/>
                      <w:snapToGrid w:val="0"/>
                      <w:color w:val="auto"/>
                      <w:kern w:val="0"/>
                      <w:sz w:val="18"/>
                      <w:szCs w:val="18"/>
                      <w:u w:val="none"/>
                      <w:lang w:eastAsia="en-US"/>
                    </w:rPr>
                  </w:pPr>
                  <w:r>
                    <w:rPr>
                      <w:rFonts w:hint="eastAsia" w:ascii="宋体" w:hAnsi="宋体" w:eastAsia="宋体" w:cs="宋体"/>
                      <w:b/>
                      <w:bCs w:val="0"/>
                      <w:i w:val="0"/>
                      <w:iCs w:val="0"/>
                      <w:snapToGrid w:val="0"/>
                      <w:color w:val="auto"/>
                      <w:kern w:val="0"/>
                      <w:sz w:val="18"/>
                      <w:szCs w:val="18"/>
                      <w:u w:val="none"/>
                      <w:lang w:val="en-US" w:eastAsia="zh-CN" w:bidi="ar"/>
                    </w:rPr>
                    <w:t>数量</w:t>
                  </w:r>
                </w:p>
              </w:tc>
            </w:tr>
            <w:tr w14:paraId="3E944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00BAE63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73AE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4K内窥镜摄像主机</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032B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7FFD4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39C9ED5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4E2F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4K摄像头</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25BCA">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546FC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37B390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3</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BD4F2">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医用内窥镜冷光源</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2424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3CF9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724BA9CB">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4</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D64FE">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4K液晶显示器</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5989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5E947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E84B50B">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4BEC0">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导光束</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66B1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r>
            <w:tr w14:paraId="659E0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0F309700">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6</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429A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台车</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669C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084B9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76FC1E4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7</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45B2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宫腔镜（5F）</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7EB8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3</w:t>
                  </w:r>
                </w:p>
              </w:tc>
            </w:tr>
            <w:tr w14:paraId="00A18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E854B7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8</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72B8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宫腔镜（7F）</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7F389">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r>
            <w:tr w14:paraId="06AD4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A702EC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9</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928EE">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剪刀（5F/2把，7F/3把）</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C0F77">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07FCC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480400DB">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10</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09AC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活检钳（5F/2把，7F/3把）</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6F8A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09CFA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B759F7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11</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DAEE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异物钳（5F/2把，7F/3把）</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B43B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60844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70958">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12</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D55E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弯剪刀</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B93C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r>
            <w:tr w14:paraId="5FF55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2E050B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13</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FBC1D">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消毒盒</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6C7BE">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7B232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C8EC21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14</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222C7">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膨宫泵</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730A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4EA6E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EC24518">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15</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C744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4K工作站</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A70F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bl>
          <w:p w14:paraId="32DB1851">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7CCAC05">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4AF34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6BBD199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12</w:t>
            </w:r>
          </w:p>
        </w:tc>
        <w:tc>
          <w:tcPr>
            <w:tcW w:w="1415" w:type="dxa"/>
            <w:tcBorders>
              <w:top w:val="single" w:color="000000" w:sz="4" w:space="0"/>
              <w:bottom w:val="single" w:color="000000" w:sz="4" w:space="0"/>
            </w:tcBorders>
            <w:vAlign w:val="top"/>
          </w:tcPr>
          <w:p w14:paraId="33236143">
            <w:pPr>
              <w:kinsoku w:val="0"/>
              <w:autoSpaceDE w:val="0"/>
              <w:autoSpaceDN w:val="0"/>
              <w:adjustRightInd w:val="0"/>
              <w:snapToGrid w:val="0"/>
              <w:spacing w:before="126" w:line="220"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5"/>
                <w:kern w:val="0"/>
                <w:sz w:val="18"/>
                <w:szCs w:val="18"/>
                <w:lang w:val="en-US" w:eastAsia="en-US" w:bidi="ar-SA"/>
              </w:rPr>
              <w:t>电子阴道镜</w:t>
            </w:r>
          </w:p>
        </w:tc>
        <w:tc>
          <w:tcPr>
            <w:tcW w:w="6878" w:type="dxa"/>
            <w:tcBorders>
              <w:top w:val="single" w:color="000000" w:sz="4" w:space="0"/>
              <w:bottom w:val="single" w:color="000000" w:sz="4" w:space="0"/>
            </w:tcBorders>
            <w:vAlign w:val="top"/>
          </w:tcPr>
          <w:p w14:paraId="25857863">
            <w:pPr>
              <w:keepNext w:val="0"/>
              <w:keepLines w:val="0"/>
              <w:pageBreakBefore w:val="0"/>
              <w:widowControl w:val="0"/>
              <w:numPr>
                <w:ilvl w:val="0"/>
                <w:numId w:val="11"/>
              </w:numPr>
              <w:kinsoku/>
              <w:wordWrap/>
              <w:overflowPunct/>
              <w:topLinePunct w:val="0"/>
              <w:autoSpaceDE/>
              <w:autoSpaceDN/>
              <w:bidi w:val="0"/>
              <w:adjustRightInd/>
              <w:snapToGrid/>
              <w:spacing w:line="336" w:lineRule="auto"/>
              <w:ind w:left="425" w:leftChars="0" w:hanging="425" w:firstLineChars="0"/>
              <w:jc w:val="left"/>
              <w:textAlignment w:val="auto"/>
              <w:outlineLvl w:val="0"/>
              <w:rPr>
                <w:rFonts w:hint="eastAsia" w:ascii="宋体" w:hAnsi="宋体" w:eastAsia="宋体" w:cs="宋体"/>
                <w:b/>
                <w:bCs/>
                <w:snapToGrid w:val="0"/>
                <w:color w:val="auto"/>
                <w:kern w:val="0"/>
                <w:sz w:val="18"/>
                <w:szCs w:val="18"/>
                <w:highlight w:val="none"/>
                <w:lang w:eastAsia="en-US"/>
              </w:rPr>
            </w:pPr>
            <w:r>
              <w:rPr>
                <w:rFonts w:hint="eastAsia" w:ascii="宋体" w:hAnsi="宋体" w:eastAsia="宋体" w:cs="宋体"/>
                <w:b/>
                <w:bCs/>
                <w:snapToGrid w:val="0"/>
                <w:color w:val="auto"/>
                <w:kern w:val="0"/>
                <w:sz w:val="18"/>
                <w:szCs w:val="18"/>
                <w:highlight w:val="none"/>
                <w:lang w:eastAsia="en-US"/>
              </w:rPr>
              <w:t>整机要求</w:t>
            </w:r>
          </w:p>
          <w:p w14:paraId="0873628A">
            <w:pPr>
              <w:keepNext w:val="0"/>
              <w:keepLines w:val="0"/>
              <w:pageBreakBefore w:val="0"/>
              <w:widowControl w:val="0"/>
              <w:numPr>
                <w:ilvl w:val="1"/>
                <w:numId w:val="12"/>
              </w:numPr>
              <w:kinsoku/>
              <w:wordWrap/>
              <w:overflowPunct/>
              <w:topLinePunct w:val="0"/>
              <w:autoSpaceDE/>
              <w:autoSpaceDN/>
              <w:bidi w:val="0"/>
              <w:adjustRightInd/>
              <w:snapToGrid/>
              <w:spacing w:line="440" w:lineRule="exact"/>
              <w:ind w:left="567" w:leftChars="0" w:hanging="567"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产品符合以下标准：GB9706.1-2007、GB/T25000.51-2016、GB/T14710-2009、YY1057-2016、YY0505-2012、IOS12233：2000。</w:t>
            </w:r>
          </w:p>
          <w:p w14:paraId="513EFAC5">
            <w:pPr>
              <w:keepNext w:val="0"/>
              <w:keepLines w:val="0"/>
              <w:pageBreakBefore w:val="0"/>
              <w:widowControl w:val="0"/>
              <w:numPr>
                <w:ilvl w:val="1"/>
                <w:numId w:val="12"/>
              </w:numPr>
              <w:kinsoku/>
              <w:wordWrap/>
              <w:overflowPunct/>
              <w:topLinePunct w:val="0"/>
              <w:autoSpaceDE/>
              <w:autoSpaceDN/>
              <w:bidi w:val="0"/>
              <w:adjustRightInd/>
              <w:snapToGrid/>
              <w:spacing w:line="440" w:lineRule="exact"/>
              <w:ind w:left="567" w:leftChars="0" w:hanging="567"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设备使用年限：10年。</w:t>
            </w:r>
          </w:p>
          <w:p w14:paraId="59DB5CFD">
            <w:pPr>
              <w:keepNext w:val="0"/>
              <w:keepLines w:val="0"/>
              <w:pageBreakBefore w:val="0"/>
              <w:widowControl w:val="0"/>
              <w:numPr>
                <w:ilvl w:val="0"/>
                <w:numId w:val="11"/>
              </w:numPr>
              <w:kinsoku/>
              <w:wordWrap/>
              <w:overflowPunct/>
              <w:topLinePunct w:val="0"/>
              <w:autoSpaceDE/>
              <w:autoSpaceDN/>
              <w:bidi w:val="0"/>
              <w:adjustRightInd/>
              <w:snapToGrid/>
              <w:spacing w:line="336" w:lineRule="auto"/>
              <w:ind w:left="425" w:leftChars="0" w:hanging="425" w:firstLineChars="0"/>
              <w:jc w:val="left"/>
              <w:textAlignment w:val="auto"/>
              <w:outlineLvl w:val="0"/>
              <w:rPr>
                <w:rFonts w:hint="eastAsia" w:ascii="宋体" w:hAnsi="宋体" w:eastAsia="宋体" w:cs="宋体"/>
                <w:b/>
                <w:bCs/>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阴道镜工作站台面，要求无凹槽或杯槽以防藏污纳垢，以减少感染风险和清洁消毒难度；配置内嵌式键盘和鼠标托盘，节省设备空间，性能稳定。</w:t>
            </w:r>
          </w:p>
          <w:p w14:paraId="366E4240">
            <w:pPr>
              <w:keepNext w:val="0"/>
              <w:keepLines w:val="0"/>
              <w:pageBreakBefore w:val="0"/>
              <w:widowControl w:val="0"/>
              <w:numPr>
                <w:ilvl w:val="0"/>
                <w:numId w:val="11"/>
              </w:numPr>
              <w:kinsoku/>
              <w:wordWrap/>
              <w:overflowPunct/>
              <w:topLinePunct w:val="0"/>
              <w:autoSpaceDE/>
              <w:autoSpaceDN/>
              <w:bidi w:val="0"/>
              <w:adjustRightInd/>
              <w:snapToGrid/>
              <w:spacing w:line="336" w:lineRule="auto"/>
              <w:ind w:left="425" w:leftChars="0" w:hanging="425" w:firstLineChars="0"/>
              <w:jc w:val="left"/>
              <w:textAlignment w:val="auto"/>
              <w:outlineLvl w:val="0"/>
              <w:rPr>
                <w:rFonts w:hint="eastAsia" w:ascii="宋体" w:hAnsi="宋体" w:eastAsia="宋体" w:cs="宋体"/>
                <w:b/>
                <w:bCs/>
                <w:snapToGrid w:val="0"/>
                <w:color w:val="auto"/>
                <w:kern w:val="0"/>
                <w:sz w:val="18"/>
                <w:szCs w:val="18"/>
                <w:highlight w:val="none"/>
                <w:lang w:eastAsia="en-US"/>
              </w:rPr>
            </w:pPr>
            <w:r>
              <w:rPr>
                <w:rFonts w:hint="eastAsia" w:ascii="宋体" w:hAnsi="宋体" w:eastAsia="宋体" w:cs="宋体"/>
                <w:b/>
                <w:bCs/>
                <w:snapToGrid w:val="0"/>
                <w:color w:val="auto"/>
                <w:kern w:val="0"/>
                <w:sz w:val="18"/>
                <w:szCs w:val="18"/>
                <w:highlight w:val="none"/>
                <w:lang w:val="en-US" w:eastAsia="zh-CN"/>
              </w:rPr>
              <w:t>具体参数</w:t>
            </w:r>
          </w:p>
          <w:p w14:paraId="65D5DDCD">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b/>
                <w:bCs/>
                <w:snapToGrid w:val="0"/>
                <w:color w:val="auto"/>
                <w:kern w:val="0"/>
                <w:sz w:val="18"/>
                <w:szCs w:val="18"/>
                <w:highlight w:val="none"/>
                <w:lang w:val="en-US" w:eastAsia="zh-CN"/>
              </w:rPr>
            </w:pPr>
            <w:r>
              <w:rPr>
                <w:rFonts w:hint="eastAsia" w:ascii="宋体" w:hAnsi="宋体" w:eastAsia="宋体" w:cs="宋体"/>
                <w:b/>
                <w:bCs/>
                <w:snapToGrid w:val="0"/>
                <w:color w:val="auto"/>
                <w:kern w:val="0"/>
                <w:sz w:val="18"/>
                <w:szCs w:val="18"/>
                <w:highlight w:val="none"/>
                <w:lang w:val="en-US" w:eastAsia="zh-CN"/>
              </w:rPr>
              <w:t>阴道镜镜头性能</w:t>
            </w:r>
          </w:p>
          <w:p w14:paraId="0E565AA1">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镜头具有连续变焦、自动聚焦和高清CMOS成像功能，输出FULL HD 1080P信号。</w:t>
            </w:r>
          </w:p>
          <w:p w14:paraId="47505689">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高清摄像模块像素≥210万，成像系统水平分辨率≥1100TVL。</w:t>
            </w:r>
          </w:p>
          <w:p w14:paraId="154920C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支持1-80倍连续变倍，有效操作距离：160mm-340mm。</w:t>
            </w:r>
          </w:p>
          <w:p w14:paraId="5B945416">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视场范围：≥Ø100mm(3X)，≥Ø15mm(18X)。</w:t>
            </w:r>
          </w:p>
          <w:p w14:paraId="592E5998">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景深：≥150mm(3X)，≥50mm(18X)。</w:t>
            </w:r>
          </w:p>
          <w:p w14:paraId="2EAA7FFA">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光斑直径≥Ø70mm，</w:t>
            </w:r>
            <w:r>
              <w:rPr>
                <w:rFonts w:hint="eastAsia" w:ascii="宋体" w:hAnsi="宋体" w:eastAsia="宋体" w:cs="宋体"/>
                <w:snapToGrid w:val="0"/>
                <w:color w:val="auto"/>
                <w:kern w:val="0"/>
                <w:sz w:val="18"/>
                <w:szCs w:val="18"/>
                <w:lang w:val="en-US" w:eastAsia="zh-CN"/>
              </w:rPr>
              <w:t>光斑直径内</w:t>
            </w:r>
            <w:r>
              <w:rPr>
                <w:rFonts w:hint="eastAsia" w:ascii="宋体" w:hAnsi="宋体" w:eastAsia="宋体" w:cs="宋体"/>
                <w:snapToGrid w:val="0"/>
                <w:color w:val="auto"/>
                <w:kern w:val="0"/>
                <w:sz w:val="18"/>
                <w:szCs w:val="18"/>
                <w:lang w:eastAsia="en-US"/>
              </w:rPr>
              <w:t>照度均匀性≥</w:t>
            </w:r>
            <w:r>
              <w:rPr>
                <w:rFonts w:hint="eastAsia" w:ascii="宋体" w:hAnsi="宋体" w:eastAsia="宋体" w:cs="宋体"/>
                <w:snapToGrid w:val="0"/>
                <w:color w:val="auto"/>
                <w:kern w:val="0"/>
                <w:sz w:val="18"/>
                <w:szCs w:val="18"/>
                <w:lang w:val="en-US" w:eastAsia="zh-CN"/>
              </w:rPr>
              <w:t>80</w:t>
            </w:r>
            <w:r>
              <w:rPr>
                <w:rFonts w:hint="eastAsia" w:ascii="宋体" w:hAnsi="宋体" w:eastAsia="宋体" w:cs="宋体"/>
                <w:snapToGrid w:val="0"/>
                <w:color w:val="auto"/>
                <w:kern w:val="0"/>
                <w:sz w:val="18"/>
                <w:szCs w:val="18"/>
                <w:lang w:eastAsia="en-US"/>
              </w:rPr>
              <w:t>%</w:t>
            </w:r>
            <w:r>
              <w:rPr>
                <w:rFonts w:hint="eastAsia" w:ascii="宋体" w:hAnsi="宋体" w:eastAsia="宋体" w:cs="宋体"/>
                <w:b w:val="0"/>
                <w:bCs w:val="0"/>
                <w:snapToGrid w:val="0"/>
                <w:color w:val="auto"/>
                <w:kern w:val="0"/>
                <w:sz w:val="18"/>
                <w:szCs w:val="18"/>
                <w:highlight w:val="none"/>
                <w:lang w:val="en-US" w:eastAsia="zh-CN"/>
              </w:rPr>
              <w:t>，显色指数Ra≥90,工作距离为20cm处光源中心温升≤1℃。</w:t>
            </w:r>
          </w:p>
          <w:p w14:paraId="6743601C">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空间分辨率：≥14 lp/mm；图像几何失真度≤1%；</w:t>
            </w:r>
          </w:p>
          <w:p w14:paraId="668AA3DC">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防水按键设计，9按键扇形布局，可实现视野变换、焦距调节、白光变色温成像、电子绿色滤镜成像、计时显示、自动图像采集和图像冻结控制，支持镜头手柄控制图像采集。</w:t>
            </w:r>
          </w:p>
          <w:p w14:paraId="294438E6">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可通过镜头操作按键独立控制醋酸计时显示/关闭功能，计时时长可自定义设置，最高支持90分钟，并可在打印报告中显示时长标记。</w:t>
            </w:r>
          </w:p>
          <w:p w14:paraId="76DE449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镜头手柄后方按键具备定位宫颈口、采集图像、按时序对比图像功能。</w:t>
            </w:r>
          </w:p>
          <w:p w14:paraId="645E4E12">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设备具有两个独立的视频输出接口，与工作站集成一体，无需通过转换器可扩展显示镜头原始图像，可实现双屏实时同步显示进行操作培训或与便于医患沟通交流。</w:t>
            </w:r>
          </w:p>
          <w:p w14:paraId="47BE5CA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highlight w:val="none"/>
                <w:lang w:val="en-US" w:eastAsia="zh-CN"/>
              </w:rPr>
              <w:t>配置即插即用的脚踏开关，支持采集图像/冻结并采集图像/开启计时功能/切换界面等功能，与镜头支架独立，保证图像采集的稳定性。</w:t>
            </w:r>
          </w:p>
          <w:p w14:paraId="7D22A67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采用全金属模具结构可升降直立式支架，镜头可调，确保其使用的稳定性，升降固定可靠性及操作的灵敏性。</w:t>
            </w:r>
          </w:p>
          <w:p w14:paraId="2E1518E0">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b/>
                <w:bCs/>
                <w:snapToGrid w:val="0"/>
                <w:color w:val="auto"/>
                <w:kern w:val="0"/>
                <w:sz w:val="18"/>
                <w:szCs w:val="18"/>
                <w:highlight w:val="none"/>
                <w:lang w:val="en-US" w:eastAsia="zh-CN"/>
              </w:rPr>
            </w:pPr>
            <w:r>
              <w:rPr>
                <w:rFonts w:hint="eastAsia" w:ascii="宋体" w:hAnsi="宋体" w:eastAsia="宋体" w:cs="宋体"/>
                <w:b/>
                <w:bCs/>
                <w:snapToGrid w:val="0"/>
                <w:color w:val="auto"/>
                <w:kern w:val="0"/>
                <w:sz w:val="18"/>
                <w:szCs w:val="18"/>
                <w:highlight w:val="none"/>
                <w:lang w:val="en-US" w:eastAsia="zh-CN"/>
              </w:rPr>
              <w:t>阴道镜工作站性能参数</w:t>
            </w:r>
          </w:p>
          <w:p w14:paraId="63811087">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具有自动提示患者随访管理功能，医护人员可根据患者需求转入预约。</w:t>
            </w:r>
          </w:p>
          <w:p w14:paraId="749C3C6B">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w:t>
            </w:r>
            <w:r>
              <w:rPr>
                <w:rFonts w:hint="eastAsia" w:ascii="宋体" w:hAnsi="宋体" w:eastAsia="宋体" w:cs="宋体"/>
                <w:snapToGrid w:val="0"/>
                <w:color w:val="auto"/>
                <w:kern w:val="0"/>
                <w:sz w:val="18"/>
                <w:szCs w:val="18"/>
                <w:lang w:eastAsia="en-US"/>
              </w:rPr>
              <w:t>病例重点关注功能</w:t>
            </w:r>
            <w:r>
              <w:rPr>
                <w:rFonts w:hint="eastAsia" w:ascii="宋体" w:hAnsi="宋体" w:eastAsia="宋体" w:cs="宋体"/>
                <w:b w:val="0"/>
                <w:bCs w:val="0"/>
                <w:snapToGrid w:val="0"/>
                <w:color w:val="auto"/>
                <w:kern w:val="0"/>
                <w:sz w:val="18"/>
                <w:szCs w:val="18"/>
                <w:highlight w:val="none"/>
                <w:lang w:val="en-US" w:eastAsia="zh-CN"/>
              </w:rPr>
              <w:t>，医生可以快速标记需要关注的重点患者，便于医生分级管理和快速查找患者信息。</w:t>
            </w:r>
          </w:p>
          <w:p w14:paraId="0F8F781F">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能将采集的图像按时间顺序同屏显示（图像数量≥12幅），并且可以通过镜头扣手按键一键控制，方便医生对比分析患者病变部位醋白变化和碘染色的关联。</w:t>
            </w:r>
          </w:p>
          <w:p w14:paraId="1B1A316C">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提供≥2种方式开启计时功能，支持≥4种采图方式（手扣采图、软件按键采图、自动计时采图、脚踏开关采图）。</w:t>
            </w:r>
          </w:p>
          <w:p w14:paraId="3F3EB47F">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具有语音播报操作提示功能，自动给出临床检查流的操作提示信息，便于临床规范阴道镜检查操作。</w:t>
            </w:r>
          </w:p>
          <w:p w14:paraId="6F10B7CB">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在观察检查页面具有独立的历史检查图像显示框。同一患者历史检查图像会自动加载，并与当前检查图像并排显示，便于医生对比分析、追溯患者检查治疗过程。</w:t>
            </w:r>
          </w:p>
          <w:p w14:paraId="5413B081">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提供R-way阴道镜诊断评估方法，具有阴道镜操作提醒及自动采图功能，量化检查流程，提供基于三种不同溶液实验结果关联“特征”的智能评估和报告系统，根据HPV/TCT 阴道镜图像特征进行自动关联，智能提示病变级别和活检点位置，自动给出处理建议</w:t>
            </w:r>
            <w:r>
              <w:rPr>
                <w:rFonts w:hint="eastAsia" w:ascii="宋体" w:hAnsi="宋体" w:eastAsia="宋体" w:cs="宋体"/>
                <w:b w:val="0"/>
                <w:bCs w:val="0"/>
                <w:snapToGrid w:val="0"/>
                <w:color w:val="auto"/>
                <w:kern w:val="0"/>
                <w:sz w:val="18"/>
                <w:szCs w:val="18"/>
                <w:highlight w:val="none"/>
                <w:lang w:val="en-US" w:eastAsia="zh-CN"/>
              </w:rPr>
              <w:t>。</w:t>
            </w:r>
          </w:p>
          <w:p w14:paraId="7CE19BCF">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提供不少于100份病例供临床医生操作练习。</w:t>
            </w:r>
          </w:p>
          <w:p w14:paraId="5344CA85">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可对阴道镜检查、手术治疗进行针对性的记录和随访管理，提供不少于6种打印报告模版，支持自定义报告模板，提交患者打印报告后系统自动生成PDF文件备份。</w:t>
            </w:r>
          </w:p>
          <w:p w14:paraId="013DA7C7">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具有打印报告、编辑&amp;报告两种报告生成模式。支持可编辑式报告模板，并且可对报告中图像进行处理，调节图像亮度、对比度、色调、饱和度等。</w:t>
            </w:r>
          </w:p>
          <w:p w14:paraId="4E44F013">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可对拟诊结果、病理结果、实验室检查结果、医生工作量等进行统计分析，统计结果可通过饼图、直方图和折线图形式进行显示，并可输出到Excel表。</w:t>
            </w:r>
          </w:p>
          <w:p w14:paraId="0A67F8A4">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具有软件操作留痕功能。系统可对软件用户各项历史操作留痕记录，自动记录用户对病人数据的新增、修改、删除、报告打印等操作，满足用户对软件操作可追溯的需求。</w:t>
            </w:r>
          </w:p>
          <w:p w14:paraId="4DD83547">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b/>
                <w:bCs/>
                <w:snapToGrid w:val="0"/>
                <w:color w:val="auto"/>
                <w:kern w:val="0"/>
                <w:sz w:val="18"/>
                <w:szCs w:val="18"/>
                <w:highlight w:val="none"/>
                <w:lang w:val="en-US" w:eastAsia="zh-CN"/>
              </w:rPr>
            </w:pPr>
            <w:r>
              <w:rPr>
                <w:rFonts w:hint="eastAsia" w:ascii="宋体" w:hAnsi="宋体" w:eastAsia="宋体" w:cs="宋体"/>
                <w:b/>
                <w:bCs/>
                <w:snapToGrid w:val="0"/>
                <w:color w:val="auto"/>
                <w:kern w:val="0"/>
                <w:sz w:val="18"/>
                <w:szCs w:val="18"/>
                <w:highlight w:val="none"/>
                <w:lang w:val="en-US" w:eastAsia="zh-CN"/>
              </w:rPr>
              <w:t>工作站拓展功能及网络应用</w:t>
            </w:r>
          </w:p>
          <w:p w14:paraId="0D76B592">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支持身份证读取功能，可刷病人身份证直接读取病人身份证病人姓名及身份证号码。</w:t>
            </w:r>
          </w:p>
          <w:p w14:paraId="52DE8003">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具有DICOM 3.0 数据交换接口，可支持下载病人信息，回传病人报告和图像；支持标准HL7协议，可以方便对接HIS系统。</w:t>
            </w:r>
          </w:p>
          <w:p w14:paraId="28EB48F1">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支持局域网连接功能，支持护士工作站、医生工作站和阴道镜工作站互联构成门诊应用网络，提供四级用户权限管理。</w:t>
            </w:r>
          </w:p>
          <w:p w14:paraId="5B588C1C">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支持广域网连接功能，能够与电子阴道镜数据管理系统联网，便于宫颈门诊中心或区域性子宫颈癌早诊早治质控中心更好的开展网络化应用和质控管理。</w:t>
            </w:r>
          </w:p>
          <w:p w14:paraId="3BFA1861">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b w:val="0"/>
                <w:bCs w:val="0"/>
                <w:snapToGrid w:val="0"/>
                <w:color w:val="auto"/>
                <w:kern w:val="0"/>
                <w:sz w:val="18"/>
                <w:szCs w:val="18"/>
                <w:highlight w:val="none"/>
                <w:lang w:val="en-US" w:eastAsia="zh-CN"/>
              </w:rPr>
              <w:t>支持阴道镜报告多级质控管理功能。提供自动形式审核和上级复核功能，对阴道镜图像、报告等进行评估以及针对性指导，同时支持自动生成质控报表，可供医院开展本院内、跨院区阴道镜质控管理工作。</w:t>
            </w:r>
          </w:p>
          <w:p w14:paraId="4D9238EC">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snapToGrid w:val="0"/>
                <w:color w:val="auto"/>
                <w:kern w:val="0"/>
                <w:sz w:val="18"/>
                <w:szCs w:val="18"/>
                <w:lang w:val="en-US" w:eastAsia="zh-CN"/>
              </w:rPr>
            </w:pPr>
            <w:r>
              <w:rPr>
                <w:rFonts w:hint="eastAsia" w:ascii="宋体" w:hAnsi="宋体" w:eastAsia="宋体" w:cs="宋体"/>
                <w:b/>
                <w:bCs/>
                <w:snapToGrid w:val="0"/>
                <w:color w:val="auto"/>
                <w:kern w:val="0"/>
                <w:sz w:val="18"/>
                <w:szCs w:val="18"/>
                <w:highlight w:val="none"/>
                <w:lang w:val="en-US" w:eastAsia="zh-CN"/>
              </w:rPr>
              <w:t xml:space="preserve">   总价质保三年</w:t>
            </w:r>
          </w:p>
        </w:tc>
        <w:tc>
          <w:tcPr>
            <w:tcW w:w="1297" w:type="dxa"/>
            <w:tcBorders>
              <w:top w:val="single" w:color="000000" w:sz="4" w:space="0"/>
              <w:bottom w:val="single" w:color="000000" w:sz="4" w:space="0"/>
            </w:tcBorders>
            <w:vAlign w:val="top"/>
          </w:tcPr>
          <w:p w14:paraId="50E9B7FD">
            <w:pPr>
              <w:widowControl/>
              <w:kinsoku w:val="0"/>
              <w:autoSpaceDE w:val="0"/>
              <w:autoSpaceDN w:val="0"/>
              <w:adjustRightInd w:val="0"/>
              <w:snapToGrid w:val="0"/>
              <w:spacing w:before="126" w:line="220"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6111C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41333BA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13</w:t>
            </w:r>
          </w:p>
        </w:tc>
        <w:tc>
          <w:tcPr>
            <w:tcW w:w="1415" w:type="dxa"/>
            <w:tcBorders>
              <w:top w:val="single" w:color="000000" w:sz="4" w:space="0"/>
              <w:bottom w:val="single" w:color="000000" w:sz="4" w:space="0"/>
            </w:tcBorders>
            <w:vAlign w:val="top"/>
          </w:tcPr>
          <w:p w14:paraId="48D16D8A">
            <w:pPr>
              <w:kinsoku w:val="0"/>
              <w:autoSpaceDE w:val="0"/>
              <w:autoSpaceDN w:val="0"/>
              <w:adjustRightInd w:val="0"/>
              <w:snapToGrid w:val="0"/>
              <w:spacing w:before="122"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6878" w:type="dxa"/>
            <w:tcBorders>
              <w:top w:val="single" w:color="000000" w:sz="4" w:space="0"/>
              <w:bottom w:val="single" w:color="000000" w:sz="4" w:space="0"/>
            </w:tcBorders>
            <w:vAlign w:val="top"/>
          </w:tcPr>
          <w:p w14:paraId="0240E601">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rPr>
              <w:t xml:space="preserve"> </w:t>
            </w:r>
            <w:r>
              <w:rPr>
                <w:rFonts w:hint="eastAsia" w:ascii="宋体" w:hAnsi="宋体" w:eastAsia="宋体" w:cs="宋体"/>
                <w:b/>
                <w:snapToGrid w:val="0"/>
                <w:color w:val="auto"/>
                <w:kern w:val="0"/>
                <w:sz w:val="18"/>
                <w:szCs w:val="18"/>
                <w:lang w:eastAsia="en-US"/>
              </w:rPr>
              <w:t>一、整机要求</w:t>
            </w:r>
          </w:p>
          <w:p w14:paraId="004672E1">
            <w:pPr>
              <w:numPr>
                <w:ilvl w:val="0"/>
                <w:numId w:val="13"/>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适用于成人、小儿患者通气辅助及呼吸支持。</w:t>
            </w:r>
          </w:p>
          <w:p w14:paraId="0CBDEEDE">
            <w:pPr>
              <w:numPr>
                <w:ilvl w:val="0"/>
                <w:numId w:val="0"/>
              </w:numPr>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highlight w:val="cyan"/>
                <w:lang w:val="en-US" w:eastAsia="en-US" w:bidi="ar-SA"/>
              </w:rPr>
            </w:pPr>
            <w:r>
              <w:rPr>
                <w:rFonts w:hint="eastAsia" w:ascii="宋体" w:hAnsi="宋体" w:eastAsia="宋体" w:cs="宋体"/>
                <w:snapToGrid w:val="0"/>
                <w:color w:val="auto"/>
                <w:kern w:val="0"/>
                <w:sz w:val="18"/>
                <w:szCs w:val="18"/>
                <w:lang w:val="en-US" w:eastAsia="zh-CN" w:bidi="ar-SA"/>
              </w:rPr>
              <w:t>2.</w:t>
            </w:r>
            <w:r>
              <w:rPr>
                <w:rFonts w:hint="eastAsia" w:ascii="宋体" w:hAnsi="宋体" w:eastAsia="宋体" w:cs="宋体"/>
                <w:snapToGrid w:val="0"/>
                <w:color w:val="auto"/>
                <w:kern w:val="0"/>
                <w:sz w:val="18"/>
                <w:szCs w:val="18"/>
                <w:lang w:val="en-US" w:eastAsia="en-US" w:bidi="ar-SA"/>
              </w:rPr>
              <w:t>整机为气动电控设计（空、氧双气源），支持中央供气和空气压缩机双方式驱动工作。</w:t>
            </w:r>
          </w:p>
          <w:p w14:paraId="7E087206">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二、系统功能要求</w:t>
            </w:r>
          </w:p>
          <w:p w14:paraId="75ECC008">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显示屏≥18.5英寸全平电容触摸屏，便于操作和屏幕清洁。</w:t>
            </w:r>
          </w:p>
          <w:p w14:paraId="0DFCC6A3">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具备动态肺视图，能实时图形化显示患者气道阻抗、肺顺应性、通气量等力学参数变化，动态肺视图包含肺损伤、肺塌陷对应参数柱状图风险提示。</w:t>
            </w:r>
          </w:p>
          <w:p w14:paraId="101A83BC">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支持显示历史监测参数≥190小时的趋势图，≥15000条报警和操作日志记录。</w:t>
            </w:r>
          </w:p>
          <w:p w14:paraId="0914EBD8">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具有屏幕视频录制功能，可存储不少于10段视频。</w:t>
            </w:r>
          </w:p>
          <w:p w14:paraId="0316D694">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具备截屏U盘导出功能，可缓存≥50张屏幕文件。</w:t>
            </w:r>
          </w:p>
          <w:p w14:paraId="4915F5B9">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实时气源压力电子显示。</w:t>
            </w:r>
          </w:p>
          <w:p w14:paraId="43B25E75">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具备一体化模块插件箱，便于呼吸机功能升级和扩展；可兼容原装同品牌常用监护模块，支持升级旁流CO2模块和SpO2模块监测，即插即用。</w:t>
            </w:r>
          </w:p>
          <w:p w14:paraId="0D77E216">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标配≥160分钟内置后备可充电锂电池。</w:t>
            </w:r>
          </w:p>
          <w:p w14:paraId="1CD486A5">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吸气阀、呼气阀组件可拆卸，并能高温高压蒸汽消毒（134℃）。</w:t>
            </w:r>
          </w:p>
          <w:p w14:paraId="4FBD4713">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机器表面具有操作视频二维码，可随时扫码查看机器操作视频。</w:t>
            </w:r>
          </w:p>
          <w:p w14:paraId="11158BB8">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三、呼吸模式及功能</w:t>
            </w:r>
          </w:p>
          <w:p w14:paraId="227EC831">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标配模式：V-A/C、P-A/C、V-SIMV、P-SIMV、CPAP/PSV、窒息通气模式。</w:t>
            </w:r>
          </w:p>
          <w:p w14:paraId="071E9526">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b/>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 xml:space="preserve">高级模式：PRVC、PRVC-SIMV、DuoLevel、APRV、VS。 </w:t>
            </w:r>
          </w:p>
          <w:p w14:paraId="4E320780">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标配自适应分钟通气，且有3个调节表盘直观进行通气提示。</w:t>
            </w:r>
          </w:p>
          <w:p w14:paraId="67681BF1">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标配无创通气模式和氧疗模式，最大氧疗流速≥80L/min。</w:t>
            </w:r>
          </w:p>
          <w:p w14:paraId="69E858CF">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容量模式流速波形可调方波、50%和100%递减波。</w:t>
            </w:r>
          </w:p>
          <w:p w14:paraId="555B2EFA">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b/>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标配呼吸同步技术（如IntelliCycle，IntelliSync+），自动调节吸气、呼吸触发灵敏度和压力上升时间，提高人机同步性和舒适度，减少手动调节参数。</w:t>
            </w:r>
          </w:p>
          <w:p w14:paraId="2544F7CA">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具有自动插管阻力补偿功能、静态P-V环图（或P-V工具）和肺复张工具。</w:t>
            </w:r>
          </w:p>
          <w:p w14:paraId="24E02FF7">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具有脱机辅助工具，一键启动SBT（自主呼吸试验），规范脱机筛选流程。</w:t>
            </w:r>
          </w:p>
          <w:p w14:paraId="1E291E6C">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四、辅助决策功能</w:t>
            </w:r>
          </w:p>
          <w:p w14:paraId="353B32CA">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标配双通道辅助压监测，实时监测食道压和胃内压变化趋势。</w:t>
            </w:r>
          </w:p>
          <w:p w14:paraId="177283C5">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标配辅助压置管工具，实时提示食道压气囊合适位置，一键阻塞实验确认气囊位置。</w:t>
            </w:r>
          </w:p>
          <w:p w14:paraId="5215268A">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标配独有食道压滤波技术和食道压基线校准功能。</w:t>
            </w:r>
          </w:p>
          <w:p w14:paraId="4EA6691C">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实时提供胸壁顺应性Ccw和肺顺应性Clung监测参数。</w:t>
            </w:r>
          </w:p>
          <w:p w14:paraId="22E5CF68">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实时提供吸气末跨肺压、呼气末跨肺压、跨肺驱动压、吸气末食道压、呼气末食道压压、食道压摆动值、食道压压力时间乘积、食道压分钟压力时间乘积。</w:t>
            </w:r>
          </w:p>
          <w:p w14:paraId="5D14893B">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支持升级模块化集成EIT到呼吸机上或者与EIT单机数据互联，实现EIT图像和通气波形同屏实时显示。</w:t>
            </w:r>
          </w:p>
          <w:p w14:paraId="565F32B8">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可以实现EIT导向的PEEP自动滴定。</w:t>
            </w:r>
          </w:p>
          <w:p w14:paraId="1CC36042">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可以通过EIT监测肺泡开放压。</w:t>
            </w:r>
          </w:p>
          <w:p w14:paraId="18FAA47C">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可以通过EIT监测肺泡塌陷、膨胀、剪切区域。</w:t>
            </w:r>
          </w:p>
          <w:p w14:paraId="6366F883">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支持升级</w:t>
            </w:r>
            <w:r>
              <w:rPr>
                <w:rFonts w:hint="eastAsia" w:ascii="宋体" w:hAnsi="宋体" w:eastAsia="宋体" w:cs="宋体"/>
                <w:snapToGrid w:val="0"/>
                <w:color w:val="auto"/>
                <w:kern w:val="0"/>
                <w:sz w:val="18"/>
                <w:szCs w:val="18"/>
                <w:lang w:val="en-US" w:eastAsia="en-US" w:bidi="ar-SA"/>
              </w:rPr>
              <w:t>人机不同事件自动识别功能或者膈肌电或者能量代谢监测（非计算器）。</w:t>
            </w:r>
          </w:p>
          <w:p w14:paraId="4060F287">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人机不同步事件自动识别可以实时自动识别并标注无效触发、双触发、反向触发、误触发和流速饥渴中的至少3种。</w:t>
            </w:r>
          </w:p>
          <w:p w14:paraId="057ABFA9">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具有人机不同步事件统计看板，显示最近各种人机不同步事件的发生率。</w:t>
            </w:r>
          </w:p>
          <w:p w14:paraId="7AB06FAC">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具有人机不同步事件分析指导，提示人机不同步事件的处理建议。</w:t>
            </w:r>
          </w:p>
          <w:p w14:paraId="6E25EBE0">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标配自主呼吸努力Pmus监测功能或者FRC监测功能。</w:t>
            </w:r>
          </w:p>
          <w:p w14:paraId="79E44428">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标配内源性PEEP实时监测，无需呼气保持即可自动测量PEEPi。</w:t>
            </w:r>
          </w:p>
          <w:p w14:paraId="7E259896">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highlight w:val="none"/>
                <w:lang w:val="en-US" w:eastAsia="en-US" w:bidi="ar-SA"/>
              </w:rPr>
              <w:t>支持升级智能脱机评估功能，无需人工干预，自动根据患者监测数据评估脱机成功率，并具有脱机因子分析。</w:t>
            </w:r>
          </w:p>
          <w:p w14:paraId="311EE2E3">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五、设置参数</w:t>
            </w:r>
          </w:p>
          <w:p w14:paraId="6644BAB1">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潮气量：20ml—4000ml</w:t>
            </w:r>
          </w:p>
          <w:p w14:paraId="4819BC88">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呼吸频率：1—100/min</w:t>
            </w:r>
          </w:p>
          <w:p w14:paraId="0D2D1445">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吸呼比：4:1—1:10</w:t>
            </w:r>
          </w:p>
          <w:p w14:paraId="38EE4F2C">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吸气压力：1—100 cmH2O</w:t>
            </w:r>
          </w:p>
          <w:p w14:paraId="35B9AD04">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PEEP：0—50 cmH2O</w:t>
            </w:r>
          </w:p>
          <w:p w14:paraId="2F443156">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压力触发灵敏度：-20— - 0.5cmH2O，或 OFF</w:t>
            </w:r>
          </w:p>
          <w:p w14:paraId="66AD5005">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流速触发灵敏度：0.5—20L/ min，或 OFF</w:t>
            </w:r>
          </w:p>
          <w:p w14:paraId="186D5F97">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呼气触发灵敏度：Auto, 1—85%</w:t>
            </w:r>
          </w:p>
          <w:p w14:paraId="7231FD6C">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六、监测参数</w:t>
            </w:r>
          </w:p>
          <w:p w14:paraId="0B7C11DC">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气道压力监测：气道峰压、平台压、平均压、呼气末正压、驱动压等参数监测。</w:t>
            </w:r>
          </w:p>
          <w:p w14:paraId="7A03CB94">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分钟通气量监测：呼气分钟通气量、吸气分钟通气量、自主呼吸分钟通气量、分钟泄漏量、气体泄漏百分比等参数监测。</w:t>
            </w:r>
          </w:p>
          <w:p w14:paraId="7E6FEEA2">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潮气量监测：吸入潮气量、呼出潮气量、自主呼吸潮气量、单位理想体重呼出潮气量。</w:t>
            </w:r>
          </w:p>
          <w:p w14:paraId="24F3E9E0">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呼吸频率监测：总呼吸频率、自主呼吸频率、机控呼吸频率。</w:t>
            </w:r>
          </w:p>
          <w:p w14:paraId="62E16056">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标配牵张指数和肺过度膨胀系数监测，辅助临床判断与决策。</w:t>
            </w:r>
          </w:p>
          <w:p w14:paraId="377C9B70">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支持升级</w:t>
            </w:r>
            <w:r>
              <w:rPr>
                <w:rFonts w:hint="eastAsia" w:ascii="宋体" w:hAnsi="宋体" w:eastAsia="宋体" w:cs="宋体"/>
                <w:snapToGrid w:val="0"/>
                <w:color w:val="auto"/>
                <w:kern w:val="0"/>
                <w:sz w:val="18"/>
                <w:szCs w:val="18"/>
                <w:lang w:val="en-US" w:eastAsia="en-US" w:bidi="ar-SA"/>
              </w:rPr>
              <w:t>机械能监测，监测范围0.00~100.00 J/min。</w:t>
            </w:r>
          </w:p>
          <w:p w14:paraId="6DCF284C">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支持升级旁流CO2模块监测。</w:t>
            </w:r>
          </w:p>
          <w:p w14:paraId="5AA3B63D">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支持升级主流CO2模块监测，可监测气道死腔VDaw 和肺泡通气量Vtalv 等参数，支持监测容积-二氧化碳图。</w:t>
            </w:r>
          </w:p>
          <w:p w14:paraId="376A0A35">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支持升级SpO2模块监测，提供SpO2和PR监测值，提供脉搏波。</w:t>
            </w:r>
          </w:p>
          <w:p w14:paraId="78087A26">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七、报警参数</w:t>
            </w:r>
          </w:p>
          <w:p w14:paraId="328A9F4B">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气道压力：过高/过低报警</w:t>
            </w:r>
          </w:p>
          <w:p w14:paraId="6A6EA546">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分钟通气量：过高/过低报警</w:t>
            </w:r>
          </w:p>
          <w:p w14:paraId="2630E6F5">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潮气量：过高/过低报警</w:t>
            </w:r>
          </w:p>
          <w:p w14:paraId="01E3F3CB">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总呼吸频率：过高/过低报警</w:t>
            </w:r>
          </w:p>
          <w:p w14:paraId="45A9AF8C">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窒息报警，时间可设置（5-60s）</w:t>
            </w:r>
          </w:p>
          <w:p w14:paraId="191ED0E4">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管路积水报警</w:t>
            </w:r>
          </w:p>
          <w:p w14:paraId="00A4455C">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人机不同步过多报警</w:t>
            </w:r>
          </w:p>
          <w:p w14:paraId="77C3D52B">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湿化器支持高低水位报警</w:t>
            </w:r>
          </w:p>
          <w:p w14:paraId="249A52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八、信息化功能要求</w:t>
            </w:r>
          </w:p>
          <w:p w14:paraId="778B8593">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标配蓝牙功能。</w:t>
            </w:r>
          </w:p>
          <w:p w14:paraId="6839BD47">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支持在中央站上控制呼吸机，降低医患交叉感染概率。</w:t>
            </w:r>
          </w:p>
          <w:p w14:paraId="7FAE6112">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呼吸机与监护仪统一网络联网通信时，呼吸机支持显示来自监护设备的血氧和呼末二氧化碳参数，辅助临床团队高质量评估脱机。</w:t>
            </w:r>
          </w:p>
          <w:p w14:paraId="1E0AD41C">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呼吸机可与同品牌监护仪以及非同品牌输注泵通过无线方式融合显示在中央站界面。呼吸机的报警支持通过手表实时分发给医护人员，保障患者安全。</w:t>
            </w:r>
          </w:p>
          <w:p w14:paraId="57E7370B">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呼吸机支持接入同品牌设备管理看板，实时了解设备使用状态和科室分布以及使用率、出厂时间和工作时长等信息。</w:t>
            </w:r>
          </w:p>
          <w:p w14:paraId="7EDFFFEC">
            <w:pPr>
              <w:numPr>
                <w:ilvl w:val="0"/>
                <w:numId w:val="0"/>
              </w:numPr>
              <w:kinsoku w:val="0"/>
              <w:autoSpaceDE w:val="0"/>
              <w:autoSpaceDN w:val="0"/>
              <w:adjustRightInd w:val="0"/>
              <w:snapToGrid w:val="0"/>
              <w:spacing w:line="240" w:lineRule="auto"/>
              <w:ind w:leftChars="0" w:firstLine="361" w:firstLineChars="200"/>
              <w:jc w:val="left"/>
              <w:textAlignment w:val="baseline"/>
              <w:rPr>
                <w:rFonts w:hint="eastAsia" w:ascii="宋体" w:hAnsi="宋体" w:eastAsia="宋体" w:cs="宋体"/>
                <w:b/>
                <w:snapToGrid w:val="0"/>
                <w:color w:val="auto"/>
                <w:kern w:val="2"/>
                <w:sz w:val="18"/>
                <w:szCs w:val="18"/>
                <w:lang w:val="en-US" w:eastAsia="zh-CN" w:bidi="ar-SA"/>
              </w:rPr>
            </w:pPr>
            <w:r>
              <w:rPr>
                <w:rFonts w:hint="eastAsia" w:ascii="宋体" w:hAnsi="宋体" w:eastAsia="宋体" w:cs="宋体"/>
                <w:b/>
                <w:snapToGrid w:val="0"/>
                <w:color w:val="auto"/>
                <w:kern w:val="2"/>
                <w:sz w:val="18"/>
                <w:szCs w:val="18"/>
                <w:lang w:val="en-US" w:eastAsia="zh-CN" w:bidi="ar-SA"/>
              </w:rPr>
              <w:t>九、总机质保三年</w:t>
            </w:r>
          </w:p>
          <w:p w14:paraId="1EEA7EA8">
            <w:pPr>
              <w:widowControl/>
              <w:numPr>
                <w:ilvl w:val="0"/>
                <w:numId w:val="0"/>
              </w:numPr>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9602757">
            <w:pPr>
              <w:numPr>
                <w:ilvl w:val="0"/>
                <w:numId w:val="0"/>
              </w:numPr>
              <w:kinsoku w:val="0"/>
              <w:autoSpaceDE w:val="0"/>
              <w:autoSpaceDN w:val="0"/>
              <w:adjustRightInd w:val="0"/>
              <w:snapToGrid w:val="0"/>
              <w:spacing w:line="240" w:lineRule="auto"/>
              <w:ind w:leftChars="0" w:firstLine="360" w:firstLineChars="200"/>
              <w:jc w:val="left"/>
              <w:textAlignment w:val="baseline"/>
              <w:rPr>
                <w:rFonts w:hint="eastAsia" w:ascii="宋体" w:hAnsi="宋体" w:eastAsia="宋体" w:cs="宋体"/>
                <w:snapToGrid w:val="0"/>
                <w:color w:val="auto"/>
                <w:kern w:val="0"/>
                <w:sz w:val="18"/>
                <w:szCs w:val="18"/>
                <w:highlight w:val="none"/>
                <w:lang w:val="en-US" w:eastAsia="en-US" w:bidi="ar-SA"/>
              </w:rPr>
            </w:pPr>
          </w:p>
          <w:p w14:paraId="44A19606">
            <w:pPr>
              <w:widowControl/>
              <w:kinsoku w:val="0"/>
              <w:autoSpaceDE w:val="0"/>
              <w:autoSpaceDN w:val="0"/>
              <w:adjustRightInd w:val="0"/>
              <w:snapToGrid w:val="0"/>
              <w:spacing w:before="122" w:line="219" w:lineRule="auto"/>
              <w:ind w:left="17"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48752C6E">
            <w:pPr>
              <w:widowControl/>
              <w:kinsoku w:val="0"/>
              <w:autoSpaceDE w:val="0"/>
              <w:autoSpaceDN w:val="0"/>
              <w:adjustRightInd w:val="0"/>
              <w:snapToGrid w:val="0"/>
              <w:spacing w:before="122"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45A98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0FF795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14</w:t>
            </w:r>
          </w:p>
        </w:tc>
        <w:tc>
          <w:tcPr>
            <w:tcW w:w="1415" w:type="dxa"/>
            <w:tcBorders>
              <w:top w:val="single" w:color="000000" w:sz="4" w:space="0"/>
              <w:bottom w:val="single" w:color="000000" w:sz="4" w:space="0"/>
            </w:tcBorders>
            <w:vAlign w:val="top"/>
          </w:tcPr>
          <w:p w14:paraId="74D912BD">
            <w:pPr>
              <w:kinsoku w:val="0"/>
              <w:autoSpaceDE w:val="0"/>
              <w:autoSpaceDN w:val="0"/>
              <w:adjustRightInd w:val="0"/>
              <w:snapToGrid w:val="0"/>
              <w:spacing w:before="123"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C臂机</w:t>
            </w:r>
          </w:p>
        </w:tc>
        <w:tc>
          <w:tcPr>
            <w:tcW w:w="6878" w:type="dxa"/>
            <w:tcBorders>
              <w:top w:val="single" w:color="000000" w:sz="4" w:space="0"/>
              <w:bottom w:val="single" w:color="000000" w:sz="4" w:space="0"/>
            </w:tcBorders>
            <w:vAlign w:val="top"/>
          </w:tcPr>
          <w:p w14:paraId="7FB39B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平板探测器：主流配置需≥30cm×30cm，像素尺寸≤150μm，动态范围≥16位。大尺寸平板可实现一次曝光完整呈现5节腰椎，减少拼接误差。</w:t>
            </w:r>
          </w:p>
          <w:p w14:paraId="3BC807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2567D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球管与热容量：阳极热容量≥500kHu，管套热容量≥3.0MHu。小焦点≤0.3mm，以保障精细骨结构的高分辨率成像。</w:t>
            </w:r>
          </w:p>
          <w:p w14:paraId="2AF2E17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EE0C04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高压发生器：最大输出功率≥20kW，最大管电压≥125kV，支持多脉冲透视，确保高穿透力与低辐射剂量。</w:t>
            </w:r>
          </w:p>
          <w:p w14:paraId="2A87E8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EED1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开口与弧深：开口径通常≥78cm，弧深≥73cm，为术中常规体位摆放提供充足空间，避免设备与患者或手术床发生碰撞。</w:t>
            </w:r>
          </w:p>
          <w:p w14:paraId="3B7C36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8C962C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多轴运动能力：垂直升降与前后移动需具备电动驱动。C臂旋转角度≥±180°，支持多角度透视与多角度体位记忆功能，提升术中定位效率。</w:t>
            </w:r>
          </w:p>
          <w:p w14:paraId="73CBC94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tc>
        <w:tc>
          <w:tcPr>
            <w:tcW w:w="1297" w:type="dxa"/>
            <w:tcBorders>
              <w:top w:val="single" w:color="000000" w:sz="4" w:space="0"/>
              <w:bottom w:val="single" w:color="000000" w:sz="4" w:space="0"/>
            </w:tcBorders>
            <w:vAlign w:val="top"/>
          </w:tcPr>
          <w:p w14:paraId="3255FFF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34E3C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6F41FED5">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15</w:t>
            </w:r>
          </w:p>
        </w:tc>
        <w:tc>
          <w:tcPr>
            <w:tcW w:w="1415" w:type="dxa"/>
            <w:tcBorders>
              <w:top w:val="single" w:color="000000" w:sz="4" w:space="0"/>
              <w:bottom w:val="single" w:color="000000" w:sz="4" w:space="0"/>
            </w:tcBorders>
            <w:vAlign w:val="top"/>
          </w:tcPr>
          <w:p w14:paraId="61818833">
            <w:pPr>
              <w:kinsoku w:val="0"/>
              <w:autoSpaceDE w:val="0"/>
              <w:autoSpaceDN w:val="0"/>
              <w:adjustRightInd w:val="0"/>
              <w:snapToGrid w:val="0"/>
              <w:spacing w:before="127"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6878" w:type="dxa"/>
            <w:tcBorders>
              <w:top w:val="single" w:color="000000" w:sz="4" w:space="0"/>
              <w:bottom w:val="single" w:color="000000" w:sz="4" w:space="0"/>
            </w:tcBorders>
            <w:vAlign w:val="top"/>
          </w:tcPr>
          <w:p w14:paraId="1E1F2763">
            <w:pPr>
              <w:keepNext w:val="0"/>
              <w:keepLines w:val="0"/>
              <w:pageBreakBefore w:val="0"/>
              <w:widowControl/>
              <w:kinsoku w:val="0"/>
              <w:wordWrap/>
              <w:overflowPunct/>
              <w:topLinePunct w:val="0"/>
              <w:autoSpaceDE w:val="0"/>
              <w:autoSpaceDN w:val="0"/>
              <w:bidi w:val="0"/>
              <w:adjustRightInd w:val="0"/>
              <w:snapToGrid w:val="0"/>
              <w:spacing w:line="260" w:lineRule="exact"/>
              <w:jc w:val="both"/>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1.检测项目需要检测：PH,PCO2,PO2,K,Na,Cl,Ca,Hct，Lac 及 Glu 等≥10 项检测参数；</w:t>
            </w:r>
          </w:p>
          <w:p w14:paraId="1B8FB8C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2.操作界面全彩色液晶触摸屏≥10 寸，支持中文病人信息输入；</w:t>
            </w:r>
          </w:p>
          <w:p w14:paraId="28C7731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3.独立试剂包，除试剂包外无需另外购置除分析包之外的电极、管路、吸样针等其他消耗品，试剂规格多种可选；</w:t>
            </w:r>
          </w:p>
          <w:p w14:paraId="28F2A66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4.试剂包效期≥9 个月，上机效期≥40 天；</w:t>
            </w:r>
          </w:p>
          <w:p w14:paraId="08EC22A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5.根据临床 POCT 质量控制要求，需配套原厂配套质控品，支持三水平质控品；</w:t>
            </w:r>
          </w:p>
          <w:p w14:paraId="6EB77AE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6.电解质检测：可单独测试电解质项目；</w:t>
            </w:r>
          </w:p>
          <w:p w14:paraId="4054BB6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7.样本量：全参数样品量≤120uL；</w:t>
            </w:r>
          </w:p>
          <w:p w14:paraId="6029D2D7">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8.内置辅助诊断系统，可以自动进行结果辅助判读；</w:t>
            </w:r>
          </w:p>
          <w:p w14:paraId="338F0734">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9.样本类型：动脉血、静脉血、毛细管血等抗凝全血；</w:t>
            </w:r>
          </w:p>
          <w:p w14:paraId="31E82775">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10.网络接口可连接 LIS/HIS 等数据管理系统；</w:t>
            </w:r>
          </w:p>
          <w:p w14:paraId="731F5A5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11.打印功能：内置热敏打印机，可外接USB打印机； </w:t>
            </w:r>
          </w:p>
          <w:p w14:paraId="7593027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12.进样方式：自动进样，能检测并排除小气泡和微血凝块；</w:t>
            </w:r>
          </w:p>
          <w:p w14:paraId="54ADC17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13.分析时间：检测速度≤90 秒；</w:t>
            </w:r>
          </w:p>
          <w:p w14:paraId="23A99620">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14.内存：主机可自动储存≥20000 份以上历史样本完整信息，存储容量可扩展。</w:t>
            </w:r>
          </w:p>
          <w:p w14:paraId="7AB3AB19">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73D27D96">
            <w:pPr>
              <w:widowControl/>
              <w:kinsoku w:val="0"/>
              <w:autoSpaceDE w:val="0"/>
              <w:autoSpaceDN w:val="0"/>
              <w:adjustRightInd w:val="0"/>
              <w:snapToGrid w:val="0"/>
              <w:spacing w:before="127" w:line="219" w:lineRule="auto"/>
              <w:ind w:left="1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洋溪镇中心卫生院，圳上镇中心卫生院</w:t>
            </w:r>
          </w:p>
        </w:tc>
      </w:tr>
      <w:tr w14:paraId="6CA8E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5ACEB7D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16</w:t>
            </w:r>
          </w:p>
        </w:tc>
        <w:tc>
          <w:tcPr>
            <w:tcW w:w="1415" w:type="dxa"/>
            <w:tcBorders>
              <w:top w:val="single" w:color="000000" w:sz="4" w:space="0"/>
              <w:bottom w:val="single" w:color="000000" w:sz="4" w:space="0"/>
            </w:tcBorders>
            <w:vAlign w:val="top"/>
          </w:tcPr>
          <w:p w14:paraId="65E426E7">
            <w:pPr>
              <w:kinsoku w:val="0"/>
              <w:autoSpaceDE w:val="0"/>
              <w:autoSpaceDN w:val="0"/>
              <w:adjustRightInd w:val="0"/>
              <w:snapToGrid w:val="0"/>
              <w:spacing w:before="131" w:line="219" w:lineRule="auto"/>
              <w:ind w:left="24"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幽门螺旋杆菌检测仪</w:t>
            </w:r>
          </w:p>
        </w:tc>
        <w:tc>
          <w:tcPr>
            <w:tcW w:w="6878" w:type="dxa"/>
            <w:tcBorders>
              <w:top w:val="single" w:color="000000" w:sz="4" w:space="0"/>
              <w:bottom w:val="single" w:color="000000" w:sz="4" w:space="0"/>
            </w:tcBorders>
            <w:vAlign w:val="top"/>
          </w:tcPr>
          <w:p w14:paraId="68C67D9B">
            <w:pPr>
              <w:numPr>
                <w:ilvl w:val="0"/>
                <w:numId w:val="21"/>
              </w:num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检测方法：碳13（13C）或碳14（1?C）呼气试验法；</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2. 检测原理：同位素呼气分析，无创、快速、准确；</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3. 检测对象：幽门螺杆菌感染筛查、根治效果复查；</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4. 检测时间：单样本≤3分钟；</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5. 准确度：灵敏度≥95%，特异度≥95%；</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6. 操作方式：全自动进样、自动判读结果，全中文界面；</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7. 样本类型：呼气样本，无需抽血、无创伤；</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8. 适用场景：体检中心、消化科、门诊、基层医院；</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9. 具备数据存储、结果打印、LIS接口功能。</w:t>
            </w:r>
          </w:p>
          <w:p w14:paraId="6CC36D17">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4"/>
                <w:kern w:val="0"/>
                <w:sz w:val="18"/>
                <w:szCs w:val="18"/>
                <w:lang w:val="en-US" w:eastAsia="zh-CN" w:bidi="ar-SA"/>
              </w:rPr>
              <w:t>10.国产自主创新品牌。</w:t>
            </w:r>
          </w:p>
        </w:tc>
        <w:tc>
          <w:tcPr>
            <w:tcW w:w="1297" w:type="dxa"/>
            <w:tcBorders>
              <w:top w:val="single" w:color="000000" w:sz="4" w:space="0"/>
              <w:bottom w:val="single" w:color="000000" w:sz="4" w:space="0"/>
            </w:tcBorders>
            <w:vAlign w:val="top"/>
          </w:tcPr>
          <w:p w14:paraId="0A40D3C8">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7EC4F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2953368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17</w:t>
            </w:r>
          </w:p>
        </w:tc>
        <w:tc>
          <w:tcPr>
            <w:tcW w:w="1415" w:type="dxa"/>
            <w:tcBorders>
              <w:top w:val="single" w:color="000000" w:sz="4" w:space="0"/>
              <w:bottom w:val="single" w:color="000000" w:sz="4" w:space="0"/>
            </w:tcBorders>
            <w:vAlign w:val="top"/>
          </w:tcPr>
          <w:p w14:paraId="746E2447">
            <w:pPr>
              <w:kinsoku w:val="0"/>
              <w:autoSpaceDE w:val="0"/>
              <w:autoSpaceDN w:val="0"/>
              <w:adjustRightInd w:val="0"/>
              <w:snapToGrid w:val="0"/>
              <w:spacing w:before="131"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肺功能测试仪</w:t>
            </w:r>
          </w:p>
        </w:tc>
        <w:tc>
          <w:tcPr>
            <w:tcW w:w="6878" w:type="dxa"/>
            <w:tcBorders>
              <w:top w:val="single" w:color="000000" w:sz="4" w:space="0"/>
              <w:bottom w:val="single" w:color="000000" w:sz="4" w:space="0"/>
            </w:tcBorders>
            <w:vAlign w:val="top"/>
          </w:tcPr>
          <w:p w14:paraId="56024CA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传感器类型：双向压差式流量传感器或数字双向涡轮传感器。</w:t>
            </w:r>
          </w:p>
          <w:p w14:paraId="396680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59810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流量测量范围：需覆盖0至±14L/s，以满足从正常人到严重气流受限患者的极端呼吸流速检测需求。</w:t>
            </w:r>
          </w:p>
          <w:p w14:paraId="537DBD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28B8BF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精度与重复性：体积测量绝对误差需≤±3%或±50mL（取较大值），流速测量绝对误差需≤±5%或±20mL/s（取较大值）；单次测试的重复性误差需≤±5%或±50mL（取较大值）。</w:t>
            </w:r>
          </w:p>
          <w:p w14:paraId="380794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73208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基础通气参数：精准测定用力肺活量（FVC）、第1秒用力呼气容积（FEV1）及FEV1/FVC比值（1秒率）。</w:t>
            </w:r>
          </w:p>
          <w:p w14:paraId="0C79CB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64159D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峰值与中期流量：需同步记录呼气峰值流量（PEF）及用力呼出25%至75%肺活量时的平均流量（FEF25%-75%），后者是反映早期小气道病变的敏感指标。</w:t>
            </w:r>
          </w:p>
          <w:p w14:paraId="48DA5CD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0DF75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数据交互能力：支持图文报告打印与导出。</w:t>
            </w:r>
          </w:p>
          <w:p w14:paraId="0938E6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1617F3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院感防控设计：传感器需支持高温高压灭菌，或配备一次性细菌/病毒过滤嘴及一次性吹嘴，防止呼吸道传染病交叉感染。</w:t>
            </w:r>
          </w:p>
          <w:p w14:paraId="0AF752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BCA5C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便携与供电：便携式筛查机型需具备内置可充电锂电池，支持脱离主机独立运行，以适应床旁或移动体检场景。</w:t>
            </w:r>
          </w:p>
          <w:p w14:paraId="2CB0EE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000A7F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DAC030A">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C3ACE00">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39B74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979DCF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18</w:t>
            </w:r>
          </w:p>
        </w:tc>
        <w:tc>
          <w:tcPr>
            <w:tcW w:w="1415" w:type="dxa"/>
            <w:tcBorders>
              <w:top w:val="single" w:color="000000" w:sz="4" w:space="0"/>
              <w:bottom w:val="single" w:color="000000" w:sz="4" w:space="0"/>
            </w:tcBorders>
            <w:vAlign w:val="top"/>
          </w:tcPr>
          <w:p w14:paraId="48006E70">
            <w:pPr>
              <w:kinsoku w:val="0"/>
              <w:autoSpaceDE w:val="0"/>
              <w:autoSpaceDN w:val="0"/>
              <w:adjustRightInd w:val="0"/>
              <w:snapToGrid w:val="0"/>
              <w:spacing w:before="131"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内窥镜荧光摄像系统</w:t>
            </w:r>
          </w:p>
        </w:tc>
        <w:tc>
          <w:tcPr>
            <w:tcW w:w="6878" w:type="dxa"/>
            <w:tcBorders>
              <w:top w:val="single" w:color="000000" w:sz="4" w:space="0"/>
              <w:bottom w:val="single" w:color="000000" w:sz="4" w:space="0"/>
            </w:tcBorders>
            <w:vAlign w:val="top"/>
          </w:tcPr>
          <w:p w14:paraId="0F9C1DE0">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1. 成像芯片1/2.8 英寸 或 1/1.8 英寸 CMOS</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 xml:space="preserve"> 有效像素：1920×1080（全高清）</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高端：4K（3840×2160）</w:t>
            </w:r>
          </w:p>
          <w:p w14:paraId="73E1513B">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2. 白平衡</w:t>
            </w:r>
            <w:r>
              <w:rPr>
                <w:rFonts w:hint="eastAsia" w:ascii="宋体" w:hAnsi="宋体" w:eastAsia="宋体" w:cs="宋体"/>
                <w:snapToGrid w:val="0"/>
                <w:color w:val="auto"/>
                <w:spacing w:val="-4"/>
                <w:kern w:val="0"/>
                <w:sz w:val="18"/>
                <w:szCs w:val="18"/>
                <w:lang w:val="en-US" w:eastAsia="zh-CN" w:bidi="ar-SA"/>
              </w:rPr>
              <w:t xml:space="preserve"> ,</w:t>
            </w:r>
            <w:r>
              <w:rPr>
                <w:rFonts w:hint="eastAsia" w:ascii="宋体" w:hAnsi="宋体" w:eastAsia="宋体" w:cs="宋体"/>
                <w:snapToGrid w:val="0"/>
                <w:color w:val="auto"/>
                <w:spacing w:val="-4"/>
                <w:kern w:val="0"/>
                <w:sz w:val="18"/>
                <w:szCs w:val="18"/>
                <w:lang w:val="en-US" w:eastAsia="en-US" w:bidi="ar-SA"/>
              </w:rPr>
              <w:t>自动白平衡 AWB</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术中建议：腔镜白平衡一次/每台</w:t>
            </w:r>
          </w:p>
          <w:p w14:paraId="0B241570">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3. 亮度/对比度</w:t>
            </w:r>
            <w:r>
              <w:rPr>
                <w:rFonts w:hint="eastAsia" w:ascii="宋体" w:hAnsi="宋体" w:eastAsia="宋体" w:cs="宋体"/>
                <w:snapToGrid w:val="0"/>
                <w:color w:val="auto"/>
                <w:spacing w:val="-4"/>
                <w:kern w:val="0"/>
                <w:sz w:val="18"/>
                <w:szCs w:val="18"/>
                <w:lang w:val="en-US" w:eastAsia="zh-CN" w:bidi="ar-SA"/>
              </w:rPr>
              <w:t xml:space="preserve">  </w:t>
            </w:r>
            <w:r>
              <w:rPr>
                <w:rFonts w:hint="eastAsia" w:ascii="宋体" w:hAnsi="宋体" w:eastAsia="宋体" w:cs="宋体"/>
                <w:snapToGrid w:val="0"/>
                <w:color w:val="auto"/>
                <w:spacing w:val="-4"/>
                <w:kern w:val="0"/>
                <w:sz w:val="18"/>
                <w:szCs w:val="18"/>
                <w:lang w:val="en-US" w:eastAsia="en-US" w:bidi="ar-SA"/>
              </w:rPr>
              <w:t xml:space="preserve"> 亮度：50%–70%</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对比度：50%–65%</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 xml:space="preserve"> 伽马：默认/中档</w:t>
            </w:r>
          </w:p>
          <w:p w14:paraId="15FDA006">
            <w:pPr>
              <w:keepNext w:val="0"/>
              <w:keepLines w:val="0"/>
              <w:pageBreakBefore w:val="0"/>
              <w:widowControl/>
              <w:kinsoku w:val="0"/>
              <w:wordWrap/>
              <w:overflowPunct/>
              <w:topLinePunct w:val="0"/>
              <w:autoSpaceDE w:val="0"/>
              <w:autoSpaceDN w:val="0"/>
              <w:bidi w:val="0"/>
              <w:adjustRightInd w:val="0"/>
              <w:snapToGrid w:val="0"/>
              <w:spacing w:line="240" w:lineRule="exact"/>
              <w:ind w:left="38" w:leftChars="0"/>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4. 光 源</w:t>
            </w:r>
            <w:r>
              <w:rPr>
                <w:rFonts w:hint="eastAsia" w:ascii="宋体" w:hAnsi="宋体" w:eastAsia="宋体" w:cs="宋体"/>
                <w:snapToGrid w:val="0"/>
                <w:color w:val="auto"/>
                <w:spacing w:val="-4"/>
                <w:kern w:val="0"/>
                <w:sz w:val="18"/>
                <w:szCs w:val="18"/>
                <w:lang w:val="en-US" w:eastAsia="zh-CN" w:bidi="ar-SA"/>
              </w:rPr>
              <w:t xml:space="preserve">  </w:t>
            </w:r>
            <w:r>
              <w:rPr>
                <w:rFonts w:hint="eastAsia" w:ascii="宋体" w:hAnsi="宋体" w:eastAsia="宋体" w:cs="宋体"/>
                <w:snapToGrid w:val="0"/>
                <w:color w:val="auto"/>
                <w:spacing w:val="-4"/>
                <w:kern w:val="0"/>
                <w:sz w:val="18"/>
                <w:szCs w:val="18"/>
                <w:lang w:val="en-US" w:eastAsia="en-US" w:bidi="ar-SA"/>
              </w:rPr>
              <w:t>功率：300W 氙灯 / 350W 激光光源</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色温：5500–6500K（白光） 导光光束：3m–5m</w:t>
            </w:r>
          </w:p>
          <w:p w14:paraId="14DF878E">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5.国产自主创新品牌。</w:t>
            </w:r>
          </w:p>
          <w:p w14:paraId="73D1722D">
            <w:pPr>
              <w:keepNext w:val="0"/>
              <w:keepLines w:val="0"/>
              <w:pageBreakBefore w:val="0"/>
              <w:widowControl/>
              <w:kinsoku w:val="0"/>
              <w:wordWrap/>
              <w:overflowPunct/>
              <w:topLinePunct w:val="0"/>
              <w:autoSpaceDE w:val="0"/>
              <w:autoSpaceDN w:val="0"/>
              <w:bidi w:val="0"/>
              <w:adjustRightInd w:val="0"/>
              <w:snapToGrid w:val="0"/>
              <w:spacing w:line="240" w:lineRule="exact"/>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9D7A3E4">
            <w:pPr>
              <w:widowControl/>
              <w:kinsoku w:val="0"/>
              <w:autoSpaceDE w:val="0"/>
              <w:autoSpaceDN w:val="0"/>
              <w:adjustRightInd w:val="0"/>
              <w:snapToGrid w:val="0"/>
              <w:spacing w:before="131"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2C96B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6257752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19</w:t>
            </w:r>
          </w:p>
        </w:tc>
        <w:tc>
          <w:tcPr>
            <w:tcW w:w="1415" w:type="dxa"/>
            <w:tcBorders>
              <w:top w:val="single" w:color="000000" w:sz="4" w:space="0"/>
              <w:bottom w:val="single" w:color="000000" w:sz="4" w:space="0"/>
            </w:tcBorders>
            <w:vAlign w:val="top"/>
          </w:tcPr>
          <w:p w14:paraId="58CD601D">
            <w:pPr>
              <w:kinsoku w:val="0"/>
              <w:autoSpaceDE w:val="0"/>
              <w:autoSpaceDN w:val="0"/>
              <w:adjustRightInd w:val="0"/>
              <w:snapToGrid w:val="0"/>
              <w:spacing w:before="131"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输尿管镜系统（成人和儿童）</w:t>
            </w:r>
          </w:p>
        </w:tc>
        <w:tc>
          <w:tcPr>
            <w:tcW w:w="6878" w:type="dxa"/>
            <w:tcBorders>
              <w:top w:val="single" w:color="000000" w:sz="4" w:space="0"/>
              <w:bottom w:val="single" w:color="000000" w:sz="4" w:space="0"/>
            </w:tcBorders>
            <w:vAlign w:val="top"/>
          </w:tcPr>
          <w:p w14:paraId="294DF667">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en-US" w:bidi="ar-SA"/>
              </w:rPr>
              <w:t>1. 硬性输尿管镜（硬镜）外径：Fr 6–8（最常用 Fr 6.5/7.5）</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工作通道：Fr 3.0–3.5</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 xml:space="preserve"> 视角：0° / 12° / 30°（常规 0° 或 12°）</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工作长度：430–450 mm适用：输尿管中下段结石、常规碎石</w:t>
            </w:r>
            <w:r>
              <w:rPr>
                <w:rFonts w:hint="eastAsia" w:ascii="宋体" w:hAnsi="宋体" w:eastAsia="宋体" w:cs="宋体"/>
                <w:snapToGrid w:val="0"/>
                <w:color w:val="auto"/>
                <w:spacing w:val="-4"/>
                <w:kern w:val="0"/>
                <w:sz w:val="18"/>
                <w:szCs w:val="18"/>
                <w:lang w:val="en-US" w:eastAsia="zh-CN" w:bidi="ar-SA"/>
              </w:rPr>
              <w:t>.(配备2根)</w:t>
            </w:r>
          </w:p>
          <w:p w14:paraId="6D1D225E">
            <w:pPr>
              <w:keepNext w:val="0"/>
              <w:keepLines w:val="0"/>
              <w:pageBreakBefore w:val="0"/>
              <w:widowControl/>
              <w:kinsoku w:val="0"/>
              <w:wordWrap/>
              <w:overflowPunct/>
              <w:topLinePunct w:val="0"/>
              <w:autoSpaceDE w:val="0"/>
              <w:autoSpaceDN w:val="0"/>
              <w:bidi w:val="0"/>
              <w:adjustRightInd w:val="0"/>
              <w:snapToGrid w:val="0"/>
              <w:spacing w:line="240" w:lineRule="exact"/>
              <w:ind w:left="16" w:left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2.国产自主创新品牌。</w:t>
            </w:r>
          </w:p>
        </w:tc>
        <w:tc>
          <w:tcPr>
            <w:tcW w:w="1297" w:type="dxa"/>
            <w:tcBorders>
              <w:top w:val="single" w:color="000000" w:sz="4" w:space="0"/>
              <w:bottom w:val="single" w:color="000000" w:sz="4" w:space="0"/>
            </w:tcBorders>
            <w:vAlign w:val="top"/>
          </w:tcPr>
          <w:p w14:paraId="5CF28B06">
            <w:pPr>
              <w:widowControl/>
              <w:kinsoku w:val="0"/>
              <w:autoSpaceDE w:val="0"/>
              <w:autoSpaceDN w:val="0"/>
              <w:adjustRightInd w:val="0"/>
              <w:snapToGrid w:val="0"/>
              <w:spacing w:before="131" w:line="219" w:lineRule="auto"/>
              <w:ind w:left="16"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2CFF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7541D8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20</w:t>
            </w:r>
          </w:p>
        </w:tc>
        <w:tc>
          <w:tcPr>
            <w:tcW w:w="1415" w:type="dxa"/>
            <w:tcBorders>
              <w:top w:val="single" w:color="000000" w:sz="4" w:space="0"/>
              <w:bottom w:val="single" w:color="000000" w:sz="4" w:space="0"/>
            </w:tcBorders>
            <w:vAlign w:val="top"/>
          </w:tcPr>
          <w:p w14:paraId="4E66CC40">
            <w:pPr>
              <w:kinsoku w:val="0"/>
              <w:autoSpaceDE w:val="0"/>
              <w:autoSpaceDN w:val="0"/>
              <w:adjustRightInd w:val="0"/>
              <w:snapToGrid w:val="0"/>
              <w:spacing w:before="123" w:line="219" w:lineRule="auto"/>
              <w:ind w:left="44"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胃肠镜系统</w:t>
            </w:r>
          </w:p>
        </w:tc>
        <w:tc>
          <w:tcPr>
            <w:tcW w:w="6878" w:type="dxa"/>
            <w:tcBorders>
              <w:top w:val="single" w:color="000000" w:sz="4" w:space="0"/>
              <w:bottom w:val="single" w:color="000000" w:sz="4" w:space="0"/>
            </w:tcBorders>
            <w:vAlign w:val="top"/>
          </w:tcPr>
          <w:p w14:paraId="083DC4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分辨率与输出：标配需达到1920×1080P高清分辨率，支持4K信号输出，确保黏膜微血管与微表面结构的清晰呈现。</w:t>
            </w:r>
          </w:p>
          <w:p w14:paraId="2C267E4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2D93B8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特殊光染色功能：必须具备至少一种电子染色技术，用于无创放大观察消化道早期癌变与微血管形态，提升早癌筛查率。</w:t>
            </w:r>
          </w:p>
          <w:p w14:paraId="6752FF5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D66631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光源与冷却：采用高亮度LED冷光源，具备自动亮度调节功能，且强制风冷系统需保证长时间运行不衰减。</w:t>
            </w:r>
          </w:p>
          <w:p w14:paraId="3238E1D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39D06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视野与景深：胃镜视野角≥140°，肠镜≥170°；景深范围通常为3至100mm，确保远近病灶均能清晰对焦。</w:t>
            </w:r>
          </w:p>
          <w:p w14:paraId="7263D8C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弯曲部角度：肠镜</w:t>
            </w:r>
            <w:r>
              <w:rPr>
                <w:rFonts w:hint="eastAsia" w:ascii="宋体" w:hAnsi="宋体" w:eastAsia="宋体" w:cs="宋体"/>
                <w:strike w:val="0"/>
                <w:dstrike w:val="0"/>
                <w:snapToGrid w:val="0"/>
                <w:color w:val="auto"/>
                <w:kern w:val="0"/>
                <w:sz w:val="18"/>
                <w:szCs w:val="18"/>
                <w:lang w:val="en-US" w:eastAsia="zh-CN"/>
              </w:rPr>
              <w:t>上下弯曲角度需≥180°，左右≥160</w:t>
            </w:r>
            <w:r>
              <w:rPr>
                <w:rFonts w:hint="eastAsia" w:ascii="宋体" w:hAnsi="宋体" w:eastAsia="宋体" w:cs="宋体"/>
                <w:snapToGrid w:val="0"/>
                <w:color w:val="auto"/>
                <w:kern w:val="0"/>
                <w:sz w:val="18"/>
                <w:szCs w:val="18"/>
                <w:lang w:val="en-US" w:eastAsia="zh-CN"/>
              </w:rPr>
              <w:t>°，胃镜弯曲度上</w:t>
            </w:r>
            <w:r>
              <w:rPr>
                <w:rFonts w:hint="eastAsia" w:ascii="宋体" w:hAnsi="宋体" w:eastAsia="宋体" w:cs="宋体"/>
                <w:strike w:val="0"/>
                <w:dstrike w:val="0"/>
                <w:snapToGrid w:val="0"/>
                <w:color w:val="auto"/>
                <w:kern w:val="0"/>
                <w:sz w:val="18"/>
                <w:szCs w:val="18"/>
                <w:lang w:val="en-US" w:eastAsia="zh-CN"/>
              </w:rPr>
              <w:t>弯曲角度需≥210°，下≥90°</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trike w:val="0"/>
                <w:dstrike w:val="0"/>
                <w:snapToGrid w:val="0"/>
                <w:color w:val="auto"/>
                <w:kern w:val="0"/>
                <w:sz w:val="18"/>
                <w:szCs w:val="18"/>
                <w:lang w:val="en-US" w:eastAsia="zh-CN"/>
              </w:rPr>
              <w:t>左右≥100</w:t>
            </w:r>
            <w:r>
              <w:rPr>
                <w:rFonts w:hint="eastAsia" w:ascii="宋体" w:hAnsi="宋体" w:eastAsia="宋体" w:cs="宋体"/>
                <w:snapToGrid w:val="0"/>
                <w:color w:val="auto"/>
                <w:kern w:val="0"/>
                <w:sz w:val="18"/>
                <w:szCs w:val="18"/>
                <w:lang w:val="en-US" w:eastAsia="zh-CN"/>
              </w:rPr>
              <w:t>°，以应对复杂的消化道解剖弯曲，减少盲区和操作阻力。</w:t>
            </w:r>
          </w:p>
          <w:p w14:paraId="115C61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AC2D0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钳道直径与长度：标准胃镜钳道≥2.8mm，肠镜≥3.2mm，以兼容各类止血夹、圈套器等治疗器械；工作长度胃镜≥1030mm，肠镜≥1330mm。</w:t>
            </w:r>
          </w:p>
          <w:p w14:paraId="53AF366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6CAC71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全防水设计：支持整体浸泡消毒，无需额外防水帽，以降低院感风险。</w:t>
            </w:r>
          </w:p>
          <w:p w14:paraId="521CE0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国产自主创新品牌。肠镜数量和胃镜数量各配备1根.</w:t>
            </w:r>
          </w:p>
        </w:tc>
        <w:tc>
          <w:tcPr>
            <w:tcW w:w="1297" w:type="dxa"/>
            <w:tcBorders>
              <w:top w:val="single" w:color="000000" w:sz="4" w:space="0"/>
              <w:bottom w:val="single" w:color="000000" w:sz="4" w:space="0"/>
            </w:tcBorders>
            <w:vAlign w:val="top"/>
          </w:tcPr>
          <w:p w14:paraId="76F8BAEF">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184E5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FD9D73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21</w:t>
            </w:r>
          </w:p>
        </w:tc>
        <w:tc>
          <w:tcPr>
            <w:tcW w:w="1415" w:type="dxa"/>
            <w:tcBorders>
              <w:top w:val="single" w:color="000000" w:sz="4" w:space="0"/>
              <w:bottom w:val="single" w:color="000000" w:sz="4" w:space="0"/>
            </w:tcBorders>
            <w:vAlign w:val="top"/>
          </w:tcPr>
          <w:p w14:paraId="7398F7CF">
            <w:pPr>
              <w:kinsoku w:val="0"/>
              <w:autoSpaceDE w:val="0"/>
              <w:autoSpaceDN w:val="0"/>
              <w:adjustRightInd w:val="0"/>
              <w:snapToGrid w:val="0"/>
              <w:spacing w:before="123" w:line="219" w:lineRule="auto"/>
              <w:ind w:left="2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宫腔镜系统</w:t>
            </w:r>
          </w:p>
        </w:tc>
        <w:tc>
          <w:tcPr>
            <w:tcW w:w="6878" w:type="dxa"/>
            <w:tcBorders>
              <w:top w:val="single" w:color="000000" w:sz="4" w:space="0"/>
              <w:bottom w:val="single" w:color="000000" w:sz="4" w:space="0"/>
            </w:tcBorders>
            <w:vAlign w:val="top"/>
          </w:tcPr>
          <w:p w14:paraId="6775436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摄像主机与分辨率：需具备4K图像处理性能，能够输出≥3840×2160P 60Hz动态图像，支持4K和全高清（1080P）同时输出能力。</w:t>
            </w:r>
          </w:p>
          <w:p w14:paraId="6D3DF4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LED冷光源：选用LED光源。</w:t>
            </w:r>
          </w:p>
          <w:p w14:paraId="5375C8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医用显示器：标配≥32英寸的4K医用LCD监视器，支持4K 60Hz超高清显示，并具备HDMI或12G-SDI的4K超高清接口。</w:t>
            </w:r>
          </w:p>
          <w:p w14:paraId="1BC8B9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诊断镜（检查用）：外径建议≤4.9mm，采用超广角镜头（视场角≤90°），免扩宫直接进入。</w:t>
            </w:r>
          </w:p>
          <w:p w14:paraId="2BC7A3B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电切镜（手术用）：需配备内置工作通道，能够容纳环形、针状等手术电极，支持持续灌流。</w:t>
            </w:r>
          </w:p>
          <w:p w14:paraId="6FD1F5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智能液泵：压力设置范围需在0-200mmHg可调，具备快速排气和自动校准功能。</w:t>
            </w:r>
          </w:p>
          <w:p w14:paraId="2C7045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C86ED0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双极电切系统：气化与切割功率需满足常规手术需求。双极系统可使用生理盐水作为膨宫介质。</w:t>
            </w:r>
          </w:p>
          <w:p w14:paraId="379505B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图像工作站：系统应内置医学影像工作站软件，支持在主机或副显上进行静态图像采集与动态视频录像，方便快速书写病历与存档。</w:t>
            </w:r>
          </w:p>
          <w:p w14:paraId="294C51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BA6319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硬件防护与消毒：摄像头需具备IPX8级防水设计，镜体支持耐高温高压或低温等离子灭菌。</w:t>
            </w:r>
          </w:p>
          <w:p w14:paraId="1B5C046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6F374E53">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559AD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B24C36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22</w:t>
            </w:r>
          </w:p>
        </w:tc>
        <w:tc>
          <w:tcPr>
            <w:tcW w:w="1415" w:type="dxa"/>
            <w:tcBorders>
              <w:top w:val="single" w:color="000000" w:sz="4" w:space="0"/>
              <w:bottom w:val="single" w:color="000000" w:sz="4" w:space="0"/>
            </w:tcBorders>
            <w:vAlign w:val="top"/>
          </w:tcPr>
          <w:p w14:paraId="1F83547D">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等离子电切镜</w:t>
            </w:r>
          </w:p>
        </w:tc>
        <w:tc>
          <w:tcPr>
            <w:tcW w:w="6878" w:type="dxa"/>
            <w:tcBorders>
              <w:top w:val="single" w:color="000000" w:sz="4" w:space="0"/>
              <w:bottom w:val="single" w:color="000000" w:sz="4" w:space="0"/>
            </w:tcBorders>
            <w:vAlign w:val="top"/>
          </w:tcPr>
          <w:p w14:paraId="69824E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功率输出与波形：切割功率需达160W至180W，电凝功率需达80W。系统应支持切割波形与凝血波形的独立选择，具备自动阻抗反馈功能，以实时监控组织阻抗变化并提示电凝效果。</w:t>
            </w:r>
          </w:p>
          <w:p w14:paraId="7352D2E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6BB7B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低温切割与安全机制：治疗温度需严格控制在40℃至70℃之间，热穿透深度小于0.5mm。设备需具备包膜识别能力，当切至前列腺包膜时能迫使切割停止，有效避免包膜穿孔及外括约肌损伤。</w:t>
            </w:r>
          </w:p>
          <w:p w14:paraId="6B578DB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3D861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冲洗介质适配：必须使用等渗的生理盐水作为工作介质，从根本上避免因使用低渗液（如葡萄糖）导致的水中毒（TURS综合征）。</w:t>
            </w:r>
          </w:p>
          <w:p w14:paraId="1AFDA0A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F654DC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镜体尺寸与鞘管设计：常规配置为24Fr至26Fr（约8mm外径）。需配备可360度旋转的外鞘，以及持续灌洗通道，确保在长时间手术中视野清晰且冲洗压力稳定（通常维持在50至70cmH2O）。</w:t>
            </w:r>
          </w:p>
          <w:p w14:paraId="158581E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C84AF7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光学视野与角度：标配30度或70度视向角的内窥镜。视野角需≥110°，景深范围通常覆盖3mm至100mm，以清晰分辨精阜、前列腺外科包膜及膀胱颈部等关键解剖标志。</w:t>
            </w:r>
          </w:p>
          <w:p w14:paraId="73737C4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5EB0D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电切环设计：采用双极环状电极设计，实现凝切一体化。电切环需具备良好的机械弹性，支持精细的刨削与大块组织的剜除（如经尿道等离子前列腺剜除术PKEP）。</w:t>
            </w:r>
          </w:p>
          <w:p w14:paraId="52C74B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756724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高清成像输出：需兼容1080P或4K高清摄像系统，确保在生理盐水冲洗环境下，对黏膜微小血管网的辨识度达到最高水平。</w:t>
            </w:r>
          </w:p>
          <w:p w14:paraId="20934A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686DAF5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7072A86">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2368380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1D95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38F7D90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23</w:t>
            </w:r>
          </w:p>
        </w:tc>
        <w:tc>
          <w:tcPr>
            <w:tcW w:w="1415" w:type="dxa"/>
            <w:tcBorders>
              <w:top w:val="single" w:color="000000" w:sz="4" w:space="0"/>
              <w:bottom w:val="single" w:color="000000" w:sz="4" w:space="0"/>
            </w:tcBorders>
            <w:vAlign w:val="top"/>
          </w:tcPr>
          <w:p w14:paraId="516BFD38">
            <w:pPr>
              <w:kinsoku w:val="0"/>
              <w:autoSpaceDE w:val="0"/>
              <w:autoSpaceDN w:val="0"/>
              <w:adjustRightInd w:val="0"/>
              <w:snapToGrid w:val="0"/>
              <w:spacing w:before="126"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耳鼻腔内窥镜</w:t>
            </w:r>
          </w:p>
        </w:tc>
        <w:tc>
          <w:tcPr>
            <w:tcW w:w="6878" w:type="dxa"/>
            <w:tcBorders>
              <w:top w:val="single" w:color="000000" w:sz="4" w:space="0"/>
              <w:bottom w:val="single" w:color="000000" w:sz="4" w:space="0"/>
            </w:tcBorders>
            <w:vAlign w:val="top"/>
          </w:tcPr>
          <w:p w14:paraId="313919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分辨率与显色性：中心角分辨力需≥3.0 C/(°)，显色指数（Ra）≥88，确保能清晰分辨鼓膜微血管与鼻黏膜颜色变化。</w:t>
            </w:r>
          </w:p>
          <w:p w14:paraId="6DBBAE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69E15B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景深与视野：有效景深范围通常覆盖1至50mm，视场角≥50°，保证远近解剖结构均能清晰对焦。</w:t>
            </w:r>
          </w:p>
          <w:p w14:paraId="08875B2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FF0C78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光源适配：需兼容主流冷光源系统（如Storz等），照明镜体光效及综合光效需符合行业标准，保障深部腔体照明均匀。</w:t>
            </w:r>
          </w:p>
          <w:p w14:paraId="2BE51AB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A5F26B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外径与长度：耳内镜常配备2.7mm或3.0mm规格，工作长度≥110mm；鼻内镜常配备4.0mm规格，工作长度≥175mm，以适配不同解剖通道。</w:t>
            </w:r>
          </w:p>
          <w:p w14:paraId="64019E3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BA6F6E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视向角配置：标配0°、30°、70°等多种角度。0°用于常规直视，30°或70°用于观察上颌窦、筛窦等死角区域。</w:t>
            </w:r>
          </w:p>
          <w:p w14:paraId="5F52AD3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CCE73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材质与耐用性：采用优质不锈钢与防磨损蓝宝石镜头，需支持兼容浸泡、气熏及手术室常规高温高压和低温等离子消毒。</w:t>
            </w:r>
          </w:p>
          <w:p w14:paraId="73CFE25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EAE38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图像增强：需具备暗处增亮、降低反光及色彩增益功能，支持光谱分析模式以提高血管及组织辨识度。</w:t>
            </w:r>
          </w:p>
          <w:p w14:paraId="27D1F0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23C7BC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14042BE">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1285FA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54045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523AB6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24</w:t>
            </w:r>
          </w:p>
        </w:tc>
        <w:tc>
          <w:tcPr>
            <w:tcW w:w="1415" w:type="dxa"/>
            <w:tcBorders>
              <w:top w:val="single" w:color="000000" w:sz="4" w:space="0"/>
              <w:bottom w:val="single" w:color="000000" w:sz="4" w:space="0"/>
            </w:tcBorders>
            <w:vAlign w:val="top"/>
          </w:tcPr>
          <w:p w14:paraId="78F520F0">
            <w:pPr>
              <w:kinsoku w:val="0"/>
              <w:autoSpaceDE w:val="0"/>
              <w:autoSpaceDN w:val="0"/>
              <w:adjustRightInd w:val="0"/>
              <w:snapToGrid w:val="0"/>
              <w:spacing w:before="127"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电子喉镜系统（成人和儿童）</w:t>
            </w:r>
          </w:p>
        </w:tc>
        <w:tc>
          <w:tcPr>
            <w:tcW w:w="6878" w:type="dxa"/>
            <w:tcBorders>
              <w:top w:val="single" w:color="000000" w:sz="4" w:space="0"/>
              <w:bottom w:val="single" w:color="000000" w:sz="4" w:space="0"/>
            </w:tcBorders>
            <w:vAlign w:val="top"/>
          </w:tcPr>
          <w:p w14:paraId="6C6E93C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07810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镜体规格与灵活性：检查型镜体插入部先端外径≤2.9mm，治疗型镜体需具备≥2.0mm的工作通道，以兼容活检、异物取出等操作 。</w:t>
            </w:r>
          </w:p>
          <w:p w14:paraId="65C8D09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041833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弯曲与视野：镜体需具备高度的灵活性，上下弯曲角度通常需≥130°；视场角（FOV）需≥90°，部分型号要求≥120°，以确保全面覆盖喉腔视野 。</w:t>
            </w:r>
          </w:p>
          <w:p w14:paraId="42503A8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C200E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成像与景深：支持高清成像与图像放大；景深范围通常覆盖2-50mm或3-200mm，确保远近病灶均能清晰对焦 。</w:t>
            </w:r>
          </w:p>
          <w:p w14:paraId="28C365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窄带成像（NBI）技术：支持NBI等光学染色功能，通过观察黏膜表面微血管形态，显著提高早期癌变（如声带白斑、早期喉癌）的诊出率 。</w:t>
            </w:r>
          </w:p>
          <w:p w14:paraId="12D6C7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3A7B8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动态频闪功能：需具备动态频闪功能，用于精准观察声带的振动情况，辅助评估嗓音疾病及声带病变 。</w:t>
            </w:r>
          </w:p>
          <w:p w14:paraId="76F1A0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E184F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防雾与光源：内镜镜头需具备防雾功能，无需预热即可观察；光源需支持多级亮度调节，部分设备具备自动调光功能以适应不同腔体环境 。</w:t>
            </w:r>
          </w:p>
          <w:p w14:paraId="77EAFD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ADDD3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高清显示与交互：处理器需配备≥10.1英寸的高清显示屏（如1280×800或1080P分辨率），支持电容触控及智能交互设置 。</w:t>
            </w:r>
          </w:p>
          <w:p w14:paraId="36DDFDF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24DA2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影像记录与导出：系统需支持带音频的实时录像与录音功能，具备循环摄录功能，并可将视频与照片导出至存储卡，方便建立患者资料档案 。</w:t>
            </w:r>
          </w:p>
          <w:p w14:paraId="3C469C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BF9BA9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图像调节：具备白平衡记忆功能，支持对比度、饱和度及亮度等多级别（如0-15级）参数调节，以适应不同医生的阅片习惯 。</w:t>
            </w:r>
          </w:p>
          <w:p w14:paraId="5757BB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154A31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全防水与消毒：操作部需达到IPX7级防水标准，配备防水盖，支持全浸泡消毒，且无需更换ETO帽等复杂配件，以降低院感风险并提高周转效率 。</w:t>
            </w:r>
          </w:p>
          <w:p w14:paraId="12C2DB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4C848356">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4A23B535">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41220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2C0D899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25</w:t>
            </w:r>
          </w:p>
        </w:tc>
        <w:tc>
          <w:tcPr>
            <w:tcW w:w="1415" w:type="dxa"/>
            <w:tcBorders>
              <w:top w:val="single" w:color="000000" w:sz="4" w:space="0"/>
              <w:bottom w:val="single" w:color="000000" w:sz="4" w:space="0"/>
            </w:tcBorders>
            <w:vAlign w:val="top"/>
          </w:tcPr>
          <w:p w14:paraId="0D37A81C">
            <w:pPr>
              <w:kinsoku w:val="0"/>
              <w:autoSpaceDE w:val="0"/>
              <w:autoSpaceDN w:val="0"/>
              <w:adjustRightInd w:val="0"/>
              <w:snapToGrid w:val="0"/>
              <w:spacing w:before="127" w:line="219" w:lineRule="auto"/>
              <w:ind w:left="38" w:leftChars="0"/>
              <w:jc w:val="left"/>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膀胱镜系统</w:t>
            </w:r>
          </w:p>
        </w:tc>
        <w:tc>
          <w:tcPr>
            <w:tcW w:w="6878" w:type="dxa"/>
            <w:tcBorders>
              <w:top w:val="single" w:color="000000" w:sz="4" w:space="0"/>
              <w:bottom w:val="single" w:color="000000" w:sz="4" w:space="0"/>
            </w:tcBorders>
            <w:vAlign w:val="top"/>
          </w:tcPr>
          <w:p w14:paraId="3E179D2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镜体外径与尺寸：插入部外径需≤5Fr（约1.6mm），全长约650mm，工作长度≥380mm，以适应不同解剖结构并提升患者耐受度。</w:t>
            </w:r>
          </w:p>
          <w:p w14:paraId="7E43678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7EB3E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弯曲与视野能力：前端向上弯曲角度≥210°，向下弯曲≥120°；视场角≥120°，景深覆盖3-50mm，确保膀胱各壁及死角无盲区。</w:t>
            </w:r>
          </w:p>
          <w:p w14:paraId="752E13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ACD35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高级诊断功能：支持窄带成像（NBI）功能，通过特定波长光观察黏膜微血管，显著提高早期膀胱癌及原位癌的诊出率。</w:t>
            </w:r>
          </w:p>
          <w:p w14:paraId="1B274DC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tc>
        <w:tc>
          <w:tcPr>
            <w:tcW w:w="1297" w:type="dxa"/>
            <w:tcBorders>
              <w:top w:val="single" w:color="000000" w:sz="4" w:space="0"/>
              <w:bottom w:val="single" w:color="000000" w:sz="4" w:space="0"/>
            </w:tcBorders>
            <w:vAlign w:val="top"/>
          </w:tcPr>
          <w:p w14:paraId="7FC507FE">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2"/>
                <w:kern w:val="0"/>
                <w:sz w:val="18"/>
                <w:szCs w:val="18"/>
                <w:lang w:val="en-US" w:eastAsia="zh-CN"/>
              </w:rPr>
            </w:pPr>
            <w:r>
              <w:rPr>
                <w:rFonts w:hint="eastAsia" w:ascii="宋体" w:hAnsi="宋体" w:eastAsia="宋体" w:cs="宋体"/>
                <w:snapToGrid w:val="0"/>
                <w:color w:val="auto"/>
                <w:spacing w:val="-2"/>
                <w:kern w:val="0"/>
                <w:sz w:val="18"/>
                <w:szCs w:val="18"/>
                <w:lang w:val="en-US" w:eastAsia="zh-CN" w:bidi="ar-SA"/>
              </w:rPr>
              <w:t>洋溪镇中心卫生院</w:t>
            </w:r>
          </w:p>
        </w:tc>
      </w:tr>
      <w:tr w14:paraId="2C791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3D39626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26</w:t>
            </w:r>
          </w:p>
        </w:tc>
        <w:tc>
          <w:tcPr>
            <w:tcW w:w="1415" w:type="dxa"/>
            <w:tcBorders>
              <w:top w:val="single" w:color="000000" w:sz="4" w:space="0"/>
              <w:bottom w:val="single" w:color="000000" w:sz="4" w:space="0"/>
            </w:tcBorders>
            <w:vAlign w:val="top"/>
          </w:tcPr>
          <w:p w14:paraId="281F04D2">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内镜清洗消毒机</w:t>
            </w:r>
          </w:p>
        </w:tc>
        <w:tc>
          <w:tcPr>
            <w:tcW w:w="6878" w:type="dxa"/>
            <w:tcBorders>
              <w:top w:val="single" w:color="000000" w:sz="4" w:space="0"/>
              <w:bottom w:val="single" w:color="000000" w:sz="4" w:space="0"/>
            </w:tcBorders>
            <w:vAlign w:val="top"/>
          </w:tcPr>
          <w:p w14:paraId="32A8E4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96A699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多步全自动循环：遵循“预洗-酶洗-清洗-高水平消毒-终末漂洗”的五步法自动化流程，全程杜绝人工干预，单次标准洗消时间通常在15至30分钟之间。</w:t>
            </w:r>
          </w:p>
          <w:p w14:paraId="599AEF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50566B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多通道同步处理：需具备≥3个独立的洗消槽或通道，以满足不同科室（如消化内镜、呼吸内镜、耳鼻喉科）或不同感染状态内镜的分区同步处理需求。</w:t>
            </w:r>
          </w:p>
          <w:p w14:paraId="081FAE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CC93AE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槽体容量与规格：消毒槽有效容积通常需≥9L（以节省消毒液消耗），且槽体及台面需采用进口ABS高分子复合材料或SUS304不锈钢，具备耐酸碱、不易氧化及低细菌附着率的特点。</w:t>
            </w:r>
          </w:p>
          <w:p w14:paraId="0E38F7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9B6FB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管腔灌注能力：需配备自动全管道灌流器接口，能够兼容不同品牌的软式内镜（如胃肠镜、支气管镜等），确保消毒液充分灌注至活检孔道、送气送水管等所有复杂管腔内。</w:t>
            </w:r>
          </w:p>
          <w:p w14:paraId="17218E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C960C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消毒剂兼容与残留控制：必须兼容戊二醛、邻苯二甲醛、过氧乙酸等国家认可的高水平液体消毒剂，且程序结束后消毒剂残留量需&lt;0.1%。</w:t>
            </w:r>
          </w:p>
          <w:p w14:paraId="522A78A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1EC84C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内置测漏与报警系统：需具备内镜自动测漏功能（支持手动/自动模式），并在消毒液不足、水压过低、水位异常或内镜泄漏时自动暂停运行并触发声光报警。</w:t>
            </w:r>
          </w:p>
          <w:p w14:paraId="63CAE67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92F247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自动化干燥系统：需配置内置空气过滤减压装置，在洗消结束后自动向管腔内喷射医用酒精并进行洁净空气吹干，防止管腔内积水滋生细菌。</w:t>
            </w:r>
          </w:p>
          <w:p w14:paraId="5BF95E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FF6DD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全流程追溯记录：微电脑系统需自动记录每台内镜的洗消次数、操作者信息、消毒剂使用时间及浓度监测数据，并支持数据导出或与医院院感追溯系统对接。</w:t>
            </w:r>
          </w:p>
          <w:p w14:paraId="74956D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65B1902B">
            <w:pPr>
              <w:widowControl/>
              <w:kinsoku w:val="0"/>
              <w:autoSpaceDE w:val="0"/>
              <w:autoSpaceDN w:val="0"/>
              <w:adjustRightInd w:val="0"/>
              <w:snapToGrid w:val="0"/>
              <w:spacing w:line="240" w:lineRule="auto"/>
              <w:jc w:val="left"/>
              <w:textAlignment w:val="baseline"/>
              <w:rPr>
                <w:rFonts w:hint="eastAsia" w:ascii="宋体" w:hAnsi="宋体" w:eastAsia="宋体" w:cs="宋体"/>
                <w:b/>
                <w:bCs/>
                <w:snapToGrid w:val="0"/>
                <w:color w:val="auto"/>
                <w:kern w:val="0"/>
                <w:sz w:val="18"/>
                <w:szCs w:val="18"/>
                <w:lang w:val="en-US" w:eastAsia="zh-CN"/>
              </w:rPr>
            </w:pPr>
          </w:p>
          <w:p w14:paraId="100BCDFC">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3215F5F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75824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88DC74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27</w:t>
            </w:r>
          </w:p>
        </w:tc>
        <w:tc>
          <w:tcPr>
            <w:tcW w:w="1415" w:type="dxa"/>
            <w:tcBorders>
              <w:top w:val="single" w:color="000000" w:sz="4" w:space="0"/>
              <w:bottom w:val="single" w:color="000000" w:sz="4" w:space="0"/>
            </w:tcBorders>
            <w:vAlign w:val="top"/>
          </w:tcPr>
          <w:p w14:paraId="6553D2AD">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6878" w:type="dxa"/>
            <w:tcBorders>
              <w:top w:val="single" w:color="000000" w:sz="4" w:space="0"/>
              <w:bottom w:val="single" w:color="000000" w:sz="4" w:space="0"/>
            </w:tcBorders>
            <w:vAlign w:val="top"/>
          </w:tcPr>
          <w:p w14:paraId="3D5EBA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一、技术特点</w:t>
            </w:r>
          </w:p>
          <w:p w14:paraId="3FCA29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1.国产自主创新品牌。</w:t>
            </w:r>
          </w:p>
          <w:p w14:paraId="2345ED4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2.适用于血液透析、单纯超滤等治疗模式。</w:t>
            </w:r>
          </w:p>
          <w:p w14:paraId="662AC2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3.采用≧15 </w:t>
            </w:r>
            <w:r>
              <w:rPr>
                <w:rFonts w:hint="eastAsia" w:ascii="宋体" w:hAnsi="宋体" w:eastAsia="宋体" w:cs="宋体"/>
                <w:snapToGrid w:val="0"/>
                <w:color w:val="auto"/>
                <w:kern w:val="0"/>
                <w:sz w:val="18"/>
                <w:szCs w:val="18"/>
                <w:lang w:val="en-US" w:eastAsia="zh-CN"/>
              </w:rPr>
              <w:t>英</w:t>
            </w:r>
            <w:r>
              <w:rPr>
                <w:rFonts w:hint="eastAsia" w:ascii="宋体" w:hAnsi="宋体" w:eastAsia="宋体" w:cs="宋体"/>
                <w:snapToGrid w:val="0"/>
                <w:color w:val="auto"/>
                <w:kern w:val="0"/>
                <w:sz w:val="18"/>
                <w:szCs w:val="18"/>
                <w:lang w:eastAsia="en-US"/>
              </w:rPr>
              <w:t>寸多角度旋转液晶触摸屏，中英文等多种语言界面。</w:t>
            </w:r>
          </w:p>
          <w:p w14:paraId="67AD81D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4.具有多种钠离子、超滤速率、</w:t>
            </w:r>
            <w:r>
              <w:rPr>
                <w:rFonts w:hint="eastAsia" w:ascii="宋体" w:hAnsi="宋体" w:eastAsia="宋体" w:cs="宋体"/>
                <w:snapToGrid w:val="0"/>
                <w:color w:val="auto"/>
                <w:kern w:val="0"/>
                <w:sz w:val="18"/>
                <w:szCs w:val="18"/>
                <w:lang w:val="en-US" w:eastAsia="zh-CN"/>
              </w:rPr>
              <w:t>碳酸氢</w:t>
            </w:r>
            <w:r>
              <w:rPr>
                <w:rFonts w:hint="eastAsia" w:ascii="宋体" w:hAnsi="宋体" w:eastAsia="宋体" w:cs="宋体"/>
                <w:snapToGrid w:val="0"/>
                <w:color w:val="auto"/>
                <w:kern w:val="0"/>
                <w:sz w:val="18"/>
                <w:szCs w:val="18"/>
                <w:lang w:eastAsia="en-US"/>
              </w:rPr>
              <w:t>盐、肝素流量、透析液流量、透析液温度等标准曲线和自设曲线功能，可为患者提供个性化治疗。</w:t>
            </w:r>
          </w:p>
          <w:p w14:paraId="55289CE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5.预设多种标准透析液配制比例，亦可自设比例，适应市面上各种品牌的透析粉或浓缩液。</w:t>
            </w:r>
          </w:p>
          <w:p w14:paraId="44B87D2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6.先进的容量平衡反馈控制系统，超滤更精确。</w:t>
            </w:r>
          </w:p>
          <w:p w14:paraId="0AF72EC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7.方便的序贯透析（透析←→单纯超滤）、高低钠序贯透析。</w:t>
            </w:r>
          </w:p>
          <w:p w14:paraId="3007F3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8.透析液配制反馈控制系统，透析液离子浓度更准确。</w:t>
            </w:r>
          </w:p>
          <w:p w14:paraId="60C2B1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.醒目的红、黄、绿三级警示灯，配合多种音乐提示和报警，兼顾安全与人性化。</w:t>
            </w:r>
          </w:p>
          <w:p w14:paraId="1D4D67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 xml:space="preserve">.内置后备电源，停电后可维持血液回路工作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0 分钟以上。</w:t>
            </w:r>
          </w:p>
          <w:p w14:paraId="0B12C69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.可使用 10mL、 20mL、 30 mL、50mL 注射器，自动检测注射器型号，完善的功能自检和报警系统，支持肝素曲线。</w:t>
            </w:r>
          </w:p>
          <w:p w14:paraId="5089DE0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.引导式操作界面，医护人员操作更加简单、快捷。</w:t>
            </w:r>
          </w:p>
          <w:p w14:paraId="5B90C9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w:t>
            </w:r>
            <w:r>
              <w:rPr>
                <w:rFonts w:hint="eastAsia" w:ascii="宋体" w:hAnsi="宋体" w:eastAsia="宋体" w:cs="宋体"/>
                <w:snapToGrid w:val="0"/>
                <w:color w:val="auto"/>
                <w:kern w:val="0"/>
                <w:sz w:val="18"/>
                <w:szCs w:val="18"/>
                <w:lang w:eastAsia="en-US"/>
              </w:rPr>
              <w:t>具有在线Kt/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实时清除率监测功能，可实时测量并图形显示Kt/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值和URR值，用于评价透析治疗的充分性。</w:t>
            </w:r>
          </w:p>
          <w:p w14:paraId="36D832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14.具有血容量监测功能，用于监测治疗过程中患者的相对血容量。</w:t>
            </w:r>
          </w:p>
          <w:p w14:paraId="08AF5D3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zh-CN"/>
              </w:rPr>
              <w:t>具有</w:t>
            </w:r>
            <w:r>
              <w:rPr>
                <w:rFonts w:hint="eastAsia" w:ascii="宋体" w:hAnsi="宋体" w:eastAsia="宋体" w:cs="宋体"/>
                <w:snapToGrid w:val="0"/>
                <w:color w:val="auto"/>
                <w:kern w:val="0"/>
                <w:sz w:val="18"/>
                <w:szCs w:val="18"/>
                <w:lang w:eastAsia="en-US"/>
              </w:rPr>
              <w:t>体外循环血液温度监测功能，用于监测治疗过程中体外循环管路内血液温度</w:t>
            </w:r>
            <w:r>
              <w:rPr>
                <w:rFonts w:hint="eastAsia" w:ascii="宋体" w:hAnsi="宋体" w:eastAsia="宋体" w:cs="宋体"/>
                <w:snapToGrid w:val="0"/>
                <w:color w:val="auto"/>
                <w:kern w:val="0"/>
                <w:sz w:val="18"/>
                <w:szCs w:val="18"/>
                <w:lang w:eastAsia="zh-CN"/>
              </w:rPr>
              <w:t>。</w:t>
            </w:r>
          </w:p>
          <w:p w14:paraId="5A1D194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二、技术参数:</w:t>
            </w:r>
          </w:p>
          <w:p w14:paraId="4B69CE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1.动脉压监测: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00mmHg，精度可达：±10 mmHg</w:t>
            </w:r>
          </w:p>
          <w:p w14:paraId="6ED4EB1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2.静脉压监测: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3DB86C3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3.跨膜压监测: -</w:t>
            </w: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68FC27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4.透析液流量：100mL/min～</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00mL/min，精度：±5％</w:t>
            </w:r>
          </w:p>
          <w:p w14:paraId="2A01CC6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5.透析液温度范围：33℃～40℃，精度±0.5℃</w:t>
            </w:r>
          </w:p>
          <w:p w14:paraId="7159B9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6.透析液电导率: 12mS/cm～18mS/cm</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 ±0.1 mS/cm</w:t>
            </w:r>
          </w:p>
          <w:p w14:paraId="0DF58B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zh-CN"/>
              </w:rPr>
              <w:t>7.置换液流量：30-600 ml/min（HDF-online）</w:t>
            </w:r>
          </w:p>
          <w:p w14:paraId="1925BC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血流量：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～600mL/min</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精度±10%</w:t>
            </w:r>
          </w:p>
          <w:p w14:paraId="414A90B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.超滤控制 超滤率：0～</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000mL/h</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精度：±30mL/h</w:t>
            </w:r>
          </w:p>
          <w:p w14:paraId="621813D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.肝素泵注入流量：0～10ml/h</w:t>
            </w:r>
          </w:p>
          <w:p w14:paraId="0471BB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.气泡检测器：可监测＞0.02 mL 的气泡，可监测累积气泡</w:t>
            </w:r>
          </w:p>
          <w:p w14:paraId="0DEC9DD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.漏血监测：可监测 ≤0.35mL/min 的漏血</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HCT32%</w:t>
            </w:r>
            <w:r>
              <w:rPr>
                <w:rFonts w:hint="eastAsia" w:ascii="宋体" w:hAnsi="宋体" w:eastAsia="宋体" w:cs="宋体"/>
                <w:snapToGrid w:val="0"/>
                <w:color w:val="auto"/>
                <w:kern w:val="0"/>
                <w:sz w:val="18"/>
                <w:szCs w:val="18"/>
                <w:lang w:eastAsia="zh-CN"/>
              </w:rPr>
              <w:t>）</w:t>
            </w:r>
          </w:p>
          <w:p w14:paraId="235616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.消毒功能：具有化学剂消毒和热消毒两种</w:t>
            </w:r>
            <w:r>
              <w:rPr>
                <w:rFonts w:hint="eastAsia" w:ascii="宋体" w:hAnsi="宋体" w:eastAsia="宋体" w:cs="宋体"/>
                <w:snapToGrid w:val="0"/>
                <w:color w:val="auto"/>
                <w:kern w:val="0"/>
                <w:sz w:val="18"/>
                <w:szCs w:val="18"/>
                <w:lang w:val="en-US" w:eastAsia="zh-CN"/>
              </w:rPr>
              <w:t>，热消毒最高温度大于93℃</w:t>
            </w:r>
          </w:p>
          <w:p w14:paraId="1E17DA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.供水条件温度：进水压 1.5～</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.0bar</w:t>
            </w:r>
            <w:r>
              <w:rPr>
                <w:rFonts w:hint="eastAsia" w:ascii="宋体" w:hAnsi="宋体" w:eastAsia="宋体" w:cs="宋体"/>
                <w:snapToGrid w:val="0"/>
                <w:color w:val="auto"/>
                <w:kern w:val="0"/>
                <w:sz w:val="18"/>
                <w:szCs w:val="18"/>
                <w:lang w:eastAsia="en-US"/>
              </w:rPr>
              <w:tab/>
            </w:r>
            <w:r>
              <w:rPr>
                <w:rFonts w:hint="eastAsia" w:ascii="宋体" w:hAnsi="宋体" w:eastAsia="宋体" w:cs="宋体"/>
                <w:snapToGrid w:val="0"/>
                <w:color w:val="auto"/>
                <w:kern w:val="0"/>
                <w:sz w:val="18"/>
                <w:szCs w:val="18"/>
                <w:lang w:eastAsia="en-US"/>
              </w:rPr>
              <w:t>进水温度 5～3</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w:t>
            </w:r>
          </w:p>
          <w:p w14:paraId="54CFF8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.所投设备型号首次取得注册证时间在2018年以前。</w:t>
            </w:r>
          </w:p>
          <w:p w14:paraId="39D180B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（三）其他</w:t>
            </w:r>
          </w:p>
          <w:p w14:paraId="55F436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1.质保期不少于</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年，质保期内全免费维修和更换零配件。</w:t>
            </w:r>
          </w:p>
          <w:p w14:paraId="5DA264C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2.提供良好的售后服务支持，能及时快捷的提供维修服务，接到电话半小时内响应，24小时内到达现场。</w:t>
            </w:r>
          </w:p>
          <w:p w14:paraId="22347C1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17D27242">
            <w:pPr>
              <w:widowControl/>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49DB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8FF792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28</w:t>
            </w:r>
          </w:p>
        </w:tc>
        <w:tc>
          <w:tcPr>
            <w:tcW w:w="1415" w:type="dxa"/>
            <w:tcBorders>
              <w:top w:val="single" w:color="000000" w:sz="4" w:space="0"/>
              <w:bottom w:val="single" w:color="000000" w:sz="4" w:space="0"/>
            </w:tcBorders>
            <w:vAlign w:val="top"/>
          </w:tcPr>
          <w:p w14:paraId="0F278785">
            <w:pPr>
              <w:kinsoku w:val="0"/>
              <w:autoSpaceDE w:val="0"/>
              <w:autoSpaceDN w:val="0"/>
              <w:adjustRightInd w:val="0"/>
              <w:snapToGrid w:val="0"/>
              <w:spacing w:before="13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牙床</w:t>
            </w:r>
          </w:p>
        </w:tc>
        <w:tc>
          <w:tcPr>
            <w:tcW w:w="6878" w:type="dxa"/>
            <w:tcBorders>
              <w:top w:val="single" w:color="000000" w:sz="4" w:space="0"/>
              <w:bottom w:val="single" w:color="000000" w:sz="4" w:space="0"/>
            </w:tcBorders>
            <w:vAlign w:val="top"/>
          </w:tcPr>
          <w:p w14:paraId="2D295CF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1 基本参数</w:t>
            </w:r>
          </w:p>
          <w:p w14:paraId="2811CBE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1、环境 5℃—40℃，相对湿度≤80% </w:t>
            </w:r>
          </w:p>
          <w:p w14:paraId="549F39C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2、电源：交流 220V 50HZ </w:t>
            </w:r>
          </w:p>
          <w:p w14:paraId="150791C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3、气源气压：0.5MPa—0.8 MPa 流量小于 50L/min </w:t>
            </w:r>
          </w:p>
          <w:p w14:paraId="23D7C3E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4、水源水压：0.2MPa—0.4 MPa 流量小于 10L/min </w:t>
            </w:r>
          </w:p>
          <w:p w14:paraId="14EDDB4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5、输入功率：1200VA </w:t>
            </w:r>
          </w:p>
          <w:p w14:paraId="586F447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6、熔断丝规格：5x20 </w:t>
            </w:r>
          </w:p>
          <w:p w14:paraId="6C4EE61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7、口腔冷光灯灯泡：a.c.24V/7VA ；口腔灯：光斑在相距灯面 800mm 处，照度 </w:t>
            </w:r>
          </w:p>
          <w:p w14:paraId="0A365B0E">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调节范围为 8000Lux～26000Lux，照明区域温升≤5℃，口腔灯转动范围≥120 </w:t>
            </w:r>
          </w:p>
          <w:p w14:paraId="179CC64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8、观片灯：照度≥6000 Lux </w:t>
            </w:r>
          </w:p>
          <w:p w14:paraId="6E5E059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9、热水器：DC24V/80VA </w:t>
            </w:r>
          </w:p>
          <w:p w14:paraId="6E06A7E0">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10、直流电机：d.c.24V/80VA </w:t>
            </w:r>
          </w:p>
          <w:p w14:paraId="7CE7B27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11、靠背后倾角度范围：120mm </w:t>
            </w:r>
          </w:p>
          <w:p w14:paraId="600CD8A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12、坐垫后倾最大角度：≥10° </w:t>
            </w:r>
          </w:p>
          <w:p w14:paraId="6F34B73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13、牙科椅在承受 135kg </w:t>
            </w:r>
          </w:p>
          <w:p w14:paraId="3A2416A8">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14、整机噪音≤70db（A）（空气压缩机除外） </w:t>
            </w:r>
          </w:p>
          <w:p w14:paraId="235B5BD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15、最低椅位≧510mm，最高椅位≧830mm </w:t>
            </w:r>
          </w:p>
          <w:p w14:paraId="268E40A1">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16、扶手能承受 335N 垂直向下压的力，并能承受 220N 水平拉力 </w:t>
            </w:r>
          </w:p>
          <w:p w14:paraId="7C16D1CE">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17、器械盘：垂直移动范围应≥350mm，盘面偏斜度≤3° </w:t>
            </w:r>
          </w:p>
          <w:p w14:paraId="7F4D481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二、标准配置清单： </w:t>
            </w:r>
          </w:p>
          <w:p w14:paraId="0DB6EC9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1.防交叉感染卫生设计 </w:t>
            </w:r>
          </w:p>
          <w:p w14:paraId="4238D47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2.可旋转助手架，利于“四手”操作 </w:t>
            </w:r>
          </w:p>
          <w:p w14:paraId="75BEB43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3.超低椅位设计，方便患者上下 </w:t>
            </w:r>
          </w:p>
          <w:p w14:paraId="449067B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4.优质三用枪 2 支 </w:t>
            </w:r>
          </w:p>
          <w:p w14:paraId="4F331DF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5.控制系统：USB 一体式电脑控制操作系统，电脑控制板含复位，椅位升降，俯 </w:t>
            </w:r>
          </w:p>
          <w:p w14:paraId="5E90A4F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仰，冷光灯，冲痰盂，供水，加热等功能操作键.按键式控制面板。 </w:t>
            </w:r>
          </w:p>
          <w:p w14:paraId="28E752F1">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6.器械盘：大型注塑器械盘， </w:t>
            </w:r>
          </w:p>
          <w:p w14:paraId="5DC1558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7.冲痰盂，漱口定量自动给水控制系统 1 套，配有可自动加热恒温系统 </w:t>
            </w:r>
          </w:p>
          <w:p w14:paraId="67F39E38">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8.强弱吸唾系统各一套，外置式集污杯可方便拆洗 </w:t>
            </w:r>
          </w:p>
          <w:p w14:paraId="716B2B9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9.可调 LED 口腔冷光灯的一套 </w:t>
            </w:r>
          </w:p>
          <w:p w14:paraId="27D5DDC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10.24V 低电压控制漱口水装置及低压观片灯各一套 </w:t>
            </w:r>
          </w:p>
          <w:p w14:paraId="0E30320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11.可旋转 90 度陶瓷痰盂一套 </w:t>
            </w:r>
          </w:p>
          <w:p w14:paraId="6BF2EE40">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12.外置式手机净水系统一套 </w:t>
            </w:r>
          </w:p>
          <w:p w14:paraId="5DD90486">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13.气压锁定器械臂一套 </w:t>
            </w:r>
          </w:p>
          <w:p w14:paraId="07E81096">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14.多功能组合脚踏开关一套，可控制手机，牙椅 </w:t>
            </w:r>
          </w:p>
          <w:p w14:paraId="5C0D8B2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15.动力系统采用直流静音电机 </w:t>
            </w:r>
          </w:p>
          <w:p w14:paraId="14E60C0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16.具备清洗过滤网功能，有沉渣过滤功能 </w:t>
            </w:r>
          </w:p>
          <w:p w14:paraId="3ABE3E8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17.牙椅结构为电脑不联动式，头枕可折叠并任意调节和销定，二段式头枕，适合成人和儿童使用，PU 无缝椅垫，与机身靠背随时拆卸，清洗，更换，牙科椅 </w:t>
            </w:r>
          </w:p>
          <w:p w14:paraId="5A5B797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为双扶手 </w:t>
            </w:r>
          </w:p>
          <w:p w14:paraId="00F11D3C">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18.G 型转椅一张 </w:t>
            </w:r>
          </w:p>
          <w:p w14:paraId="63D2F7D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19.进口电磁阀 </w:t>
            </w:r>
          </w:p>
          <w:p w14:paraId="003EB9BE">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20.侧箱可旋转 45 度</w:t>
            </w:r>
          </w:p>
          <w:p w14:paraId="6294DBC6">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bidi="ar"/>
              </w:rPr>
              <w:t>21.</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1EA1E229">
            <w:pPr>
              <w:widowControl/>
              <w:kinsoku w:val="0"/>
              <w:autoSpaceDE w:val="0"/>
              <w:autoSpaceDN w:val="0"/>
              <w:adjustRightInd w:val="0"/>
              <w:snapToGrid w:val="0"/>
              <w:spacing w:before="130"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田坪镇中心卫生院</w:t>
            </w:r>
          </w:p>
        </w:tc>
      </w:tr>
      <w:tr w14:paraId="7B8A7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19FBD26">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29</w:t>
            </w:r>
          </w:p>
        </w:tc>
        <w:tc>
          <w:tcPr>
            <w:tcW w:w="1415" w:type="dxa"/>
            <w:tcBorders>
              <w:top w:val="single" w:color="000000" w:sz="4" w:space="0"/>
              <w:bottom w:val="single" w:color="000000" w:sz="4" w:space="0"/>
            </w:tcBorders>
            <w:vAlign w:val="top"/>
          </w:tcPr>
          <w:p w14:paraId="1FBE8FE2">
            <w:pPr>
              <w:kinsoku w:val="0"/>
              <w:autoSpaceDE w:val="0"/>
              <w:autoSpaceDN w:val="0"/>
              <w:adjustRightInd w:val="0"/>
              <w:snapToGrid w:val="0"/>
              <w:spacing w:before="129" w:line="220"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冲击波</w:t>
            </w:r>
            <w:r>
              <w:rPr>
                <w:rFonts w:hint="eastAsia" w:ascii="宋体" w:hAnsi="宋体" w:eastAsia="宋体" w:cs="宋体"/>
                <w:snapToGrid w:val="0"/>
                <w:color w:val="auto"/>
                <w:spacing w:val="-2"/>
                <w:kern w:val="0"/>
                <w:sz w:val="18"/>
                <w:szCs w:val="18"/>
                <w:lang w:val="en-US" w:eastAsia="zh-CN" w:bidi="ar-SA"/>
              </w:rPr>
              <w:t>治疗仪</w:t>
            </w:r>
          </w:p>
        </w:tc>
        <w:tc>
          <w:tcPr>
            <w:tcW w:w="6878" w:type="dxa"/>
            <w:tcBorders>
              <w:top w:val="single" w:color="000000" w:sz="4" w:space="0"/>
              <w:bottom w:val="single" w:color="000000" w:sz="4" w:space="0"/>
            </w:tcBorders>
            <w:vAlign w:val="top"/>
          </w:tcPr>
          <w:p w14:paraId="1F3A947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一、冲击波源类型</w:t>
            </w:r>
          </w:p>
          <w:p w14:paraId="4D403E6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冲击波治疗仪：</w:t>
            </w:r>
          </w:p>
          <w:p w14:paraId="3E81E2B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气压弹道式（发散式） 压缩空气驱动子弹撞击治疗头 浅表软组织、筋膜炎、肌肉劳损等 穿透浅、作用范围广、临床最常用</w:t>
            </w:r>
          </w:p>
          <w:p w14:paraId="7CD9DD2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二、核心参数详细对照</w:t>
            </w:r>
          </w:p>
          <w:p w14:paraId="56D2933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气压弹道式（发散式）冲击波参数</w:t>
            </w:r>
          </w:p>
          <w:p w14:paraId="5F85A02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典型数据来源</w:t>
            </w:r>
          </w:p>
          <w:p w14:paraId="362388E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工作压力 1-4Bar或1-5.5Bar，调节步进值0.1Bar </w:t>
            </w:r>
          </w:p>
          <w:p w14:paraId="2026DB8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频率调节范围 1-22Hz或1-25Hz，调节步进值0.5-1Hz</w:t>
            </w:r>
          </w:p>
          <w:p w14:paraId="74F1763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三、通用功能参数</w:t>
            </w:r>
          </w:p>
          <w:p w14:paraId="2E69C8B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1. 操控系统</w:t>
            </w:r>
          </w:p>
          <w:p w14:paraId="68891A5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5B5BD8B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显示屏 ≥10.1英寸至12.1英寸彩色触摸屏 </w:t>
            </w:r>
          </w:p>
          <w:p w14:paraId="1A7CAF00">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疼痛评估 内置VAS疼痛评估模式（动态、静态、睡眠、面部表情） </w:t>
            </w:r>
          </w:p>
          <w:p w14:paraId="3D0256CF">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rPr>
              <w:t>2.</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0B507191">
            <w:pPr>
              <w:widowControl/>
              <w:kinsoku w:val="0"/>
              <w:autoSpaceDE w:val="0"/>
              <w:autoSpaceDN w:val="0"/>
              <w:adjustRightInd w:val="0"/>
              <w:snapToGrid w:val="0"/>
              <w:spacing w:before="129" w:line="220"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田坪镇中心卫生院</w:t>
            </w:r>
          </w:p>
        </w:tc>
      </w:tr>
      <w:tr w14:paraId="2E0AC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68AA3A3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30</w:t>
            </w:r>
          </w:p>
        </w:tc>
        <w:tc>
          <w:tcPr>
            <w:tcW w:w="1415" w:type="dxa"/>
            <w:tcBorders>
              <w:top w:val="single" w:color="000000" w:sz="4" w:space="0"/>
              <w:bottom w:val="single" w:color="000000" w:sz="4" w:space="0"/>
            </w:tcBorders>
            <w:vAlign w:val="top"/>
          </w:tcPr>
          <w:p w14:paraId="7CE257AD">
            <w:pPr>
              <w:kinsoku w:val="0"/>
              <w:autoSpaceDE w:val="0"/>
              <w:autoSpaceDN w:val="0"/>
              <w:adjustRightInd w:val="0"/>
              <w:snapToGrid w:val="0"/>
              <w:spacing w:before="125" w:line="219" w:lineRule="auto"/>
              <w:ind w:left="2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6878" w:type="dxa"/>
            <w:tcBorders>
              <w:top w:val="single" w:color="000000" w:sz="4" w:space="0"/>
              <w:bottom w:val="single" w:color="000000" w:sz="4" w:space="0"/>
            </w:tcBorders>
            <w:vAlign w:val="top"/>
          </w:tcPr>
          <w:p w14:paraId="770D4FA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 12 导心电波形能打印于卷纸和折叠的热敏纸；</w:t>
            </w:r>
          </w:p>
          <w:p w14:paraId="375FA37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起搏器采样率：不低于 16,000Hz；</w:t>
            </w:r>
          </w:p>
          <w:p w14:paraId="4026C04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 无需选择灵敏度，自动检测起搏器工作状态；</w:t>
            </w:r>
          </w:p>
          <w:p w14:paraId="40D16DE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 电压分辨率：不低于 1uV；</w:t>
            </w:r>
          </w:p>
          <w:p w14:paraId="5950A8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 模数转换：不低于 24 位；</w:t>
            </w:r>
          </w:p>
          <w:p w14:paraId="4838DEF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 Glasgow 大学静息心电算法，适用于所有年龄段的人群；</w:t>
            </w:r>
          </w:p>
          <w:p w14:paraId="04CC0CF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 开机出波形时间不超过 5 秒；</w:t>
            </w:r>
          </w:p>
          <w:p w14:paraId="7F15EF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 内置存储容量不低于 800 份；</w:t>
            </w:r>
          </w:p>
          <w:p w14:paraId="7B102D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 电池单次充电至少可供打印 500 份报告；</w:t>
            </w:r>
          </w:p>
          <w:p w14:paraId="575DA2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 屏幕可预览完整的心电图报告；</w:t>
            </w:r>
          </w:p>
          <w:p w14:paraId="3214C5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 更改患者信息后，可自动再分析心电波形，并作出新的诊断；</w:t>
            </w:r>
          </w:p>
          <w:p w14:paraId="10DBE0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 可以 USB 线连接外置打印机，将报告打印于 A4 纸；</w:t>
            </w:r>
          </w:p>
          <w:p w14:paraId="24E02C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 可支持条形码扫描枪接收患者；</w:t>
            </w:r>
          </w:p>
          <w:p w14:paraId="6C4C110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 U 盘可存储并转移 PDF 或 XML 格式的报告；</w:t>
            </w:r>
          </w:p>
          <w:p w14:paraId="003BF8F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 支持无线或有线方式传输 PDF 或 XML 格式的报告；</w:t>
            </w:r>
          </w:p>
          <w:p w14:paraId="7C2D36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 波形增益：2.5, 5, 10, 20, L=10 C=5, L=20 C=10 mm/mV, 自动；</w:t>
            </w:r>
          </w:p>
          <w:p w14:paraId="3C40E36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 记录仪分辨率：水平 40 dots/mm @ 25mm/s, 垂直 8 dots/mm；</w:t>
            </w:r>
          </w:p>
          <w:p w14:paraId="51B1DA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 心电放大器：直流耦合</w:t>
            </w:r>
          </w:p>
          <w:p w14:paraId="462266A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w:t>
            </w:r>
            <w:r>
              <w:rPr>
                <w:rFonts w:hint="eastAsia" w:ascii="宋体" w:hAnsi="宋体" w:eastAsia="宋体" w:cs="宋体"/>
                <w:snapToGrid w:val="0"/>
                <w:color w:val="auto"/>
                <w:kern w:val="0"/>
                <w:sz w:val="18"/>
                <w:szCs w:val="18"/>
                <w:lang w:eastAsia="en-US"/>
              </w:rPr>
              <w:t>国产自主创新品牌。</w:t>
            </w:r>
          </w:p>
          <w:p w14:paraId="1223630E">
            <w:pPr>
              <w:widowControl/>
              <w:kinsoku w:val="0"/>
              <w:autoSpaceDE w:val="0"/>
              <w:autoSpaceDN w:val="0"/>
              <w:adjustRightInd w:val="0"/>
              <w:snapToGrid w:val="0"/>
              <w:spacing w:before="125" w:line="219" w:lineRule="auto"/>
              <w:ind w:left="23"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154DBED4">
            <w:pPr>
              <w:widowControl/>
              <w:kinsoku w:val="0"/>
              <w:autoSpaceDE w:val="0"/>
              <w:autoSpaceDN w:val="0"/>
              <w:adjustRightInd w:val="0"/>
              <w:snapToGrid w:val="0"/>
              <w:spacing w:before="125" w:line="219" w:lineRule="auto"/>
              <w:ind w:left="23"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1CDCA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3866041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31</w:t>
            </w:r>
          </w:p>
        </w:tc>
        <w:tc>
          <w:tcPr>
            <w:tcW w:w="1415" w:type="dxa"/>
            <w:tcBorders>
              <w:top w:val="single" w:color="000000" w:sz="4" w:space="0"/>
              <w:bottom w:val="single" w:color="000000" w:sz="4" w:space="0"/>
            </w:tcBorders>
            <w:vAlign w:val="top"/>
          </w:tcPr>
          <w:p w14:paraId="5627CD6F">
            <w:pPr>
              <w:kinsoku w:val="0"/>
              <w:autoSpaceDE w:val="0"/>
              <w:autoSpaceDN w:val="0"/>
              <w:adjustRightInd w:val="0"/>
              <w:snapToGrid w:val="0"/>
              <w:spacing w:before="121" w:line="220"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动态心电图</w:t>
            </w:r>
          </w:p>
        </w:tc>
        <w:tc>
          <w:tcPr>
            <w:tcW w:w="6878" w:type="dxa"/>
            <w:tcBorders>
              <w:top w:val="single" w:color="000000" w:sz="4" w:space="0"/>
              <w:bottom w:val="single" w:color="000000" w:sz="4" w:space="0"/>
            </w:tcBorders>
            <w:vAlign w:val="top"/>
          </w:tcPr>
          <w:p w14:paraId="5938FB35">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导联与频率响应：标配3导联，频率响应通常为0.05~60Hz，以覆盖常规心电信号。</w:t>
            </w:r>
          </w:p>
          <w:p w14:paraId="1E93316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96AABF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采样与存储性能：采样频率通常需≥10000Hz（心电存储频率128~512Hz可调），内置大容量存储介质，且重上电后数据不丢失，支持中断后连续记录。</w:t>
            </w:r>
          </w:p>
          <w:p w14:paraId="5E38BBF2">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54586B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抗干扰与输入范围：共模抑制比需&gt;100dB，动态输入范围通常≥10mV，耐极化电压≥±300mV，确保在患者日常活动及肌电干扰下仍能准确捕捉心电信号。</w:t>
            </w:r>
          </w:p>
          <w:p w14:paraId="69007001">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F8E2240">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便携性与续航：记录仪重量通常&lt;85g，内置电池需支持3导联连续记录≥7天或12导联≥3天，且具备导联脱落及低电量声光警示功能。</w:t>
            </w:r>
          </w:p>
          <w:p w14:paraId="3ABC44A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E5B497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自动分析准确率：心律失常自动分析准确率需≥99.9%，房颤分析准确率≥98%。</w:t>
            </w:r>
          </w:p>
          <w:p w14:paraId="2A526EBB">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C5C8BC6">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高级分析工具：需具备全程自动跟踪编辑、心搏模板叠加分类、ST段动态扫描分析功能，以及支持房颤、长间歇事件统计的散点图（Poincaré图）技术。</w:t>
            </w:r>
          </w:p>
          <w:p w14:paraId="287FD47E">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CF23C1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起搏器信号检测：需具备多通道同步起搏器信号检测技术，能识别微小的起搏脉冲（如1mV/0.1ms），并生成独立起搏直方图。临床功能与系统扩展</w:t>
            </w:r>
          </w:p>
          <w:p w14:paraId="2367365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5E4BD5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事件标记与交互：记录仪需配备事件按钮，方便患者在突发不适时标记时间点，软件端支持双屏联动显示与快速人工修正。</w:t>
            </w:r>
          </w:p>
          <w:p w14:paraId="7DDEB86E">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7E0D5AE">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数据互联与闭环：支持危急值自动检测与上报闭环管理，部分高端系统支持与院内HIS系统对接，实现数据全院共享及电子签章安全认证。</w:t>
            </w:r>
          </w:p>
          <w:p w14:paraId="6D6E2114">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b w:val="0"/>
                <w:i w:val="0"/>
                <w:iCs w:val="0"/>
                <w:snapToGrid w:val="0"/>
                <w:color w:val="auto"/>
                <w:kern w:val="0"/>
                <w:sz w:val="18"/>
                <w:szCs w:val="18"/>
                <w:u w:val="none"/>
                <w:lang w:val="en-US" w:eastAsia="zh-CN" w:bidi="ar"/>
              </w:rPr>
            </w:pPr>
            <w:r>
              <w:rPr>
                <w:rFonts w:hint="eastAsia" w:ascii="宋体" w:hAnsi="宋体" w:eastAsia="宋体" w:cs="宋体"/>
                <w:snapToGrid w:val="0"/>
                <w:color w:val="auto"/>
                <w:kern w:val="0"/>
                <w:sz w:val="18"/>
                <w:szCs w:val="18"/>
                <w:lang w:eastAsia="en-US"/>
              </w:rPr>
              <w:t>国产自主创新品牌。</w:t>
            </w:r>
          </w:p>
          <w:p w14:paraId="5FE1C716">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A65751B">
            <w:pPr>
              <w:kinsoku w:val="0"/>
              <w:autoSpaceDE w:val="0"/>
              <w:autoSpaceDN w:val="0"/>
              <w:adjustRightInd w:val="0"/>
              <w:snapToGrid w:val="0"/>
              <w:spacing w:before="121" w:line="220" w:lineRule="auto"/>
              <w:ind w:left="17"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9BCD718">
            <w:pPr>
              <w:widowControl/>
              <w:kinsoku w:val="0"/>
              <w:autoSpaceDE w:val="0"/>
              <w:autoSpaceDN w:val="0"/>
              <w:adjustRightInd w:val="0"/>
              <w:snapToGrid w:val="0"/>
              <w:spacing w:before="121" w:line="220"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63464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655065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32</w:t>
            </w:r>
          </w:p>
        </w:tc>
        <w:tc>
          <w:tcPr>
            <w:tcW w:w="1415" w:type="dxa"/>
            <w:tcBorders>
              <w:top w:val="single" w:color="000000" w:sz="4" w:space="0"/>
              <w:bottom w:val="single" w:color="000000" w:sz="4" w:space="0"/>
            </w:tcBorders>
            <w:vAlign w:val="top"/>
          </w:tcPr>
          <w:p w14:paraId="4AEB8D88">
            <w:pPr>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6878" w:type="dxa"/>
            <w:tcBorders>
              <w:top w:val="single" w:color="000000" w:sz="4" w:space="0"/>
              <w:bottom w:val="single" w:color="000000" w:sz="4" w:space="0"/>
            </w:tcBorders>
            <w:vAlign w:val="top"/>
          </w:tcPr>
          <w:p w14:paraId="096974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1.≥10.1英寸彩色电容触摸屏，分辨率≥1280*800，≥8通道波形显示。</w:t>
            </w:r>
          </w:p>
          <w:p w14:paraId="1B04F6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2.显示屏采用宽视角技术，支持170度可视范围。</w:t>
            </w:r>
          </w:p>
          <w:p w14:paraId="03B23C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3.监护仪设计使用年限≥10年。</w:t>
            </w:r>
          </w:p>
          <w:p w14:paraId="40E5813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4.支持升级2.4G/5G无线WiFi，方便无线联网。</w:t>
            </w:r>
          </w:p>
          <w:p w14:paraId="67BC66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5.至少支持室上性心动过速、PVCs/min、SVCs/min等室上性心律失常分析，标配支持≥27种实时心律失常分析。（提供厂家公开发行的彩页或说明书或有资质的第三方检测机构出具的检验/检测报告）</w:t>
            </w:r>
          </w:p>
          <w:p w14:paraId="5EBBB06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6.心电支持≥4个分析导联实时动态同步分析，并非多个导联波形同屏显示及12导联静息分析。</w:t>
            </w:r>
          </w:p>
          <w:p w14:paraId="17A7E7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7.提供SpO2,PR和PI参数的实时监测，适用于成人，小儿和新生儿。来自SpO2的PR测量范围：20-300。</w:t>
            </w:r>
          </w:p>
          <w:p w14:paraId="0538A51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8.提供手动，自动，连续、序列和整点5种测量模式，提供24小时血压统计结果。</w:t>
            </w:r>
          </w:p>
          <w:p w14:paraId="6D03F3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9.提供呼吸测量，适用于成人、小儿和新生儿。呼吸测量范围：1-200rpm。</w:t>
            </w:r>
          </w:p>
          <w:p w14:paraId="7F8B94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10.配置无创血压测量，适用于成人，小儿和新生儿。无创血压测量范围：收缩压25～290mmHg。</w:t>
            </w:r>
          </w:p>
          <w:p w14:paraId="43167F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11.提供双通道体温和温差参数的监测,并可根据需要更改体温通道标名。</w:t>
            </w:r>
          </w:p>
          <w:p w14:paraId="5D6DB38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12.支持≥1000组NIBP测量结果。</w:t>
            </w:r>
          </w:p>
          <w:p w14:paraId="7B1A48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13.具有图形化技术报警指示功能，帮助医护团队快速识别报警来源</w:t>
            </w:r>
          </w:p>
          <w:p w14:paraId="1B8468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14.支持RJ45接口进行有线网络通信，和除颤监护仪一起联网通信到中心监护系统。（提供厂家公开发行的彩页或说明书或有资质的第三方检测机构出具的检验/检测报告）</w:t>
            </w:r>
          </w:p>
          <w:p w14:paraId="262369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15.监护仪主机工作温度环境范围：0～40℃，可选配有创血压监测。</w:t>
            </w:r>
          </w:p>
          <w:p w14:paraId="6DC41C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主机防水等级≥IPX1，整机抗跌落设计通过0.75米6面跌落测试。配备指套式血氧探头，≥IPX7防水等级，支持液体浸泡消毒和清洁，监护仪清洁消毒维护支持的消毒剂≥40种。（提供厂家公开发行的彩页或说明书或有资质的第三方检测机构出具的检验/检测报告）</w:t>
            </w:r>
          </w:p>
          <w:p w14:paraId="49956BB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支持格拉斯哥昏迷评分（GCS）功能，可升级临床评分系统，包括MEWS（改良早期预警评分）、NEWS（英国早期预警评分系统）、NEWS2（英国早期预警评分系统2），可支持定时自动EWS评分功能，支持动态刷新EWS和EWS报警。</w:t>
            </w:r>
          </w:p>
          <w:p w14:paraId="276598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心电监护支持心率，ST段测量，心律失常分析，QT/QTc连续实时测量和对应报警功能，支持成人、小儿、新生儿患者，QT和QTc实时监测参数测量范围：200～800ms。心电支持≥3个分析导联实时动态同步分析，支持升级提供过去24小时心电概览报告查看与打印，包括心率统计结果，心律失常统计结果，ST统计和QT/QTc统计结果。</w:t>
            </w:r>
          </w:p>
          <w:p w14:paraId="6AE9B1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19.支持监护仪进入夜间模式，演示模式和待机模式，可选隐私模式。提供计时器功能，界面区提供设置≥4个计时器，每个计时器支持独立设置和计时功能，计时方向包括正计时和倒计时两种选择。</w:t>
            </w:r>
          </w:p>
          <w:p w14:paraId="1484ECF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20.标准配置：3/5导心电，呼吸，无创血压，血氧饱和度，脉搏，以上参数适用于成人、小儿、新生儿患者。</w:t>
            </w:r>
          </w:p>
          <w:p w14:paraId="674E0F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21、网络接口可连接 LIS/HIS 等数据管理系统；</w:t>
            </w:r>
          </w:p>
          <w:p w14:paraId="7B8F33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5E0503FC">
            <w:pPr>
              <w:widowControl/>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w:t>
            </w:r>
          </w:p>
        </w:tc>
      </w:tr>
      <w:tr w14:paraId="6DD9E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687FE93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33</w:t>
            </w:r>
          </w:p>
        </w:tc>
        <w:tc>
          <w:tcPr>
            <w:tcW w:w="1415" w:type="dxa"/>
            <w:tcBorders>
              <w:top w:val="single" w:color="000000" w:sz="4" w:space="0"/>
              <w:bottom w:val="single" w:color="000000" w:sz="4" w:space="0"/>
            </w:tcBorders>
            <w:vAlign w:val="top"/>
          </w:tcPr>
          <w:p w14:paraId="1F164CB9">
            <w:pPr>
              <w:kinsoku w:val="0"/>
              <w:autoSpaceDE w:val="0"/>
              <w:autoSpaceDN w:val="0"/>
              <w:adjustRightInd w:val="0"/>
              <w:snapToGrid w:val="0"/>
              <w:spacing w:before="126"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6878" w:type="dxa"/>
            <w:tcBorders>
              <w:top w:val="single" w:color="000000" w:sz="4" w:space="0"/>
              <w:bottom w:val="single" w:color="000000" w:sz="4" w:space="0"/>
            </w:tcBorders>
            <w:vAlign w:val="top"/>
          </w:tcPr>
          <w:p w14:paraId="5CD0D0D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1、灯珠数量：≥48颗；</w:t>
            </w:r>
          </w:p>
          <w:p w14:paraId="527986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2、照度（相距1M处LUX)：40000-160000；</w:t>
            </w:r>
          </w:p>
          <w:p w14:paraId="7A2BEA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3、色温（K）：3000-5500；</w:t>
            </w:r>
          </w:p>
          <w:p w14:paraId="4DE80C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4、光斑直径（mm）：100—300；</w:t>
            </w:r>
          </w:p>
          <w:p w14:paraId="4AF19F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5、照明深度（mm）：≥1200；</w:t>
            </w:r>
          </w:p>
          <w:p w14:paraId="37CF143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6、亮度调节：1-100；</w:t>
            </w:r>
          </w:p>
          <w:p w14:paraId="56A6F2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7、演色性指数CRI：≥97%；</w:t>
            </w:r>
          </w:p>
          <w:p w14:paraId="4795FB4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8、色彩还原指数Ra：≥97%；</w:t>
            </w:r>
          </w:p>
          <w:p w14:paraId="0EC92C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9、术者头部温升（℃）：≤1；</w:t>
            </w:r>
          </w:p>
          <w:p w14:paraId="20829D1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10、术野工作区域温升（℃）：≤2；</w:t>
            </w:r>
          </w:p>
          <w:p w14:paraId="582701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11、操作半径（mm）：≥2200；</w:t>
            </w:r>
          </w:p>
          <w:p w14:paraId="799B16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12、工作半径（mm）：600—1800；</w:t>
            </w:r>
          </w:p>
          <w:p w14:paraId="530E83A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13、电源电压：100-240VAC ，50/60HZ；</w:t>
            </w:r>
          </w:p>
          <w:p w14:paraId="13ACCC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14、输入功率：≥400VA；</w:t>
            </w:r>
          </w:p>
          <w:p w14:paraId="33D2432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15、灯泡平均寿命（h）：≥60000；</w:t>
            </w:r>
          </w:p>
          <w:p w14:paraId="4D64FD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16、灯泡功率：≥3W/3V；</w:t>
            </w:r>
          </w:p>
          <w:p w14:paraId="06D0938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17、最佳安装高度（mm）：2800—3000。</w:t>
            </w:r>
          </w:p>
          <w:p w14:paraId="06CAF3B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470BC780">
            <w:pPr>
              <w:widowControl/>
              <w:kinsoku w:val="0"/>
              <w:autoSpaceDE w:val="0"/>
              <w:autoSpaceDN w:val="0"/>
              <w:adjustRightInd w:val="0"/>
              <w:snapToGrid w:val="0"/>
              <w:spacing w:before="126" w:line="219" w:lineRule="auto"/>
              <w:ind w:left="1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洋溪镇中心卫生院，圳上镇中心卫生院</w:t>
            </w:r>
          </w:p>
        </w:tc>
      </w:tr>
      <w:tr w14:paraId="65EA7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5BC8E0B5">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34</w:t>
            </w:r>
          </w:p>
        </w:tc>
        <w:tc>
          <w:tcPr>
            <w:tcW w:w="1415" w:type="dxa"/>
            <w:tcBorders>
              <w:top w:val="single" w:color="000000" w:sz="4" w:space="0"/>
              <w:bottom w:val="single" w:color="000000" w:sz="4" w:space="0"/>
            </w:tcBorders>
            <w:vAlign w:val="top"/>
          </w:tcPr>
          <w:p w14:paraId="25AC4E14">
            <w:pPr>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6878" w:type="dxa"/>
            <w:tcBorders>
              <w:top w:val="single" w:color="000000" w:sz="4" w:space="0"/>
              <w:bottom w:val="single" w:color="000000" w:sz="4" w:space="0"/>
            </w:tcBorders>
            <w:vAlign w:val="top"/>
          </w:tcPr>
          <w:p w14:paraId="75ED6C5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国产自主创新品牌。</w:t>
            </w:r>
          </w:p>
          <w:p w14:paraId="57E1255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用途：用于推动注射器进行液体精确匀速注射</w:t>
            </w:r>
          </w:p>
          <w:p w14:paraId="7FC008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一般规格和要求：</w:t>
            </w:r>
          </w:p>
          <w:p w14:paraId="7FC978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3.1 I 类 CF 型设备，注射泵的进液防护等级≧IP44；</w:t>
            </w:r>
          </w:p>
          <w:p w14:paraId="7803E3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 PBT+PC 外壳材质，抗氧化耐腐蚀，可使用多种消毒液擦拭消毒；</w:t>
            </w:r>
          </w:p>
          <w:p w14:paraId="717559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 双通道注射泵采用整体同屏设计，两个通道的旋转压柄和推拉盒采用不同颜色设计，与各自通道的操作界面颜色一致，避免误操作；</w:t>
            </w:r>
          </w:p>
          <w:p w14:paraId="7EA507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3.4 双道注射泵外观：230.5（W)*129.5(H)*189(D)（单位：mm）</w:t>
            </w:r>
          </w:p>
          <w:p w14:paraId="46E1449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3.5 双道注射泵整机重量≤2.5kg</w:t>
            </w:r>
          </w:p>
          <w:p w14:paraId="6782685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注射泵的主要技术和性能要求：</w:t>
            </w:r>
          </w:p>
          <w:p w14:paraId="118D04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 安全要求：</w:t>
            </w:r>
          </w:p>
          <w:p w14:paraId="2D80A84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4.1.1 采用双 CPU 设计；</w:t>
            </w:r>
          </w:p>
          <w:p w14:paraId="45B7F7C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4.1.2 双道注射泵具有一体化隐藏式提手和固定夹，无需外接配件，便于移动、转运和保管；（提供图片）</w:t>
            </w:r>
          </w:p>
          <w:p w14:paraId="6C3196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4.1.3 能够动态监测在线注射压力，图标和数字显示实时注射压力值和报警等级;</w:t>
            </w:r>
          </w:p>
          <w:p w14:paraId="3E35726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4.1.4 阻塞报警等级 4 档可调，分别为（150、300、600、900）mmHg；【选配软件可增加 50mmHg 压力档，50mmHg（±40mmHg）；150mmHg（±125mmHg）；300mmHg（±125mmHg）；600mmHg（±125mmHg）；900mmHg（±180mmHg）；】</w:t>
            </w:r>
          </w:p>
          <w:p w14:paraId="23A89B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4.1.5 阻塞回撤功能（Anti-Bolus）：当管路阻塞报警时，自动回撤管路压力，避免意外丸剂量伤害病人；</w:t>
            </w:r>
          </w:p>
          <w:p w14:paraId="71B475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4.1.6 防虹吸设计：防止药液在暂停期间任意流出；</w:t>
            </w:r>
          </w:p>
          <w:p w14:paraId="5B4A8F4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4.1.7 手动、自动锁屏功能：OFF，自动锁屏时间 15sec-30min 可调；</w:t>
            </w:r>
          </w:p>
          <w:p w14:paraId="050AAD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4.1.8 采用单手操作设计，只需单手就能完成注射器加载，满足无菌操作要求；（提供图片）</w:t>
            </w:r>
          </w:p>
          <w:p w14:paraId="12B1AF2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 精度要求：</w:t>
            </w:r>
          </w:p>
          <w:p w14:paraId="6FBAF22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4.2.1 速率：全流速段注射精度≤±2%，机械精度≤±1%；</w:t>
            </w:r>
          </w:p>
          <w:p w14:paraId="097616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4.2.2 在线滴定功能：更改速率不需要中断注射；</w:t>
            </w:r>
          </w:p>
          <w:p w14:paraId="27919E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4.2.3 无需停机可以在线调整压力报警等级和累积量清零；</w:t>
            </w:r>
          </w:p>
          <w:p w14:paraId="532A2AB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 基本要求：</w:t>
            </w:r>
          </w:p>
          <w:p w14:paraId="0B3178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 速率范围：0.1-2000ml/h, 最小步进值 0.01ml/h；（2/3ml：0.1-50ml/h；5ml：0.1-100ml/h；10ml：0.1-300ml/h；20ml：0.1-600ml/h；30ml：0.1-900ml/h；50/60ml：0.1-2000ml/h）</w:t>
            </w:r>
          </w:p>
          <w:p w14:paraId="35ACF0F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 预置总量范围：0-9999.99ml，最小步进值：0.01ml；</w:t>
            </w:r>
          </w:p>
          <w:p w14:paraId="212749A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4.3.3 预置时间范围：1sec-99hrs59min59sec；</w:t>
            </w:r>
          </w:p>
          <w:p w14:paraId="588AA4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4.3.4 快推功能：快推速率 0.1-2000ml/h，以 0.01ml/h 步进；</w:t>
            </w:r>
          </w:p>
          <w:p w14:paraId="671BBA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4.3.5 具有自动和手动两种快推模式，实时显示快推入量，并且手动快推时每达到 1ml 整数时给与声音提示；</w:t>
            </w:r>
          </w:p>
          <w:p w14:paraId="540650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4.3.6 KVO 功能：0-5ml/h，以 0.01ml/h 步进, 当速度设为 0ml/h 时默为关闭KVO 模式；</w:t>
            </w:r>
          </w:p>
          <w:p w14:paraId="199B77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4.3.7 自动识别注射器规格：2/3ml、5ml、10ml、20ml、30ml、50/60ml；</w:t>
            </w:r>
          </w:p>
          <w:p w14:paraId="1CFB37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4.3.8 采用触摸屏操作，彩色触摸屏≧4.3 英寸，A、B 通道同屏显示，使用方便，简单易用；</w:t>
            </w:r>
          </w:p>
          <w:p w14:paraId="4486EA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4.3.9 具有 ml/h 模式，在同一个操作界面中即可快速完成流速、时间-容量和流速-容量三种输液模式参数的设置，无需翻页选择模式操作，方便快捷；</w:t>
            </w:r>
          </w:p>
          <w:p w14:paraId="4BC03E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4.3.10 分低级、中级、高级三级报警，并给以声光提示，同时图文并茂地显示具体报警信息，直观易懂；</w:t>
            </w:r>
          </w:p>
          <w:p w14:paraId="78E813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4.3.11 预置量接近完成（完成预报警时间可调范围为：2min、5min、10min、15min、20min、30min）、注射器接近排空、预置量完成、注射器排空、管路阻塞、阻塞预报警、压力下降、电池电量低、电池耗尽、网电源中断、注射器脱落、遗忘操作（遗忘报警时间可调范围：2min、5min、10min、15min、20min、30min）、待机时间结束、KVO 完成、药物剂量超限、系统故障；</w:t>
            </w:r>
          </w:p>
          <w:p w14:paraId="3CA080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4.3.12 具有八种注射模式可选：ml/h 模式、体重模式、首剂量模式、序列模式、梯度模式、级联模式、药物库模式、微量模式；</w:t>
            </w:r>
          </w:p>
          <w:p w14:paraId="3B3589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4.3.13 启动级联模式，通道 A 可向通道 B 中继注射，支持循环级联；</w:t>
            </w:r>
          </w:p>
          <w:p w14:paraId="032593C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4.3.14 电池持续运行时间：单通道注射≧10 小时@5ml/h，双通道注射≥5h；</w:t>
            </w:r>
          </w:p>
          <w:p w14:paraId="7EFFC5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4.3.15 供电：AC 100V-240V，50/60Hz，DC 10-16V；</w:t>
            </w:r>
          </w:p>
          <w:p w14:paraId="1BE23B2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4.3.16 历史纪录功能：自动储存≥5000 条的事件记录；</w:t>
            </w:r>
          </w:p>
          <w:p w14:paraId="4E71C4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4.3.17 治疗记录：自动存储≥20 条治疗记录，并可直接调用治疗记录设置参数；</w:t>
            </w:r>
          </w:p>
          <w:p w14:paraId="181D736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4.3.18 药物库功能：药物库存储≥2000 条，支持药物名称显示；</w:t>
            </w:r>
          </w:p>
          <w:p w14:paraId="53341A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4.3.19 品牌库存储≥200 个品牌；</w:t>
            </w:r>
          </w:p>
          <w:p w14:paraId="4E61F9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4.3.20 多功能接口，支持数据传输、护士呼叫、外接直流电充电；</w:t>
            </w:r>
          </w:p>
          <w:p w14:paraId="691D8AB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4.3.21 可选配无线模块，实现无线组网监测；</w:t>
            </w:r>
          </w:p>
          <w:p w14:paraId="73BD4A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4.3.22 内置中文，全中文操作界面</w:t>
            </w:r>
          </w:p>
          <w:p w14:paraId="535C187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60FDEF4A">
            <w:pPr>
              <w:widowControl/>
              <w:kinsoku w:val="0"/>
              <w:autoSpaceDE w:val="0"/>
              <w:autoSpaceDN w:val="0"/>
              <w:adjustRightInd w:val="0"/>
              <w:snapToGrid w:val="0"/>
              <w:spacing w:before="126" w:line="219" w:lineRule="auto"/>
              <w:ind w:left="17"/>
              <w:jc w:val="left"/>
              <w:textAlignment w:val="baseline"/>
              <w:rPr>
                <w:rFonts w:hint="eastAsia" w:ascii="宋体" w:hAnsi="宋体" w:eastAsia="宋体" w:cs="宋体"/>
                <w:snapToGrid w:val="0"/>
                <w:color w:val="auto"/>
                <w:spacing w:val="-2"/>
                <w:kern w:val="0"/>
                <w:sz w:val="18"/>
                <w:szCs w:val="18"/>
                <w:lang w:val="en-US" w:eastAsia="zh-CN"/>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w:t>
            </w:r>
          </w:p>
          <w:p w14:paraId="39354FC5">
            <w:pPr>
              <w:widowControl/>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p>
        </w:tc>
      </w:tr>
      <w:tr w14:paraId="378A5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C359D6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35</w:t>
            </w:r>
          </w:p>
        </w:tc>
        <w:tc>
          <w:tcPr>
            <w:tcW w:w="1415" w:type="dxa"/>
            <w:tcBorders>
              <w:top w:val="single" w:color="000000" w:sz="4" w:space="0"/>
              <w:bottom w:val="single" w:color="000000" w:sz="4" w:space="0"/>
            </w:tcBorders>
            <w:vAlign w:val="top"/>
          </w:tcPr>
          <w:p w14:paraId="35FEAA64">
            <w:pPr>
              <w:kinsoku w:val="0"/>
              <w:autoSpaceDE w:val="0"/>
              <w:autoSpaceDN w:val="0"/>
              <w:adjustRightInd w:val="0"/>
              <w:snapToGrid w:val="0"/>
              <w:spacing w:before="128"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6878" w:type="dxa"/>
            <w:tcBorders>
              <w:top w:val="single" w:color="000000" w:sz="4" w:space="0"/>
              <w:bottom w:val="single" w:color="000000" w:sz="4" w:space="0"/>
            </w:tcBorders>
            <w:vAlign w:val="top"/>
          </w:tcPr>
          <w:p w14:paraId="758702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1.容积：≥50L</w:t>
            </w:r>
          </w:p>
          <w:p w14:paraId="5E15C8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2.材质：06Cr19Ni10(SUS304)</w:t>
            </w:r>
          </w:p>
          <w:p w14:paraId="7098F8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3.设计压力：-0.1/0.3MPa</w:t>
            </w:r>
          </w:p>
          <w:p w14:paraId="39B401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4.设计温度：144℃</w:t>
            </w:r>
          </w:p>
          <w:p w14:paraId="508EB7C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5.使用寿命：≥8年/16000次循环</w:t>
            </w:r>
          </w:p>
          <w:p w14:paraId="3C064C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6.主体保温：粘胶纤维保温层</w:t>
            </w:r>
          </w:p>
          <w:p w14:paraId="67B4BD1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7.腔壁加热：覆膜式加热膜</w:t>
            </w:r>
          </w:p>
          <w:p w14:paraId="76BA22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8.门板：拉伸门板，材料厚度≥2mm；</w:t>
            </w:r>
          </w:p>
          <w:p w14:paraId="6857FA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9.开关门方式：电机驱动，一键式侧开门</w:t>
            </w:r>
          </w:p>
          <w:p w14:paraId="0E14709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10.三层托盘</w:t>
            </w:r>
          </w:p>
          <w:p w14:paraId="0AB79BC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国产自主创新品牌</w:t>
            </w:r>
          </w:p>
          <w:p w14:paraId="7068EE9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19B1F0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10387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2B99EBC6">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36</w:t>
            </w:r>
          </w:p>
        </w:tc>
        <w:tc>
          <w:tcPr>
            <w:tcW w:w="1415" w:type="dxa"/>
            <w:tcBorders>
              <w:top w:val="single" w:color="000000" w:sz="4" w:space="0"/>
              <w:bottom w:val="single" w:color="000000" w:sz="4" w:space="0"/>
            </w:tcBorders>
            <w:vAlign w:val="top"/>
          </w:tcPr>
          <w:p w14:paraId="67C49183">
            <w:pPr>
              <w:kinsoku w:val="0"/>
              <w:autoSpaceDE w:val="0"/>
              <w:autoSpaceDN w:val="0"/>
              <w:adjustRightInd w:val="0"/>
              <w:snapToGrid w:val="0"/>
              <w:spacing w:before="151"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6878" w:type="dxa"/>
            <w:tcBorders>
              <w:top w:val="single" w:color="000000" w:sz="4" w:space="0"/>
              <w:bottom w:val="single" w:color="000000" w:sz="4" w:space="0"/>
            </w:tcBorders>
            <w:vAlign w:val="top"/>
          </w:tcPr>
          <w:p w14:paraId="4AF669D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1"/>
                <w:kern w:val="0"/>
                <w:sz w:val="18"/>
                <w:szCs w:val="18"/>
                <w:lang w:eastAsia="en-US"/>
              </w:rPr>
              <w:t>电动洗胃，流量≥200ml/次，具备正压冲洗、负压吸引，可调节压力，具备防返流、空液报警，便携设计</w:t>
            </w:r>
            <w:r>
              <w:rPr>
                <w:rFonts w:hint="eastAsia" w:ascii="宋体" w:hAnsi="宋体" w:eastAsia="宋体" w:cs="宋体"/>
                <w:snapToGrid w:val="0"/>
                <w:color w:val="auto"/>
                <w:spacing w:val="-1"/>
                <w:kern w:val="0"/>
                <w:sz w:val="18"/>
                <w:szCs w:val="18"/>
                <w:lang w:eastAsia="zh-CN"/>
              </w:rPr>
              <w:t>，</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07F2DF5E">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田坪镇中心卫生院</w:t>
            </w:r>
          </w:p>
        </w:tc>
      </w:tr>
      <w:tr w14:paraId="0CFEC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2786BE7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37</w:t>
            </w:r>
          </w:p>
        </w:tc>
        <w:tc>
          <w:tcPr>
            <w:tcW w:w="1415" w:type="dxa"/>
            <w:tcBorders>
              <w:top w:val="single" w:color="000000" w:sz="4" w:space="0"/>
              <w:bottom w:val="single" w:color="000000" w:sz="4" w:space="0"/>
            </w:tcBorders>
            <w:vAlign w:val="top"/>
          </w:tcPr>
          <w:p w14:paraId="67ADE98E">
            <w:pPr>
              <w:kinsoku w:val="0"/>
              <w:autoSpaceDE w:val="0"/>
              <w:autoSpaceDN w:val="0"/>
              <w:adjustRightInd w:val="0"/>
              <w:snapToGrid w:val="0"/>
              <w:spacing w:before="130"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等离子消毒机</w:t>
            </w:r>
          </w:p>
        </w:tc>
        <w:tc>
          <w:tcPr>
            <w:tcW w:w="6878" w:type="dxa"/>
            <w:tcBorders>
              <w:top w:val="single" w:color="000000" w:sz="4" w:space="0"/>
              <w:bottom w:val="single" w:color="000000" w:sz="4" w:space="0"/>
            </w:tcBorders>
            <w:vAlign w:val="top"/>
          </w:tcPr>
          <w:p w14:paraId="00E4418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4"/>
                <w:kern w:val="0"/>
                <w:sz w:val="18"/>
                <w:szCs w:val="18"/>
                <w:lang w:val="en-US" w:eastAsia="en-US" w:bidi="ar-SA"/>
              </w:rPr>
              <w:t>消毒容积≥100L，工作温度常温，消毒时间30-60分钟，具备等离子体消毒，无残留，适配器械、内镜消毒</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国产自主创新品牌。</w:t>
            </w:r>
          </w:p>
        </w:tc>
        <w:tc>
          <w:tcPr>
            <w:tcW w:w="1297" w:type="dxa"/>
            <w:tcBorders>
              <w:top w:val="single" w:color="000000" w:sz="4" w:space="0"/>
              <w:bottom w:val="single" w:color="000000" w:sz="4" w:space="0"/>
            </w:tcBorders>
            <w:vAlign w:val="top"/>
          </w:tcPr>
          <w:p w14:paraId="249D22DC">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26875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469E368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38</w:t>
            </w:r>
          </w:p>
        </w:tc>
        <w:tc>
          <w:tcPr>
            <w:tcW w:w="1415" w:type="dxa"/>
            <w:tcBorders>
              <w:top w:val="single" w:color="000000" w:sz="4" w:space="0"/>
              <w:bottom w:val="single" w:color="000000" w:sz="4" w:space="0"/>
            </w:tcBorders>
            <w:vAlign w:val="top"/>
          </w:tcPr>
          <w:p w14:paraId="272947AC">
            <w:pPr>
              <w:kinsoku w:val="0"/>
              <w:autoSpaceDE w:val="0"/>
              <w:autoSpaceDN w:val="0"/>
              <w:adjustRightInd w:val="0"/>
              <w:snapToGrid w:val="0"/>
              <w:spacing w:before="13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手术显微镜系统</w:t>
            </w:r>
          </w:p>
        </w:tc>
        <w:tc>
          <w:tcPr>
            <w:tcW w:w="6878" w:type="dxa"/>
            <w:tcBorders>
              <w:top w:val="single" w:color="000000" w:sz="4" w:space="0"/>
              <w:bottom w:val="single" w:color="000000" w:sz="4" w:space="0"/>
            </w:tcBorders>
            <w:vAlign w:val="top"/>
          </w:tcPr>
          <w:p w14:paraId="20FE47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一、放大倍率：支持电动连续无级变倍，变倍比通常可达 6:1，放大倍率范围广泛（如 1.5× 至 25× 甚至更高），以满足探查与超精细血管吻合的不同需求。</w:t>
            </w:r>
          </w:p>
          <w:p w14:paraId="689878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A79BFC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工作距离与物镜：配备不同焦距的大物镜（如 200mm、250mm、300mm），对应的工作距离通常在 192mm 至 470mm 之间，以灵活适应浅表血管及深部组织的手术要求。</w:t>
            </w:r>
          </w:p>
          <w:p w14:paraId="1267F2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0FE383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目镜与视野：标配 10× 或 12.5× 广角目镜，支持瞳距（如 55mm-75mm）及视度（±6D）独立调节。视野直径通常在 11mm 至 142mm 之间，最大景深一般 ≤180mm。</w:t>
            </w:r>
          </w:p>
          <w:p w14:paraId="08ECEBB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9AD207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成像质量：采用全镜组复消色差（APO）平行光路设计，具备低色差、高对比度特性，确保在极高放大倍率下组织层次依然分明。</w:t>
            </w:r>
          </w:p>
          <w:p w14:paraId="2F6BC7D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EBDC4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DE91CA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 支架与平衡：采用落地式支架，配备一键式自动平衡与电磁锁功能，确保在任意角度悬停稳定。横臂最大伸展半径通常在 1100mm 至 1300mm 之间，净高度大于 1860mm，可放置于术者身后，不占用手术床两侧空间。</w:t>
            </w:r>
          </w:p>
          <w:p w14:paraId="1D8209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92302C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多维调节：支持电动 XY 平面移动器（前后、左右平移范围各约 40mm）及归零复位功能；电动微调升降范围 ≥40mm，升降速度约 2.5mm/s。</w:t>
            </w:r>
          </w:p>
          <w:p w14:paraId="308124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51FCE4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镜体调节：主刀镜筒支持 0-180° 旋转，对手镜（助手镜）支持立体双目同光路观察，倍率与主镜同步。</w:t>
            </w:r>
          </w:p>
          <w:p w14:paraId="23031EC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99916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4C76C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 光源类型：普遍采用内置双光纤同轴冷光源照明，光线垂直覆盖，无侧方阴影干扰，且无红外热辐射，避免长时间照射灼伤微血管或神经。</w:t>
            </w:r>
          </w:p>
          <w:p w14:paraId="12D8DB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2955E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照度与光斑：物面最大照度通常在 60,000 Lx 至 120,000 Lx 之间，支持多档位亮度调节；照明光斑直径 ≥40mm，光斑均匀无明暗断层。</w:t>
            </w:r>
          </w:p>
          <w:p w14:paraId="27E1816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CC0B0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四、 操控方式：配备多功能防水脚踏开关，支持电动连续调焦、变倍、释放电磁锁及 X-Y 平移等功能。</w:t>
            </w:r>
          </w:p>
          <w:p w14:paraId="06075C5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4F6F2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影像拓展：预留标准摄像卡口，可外接或内置高清摄像系统。</w:t>
            </w:r>
          </w:p>
          <w:p w14:paraId="5A69F6D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B2447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教学与记录：支持实时图像编辑、SD卡存储及多终端输出，满足术中录像和病案留存需求。</w:t>
            </w:r>
          </w:p>
          <w:p w14:paraId="3F97E5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电气安全：符合 GB 9706.1 医用电气设备基本安全标准，具备过载、短路保护功能。</w:t>
            </w:r>
          </w:p>
          <w:p w14:paraId="5309E3A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国产自主创新品牌。</w:t>
            </w:r>
          </w:p>
          <w:p w14:paraId="0878E5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E6DC28A">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4EEA3CF">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B151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20A0F04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39</w:t>
            </w:r>
          </w:p>
        </w:tc>
        <w:tc>
          <w:tcPr>
            <w:tcW w:w="1415" w:type="dxa"/>
            <w:tcBorders>
              <w:top w:val="single" w:color="000000" w:sz="4" w:space="0"/>
              <w:bottom w:val="single" w:color="000000" w:sz="4" w:space="0"/>
            </w:tcBorders>
            <w:vAlign w:val="top"/>
          </w:tcPr>
          <w:p w14:paraId="16EA225E">
            <w:pPr>
              <w:kinsoku w:val="0"/>
              <w:autoSpaceDE w:val="0"/>
              <w:autoSpaceDN w:val="0"/>
              <w:adjustRightInd w:val="0"/>
              <w:snapToGrid w:val="0"/>
              <w:spacing w:before="13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麻醉机</w:t>
            </w:r>
          </w:p>
        </w:tc>
        <w:tc>
          <w:tcPr>
            <w:tcW w:w="6878" w:type="dxa"/>
            <w:tcBorders>
              <w:top w:val="single" w:color="000000" w:sz="4" w:space="0"/>
              <w:bottom w:val="single" w:color="000000" w:sz="4" w:space="0"/>
            </w:tcBorders>
            <w:vAlign w:val="top"/>
          </w:tcPr>
          <w:p w14:paraId="02564FB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气动电控双气源设计与高精度潮气量控制。主流设备需具备10至1500ml的可调潮-气量及全面的呼气末二氧化碳监测功能，以确保各类手术患者的通气安全。</w:t>
            </w:r>
          </w:p>
          <w:p w14:paraId="493583D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AF259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通气模式：需标配容量控制（VCV）、压力控制（PCV）、SIMV及自主呼吸等模式，以覆盖从常规手术到复杂危重症的通气管控需求。</w:t>
            </w:r>
          </w:p>
          <w:p w14:paraId="3F1595F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9335F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潮气量与频率：潮气量调节范围通常为10至1500ml，呼吸频率覆盖4至100次/分钟。核心指标是在低潮气量（如小儿手术）时，输出误差需≤±5%。</w:t>
            </w:r>
          </w:p>
          <w:p w14:paraId="01C351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0DD737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吸呼比与PEEP：吸呼比需在1:10至4:1范围内可调，具备电子呼气末正压（PEEP）功能，设置范围通常为4至30cmH2O，以改善氧合与肺顺应性。</w:t>
            </w:r>
          </w:p>
          <w:p w14:paraId="2F680C8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67BD6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双气源与安全保障：必须支持中心气源与高压钢瓶双气源切换，内置氧浓度低限报警与机械氧浓度保护，确保任何情况下氧气浓度不低于21%。</w:t>
            </w:r>
          </w:p>
          <w:p w14:paraId="00885DB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D33EEC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挥发罐配置：标配双挥发罐位，支持七氟烷、异氟烷等常用吸入麻醉药，具备浓度精准输出及自动切断功能。</w:t>
            </w:r>
          </w:p>
          <w:p w14:paraId="39131E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52306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回路设计：呼吸回路需耐高温高压消毒（符合院感要求），并配备回路加热功能以防止冷凝水积聚影响传感器精度。</w:t>
            </w:r>
          </w:p>
          <w:p w14:paraId="7CB1D93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AE87C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呼气末二氧化碳（EtCO2）：必须集成主流或旁流二氧化碳监测模块，实时显示CO2浓度及 Capnogram 波形，这是判断人工气道位置和通气效率的金标准。</w:t>
            </w:r>
          </w:p>
          <w:p w14:paraId="04355DB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F9C916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气道压力监测：具备完善的峰压、平台压及平均压监测，并配有高低压、窒息报警系统。</w:t>
            </w:r>
          </w:p>
          <w:p w14:paraId="208A5A2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FEE1D8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备用电源：内置大容量锂电池，断电后需支持正常工作≥60分钟，保障转运或突发断电时的生命安全。</w:t>
            </w:r>
          </w:p>
          <w:p w14:paraId="4E89453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1C50AE4B">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569A5F6A">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26F5F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4DCD6FE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40</w:t>
            </w:r>
          </w:p>
        </w:tc>
        <w:tc>
          <w:tcPr>
            <w:tcW w:w="1415" w:type="dxa"/>
            <w:tcBorders>
              <w:top w:val="single" w:color="000000" w:sz="4" w:space="0"/>
              <w:bottom w:val="single" w:color="000000" w:sz="4" w:space="0"/>
            </w:tcBorders>
            <w:vAlign w:val="top"/>
          </w:tcPr>
          <w:p w14:paraId="66CD5661">
            <w:pPr>
              <w:kinsoku w:val="0"/>
              <w:autoSpaceDE w:val="0"/>
              <w:autoSpaceDN w:val="0"/>
              <w:adjustRightInd w:val="0"/>
              <w:snapToGrid w:val="0"/>
              <w:spacing w:before="126"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振动排痰机</w:t>
            </w:r>
          </w:p>
        </w:tc>
        <w:tc>
          <w:tcPr>
            <w:tcW w:w="6878" w:type="dxa"/>
            <w:tcBorders>
              <w:top w:val="single" w:color="000000" w:sz="4" w:space="0"/>
              <w:bottom w:val="single" w:color="000000" w:sz="4" w:space="0"/>
            </w:tcBorders>
            <w:vAlign w:val="top"/>
          </w:tcPr>
          <w:p w14:paraId="21603C6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气动式高频振荡排痰系统：</w:t>
            </w:r>
          </w:p>
          <w:p w14:paraId="271CFE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一、适用范围；适用于通过振动叩击改善患者肺部血液循环状况，协助排出呼吸道分泌物。</w:t>
            </w:r>
          </w:p>
          <w:p w14:paraId="46DD08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二、结构及组成；由主机、充气气囊（排痰背心）、导气软管、血氧探头（含血氧测量模块）组成。</w:t>
            </w:r>
          </w:p>
          <w:p w14:paraId="57C38F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治疗机理；备主机产生压缩空气，通过导气管向充气背心中反复的充放气，产生胸腔振荡起到类似轻微咳嗽的效果，使气道表面的黏液和代谢物松弛和液化，使其变小脱落从支气管移动到主气管，通过咳嗽或者人工吸引方式排出体外。</w:t>
            </w:r>
          </w:p>
          <w:p w14:paraId="430D0B3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四、技术参数：</w:t>
            </w:r>
          </w:p>
          <w:p w14:paraId="248DD3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1.屏幕规格 8 寸显示屏，全中文导航，真彩触摸，图文并茂，使医护人员直观便捷的使用；</w:t>
            </w:r>
          </w:p>
          <w:p w14:paraId="5F6E1C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治疗模式；手动模式，自动模式，自定义模式；</w:t>
            </w:r>
          </w:p>
          <w:p w14:paraId="012F0C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3.手动模式频率：为 1-25Hz，误差：±2Hz，连续可调</w:t>
            </w:r>
          </w:p>
          <w:p w14:paraId="0B9EF8B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最大压力： 40mmHg，误差±1.5mmHg</w:t>
            </w:r>
          </w:p>
          <w:p w14:paraId="024241A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时间范围：1-60min，步距为1min，连续可调</w:t>
            </w:r>
          </w:p>
          <w:p w14:paraId="19B356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常规治疗时间：为 10min；</w:t>
            </w:r>
          </w:p>
          <w:p w14:paraId="7C708B7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4.自动模式；分为成人模式、儿童模式、老人模式、重症模式；</w:t>
            </w:r>
          </w:p>
          <w:p w14:paraId="68155C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 成人模式：</w:t>
            </w:r>
          </w:p>
          <w:p w14:paraId="13AF98F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频率 ：15Hz</w:t>
            </w:r>
          </w:p>
          <w:p w14:paraId="24FABA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压力：16mmHg</w:t>
            </w:r>
          </w:p>
          <w:p w14:paraId="08100E2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时间调节范围：1-60min；</w:t>
            </w:r>
          </w:p>
          <w:p w14:paraId="6985BD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6.儿童模式</w:t>
            </w:r>
          </w:p>
          <w:p w14:paraId="16C847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频率： 12Hz</w:t>
            </w:r>
          </w:p>
          <w:p w14:paraId="60BE6C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 ：14mmHg</w:t>
            </w:r>
          </w:p>
          <w:p w14:paraId="2BCA49C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时间调节范围：1-60min；</w:t>
            </w:r>
          </w:p>
          <w:p w14:paraId="23F9AF4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7.自定义模式：序号 1-50 可选，自命名内容可自定义，频率为 1-25Hz，误差：±2Hz，压力1-40mmHg，时间调节范围：1-60min，连续可调，修改参数后点击保存参数，当设备供电短时中断后又恢复时自定义模式的参数不应改变；</w:t>
            </w:r>
          </w:p>
          <w:p w14:paraId="2ECAAF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8.频率输出准确性：频率最小值、中间值、最大值输出与设置值的误差不超过±20%或±2Hz，二者取最大值，最小频率1.63Hz，误差 0.63Hz，中间频率13.42Hz，误差0.42Hz，最大频率 25.01Hz，误差 0.01Hz；</w:t>
            </w:r>
          </w:p>
          <w:p w14:paraId="38BA53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9.压力安全有效范围及输出准确性：最小压力0.2mmHg，误差0.8mmHg，中间压力 19.6mmHg，误差0.4mmHg，最大压力39.8mmHg，误差 0.2mmHg；</w:t>
            </w:r>
          </w:p>
          <w:p w14:paraId="136184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10.导气软管连接的可靠性；设备连接软管应连接可靠牢固在管路连接方向上作用 20N 的力，管路与设备和充气气囊不分离；</w:t>
            </w:r>
          </w:p>
          <w:p w14:paraId="67ACA8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11.设备具备泄压功能：在泄压启动后，充气气囊压力在10s内从最大压力下降到 0.2kPa；</w:t>
            </w:r>
          </w:p>
          <w:p w14:paraId="112A4C1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12.双重电源保护功能；</w:t>
            </w:r>
          </w:p>
          <w:p w14:paraId="1F8ED17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13.具备设备累计工作时间查询功能；</w:t>
            </w:r>
          </w:p>
          <w:p w14:paraId="5EA737D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14.设备运行过程中频率和压力实时监控，动态显示；</w:t>
            </w:r>
          </w:p>
          <w:p w14:paraId="6378A98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15.设备可选配血氧监测功能。</w:t>
            </w:r>
          </w:p>
          <w:p w14:paraId="235A722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16.配套车；2 台</w:t>
            </w:r>
          </w:p>
          <w:p w14:paraId="3F6CEBD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4520CA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w:t>
            </w:r>
          </w:p>
        </w:tc>
      </w:tr>
      <w:tr w14:paraId="177EE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3205261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20"/>
                <w:szCs w:val="20"/>
                <w:lang w:val="en-US" w:eastAsia="zh-CN" w:bidi="ar-SA"/>
              </w:rPr>
              <w:t>41</w:t>
            </w:r>
          </w:p>
        </w:tc>
        <w:tc>
          <w:tcPr>
            <w:tcW w:w="1415" w:type="dxa"/>
            <w:tcBorders>
              <w:top w:val="single" w:color="000000" w:sz="4" w:space="0"/>
              <w:bottom w:val="single" w:color="000000" w:sz="4" w:space="0"/>
            </w:tcBorders>
            <w:vAlign w:val="top"/>
          </w:tcPr>
          <w:p w14:paraId="021D0C07">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有创呼吸机</w:t>
            </w:r>
          </w:p>
        </w:tc>
        <w:tc>
          <w:tcPr>
            <w:tcW w:w="6878" w:type="dxa"/>
            <w:tcBorders>
              <w:top w:val="single" w:color="000000" w:sz="4" w:space="0"/>
              <w:bottom w:val="single" w:color="000000" w:sz="4" w:space="0"/>
            </w:tcBorders>
            <w:vAlign w:val="top"/>
          </w:tcPr>
          <w:p w14:paraId="0C6A84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0"/>
                <w:szCs w:val="20"/>
                <w:lang w:val="en-US" w:eastAsia="zh-CN"/>
              </w:rPr>
            </w:pPr>
            <w:r>
              <w:rPr>
                <w:rFonts w:hint="eastAsia" w:ascii="宋体" w:hAnsi="宋体" w:eastAsia="宋体" w:cs="宋体"/>
                <w:snapToGrid w:val="0"/>
                <w:color w:val="auto"/>
                <w:kern w:val="0"/>
                <w:sz w:val="18"/>
                <w:szCs w:val="18"/>
                <w:lang w:val="en-US" w:eastAsia="zh-CN"/>
              </w:rPr>
              <w:t>核心模式：标配控制通气（VCV）、压力控制（PCV）、同步间歇指令通气（SIMV）及自主呼吸支持（PSV）等满足日常需求。</w:t>
            </w:r>
          </w:p>
          <w:p w14:paraId="4E6FFF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基础报警：必须具备气道高压、低压、分钟通气量高限及低限、窒息报警等核心安全功能。</w:t>
            </w:r>
          </w:p>
          <w:p w14:paraId="610F5A4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报警参数设置：压力上限报警通常设置为高于患者的吸气峰压5至10cmH2O，一般不超过40cmH2O。下限则通常设定在PEEP以上2cmH2O。</w:t>
            </w:r>
          </w:p>
          <w:p w14:paraId="47CAAAB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67BEF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体积与便携：体积适中、内置高性能锂电池的机型。</w:t>
            </w:r>
          </w:p>
          <w:p w14:paraId="2FA264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D8ADB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操作界面：配备≥12.1英寸的彩色触摸屏，具备直观的通气波形显示和一键报警静音功能。</w:t>
            </w:r>
          </w:p>
          <w:p w14:paraId="2B1319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国产自主创新品牌。</w:t>
            </w:r>
          </w:p>
          <w:p w14:paraId="4D17506F">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1411F154">
            <w:pPr>
              <w:widowControl/>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6E7BD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4DEBEC1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42</w:t>
            </w:r>
          </w:p>
        </w:tc>
        <w:tc>
          <w:tcPr>
            <w:tcW w:w="1415" w:type="dxa"/>
            <w:tcBorders>
              <w:top w:val="single" w:color="000000" w:sz="4" w:space="0"/>
              <w:bottom w:val="single" w:color="000000" w:sz="4" w:space="0"/>
            </w:tcBorders>
            <w:vAlign w:val="top"/>
          </w:tcPr>
          <w:p w14:paraId="03445DE5">
            <w:pPr>
              <w:kinsoku w:val="0"/>
              <w:autoSpaceDE w:val="0"/>
              <w:autoSpaceDN w:val="0"/>
              <w:adjustRightInd w:val="0"/>
              <w:snapToGrid w:val="0"/>
              <w:spacing w:before="129"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无创呼吸机</w:t>
            </w:r>
          </w:p>
        </w:tc>
        <w:tc>
          <w:tcPr>
            <w:tcW w:w="6878" w:type="dxa"/>
            <w:tcBorders>
              <w:top w:val="single" w:color="000000" w:sz="4" w:space="0"/>
              <w:bottom w:val="single" w:color="000000" w:sz="4" w:space="0"/>
            </w:tcBorders>
            <w:vAlign w:val="top"/>
          </w:tcPr>
          <w:p w14:paraId="70B03F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压力输出范围：吸气相气道正压（IPAP）调节范围通常需覆盖4-30cmH2O，呼气相气道正压（EPAP）需覆盖4-25cmH2O。该范围可满足从轻度睡眠呼吸暂停到重症慢阻肺（COPD）伴呼吸衰竭的通气需求。</w:t>
            </w:r>
          </w:p>
          <w:p w14:paraId="48F69B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32439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后备通气频率（BPM）：需具备可调节的后备频率，常规范围设定为4-40次/分钟，以在患者自主呼吸微弱或停止时提供时间控制通气支持。</w:t>
            </w:r>
          </w:p>
          <w:p w14:paraId="582798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3B01D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压力上升时间（Rise Time）：需支持多级调节，以确保吸气压力平稳过渡，避免患者出现“流速饥渴”或气流过大等不耐受现象。</w:t>
            </w:r>
          </w:p>
          <w:p w14:paraId="5F1DD7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69CB7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S/T模式（自主/时间控制）：临床最核心的模式。患者有自主呼吸时机器按S模式（自主触发）工作；若自主呼吸间隔高于设定值，则自动切换至T模式（时间控制），提供后备通气支持。</w:t>
            </w:r>
          </w:p>
          <w:p w14:paraId="2A6CA8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2C5F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CPAP与Auto-CPAP：持续气道正压通气模式，主要用于单纯性阻塞性睡眠呼吸暂停综合征（OSAHS）的治疗。</w:t>
            </w:r>
          </w:p>
          <w:p w14:paraId="11F38D9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4617D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容量保障模式（如VAPS）：能根据设置的潮气量自动调节压力支持，保障分钟通气量稳定。</w:t>
            </w:r>
          </w:p>
          <w:p w14:paraId="7B95EE4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D1097F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实时监测指标：需实时显示潮气量、分钟通气量、总呼吸频率、病人触发比例及病人泄漏量（通常要求漏气补偿能力≥240L/min）。</w:t>
            </w:r>
          </w:p>
          <w:p w14:paraId="2624F40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A4027B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声光报警功能：必须配备高压、低压、停电、窒息等安全报警机制，确保临床使用安全。</w:t>
            </w:r>
          </w:p>
          <w:p w14:paraId="465AFC0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64D0A6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过滤系统：需配备高效细菌/病毒过滤器，防止交叉感染。</w:t>
            </w:r>
          </w:p>
          <w:p w14:paraId="5E2118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0E15E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声学性能：声功率级通常需≤25dB，以确保不影响患者夜间睡眠。</w:t>
            </w:r>
          </w:p>
          <w:p w14:paraId="30B452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AC5D3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电源适配：支持宽电压输入（AC100V-240V），并具备内置电池或外接直流电源接口，以应对断电等突发情况。</w:t>
            </w:r>
          </w:p>
          <w:p w14:paraId="0E16AA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3C78214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B623D50">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C18F832">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77591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4C870AF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43</w:t>
            </w:r>
          </w:p>
        </w:tc>
        <w:tc>
          <w:tcPr>
            <w:tcW w:w="1415" w:type="dxa"/>
            <w:tcBorders>
              <w:top w:val="single" w:color="000000" w:sz="4" w:space="0"/>
              <w:bottom w:val="single" w:color="000000" w:sz="4" w:space="0"/>
            </w:tcBorders>
            <w:vAlign w:val="top"/>
          </w:tcPr>
          <w:p w14:paraId="50A5C6AC">
            <w:pPr>
              <w:kinsoku w:val="0"/>
              <w:autoSpaceDE w:val="0"/>
              <w:autoSpaceDN w:val="0"/>
              <w:adjustRightInd w:val="0"/>
              <w:snapToGrid w:val="0"/>
              <w:spacing w:before="130"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钬激光治疗机</w:t>
            </w:r>
          </w:p>
        </w:tc>
        <w:tc>
          <w:tcPr>
            <w:tcW w:w="6878" w:type="dxa"/>
            <w:tcBorders>
              <w:top w:val="single" w:color="000000" w:sz="4" w:space="0"/>
              <w:bottom w:val="single" w:color="000000" w:sz="4" w:space="0"/>
            </w:tcBorders>
            <w:vAlign w:val="top"/>
          </w:tcPr>
          <w:p w14:paraId="707FDD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激光波长：标准输出波长通常为2100nm（±100nm）。</w:t>
            </w:r>
          </w:p>
          <w:p w14:paraId="5F228A3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DBD99B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单脉冲能量：光纤末端单脉冲能量需在0.1J至4.2J范围内连续可调。</w:t>
            </w:r>
          </w:p>
          <w:p w14:paraId="02E4BB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8349C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脉冲重复频率：常规频率需在5Hz至40Hz可调。</w:t>
            </w:r>
          </w:p>
          <w:p w14:paraId="333D31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07915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脉冲宽度：需在200μs至800μs范围内可调。</w:t>
            </w:r>
          </w:p>
          <w:p w14:paraId="33F2E2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766BCD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光纤传输规格：需支持多种规格的石英光纤（如200μm、272μm、365μm、550μm等）。</w:t>
            </w:r>
          </w:p>
          <w:p w14:paraId="336552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2730D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瞄准指示光：标配波长为532nm的绿光指示光，功率≤5mW，用于在发射高能激光前精准定位靶组织。</w:t>
            </w:r>
          </w:p>
          <w:p w14:paraId="3454533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349FC5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能量稳定性：具备内置能量反馈系统，要求激光输出功率的不稳定度与复现性均≤±5%，确保手术过程中能量输出恒定。</w:t>
            </w:r>
          </w:p>
          <w:p w14:paraId="377F03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7D7B90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冷却系统：通常采用内置压缩机制冷或内置水冷系统，以保证设备在长时间连续手术中功率不衰减。</w:t>
            </w:r>
          </w:p>
          <w:p w14:paraId="7E68373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96F792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泌尿外科：主要用于各种成分泌尿系结石的粉碎（如经皮肾镜、输尿管镜），以及前列腺增生或膀胱肿瘤的汽化与切除。</w:t>
            </w:r>
          </w:p>
          <w:p w14:paraId="20B69F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114BB723">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3B21681C">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19C73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793B75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44</w:t>
            </w:r>
          </w:p>
        </w:tc>
        <w:tc>
          <w:tcPr>
            <w:tcW w:w="1415" w:type="dxa"/>
            <w:tcBorders>
              <w:top w:val="single" w:color="000000" w:sz="4" w:space="0"/>
              <w:bottom w:val="single" w:color="000000" w:sz="4" w:space="0"/>
            </w:tcBorders>
            <w:vAlign w:val="top"/>
          </w:tcPr>
          <w:p w14:paraId="1FC97D1C">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电动综合手术床</w:t>
            </w:r>
          </w:p>
        </w:tc>
        <w:tc>
          <w:tcPr>
            <w:tcW w:w="6878" w:type="dxa"/>
            <w:tcBorders>
              <w:top w:val="single" w:color="000000" w:sz="4" w:space="0"/>
              <w:bottom w:val="single" w:color="000000" w:sz="4" w:space="0"/>
            </w:tcBorders>
            <w:vAlign w:val="top"/>
          </w:tcPr>
          <w:p w14:paraId="5AB2A1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动力系统与承重：必须采用电动液压或全电动驱动，具备独立电动刹车系统。最大承重通常需≥350kg，以确保各类体型患者的手术安全。</w:t>
            </w:r>
          </w:p>
          <w:p w14:paraId="3218FB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F5D88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体位调节能力：台面需由头板、背板、坐板、腿板等多模块组成，且具备一键复位与预设体位功能。纵向倾斜（头倾/脚倾）通常≥25°，侧向倾斜≥20°，背板与腿板需具备大角度上下折转能力，以满足截石位、侧卧位等多种手术需求。</w:t>
            </w:r>
          </w:p>
          <w:p w14:paraId="673231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673DB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术中透视与平移：台面必须全透X线（如采用碳纤维材质）。高端机型配备双向电动平移功能，平移距离≥320mm，配合超低位设计（最低台面≤610mm），便于术中C臂机无缝对接与透视。</w:t>
            </w:r>
          </w:p>
          <w:p w14:paraId="587F01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642D2B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安全与防护：整机需具备较高的防水等级（如≥IPX4或IPX5），配备备用控制面板和内置蓄电池，确保在断电或紧急情况下能完成手术体位调整。</w:t>
            </w:r>
          </w:p>
          <w:p w14:paraId="1E1A31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130176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床面调节功能：需具备背部升降、腿部升降、整体升降及特氏（头高脚低）/反特氏体位调节功能。背板最大升角通常≥70°，膝部最大升角≥40°，以改善患者呼吸与微循环。</w:t>
            </w:r>
          </w:p>
          <w:p w14:paraId="5E8A58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40F31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安全与承重：整床安全承重通常需≥250kg。床体两侧需配备可同步升降护栏，且床尾板需具备快速CPR（心肺复苏）释放功能，以便在紧急抢救时迅速放平床面。</w:t>
            </w:r>
          </w:p>
          <w:p w14:paraId="5FF0675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w:t>
            </w:r>
          </w:p>
          <w:p w14:paraId="00CC75DE">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3D1E69F7">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53EDB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5A1BBD4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45</w:t>
            </w:r>
          </w:p>
        </w:tc>
        <w:tc>
          <w:tcPr>
            <w:tcW w:w="1415" w:type="dxa"/>
            <w:tcBorders>
              <w:top w:val="single" w:color="000000" w:sz="4" w:space="0"/>
              <w:bottom w:val="single" w:color="000000" w:sz="4" w:space="0"/>
            </w:tcBorders>
            <w:vAlign w:val="top"/>
          </w:tcPr>
          <w:p w14:paraId="46A4283F">
            <w:pPr>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6878" w:type="dxa"/>
            <w:tcBorders>
              <w:top w:val="single" w:color="000000" w:sz="4" w:space="0"/>
              <w:bottom w:val="single" w:color="000000" w:sz="4" w:space="0"/>
            </w:tcBorders>
            <w:vAlign w:val="top"/>
          </w:tcPr>
          <w:p w14:paraId="35CECAD2">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国产。</w:t>
            </w:r>
          </w:p>
          <w:p w14:paraId="57746FC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2、生化单模块测量恒速≥800测试/小时，电解质单模块测试速度≥300测试/小时。</w:t>
            </w:r>
          </w:p>
          <w:p w14:paraId="51732FF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3、测量方法：具备终点法，两点法，速率法。</w:t>
            </w:r>
          </w:p>
          <w:p w14:paraId="4229A4B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4、样本位：轨道式进样，一次性可同时进样≥300管，具备单独的急诊检测通道，急诊样本优先检测。</w:t>
            </w:r>
          </w:p>
          <w:p w14:paraId="2792F509">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5、分光方式：光栅后分光方式。</w:t>
            </w:r>
          </w:p>
          <w:p w14:paraId="18B25E9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6、波长范围：340nm-800nm，波长数量≥13个。</w:t>
            </w:r>
          </w:p>
          <w:p w14:paraId="184CC79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7、温控方式：固体直热方式，无需水、水浴添加剂（如抑菌剂）或油浴添加剂等额外消耗，降低成本。</w:t>
            </w:r>
          </w:p>
          <w:p w14:paraId="3CAC3B4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8、样本针功能：具有凝块检测功能，液面探测功能。</w:t>
            </w:r>
          </w:p>
          <w:p w14:paraId="0856A6B8">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9、试剂量：最小加样量≤20μL，1μL步进。</w:t>
            </w:r>
          </w:p>
          <w:p w14:paraId="08F611E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10、同时在线分析项目：≥70个项目。</w:t>
            </w:r>
          </w:p>
          <w:p w14:paraId="77C7C88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11、同时分析项目数：比色法同时分析项目数≥70项。</w:t>
            </w:r>
          </w:p>
          <w:p w14:paraId="7A121E10">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12、最少反应液量：≤80μL。</w:t>
            </w:r>
          </w:p>
          <w:p w14:paraId="6C228A17">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13、采用可重复使用的永久性石英玻璃比色杯。</w:t>
            </w:r>
          </w:p>
          <w:p w14:paraId="15BD8B7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14、支持血清、血浆、尿液等多种样本类型，支持原始管直接上机。</w:t>
            </w:r>
          </w:p>
          <w:p w14:paraId="62B0CDDD">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15、配套分析控制软件，支持中文/英文图形化操作界面.</w:t>
            </w:r>
          </w:p>
          <w:p w14:paraId="33E55A0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原厂免费开放接口，无缝对接HIS/LIS/PACS/公卫系统，无对接年费。</w:t>
            </w:r>
          </w:p>
        </w:tc>
        <w:tc>
          <w:tcPr>
            <w:tcW w:w="1297" w:type="dxa"/>
            <w:tcBorders>
              <w:top w:val="single" w:color="000000" w:sz="4" w:space="0"/>
              <w:bottom w:val="single" w:color="000000" w:sz="4" w:space="0"/>
            </w:tcBorders>
            <w:vAlign w:val="top"/>
          </w:tcPr>
          <w:p w14:paraId="3CB23530">
            <w:pPr>
              <w:widowControl/>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49A36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1262C5E">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46</w:t>
            </w:r>
          </w:p>
        </w:tc>
        <w:tc>
          <w:tcPr>
            <w:tcW w:w="1415" w:type="dxa"/>
            <w:tcBorders>
              <w:top w:val="single" w:color="000000" w:sz="4" w:space="0"/>
              <w:bottom w:val="single" w:color="000000" w:sz="4" w:space="0"/>
            </w:tcBorders>
            <w:vAlign w:val="top"/>
          </w:tcPr>
          <w:p w14:paraId="0FBF2FBB">
            <w:pPr>
              <w:kinsoku w:val="0"/>
              <w:autoSpaceDE w:val="0"/>
              <w:autoSpaceDN w:val="0"/>
              <w:adjustRightInd w:val="0"/>
              <w:snapToGrid w:val="0"/>
              <w:spacing w:before="122"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全自动尿液分析仪</w:t>
            </w:r>
          </w:p>
        </w:tc>
        <w:tc>
          <w:tcPr>
            <w:tcW w:w="6878" w:type="dxa"/>
            <w:tcBorders>
              <w:top w:val="single" w:color="000000" w:sz="4" w:space="0"/>
              <w:bottom w:val="single" w:color="000000" w:sz="4" w:space="0"/>
            </w:tcBorders>
            <w:vAlign w:val="top"/>
          </w:tcPr>
          <w:p w14:paraId="0835EED8">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▲1.设备为国产全新全自动尿液干化学分析仪，具备有效的NMPA医疗器械注册证，注册信息可在国家药品监督管理局官网查询核验；投标时须提供加盖生产厂家公章的证件复印件。</w:t>
            </w:r>
          </w:p>
          <w:p w14:paraId="345939DD">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整机符合医用电气安全标准GB 9706.1-2020；制造商具备有效的ISO13485医疗器械质量管理体系认证证书。</w:t>
            </w:r>
          </w:p>
          <w:p w14:paraId="7E52754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3.检测原理：多波长反射光度法，支持不少于11项尿液干化学检测项目，兼容11项、14项规格试纸条。</w:t>
            </w:r>
          </w:p>
          <w:p w14:paraId="542A3D6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4.检测速度≥120样本/小时，配备急诊优先检测通道。</w:t>
            </w:r>
          </w:p>
          <w:p w14:paraId="1007A0A2">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5.采用全自动试纸输送系统，实现试纸自动进条、废试纸自动回收，配置废料收纳盒。</w:t>
            </w:r>
          </w:p>
          <w:p w14:paraId="58D5C18C">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6.配备中文彩色液晶显示屏，实时显示检测进程、样本结果；内置热敏打印机，可输出标准化中文检验报告。</w:t>
            </w:r>
          </w:p>
          <w:p w14:paraId="3588CBEB">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7.内置系统自检程序，设备故障、异常结果声光提示；携带污染率符合YY/T 0996相关标准要求。</w:t>
            </w:r>
          </w:p>
          <w:p w14:paraId="31CE7693">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8.样本数据存储容量≥8000组；具备USB、RS232通讯接口，支持对接院内LIS信息系统。</w:t>
            </w:r>
          </w:p>
          <w:p w14:paraId="5734E354">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9.整机结构紧凑，外壳便于擦拭消毒，耗材更换操作简便，适配基层检验科常态化使用场景。</w:t>
            </w:r>
          </w:p>
          <w:p w14:paraId="1151A0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原厂免费开放接口，无缝对接HIS/LIS/PACS/公卫系统，无对接年费。</w:t>
            </w:r>
          </w:p>
          <w:p w14:paraId="45220BF7">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一、配置</w:t>
            </w:r>
          </w:p>
          <w:p w14:paraId="7CA384F5">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全自动尿液分析仪主机、内置热敏打印模块、配套连接线缆、操作说明书、保修卡。</w:t>
            </w:r>
          </w:p>
          <w:p w14:paraId="54E69B1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二、售后</w:t>
            </w:r>
          </w:p>
          <w:p w14:paraId="6E35B31C">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 整机免费质保≥2年。</w:t>
            </w:r>
          </w:p>
          <w:p w14:paraId="0A9FD0CA">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在湖南省内设有厂家授权售后服务网点，接到报修后48小时内提供上门维修服务。</w:t>
            </w:r>
          </w:p>
          <w:p w14:paraId="7B133F83">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 供方提供免费安装调试、现场操作培训、设备日常维护保养指导。</w:t>
            </w:r>
          </w:p>
          <w:p w14:paraId="5C6661E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 承诺长期稳定供应原厂配套试纸耗材，耗材报价公开透明。</w:t>
            </w:r>
          </w:p>
        </w:tc>
        <w:tc>
          <w:tcPr>
            <w:tcW w:w="1297" w:type="dxa"/>
            <w:tcBorders>
              <w:top w:val="single" w:color="000000" w:sz="4" w:space="0"/>
              <w:bottom w:val="single" w:color="000000" w:sz="4" w:space="0"/>
            </w:tcBorders>
            <w:vAlign w:val="top"/>
          </w:tcPr>
          <w:p w14:paraId="6FF68546">
            <w:pPr>
              <w:widowControl/>
              <w:kinsoku w:val="0"/>
              <w:autoSpaceDE w:val="0"/>
              <w:autoSpaceDN w:val="0"/>
              <w:adjustRightInd w:val="0"/>
              <w:snapToGrid w:val="0"/>
              <w:spacing w:before="122"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60A34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BF1E65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47</w:t>
            </w:r>
          </w:p>
        </w:tc>
        <w:tc>
          <w:tcPr>
            <w:tcW w:w="1415" w:type="dxa"/>
            <w:tcBorders>
              <w:top w:val="single" w:color="000000" w:sz="4" w:space="0"/>
              <w:bottom w:val="single" w:color="000000" w:sz="4" w:space="0"/>
            </w:tcBorders>
            <w:vAlign w:val="top"/>
          </w:tcPr>
          <w:p w14:paraId="70DCE50E">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全自动血球分析仪</w:t>
            </w:r>
          </w:p>
        </w:tc>
        <w:tc>
          <w:tcPr>
            <w:tcW w:w="6878" w:type="dxa"/>
            <w:tcBorders>
              <w:top w:val="single" w:color="000000" w:sz="4" w:space="0"/>
              <w:bottom w:val="single" w:color="000000" w:sz="4" w:space="0"/>
            </w:tcBorders>
            <w:vAlign w:val="top"/>
          </w:tcPr>
          <w:p w14:paraId="452966F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检测原理：采用激光散射法对白细胞进行准确的五分类检测，采用免疫比浊法进行C-反应蛋白（CRP）测定</w:t>
            </w:r>
          </w:p>
          <w:p w14:paraId="5DAD5A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分类通道：具有独立的嗜碱性粒细胞通道</w:t>
            </w:r>
          </w:p>
          <w:p w14:paraId="793A4DB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▲检测参数：≥28项可报告参数（不含散点图和直方图）</w:t>
            </w:r>
          </w:p>
          <w:p w14:paraId="11D2A5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▲研究参数：≥12项，具有异常淋巴细胞、有核红细胞和原始细胞报警信息</w:t>
            </w:r>
          </w:p>
          <w:p w14:paraId="7994DA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进样方式：全自动进样，封闭进样</w:t>
            </w:r>
          </w:p>
          <w:p w14:paraId="14DD750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检测模式：具有独立CRP、五分类+CRP等3种以上全血检测模式</w:t>
            </w:r>
          </w:p>
          <w:p w14:paraId="21D5754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样本添加：可随时添加样本</w:t>
            </w:r>
          </w:p>
          <w:p w14:paraId="5BA0D9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进样器容量：≥40个</w:t>
            </w:r>
          </w:p>
          <w:p w14:paraId="40FEBD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进样模式：具有独立的静脉全血、末梢全血、预稀释血检测模式</w:t>
            </w:r>
          </w:p>
          <w:p w14:paraId="6B15D1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▲静脉样本用量：五分类+CRP模式≤35μl，CRP模式≤20μl</w:t>
            </w:r>
          </w:p>
          <w:p w14:paraId="0E88282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检测速度：五分类+CRP模式≥60个样本/小时</w:t>
            </w:r>
          </w:p>
          <w:p w14:paraId="6745CB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预稀释模式：自动定量打出稀释液，具备五分类+CRP功能</w:t>
            </w:r>
          </w:p>
          <w:p w14:paraId="7D3D2C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WBC线性范围：0~400×109/L? ?</w:t>
            </w:r>
          </w:p>
          <w:p w14:paraId="1E0C91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CRP线性范围：0.3~320mg/L</w:t>
            </w:r>
          </w:p>
          <w:p w14:paraId="75FFFAB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CRP携带污染：≤1.0%</w:t>
            </w:r>
          </w:p>
          <w:p w14:paraId="2AB109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操作系统：全中文操作分析报告软件</w:t>
            </w:r>
          </w:p>
          <w:p w14:paraId="1C1238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排堵方式：正反冲洗，高压灼烧</w:t>
            </w:r>
          </w:p>
          <w:p w14:paraId="1A3373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▲具有配套的试剂、校准品、质控品，并提供校准品溯源性文件</w:t>
            </w:r>
          </w:p>
          <w:p w14:paraId="5B06FA6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原厂免费开放接口，无缝对接HIS/LIS/PACS/公卫系统，无对接年费。</w:t>
            </w:r>
          </w:p>
          <w:p w14:paraId="3B109C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12EFB007">
            <w:pPr>
              <w:widowControl/>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08E89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6E0BF4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48</w:t>
            </w:r>
          </w:p>
        </w:tc>
        <w:tc>
          <w:tcPr>
            <w:tcW w:w="1415" w:type="dxa"/>
            <w:tcBorders>
              <w:top w:val="single" w:color="000000" w:sz="4" w:space="0"/>
              <w:bottom w:val="single" w:color="000000" w:sz="4" w:space="0"/>
            </w:tcBorders>
            <w:vAlign w:val="top"/>
          </w:tcPr>
          <w:p w14:paraId="623EDF58">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全自动化学化光仪</w:t>
            </w:r>
          </w:p>
        </w:tc>
        <w:tc>
          <w:tcPr>
            <w:tcW w:w="6878" w:type="dxa"/>
            <w:tcBorders>
              <w:top w:val="single" w:color="000000" w:sz="4" w:space="0"/>
              <w:bottom w:val="single" w:color="000000" w:sz="4" w:space="0"/>
            </w:tcBorders>
            <w:vAlign w:val="top"/>
          </w:tcPr>
          <w:p w14:paraId="36E4DC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1、仪器类型：全自动随机管式，急诊优先检测；</w:t>
            </w:r>
          </w:p>
          <w:p w14:paraId="0EFDFA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2、测试速度：单台设备最大测试速度≥200T/H；</w:t>
            </w:r>
          </w:p>
          <w:p w14:paraId="173ED65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3、视觉识别：能够自动识别不同的样本容器，对异常液面智能识别和报警，确保加样的准确性；</w:t>
            </w:r>
          </w:p>
          <w:p w14:paraId="5D54CDC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4、样本针清洗方式：瀑布式真空气吸清洗，样本针携带污染率&lt;0.1ppm；</w:t>
            </w:r>
          </w:p>
          <w:p w14:paraId="1CE3C60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5、样本管规格：能支持微量样本杯、原始采血管、塑料试管；</w:t>
            </w:r>
          </w:p>
          <w:p w14:paraId="5BD608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6、试剂针：具有液面探测、随量跟踪、立体防撞、气泡检测等功能；</w:t>
            </w:r>
          </w:p>
          <w:p w14:paraId="360DF3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7、反应杯：反应单元为一次性反应杯，一次性加载≥1200个,料斗式散装反应杯进样；</w:t>
            </w:r>
          </w:p>
          <w:p w14:paraId="30C348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8、混匀方式：同时具备非接触式偏心涡旋混匀和超声混匀两种技术；</w:t>
            </w:r>
          </w:p>
          <w:p w14:paraId="3107C5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9、磁分离机构布局：单独磁分离盘，4重磁分离清洗，底物注入；</w:t>
            </w:r>
          </w:p>
          <w:p w14:paraId="7AE0B4B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10、校准方式：内置主曲线，二维码识别，配套校准品校正；</w:t>
            </w:r>
          </w:p>
          <w:p w14:paraId="28FE38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w:t>
            </w:r>
          </w:p>
          <w:p w14:paraId="3CE7D60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w:t>
            </w:r>
            <w:r>
              <w:rPr>
                <w:rFonts w:hint="eastAsia" w:ascii="宋体" w:hAnsi="宋体" w:eastAsia="宋体" w:cs="宋体"/>
                <w:snapToGrid w:val="0"/>
                <w:color w:val="auto"/>
                <w:kern w:val="0"/>
                <w:sz w:val="18"/>
                <w:szCs w:val="18"/>
                <w:lang w:eastAsia="en-US"/>
              </w:rPr>
              <w:t>原厂免费开放接口，无缝对接HIS/LIS/PACS/公卫系统，无对接年费。</w:t>
            </w:r>
          </w:p>
        </w:tc>
        <w:tc>
          <w:tcPr>
            <w:tcW w:w="1297" w:type="dxa"/>
            <w:tcBorders>
              <w:top w:val="single" w:color="000000" w:sz="4" w:space="0"/>
              <w:bottom w:val="single" w:color="000000" w:sz="4" w:space="0"/>
            </w:tcBorders>
            <w:vAlign w:val="top"/>
          </w:tcPr>
          <w:p w14:paraId="3F9F3961">
            <w:pPr>
              <w:widowControl/>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7ECC5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4082E75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49</w:t>
            </w:r>
          </w:p>
        </w:tc>
        <w:tc>
          <w:tcPr>
            <w:tcW w:w="1415" w:type="dxa"/>
            <w:tcBorders>
              <w:top w:val="single" w:color="000000" w:sz="4" w:space="0"/>
              <w:bottom w:val="single" w:color="000000" w:sz="4" w:space="0"/>
            </w:tcBorders>
            <w:vAlign w:val="top"/>
          </w:tcPr>
          <w:p w14:paraId="2BCFCDCB">
            <w:pPr>
              <w:kinsoku w:val="0"/>
              <w:autoSpaceDE w:val="0"/>
              <w:autoSpaceDN w:val="0"/>
              <w:adjustRightInd w:val="0"/>
              <w:snapToGrid w:val="0"/>
              <w:spacing w:before="124" w:line="219" w:lineRule="auto"/>
              <w:ind w:left="19"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6878" w:type="dxa"/>
            <w:tcBorders>
              <w:top w:val="single" w:color="000000" w:sz="4" w:space="0"/>
              <w:bottom w:val="single" w:color="000000" w:sz="4" w:space="0"/>
            </w:tcBorders>
            <w:vAlign w:val="top"/>
          </w:tcPr>
          <w:p w14:paraId="4B573E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1.最高转速≥5500r/min；</w:t>
            </w:r>
          </w:p>
          <w:p w14:paraId="2A7100C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2.转速精度≤±10r/min；</w:t>
            </w:r>
          </w:p>
          <w:p w14:paraId="784179B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3.最大相对离心力≥4500xg；</w:t>
            </w:r>
          </w:p>
          <w:p w14:paraId="446A0C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4.可以直接设置离心力或转速；</w:t>
            </w:r>
          </w:p>
          <w:p w14:paraId="40D6177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5.最大容量：≥4×750ml，一次性可分离≥25支50ml、≥75支15ml尖底离心管、≥150支5/7ml采血管，≥120孔自动脱帽适配器。</w:t>
            </w:r>
          </w:p>
          <w:p w14:paraId="06622C9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6.定时范围：1 s-99h59min；具有启动计时、到转速计时、连续计时等≥3种计时模式；</w:t>
            </w:r>
          </w:p>
          <w:p w14:paraId="685A48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7.温度设置范围：-20℃～+40℃或更宽范围，温度控制精度±1℃；</w:t>
            </w:r>
          </w:p>
          <w:p w14:paraId="7285D4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8.加/减速曲线：≥10档加速曲线、≥10档减速曲线，可根据实验需求，自定义升速、降速时间曲线；</w:t>
            </w:r>
          </w:p>
          <w:p w14:paraId="7C042F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9.驱动系统：交流变频电机驱动；</w:t>
            </w:r>
          </w:p>
          <w:p w14:paraId="71FB82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10.控制系统：≥7寸高灵敏度（可戴手套直接操作）高清触摸屏控制；可设置转速或离心力，设置参数与运行参数同屏显示。</w:t>
            </w:r>
          </w:p>
          <w:p w14:paraId="5CD248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11.可以设置≥100组程序，并可对每组程序进行简易命名。</w:t>
            </w:r>
          </w:p>
          <w:p w14:paraId="6D5081C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12.可选中≥5组程序，实现阶梯离心。</w:t>
            </w:r>
          </w:p>
          <w:p w14:paraId="6415D73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13.可以根据实验的时间间隔设置仪器的休眠时间；</w:t>
            </w:r>
          </w:p>
          <w:p w14:paraId="335E49F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14.自动保存运行记录、故障记录。</w:t>
            </w:r>
          </w:p>
          <w:p w14:paraId="7B88E1B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15.材质：离心腔采用316L不锈钢；转子、吊篮采用7075-T6航空级锻造铝合金；</w:t>
            </w:r>
          </w:p>
          <w:p w14:paraId="0DC866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16.具备经第三方认证的气密性圆杯/方杯,并可高温高压灭菌。</w:t>
            </w:r>
          </w:p>
          <w:p w14:paraId="479FCD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17.压缩机组：节能双通道变频压缩机组</w:t>
            </w:r>
          </w:p>
          <w:p w14:paraId="56A6F24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18.具有点动功能</w:t>
            </w:r>
          </w:p>
          <w:p w14:paraId="6EB64F1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19.具有转子识别</w:t>
            </w:r>
          </w:p>
          <w:p w14:paraId="592291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20.配置要求：≥4*750ml水平圆杯转子带≥4*15*15ml尖底适配器/4*7*50ml尖底适配器</w:t>
            </w:r>
          </w:p>
          <w:p w14:paraId="5F09A01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配置清单</w:t>
            </w:r>
          </w:p>
          <w:p w14:paraId="567AB0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配置要求：≥4*750ml水平圆杯转子带≥4*15*15ml尖底适配器/4*7*50ml尖底适配器</w:t>
            </w:r>
          </w:p>
          <w:p w14:paraId="77F71A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D9912D8">
            <w:pPr>
              <w:widowControl/>
              <w:kinsoku w:val="0"/>
              <w:autoSpaceDE w:val="0"/>
              <w:autoSpaceDN w:val="0"/>
              <w:adjustRightInd w:val="0"/>
              <w:snapToGrid w:val="0"/>
              <w:spacing w:before="124" w:line="219" w:lineRule="auto"/>
              <w:ind w:left="19"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59BDF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5F9C4B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50</w:t>
            </w:r>
          </w:p>
        </w:tc>
        <w:tc>
          <w:tcPr>
            <w:tcW w:w="1415" w:type="dxa"/>
            <w:tcBorders>
              <w:top w:val="single" w:color="000000" w:sz="4" w:space="0"/>
              <w:bottom w:val="single" w:color="000000" w:sz="4" w:space="0"/>
            </w:tcBorders>
            <w:vAlign w:val="top"/>
          </w:tcPr>
          <w:p w14:paraId="2A2373BD">
            <w:pPr>
              <w:kinsoku w:val="0"/>
              <w:autoSpaceDE w:val="0"/>
              <w:autoSpaceDN w:val="0"/>
              <w:adjustRightInd w:val="0"/>
              <w:snapToGrid w:val="0"/>
              <w:spacing w:before="125"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全自动电解质仪</w:t>
            </w:r>
          </w:p>
        </w:tc>
        <w:tc>
          <w:tcPr>
            <w:tcW w:w="6878" w:type="dxa"/>
            <w:tcBorders>
              <w:top w:val="single" w:color="000000" w:sz="4" w:space="0"/>
              <w:bottom w:val="single" w:color="000000" w:sz="4" w:space="0"/>
            </w:tcBorders>
            <w:vAlign w:val="top"/>
          </w:tcPr>
          <w:p w14:paraId="4359D38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1、技术特点：</w:t>
            </w:r>
          </w:p>
          <w:p w14:paraId="1F25396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1-1、真彩色高清触摸屏≥7英寸，人机交互式菜单，操作和 维护导航功能，在线故障自动报警及排除；</w:t>
            </w:r>
          </w:p>
          <w:p w14:paraId="39395A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1-2、功能部件自动检测，传感部件自动判断、自动适应和自 动校正 ；</w:t>
            </w:r>
          </w:p>
          <w:p w14:paraId="1C34CF5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1-3、自动进样盘，自动进样盘至少提供：1个急诊测试位， 3个质控测试位及25个样品测试位；进样盘配原始管加? 样、无需分装样品直接测量，液面检测及采样针防碰撞? 功能，外置条码扫描。</w:t>
            </w:r>
          </w:p>
          <w:p w14:paraId="4331C23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1-4、一键式全方位维护操作，免除操作者繁杂工作及确保仪 器最优工作状态</w:t>
            </w:r>
          </w:p>
          <w:p w14:paraId="24F015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1-5、检测和计算项目：K、Na?、C1-、Ca2、pH、nCa、TCa 等多种参数组合</w:t>
            </w:r>
          </w:p>
          <w:p w14:paraId="447E0E4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1-6、样品耗量≤80μ1～150μ1,电解质项目从吸样到显示 结果≤25秒</w:t>
            </w:r>
          </w:p>
          <w:p w14:paraId="18785AB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1-7、断电后仍可储存质控和样品数据，实现数据储存再现， 超大存储量&gt;5000,并支持无限扩展</w:t>
            </w:r>
          </w:p>
          <w:p w14:paraId="29A84AD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1-8、国际标准HL7协议，标配网络接口支持LIS联网，支持外接打印机、鼠标和键盘，支持U盘数据导出，支持 软件在线升级。</w:t>
            </w:r>
          </w:p>
          <w:p w14:paraId="5F603E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1-9、自动一点及两点定标，附加人工定标功能，自动斜率和均差参数调整，支持原厂质控参数条码扫描输入</w:t>
            </w:r>
          </w:p>
          <w:p w14:paraId="11E704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1-10、一体化试剂包，降低生物污染风险，符合环保要求</w:t>
            </w:r>
          </w:p>
          <w:p w14:paraId="03CDB0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1-11、试剂余量报警，具备条码耗材控制功</w:t>
            </w:r>
          </w:p>
          <w:p w14:paraId="7E9836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1-12、</w:t>
            </w:r>
            <w:r>
              <w:rPr>
                <w:rFonts w:hint="eastAsia" w:ascii="宋体" w:hAnsi="宋体" w:eastAsia="宋体" w:cs="宋体"/>
                <w:snapToGrid w:val="0"/>
                <w:color w:val="auto"/>
                <w:kern w:val="0"/>
                <w:sz w:val="18"/>
                <w:szCs w:val="18"/>
                <w:lang w:eastAsia="en-US"/>
              </w:rPr>
              <w:t>原厂免费开放接口，无缝对接HIS/LIS/PACS/公卫系统，无对接年费。</w:t>
            </w:r>
          </w:p>
          <w:p w14:paraId="4A9D233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2、样品种类：血清</w:t>
            </w:r>
          </w:p>
          <w:p w14:paraId="340B5D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3、测量范围和精度：能</w:t>
            </w:r>
          </w:p>
          <w:p w14:paraId="514A1F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4、工作条件： </w:t>
            </w:r>
          </w:p>
          <w:p w14:paraId="03FF3A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4-1、工作温度：10℃一40℃</w:t>
            </w:r>
          </w:p>
          <w:p w14:paraId="413599B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项 目 测量范围</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精密度(CV 值 ) </w:t>
            </w:r>
          </w:p>
          <w:p w14:paraId="441DCC4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K</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0.5—15.0mmol/L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7E04A2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Na</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20.0—200.0 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3474FEC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C1</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20.0-200.0 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62EF72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Ca2</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0.1-5.0 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≤1.5% </w:t>
            </w:r>
          </w:p>
          <w:p w14:paraId="1D768D6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pH</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6.0-9.0</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25DB70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4-2、相对湿度：≤80%</w:t>
            </w:r>
          </w:p>
          <w:p w14:paraId="40ABEB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F1ED622">
            <w:pPr>
              <w:widowControl/>
              <w:kinsoku w:val="0"/>
              <w:autoSpaceDE w:val="0"/>
              <w:autoSpaceDN w:val="0"/>
              <w:adjustRightInd w:val="0"/>
              <w:snapToGrid w:val="0"/>
              <w:spacing w:before="125"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49569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2A9E6EA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51</w:t>
            </w:r>
          </w:p>
        </w:tc>
        <w:tc>
          <w:tcPr>
            <w:tcW w:w="1415" w:type="dxa"/>
            <w:tcBorders>
              <w:top w:val="single" w:color="000000" w:sz="4" w:space="0"/>
              <w:bottom w:val="single" w:color="000000" w:sz="4" w:space="0"/>
            </w:tcBorders>
            <w:vAlign w:val="top"/>
          </w:tcPr>
          <w:p w14:paraId="4C63E019">
            <w:pPr>
              <w:kinsoku w:val="0"/>
              <w:autoSpaceDE w:val="0"/>
              <w:autoSpaceDN w:val="0"/>
              <w:adjustRightInd w:val="0"/>
              <w:snapToGrid w:val="0"/>
              <w:spacing w:before="124"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6878" w:type="dxa"/>
            <w:tcBorders>
              <w:top w:val="single" w:color="000000" w:sz="4" w:space="0"/>
              <w:bottom w:val="single" w:color="000000" w:sz="4" w:space="0"/>
            </w:tcBorders>
            <w:vAlign w:val="top"/>
          </w:tcPr>
          <w:p w14:paraId="181F0A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1、目镜：10×大视野、高眼点平场目镜，视场数Φ≥20mm，带指针；</w:t>
            </w:r>
          </w:p>
          <w:p w14:paraId="63DC17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2、物镜： 无限远平场消色差减光物镜：4×、10×；无限远平场消色差物镜：40×（弹）、100×（弹、油）</w:t>
            </w:r>
          </w:p>
          <w:p w14:paraId="64F7C6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3、观察筒：铰链式双目镜筒，30°倾斜，360°旋转，瞳距调节≥50mm～75mm；</w:t>
            </w:r>
          </w:p>
          <w:p w14:paraId="623A00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4、物镜转换器：内倾式内定位四孔转换器；</w:t>
            </w:r>
          </w:p>
          <w:p w14:paraId="3D2A521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5、调焦装置：粗微同轴调焦，粗调行程≥25mm，带松紧调节；并有调焦上限位装置?</w:t>
            </w:r>
          </w:p>
          <w:p w14:paraId="246008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6、载物台：机械移动载物台；面积≥145 mm×140 mm，进口三角导轨, 移动范围≥76 mm×52 mm，游标刻度0.1mm，双片夹结构</w:t>
            </w:r>
          </w:p>
          <w:p w14:paraId="1F0E7A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7、非球面照明系统：3W-LED冷光源照明系统（USB供电接口，可连接充电宝供电），亮度可调，(非球面照明系统提供彩页证明)</w:t>
            </w:r>
          </w:p>
          <w:p w14:paraId="291E99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8、为保证产品质量需提供第三方产品检测报告；</w:t>
            </w:r>
          </w:p>
          <w:p w14:paraId="67B0A1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95DB4C6">
            <w:pPr>
              <w:widowControl/>
              <w:kinsoku w:val="0"/>
              <w:autoSpaceDE w:val="0"/>
              <w:autoSpaceDN w:val="0"/>
              <w:adjustRightInd w:val="0"/>
              <w:snapToGrid w:val="0"/>
              <w:spacing w:before="124" w:line="219" w:lineRule="auto"/>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7A084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66C7F96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52</w:t>
            </w:r>
          </w:p>
        </w:tc>
        <w:tc>
          <w:tcPr>
            <w:tcW w:w="1415" w:type="dxa"/>
            <w:tcBorders>
              <w:top w:val="single" w:color="000000" w:sz="4" w:space="0"/>
              <w:bottom w:val="single" w:color="000000" w:sz="4" w:space="0"/>
            </w:tcBorders>
            <w:vAlign w:val="top"/>
          </w:tcPr>
          <w:p w14:paraId="7E809D85">
            <w:pPr>
              <w:kinsoku w:val="0"/>
              <w:autoSpaceDE w:val="0"/>
              <w:autoSpaceDN w:val="0"/>
              <w:adjustRightInd w:val="0"/>
              <w:snapToGrid w:val="0"/>
              <w:spacing w:before="126" w:line="219" w:lineRule="auto"/>
              <w:ind w:left="44"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5"/>
                <w:kern w:val="0"/>
                <w:sz w:val="18"/>
                <w:szCs w:val="18"/>
                <w:lang w:val="en-US" w:eastAsia="zh-CN" w:bidi="ar-SA"/>
              </w:rPr>
              <w:t>耳</w:t>
            </w:r>
            <w:r>
              <w:rPr>
                <w:rFonts w:hint="eastAsia" w:ascii="宋体" w:hAnsi="宋体" w:eastAsia="宋体" w:cs="宋体"/>
                <w:snapToGrid w:val="0"/>
                <w:color w:val="auto"/>
                <w:spacing w:val="-5"/>
                <w:kern w:val="0"/>
                <w:sz w:val="18"/>
                <w:szCs w:val="18"/>
                <w:lang w:val="en-US" w:eastAsia="en-US" w:bidi="ar-SA"/>
              </w:rPr>
              <w:t>鼻喉内窥镜</w:t>
            </w:r>
          </w:p>
        </w:tc>
        <w:tc>
          <w:tcPr>
            <w:tcW w:w="6878" w:type="dxa"/>
            <w:tcBorders>
              <w:top w:val="single" w:color="000000" w:sz="4" w:space="0"/>
              <w:bottom w:val="single" w:color="000000" w:sz="4" w:space="0"/>
            </w:tcBorders>
            <w:vAlign w:val="top"/>
          </w:tcPr>
          <w:p w14:paraId="59E6672D">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设备为国产全新原装电子鼻咽喉内窥镜系统，具备有效的NMPA第三类医疗器械注册证，提供注册证、产品技术要求复印件加盖生产厂家公章，注册证可在国家药监局官网查验。</w:t>
            </w:r>
          </w:p>
          <w:p w14:paraId="592DA917">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整机符合医用电气安全标准GB 9706.1-2020，设备制造商具备ISO13485医疗器械质量管理体系认证。</w:t>
            </w:r>
          </w:p>
          <w:p w14:paraId="49146BB2">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临床用途：满足鼻腔、鼻咽、口咽、喉部常规筛查检查，完成图像采集、存储、报告打印，适配乡镇卫生院门诊常见病诊疗。</w:t>
            </w:r>
          </w:p>
          <w:p w14:paraId="3991C241">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二、软性电子鼻咽喉镜（检查镜）</w:t>
            </w:r>
          </w:p>
          <w:p w14:paraId="6D0B68E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成像方式：镜头内置CMOS电子成像，光纤无导像束设计。</w:t>
            </w:r>
          </w:p>
          <w:p w14:paraId="45028A8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插入部外径≤3.0mm，适合成人及儿童检查；有效工作长度280mm～320mm。</w:t>
            </w:r>
          </w:p>
          <w:p w14:paraId="4EB5C5C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视场角≥90°；景深范围2mm～50mm。</w:t>
            </w:r>
          </w:p>
          <w:p w14:paraId="0F2C2051">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前端双向弯曲：向上弯曲≥120°，向下弯曲≥120°。</w:t>
            </w:r>
          </w:p>
          <w:p w14:paraId="7D60947A">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操作手柄配置≥2个自定义功能按键，支持图像冻结、拍照、录像。</w:t>
            </w:r>
          </w:p>
          <w:p w14:paraId="66A47D95">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 镜体操作部防水等级不低于IPX7，支持整体浸泡消毒。</w:t>
            </w:r>
          </w:p>
          <w:p w14:paraId="0791A420">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 具备自动曝光控制、图像降噪、色彩优化功能。</w:t>
            </w:r>
          </w:p>
          <w:p w14:paraId="1D8F4A6B">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三、图像处理主机与显示系统</w:t>
            </w:r>
          </w:p>
          <w:p w14:paraId="3B50841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一体化图像处理主机，内置LED冷光源，光源使用寿命≥30000小时。</w:t>
            </w:r>
          </w:p>
          <w:p w14:paraId="35196F92">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医用高清显示器≥15英寸，支持实时图像显示、画面冻结。</w:t>
            </w:r>
          </w:p>
          <w:p w14:paraId="2EFDF15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具备USB图像存储，支持JPG图片、MP4视频保存；可外接打印机输出图文报告。</w:t>
            </w:r>
          </w:p>
          <w:p w14:paraId="55A020DC">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配备中文操作界面，支持图像白平衡一键校准。</w:t>
            </w:r>
          </w:p>
          <w:p w14:paraId="294EC93A">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预留数据接口，可对接医院HIS/LIS</w:t>
            </w:r>
            <w:r>
              <w:rPr>
                <w:rFonts w:hint="eastAsia" w:ascii="宋体" w:hAnsi="宋体" w:eastAsia="宋体" w:cs="宋体"/>
                <w:snapToGrid w:val="0"/>
                <w:color w:val="auto"/>
                <w:kern w:val="0"/>
                <w:sz w:val="18"/>
                <w:szCs w:val="18"/>
                <w:lang w:val="en-US" w:eastAsia="zh-CN"/>
              </w:rPr>
              <w:t>等</w:t>
            </w:r>
            <w:r>
              <w:rPr>
                <w:rFonts w:hint="eastAsia" w:ascii="宋体" w:hAnsi="宋体" w:eastAsia="宋体" w:cs="宋体"/>
                <w:snapToGrid w:val="0"/>
                <w:color w:val="auto"/>
                <w:kern w:val="0"/>
                <w:sz w:val="18"/>
                <w:szCs w:val="18"/>
                <w:lang w:eastAsia="en-US"/>
              </w:rPr>
              <w:t>系统（可选）。</w:t>
            </w:r>
          </w:p>
          <w:p w14:paraId="3C311B9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四、标准配置清单</w:t>
            </w:r>
          </w:p>
          <w:p w14:paraId="4287CEBF">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电子鼻咽喉软镜（检查镜）1支</w:t>
            </w:r>
          </w:p>
          <w:p w14:paraId="2E8ABD6D">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图像处理主机（集成冷光源）1台</w:t>
            </w:r>
          </w:p>
          <w:p w14:paraId="278E6C77">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医用高清显示器1台</w:t>
            </w:r>
          </w:p>
          <w:p w14:paraId="0FE451FF">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移动医用台车1套</w:t>
            </w:r>
          </w:p>
          <w:p w14:paraId="0F60EAD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图文报告打印软件、配套线缆</w:t>
            </w:r>
          </w:p>
          <w:p w14:paraId="2770B6EA">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 配套消毒收纳盒、操作配件</w:t>
            </w:r>
          </w:p>
          <w:p w14:paraId="4FC37464">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五、商务与售后要求</w:t>
            </w:r>
          </w:p>
          <w:p w14:paraId="44593A5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整机免费质保≥2年，镜体质保不低于1年；湖南省内具备常驻售后工程师，48小时上门维修。</w:t>
            </w:r>
          </w:p>
          <w:p w14:paraId="72C951E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提供原厂操作培训、清洗消毒规范化培训。</w:t>
            </w:r>
          </w:p>
          <w:p w14:paraId="2791CB8D">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3. 承诺长期供应原厂备件，配件报价公开透明。</w:t>
            </w:r>
          </w:p>
        </w:tc>
        <w:tc>
          <w:tcPr>
            <w:tcW w:w="1297" w:type="dxa"/>
            <w:tcBorders>
              <w:top w:val="single" w:color="000000" w:sz="4" w:space="0"/>
              <w:bottom w:val="single" w:color="000000" w:sz="4" w:space="0"/>
            </w:tcBorders>
            <w:vAlign w:val="top"/>
          </w:tcPr>
          <w:p w14:paraId="2A00B256">
            <w:pPr>
              <w:widowControl/>
              <w:kinsoku w:val="0"/>
              <w:autoSpaceDE w:val="0"/>
              <w:autoSpaceDN w:val="0"/>
              <w:adjustRightInd w:val="0"/>
              <w:snapToGrid w:val="0"/>
              <w:spacing w:before="126" w:line="219" w:lineRule="auto"/>
              <w:ind w:left="44"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C56B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3E5E402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53</w:t>
            </w:r>
          </w:p>
        </w:tc>
        <w:tc>
          <w:tcPr>
            <w:tcW w:w="1415" w:type="dxa"/>
            <w:tcBorders>
              <w:top w:val="single" w:color="000000" w:sz="4" w:space="0"/>
              <w:bottom w:val="single" w:color="000000" w:sz="4" w:space="0"/>
            </w:tcBorders>
            <w:vAlign w:val="top"/>
          </w:tcPr>
          <w:p w14:paraId="367C2602">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6878" w:type="dxa"/>
            <w:tcBorders>
              <w:top w:val="single" w:color="000000" w:sz="4" w:space="0"/>
              <w:bottom w:val="single" w:color="000000" w:sz="4" w:space="0"/>
            </w:tcBorders>
            <w:vAlign w:val="top"/>
          </w:tcPr>
          <w:p w14:paraId="3A38E87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一、技术特点</w:t>
            </w:r>
          </w:p>
          <w:p w14:paraId="50B36A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1.国产。</w:t>
            </w:r>
          </w:p>
          <w:p w14:paraId="3888DE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2.适用于血液透析、单纯超滤等治疗模式。</w:t>
            </w:r>
          </w:p>
          <w:p w14:paraId="64F0AF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3.采用≧15 </w:t>
            </w:r>
            <w:r>
              <w:rPr>
                <w:rFonts w:hint="eastAsia" w:ascii="宋体" w:hAnsi="宋体" w:eastAsia="宋体" w:cs="宋体"/>
                <w:snapToGrid w:val="0"/>
                <w:color w:val="auto"/>
                <w:kern w:val="0"/>
                <w:sz w:val="18"/>
                <w:szCs w:val="18"/>
                <w:lang w:val="en-US" w:eastAsia="zh-CN"/>
              </w:rPr>
              <w:t>英</w:t>
            </w:r>
            <w:r>
              <w:rPr>
                <w:rFonts w:hint="eastAsia" w:ascii="宋体" w:hAnsi="宋体" w:eastAsia="宋体" w:cs="宋体"/>
                <w:snapToGrid w:val="0"/>
                <w:color w:val="auto"/>
                <w:kern w:val="0"/>
                <w:sz w:val="18"/>
                <w:szCs w:val="18"/>
                <w:lang w:eastAsia="en-US"/>
              </w:rPr>
              <w:t>寸多角度旋转液晶触摸屏，中英文等多种语言界面。</w:t>
            </w:r>
          </w:p>
          <w:p w14:paraId="04A844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4.具有多种钠离子、超滤速率、</w:t>
            </w:r>
            <w:r>
              <w:rPr>
                <w:rFonts w:hint="eastAsia" w:ascii="宋体" w:hAnsi="宋体" w:eastAsia="宋体" w:cs="宋体"/>
                <w:snapToGrid w:val="0"/>
                <w:color w:val="auto"/>
                <w:kern w:val="0"/>
                <w:sz w:val="18"/>
                <w:szCs w:val="18"/>
                <w:lang w:val="en-US" w:eastAsia="zh-CN"/>
              </w:rPr>
              <w:t>碳酸氢</w:t>
            </w:r>
            <w:r>
              <w:rPr>
                <w:rFonts w:hint="eastAsia" w:ascii="宋体" w:hAnsi="宋体" w:eastAsia="宋体" w:cs="宋体"/>
                <w:snapToGrid w:val="0"/>
                <w:color w:val="auto"/>
                <w:kern w:val="0"/>
                <w:sz w:val="18"/>
                <w:szCs w:val="18"/>
                <w:lang w:eastAsia="en-US"/>
              </w:rPr>
              <w:t>盐、肝素流量、透析液流量、透析液温度等标准曲线和自设曲线功能，可为患者提供个性化治疗。</w:t>
            </w:r>
          </w:p>
          <w:p w14:paraId="1A6B43D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5.预设多种标准透析液配制比例，亦可自设比例，适应市面上各种品牌的透析粉或浓缩液。</w:t>
            </w:r>
          </w:p>
          <w:p w14:paraId="0B85FE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6.先进的容量平衡反馈控制系统，超滤更精确。</w:t>
            </w:r>
          </w:p>
          <w:p w14:paraId="548A98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7.方便的序贯透析（透析←→单纯超滤）、高低钠序贯透析。</w:t>
            </w:r>
          </w:p>
          <w:p w14:paraId="0CFF03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8.透析液配制反馈控制系统，透析液离子浓度更准确。</w:t>
            </w:r>
          </w:p>
          <w:p w14:paraId="2203E9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.醒目的红、黄、绿三级警示灯，配合多种音乐提示和报警，兼顾安全与人性化。</w:t>
            </w:r>
          </w:p>
          <w:p w14:paraId="7D0C040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 xml:space="preserve">.内置后备电源，停电后可维持血液回路工作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0 分钟以上。</w:t>
            </w:r>
          </w:p>
          <w:p w14:paraId="58E57FD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.可使用 10mL、 20mL、 30 mL、50mL 注射器，自动检测注射器型号，完善的功能自检和报警系统，支持肝素曲线。</w:t>
            </w:r>
          </w:p>
          <w:p w14:paraId="1B394E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.引导式操作界面，医护人员操作更加简单、快捷。</w:t>
            </w:r>
          </w:p>
          <w:p w14:paraId="7346FB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w:t>
            </w:r>
            <w:r>
              <w:rPr>
                <w:rFonts w:hint="eastAsia" w:ascii="宋体" w:hAnsi="宋体" w:eastAsia="宋体" w:cs="宋体"/>
                <w:snapToGrid w:val="0"/>
                <w:color w:val="auto"/>
                <w:kern w:val="0"/>
                <w:sz w:val="18"/>
                <w:szCs w:val="18"/>
                <w:lang w:eastAsia="en-US"/>
              </w:rPr>
              <w:t>具有在线Kt/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实时清除率监测功能，可实时测量并图形显示Kt/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值和URR值，用于评价透析治疗的充分性。</w:t>
            </w:r>
          </w:p>
          <w:p w14:paraId="5C42CCE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14.具有血容量监测功能，用于监测治疗过程中患者的相对血容量。</w:t>
            </w:r>
          </w:p>
          <w:p w14:paraId="026153A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zh-CN"/>
              </w:rPr>
              <w:t>具有</w:t>
            </w:r>
            <w:r>
              <w:rPr>
                <w:rFonts w:hint="eastAsia" w:ascii="宋体" w:hAnsi="宋体" w:eastAsia="宋体" w:cs="宋体"/>
                <w:snapToGrid w:val="0"/>
                <w:color w:val="auto"/>
                <w:kern w:val="0"/>
                <w:sz w:val="18"/>
                <w:szCs w:val="18"/>
                <w:lang w:eastAsia="en-US"/>
              </w:rPr>
              <w:t>体外循环血液温度监测功能，用于监测治疗过程中体外循环管路内血液温度</w:t>
            </w:r>
            <w:r>
              <w:rPr>
                <w:rFonts w:hint="eastAsia" w:ascii="宋体" w:hAnsi="宋体" w:eastAsia="宋体" w:cs="宋体"/>
                <w:snapToGrid w:val="0"/>
                <w:color w:val="auto"/>
                <w:kern w:val="0"/>
                <w:sz w:val="18"/>
                <w:szCs w:val="18"/>
                <w:lang w:eastAsia="zh-CN"/>
              </w:rPr>
              <w:t>。</w:t>
            </w:r>
          </w:p>
          <w:p w14:paraId="60083B4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二、技术参数:</w:t>
            </w:r>
          </w:p>
          <w:p w14:paraId="244E9B3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1.动脉压监测: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00mmHg，精度可达：±10 mmHg</w:t>
            </w:r>
          </w:p>
          <w:p w14:paraId="233C09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2.静脉压监测: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5C0BC03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3.跨膜压监测: -</w:t>
            </w: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5282F1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4.透析液流量：100mL/min～</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00mL/min，精度：±5％</w:t>
            </w:r>
          </w:p>
          <w:p w14:paraId="007269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5.透析液温度范围：33℃～40℃，精度±0.5℃</w:t>
            </w:r>
          </w:p>
          <w:p w14:paraId="1411D3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6.透析液电导率: 12mS/cm～18mS/cm</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 ±0.1 mS/cm</w:t>
            </w:r>
          </w:p>
          <w:p w14:paraId="253469F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zh-CN"/>
              </w:rPr>
              <w:t>7.置换液流量：30-600 ml/min（HDF-online）</w:t>
            </w:r>
          </w:p>
          <w:p w14:paraId="5AEEDC0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血流量：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～600mL/min</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精度±10%</w:t>
            </w:r>
          </w:p>
          <w:p w14:paraId="06A20CE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.超滤控制 超滤率：0～</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000mL/h</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精度：±30mL/h</w:t>
            </w:r>
          </w:p>
          <w:p w14:paraId="708066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.肝素泵注入流量：0～10ml/h</w:t>
            </w:r>
          </w:p>
          <w:p w14:paraId="7E9FCA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.气泡检测器：可监测＞0.02 mL 的气泡，可监测累积气泡</w:t>
            </w:r>
          </w:p>
          <w:p w14:paraId="2649AE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.漏血监测：可监测 ≤0.35mL/min 的漏血</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HCT32%</w:t>
            </w:r>
            <w:r>
              <w:rPr>
                <w:rFonts w:hint="eastAsia" w:ascii="宋体" w:hAnsi="宋体" w:eastAsia="宋体" w:cs="宋体"/>
                <w:snapToGrid w:val="0"/>
                <w:color w:val="auto"/>
                <w:kern w:val="0"/>
                <w:sz w:val="18"/>
                <w:szCs w:val="18"/>
                <w:lang w:eastAsia="zh-CN"/>
              </w:rPr>
              <w:t>）</w:t>
            </w:r>
          </w:p>
          <w:p w14:paraId="6198F3E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.消毒功能：具有化学剂消毒和热消毒两种</w:t>
            </w:r>
            <w:r>
              <w:rPr>
                <w:rFonts w:hint="eastAsia" w:ascii="宋体" w:hAnsi="宋体" w:eastAsia="宋体" w:cs="宋体"/>
                <w:snapToGrid w:val="0"/>
                <w:color w:val="auto"/>
                <w:kern w:val="0"/>
                <w:sz w:val="18"/>
                <w:szCs w:val="18"/>
                <w:lang w:val="en-US" w:eastAsia="zh-CN"/>
              </w:rPr>
              <w:t>，热消毒最高温度大于93℃</w:t>
            </w:r>
          </w:p>
          <w:p w14:paraId="40517B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.供水条件温度：进水压 1.5～</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.0bar</w:t>
            </w:r>
            <w:r>
              <w:rPr>
                <w:rFonts w:hint="eastAsia" w:ascii="宋体" w:hAnsi="宋体" w:eastAsia="宋体" w:cs="宋体"/>
                <w:snapToGrid w:val="0"/>
                <w:color w:val="auto"/>
                <w:kern w:val="0"/>
                <w:sz w:val="18"/>
                <w:szCs w:val="18"/>
                <w:lang w:eastAsia="en-US"/>
              </w:rPr>
              <w:tab/>
            </w:r>
            <w:r>
              <w:rPr>
                <w:rFonts w:hint="eastAsia" w:ascii="宋体" w:hAnsi="宋体" w:eastAsia="宋体" w:cs="宋体"/>
                <w:snapToGrid w:val="0"/>
                <w:color w:val="auto"/>
                <w:kern w:val="0"/>
                <w:sz w:val="18"/>
                <w:szCs w:val="18"/>
                <w:lang w:eastAsia="en-US"/>
              </w:rPr>
              <w:t>进水温度 5～3</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w:t>
            </w:r>
          </w:p>
          <w:p w14:paraId="257FA47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.所投设备型号首次取得注册证时间在2018年以前。</w:t>
            </w:r>
          </w:p>
          <w:p w14:paraId="724C2B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（三）其他</w:t>
            </w:r>
          </w:p>
          <w:p w14:paraId="125B7D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1.质保期不少于</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年，质保期内全免费维修和更换零配件。</w:t>
            </w:r>
          </w:p>
          <w:p w14:paraId="6C9972F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2.提供良好的售后服务支持，能及时快捷的提供维修服务，接到电话半小时内响应，24小时内到达现场。</w:t>
            </w:r>
          </w:p>
        </w:tc>
        <w:tc>
          <w:tcPr>
            <w:tcW w:w="1297" w:type="dxa"/>
            <w:tcBorders>
              <w:top w:val="single" w:color="000000" w:sz="4" w:space="0"/>
              <w:bottom w:val="single" w:color="000000" w:sz="4" w:space="0"/>
            </w:tcBorders>
            <w:vAlign w:val="top"/>
          </w:tcPr>
          <w:p w14:paraId="1A59B5CB">
            <w:pPr>
              <w:widowControl/>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515AB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498D51D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54</w:t>
            </w:r>
          </w:p>
        </w:tc>
        <w:tc>
          <w:tcPr>
            <w:tcW w:w="1415" w:type="dxa"/>
            <w:tcBorders>
              <w:top w:val="single" w:color="000000" w:sz="4" w:space="0"/>
              <w:bottom w:val="single" w:color="000000" w:sz="4" w:space="0"/>
            </w:tcBorders>
            <w:vAlign w:val="top"/>
          </w:tcPr>
          <w:p w14:paraId="2EDCE73A">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血液透析用制水设备</w:t>
            </w:r>
          </w:p>
        </w:tc>
        <w:tc>
          <w:tcPr>
            <w:tcW w:w="6878" w:type="dxa"/>
            <w:tcBorders>
              <w:top w:val="single" w:color="000000" w:sz="4" w:space="0"/>
              <w:bottom w:val="single" w:color="000000" w:sz="4" w:space="0"/>
            </w:tcBorders>
            <w:vAlign w:val="top"/>
          </w:tcPr>
          <w:p w14:paraId="010B6AD4">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1、水质完全符合YY0572-2015血液透析和相关治疗用水标准. 应符合YY 0505-2012《医用电气设备 第1-2部分：安全通用标准 并列标准：电磁兼容要求和试验》。</w:t>
            </w:r>
          </w:p>
          <w:p w14:paraId="5838127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2、产水量：产水量≥1000L/H（25℃）。</w:t>
            </w:r>
          </w:p>
          <w:p w14:paraId="27BEF7E4">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3溶解盐去除率：≥97% 。回收率≥75%。</w:t>
            </w:r>
          </w:p>
          <w:p w14:paraId="207D39AC">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4、产水水质菌落总数：≤10CFU； 产水水质内毒素：≤0.03EU  </w:t>
            </w:r>
          </w:p>
          <w:p w14:paraId="140CCA3C">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5、控制方式：运用品牌PLC控制技术、全自动运行。</w:t>
            </w:r>
          </w:p>
          <w:p w14:paraId="023C1DEE">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6、水处理工艺独特的双级反渗透耦合，为了避免中间环节对反渗水的二次污染，系统采取了一二级全封闭直接对接方式，无任何中间存水装置，使设备运行更安全简洁。</w:t>
            </w:r>
          </w:p>
          <w:p w14:paraId="6D7704A8">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7、预处理提示功能：当系统运行时，预处理发生时间错误，导致再生和冲洗时，会自动关闭进水阀，出现报警并提示请将预处理调整到正常工作位置，防止硬水和无过滤水进入反渗透系统，提高透析安全。</w:t>
            </w:r>
          </w:p>
          <w:p w14:paraId="36C4C43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8、▲工作模式：多种工作模式、一二级可切换单独使用. 采用有EMC认证的控制阀自动转换，无须手动调节。</w:t>
            </w:r>
          </w:p>
          <w:p w14:paraId="5C2CF05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9、抑菌功能：设备全自动运行，可设置周一到周日的自动开、停机时间，待机状态下系统管路自动冲洗功能，有效抑制菌类的滋生.纯水养护：停机后纯水填整个系统，防止微生物滋生。</w:t>
            </w:r>
          </w:p>
          <w:p w14:paraId="137ABEBD">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10、▲ 消毒功能：系统自带一键式化学消毒功能和一键式热消毒功能；热消毒装置采用无接触式电磁感应加热技术，热效率≥98％，加热系统无储存水箱，正常运行时无死腔全循环。安全高效、节能环保,并具备定时开关功能：无需人员值守，全自动完成，并记录消毒过程和消毒温度。确保消毒温度末端≥85度</w:t>
            </w:r>
            <w:r>
              <w:rPr>
                <w:rFonts w:hint="eastAsia" w:ascii="宋体" w:hAnsi="宋体" w:eastAsia="宋体" w:cs="宋体"/>
                <w:snapToGrid w:val="0"/>
                <w:color w:val="auto"/>
                <w:kern w:val="0"/>
                <w:sz w:val="18"/>
                <w:szCs w:val="18"/>
                <w:lang w:eastAsia="zh-CN"/>
              </w:rPr>
              <w:t>。</w:t>
            </w:r>
          </w:p>
          <w:p w14:paraId="64079DC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11、反渗透膜自动冲洗，间隔时间可调，开机、关机自动大流量冲洗，排出淤积水，同时运行中自动检测工作状况，随时进行冲洗。停用后，具有反渗透膜及管道自动冲洗功能，防止系统细菌滋生。</w:t>
            </w:r>
          </w:p>
          <w:p w14:paraId="47AEFB05">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12、智能安全保护措施，密码进入操作界面。有运行温度/电导率显示和记录，具有记录高压泵、电动阀等部件使用程度的长期数据，以备运行状态分析所用，同时自动保存。</w:t>
            </w:r>
          </w:p>
          <w:p w14:paraId="4A5B46CF">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13、▲在线监测原水、一、二级纯水水质，具有纯水水质超标报警功能：具有完善的无水、压力、电源保护多种安全自锁功能 </w:t>
            </w:r>
          </w:p>
          <w:p w14:paraId="2FF4E7B2">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14、控制屏：全彩触摸屏尺寸要求≥10"，工艺过程及运行参数实时显示.自动累计工作时间和部件使用频率。</w:t>
            </w:r>
          </w:p>
          <w:p w14:paraId="6C9FACFD">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 外观整洁布局合理外观采用弧形整体静音一体式机柜设计，外观布局合理。</w:t>
            </w:r>
          </w:p>
          <w:p w14:paraId="2E8395EC">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16、采用新型直连式无死腔反渗透膜壳，使反渗透膜在运行时能实现全循环，避免了反渗透膜细菌的滋生。</w:t>
            </w:r>
          </w:p>
          <w:p w14:paraId="2309C05B">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17、故障的自检解决帮助功能、多种应急方案以保证设备的运行。</w:t>
            </w:r>
          </w:p>
          <w:p w14:paraId="0964489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18、平衡器采用智能平衡阀系统不采用浮球阀，减小噪音和减少压力频繁波动对预处理的破坏，根据用水量保证水箱液位正负值在20mm以内，并可以数值化显示。</w:t>
            </w:r>
          </w:p>
          <w:p w14:paraId="2F99829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19、原水增压泵：独立变频，压力变送器控制，全自动加压泵组件，带有低压不锈钢保护装置，可防止加压泵无水空转。</w:t>
            </w:r>
          </w:p>
          <w:p w14:paraId="203D170F">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20、纯水供水采用大循环恒压供水模式，管路中应增加留样功能装置</w:t>
            </w:r>
          </w:p>
          <w:p w14:paraId="49655611">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21、采用0.1%FS精度压力传感器监测压力，供水压力更稳定。</w:t>
            </w:r>
          </w:p>
          <w:p w14:paraId="0EF518B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22、▲ 供水管路采用304不锈钢管路1套。</w:t>
            </w:r>
          </w:p>
          <w:p w14:paraId="0309741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23、▲设备的使用年限≥10年。</w:t>
            </w:r>
          </w:p>
          <w:p w14:paraId="49964D6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二、产品主要配置</w:t>
            </w:r>
          </w:p>
          <w:p w14:paraId="637D2EBC">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1、预处理系统：原水增压泵、变频控制器、多介质过滤器、自动控制阀、炭过滤器</w:t>
            </w:r>
          </w:p>
          <w:p w14:paraId="0DF18622">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自动控制阀、软化过滤器、自动软水阀、软水盐箱、精密过滤器等</w:t>
            </w:r>
          </w:p>
          <w:p w14:paraId="2F0DE153">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2、反渗透主机:平衡水器、一级高压泵、一级反渗透膜、二级高压泵、二级反渗透膜、膜壳、阀门、仪表、主机管件等</w:t>
            </w:r>
          </w:p>
          <w:p w14:paraId="53FC920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3、设备结构机架:PLC控制器、触摸屏、设备机箱、电气组件等</w:t>
            </w:r>
          </w:p>
          <w:p w14:paraId="5F3FF9DE">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4、病房纯水循环系统循环管路、恒压调节装置等</w:t>
            </w:r>
          </w:p>
          <w:p w14:paraId="239F0AD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5、热消毒装置加热器、热水循环泵、热消毒主机管路、PLC控制器、触摸屏、阀门、仪表、机箱、电气组件等</w:t>
            </w:r>
          </w:p>
          <w:p w14:paraId="4BBF8D9A">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49A3573">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349A4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E32416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55</w:t>
            </w:r>
          </w:p>
        </w:tc>
        <w:tc>
          <w:tcPr>
            <w:tcW w:w="1415" w:type="dxa"/>
            <w:tcBorders>
              <w:top w:val="single" w:color="000000" w:sz="4" w:space="0"/>
              <w:bottom w:val="single" w:color="000000" w:sz="4" w:space="0"/>
            </w:tcBorders>
            <w:vAlign w:val="top"/>
          </w:tcPr>
          <w:p w14:paraId="2D0E499C">
            <w:pPr>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6878" w:type="dxa"/>
            <w:tcBorders>
              <w:top w:val="single" w:color="000000" w:sz="4" w:space="0"/>
              <w:bottom w:val="single" w:color="000000" w:sz="4" w:space="0"/>
            </w:tcBorders>
            <w:vAlign w:val="top"/>
          </w:tcPr>
          <w:p w14:paraId="71D2A52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基本参数</w:t>
            </w:r>
          </w:p>
          <w:p w14:paraId="4032BDD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 水压 ：0.2~0.4MPa</w:t>
            </w:r>
          </w:p>
          <w:p w14:paraId="1B6B55B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 气压 ：0.55~0.6MPa</w:t>
            </w:r>
          </w:p>
          <w:p w14:paraId="11661AF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1.3 环境温度 ：5 °C~ 40 ° C</w:t>
            </w:r>
          </w:p>
          <w:p w14:paraId="10279AB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 电源 ：AC220V，50 Hz</w:t>
            </w:r>
          </w:p>
          <w:p w14:paraId="19AE54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 输入功率 600VA</w:t>
            </w:r>
          </w:p>
          <w:p w14:paraId="14EFE2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患者座椅</w:t>
            </w:r>
          </w:p>
          <w:p w14:paraId="609FA0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 座垫面离地面高度： 最低≤390mm，最高≥800mm</w:t>
            </w:r>
          </w:p>
          <w:p w14:paraId="27E3BD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2.2 椅位载重量： ≥ 180KG</w:t>
            </w:r>
          </w:p>
          <w:p w14:paraId="646167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2.3 升降和靠背运动具有联动补偿功能，患者无搓背感，采用柔性电机，实现柔性启停功能 。牙椅具有急救位功能，用于预防突发事件。</w:t>
            </w:r>
          </w:p>
          <w:p w14:paraId="6D49B6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2.4 椅位具有下降安全保护装置，下降时遇到阻碍物会停止下降，并回升。</w:t>
            </w:r>
          </w:p>
          <w:p w14:paraId="1F6CED2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2.5 牙椅具有符合国标的紧急急停开关，避免诊疗过程中发生安全隐患，配有机椅互锁系统，手机工作状态下，椅位保持锁定。</w:t>
            </w:r>
          </w:p>
          <w:p w14:paraId="09DD728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2.6 牙椅底座上带脚控控制，可控制牙椅的升降及仰卧。</w:t>
            </w:r>
          </w:p>
          <w:p w14:paraId="7A233AB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医师单元</w:t>
            </w:r>
          </w:p>
          <w:p w14:paraId="2AFF64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3.1 下挂式手机操作系统,手机挂架可内外旋转 90 ° , 收纳在器械盘下面，避免手术结束后刮伤医患人员；挂架可上下 45 ° 旋转，采用大挂架，方便医生实现盲插操作。</w:t>
            </w:r>
          </w:p>
          <w:p w14:paraId="2A9F69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 主控器械盘具有三个置物盘，均可直接拆卸清洗，主置物盘≥420× 270mm，两个副盘≥260× 220 mm。</w:t>
            </w:r>
          </w:p>
          <w:p w14:paraId="7F0251B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 活动磁吸式器械盘无需工具可取下清洗消毒。</w:t>
            </w:r>
          </w:p>
          <w:p w14:paraId="65E8D0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3.4 主控面板可设置 5 个记忆椅位，冲痰，漱 口，加热等按键 。主控、副控均具有记忆椅位功能，具有万能 R键功能，可代替其他所有功能键。</w:t>
            </w:r>
          </w:p>
          <w:p w14:paraId="2A901B4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3.5 牙椅标配一键管路反冲洗消毒功能，同时对手机管路，洁牙机管路，主控和副控三用枪以及簌口水进行消毒，无需通过脚踏控制。</w:t>
            </w:r>
          </w:p>
          <w:p w14:paraId="085EAF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▲3.6 器械盘左右两侧把手下方均带有双气刹功能。</w:t>
            </w:r>
          </w:p>
          <w:p w14:paraId="017F9C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3.7 可选配内置 LED 观片灯，安装在器械盘按键板左侧。</w:t>
            </w:r>
          </w:p>
          <w:p w14:paraId="6BBD742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助手单元</w:t>
            </w:r>
          </w:p>
          <w:p w14:paraId="4C9F0B3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 副控具有 5 位挂架装置，可根据需求拓展内窥镜挂架和光固化挂架位。</w:t>
            </w:r>
          </w:p>
          <w:p w14:paraId="7D31DB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 副控面板上具有 SET 功能设置键、漱口位键，有升降、仰卧、加热、复位键等功能。</w:t>
            </w:r>
          </w:p>
          <w:p w14:paraId="394B5F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 副控配有可插拔式强弱吸管，配有易于拆卸清洗的过滤系统，具有延时功能，吸唾手柄挂回后会再工作5 秒，保证强弱吸管道内无污物， 防止有异味。</w:t>
            </w:r>
          </w:p>
          <w:p w14:paraId="578997C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4.4 治疗机侧箱水气系统与电路系统钢板双侧分离，更安全。</w:t>
            </w:r>
          </w:p>
          <w:p w14:paraId="464FA6C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4.5 侧箱采用双侧开门磁吸盖设计，不需要螺丝固定，方便维修； 侧箱可以 90 ° 旋转，方便四手操作。</w:t>
            </w:r>
          </w:p>
          <w:p w14:paraId="3FE5962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4.6 一体成型陶瓷痰盂，可向内旋转 90 ° , 无需工具， 即可取下清洁和消毒。</w:t>
            </w:r>
          </w:p>
          <w:p w14:paraId="4F6451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4.7 侧箱与牙椅连接臂可以实现 180 ° 旋转，方便侧箱转到牙椅的左、右侧以及前方，方便安装，进窄门不用拆侧箱。</w:t>
            </w:r>
          </w:p>
          <w:p w14:paraId="27F7D5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4.8 副控标配三用枪，并且三用枪可以实现恒温供水。</w:t>
            </w:r>
          </w:p>
          <w:p w14:paraId="729432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口腔灯</w:t>
            </w:r>
          </w:p>
          <w:p w14:paraId="7C3529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5.1 采用 LED 光源，具有白色、黄色和黄白混色三种光源可选择，可防止光固化树脂提前固化，可感应式控制防止交叉感染。</w:t>
            </w:r>
          </w:p>
          <w:p w14:paraId="5460DF3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 脚踏</w:t>
            </w:r>
          </w:p>
          <w:p w14:paraId="70B50E2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6.1 脚开关带手机冷却吹屑功能，手机在操作过程中无需换三用枪，具有吹气功能。</w:t>
            </w:r>
          </w:p>
          <w:p w14:paraId="14EDD7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 设备使用年限： ≥ 15 年</w:t>
            </w:r>
          </w:p>
          <w:p w14:paraId="7FEC39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8 </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0DE74CA8">
            <w:pPr>
              <w:widowControl/>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7E3F2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7B88D4E">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56</w:t>
            </w:r>
          </w:p>
        </w:tc>
        <w:tc>
          <w:tcPr>
            <w:tcW w:w="1415" w:type="dxa"/>
            <w:tcBorders>
              <w:top w:val="single" w:color="000000" w:sz="4" w:space="0"/>
              <w:bottom w:val="single" w:color="000000" w:sz="4" w:space="0"/>
            </w:tcBorders>
            <w:vAlign w:val="top"/>
          </w:tcPr>
          <w:p w14:paraId="7C3DA96C">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颈腰椎电动牵引器</w:t>
            </w:r>
          </w:p>
        </w:tc>
        <w:tc>
          <w:tcPr>
            <w:tcW w:w="6878" w:type="dxa"/>
            <w:tcBorders>
              <w:top w:val="single" w:color="000000" w:sz="4" w:space="0"/>
              <w:bottom w:val="single" w:color="000000" w:sz="4" w:space="0"/>
            </w:tcBorders>
            <w:vAlign w:val="top"/>
          </w:tcPr>
          <w:p w14:paraId="3BF9299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一、电气通用参数</w:t>
            </w:r>
          </w:p>
          <w:p w14:paraId="219CF7E9">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电源：AC220V/50Hz，额定输入功率≥2000VA</w:t>
            </w:r>
          </w:p>
          <w:p w14:paraId="4F5BD42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符合GB9706.1、YY9706.102、YY/T1491-2016医用设备标准</w:t>
            </w:r>
          </w:p>
          <w:p w14:paraId="2C43F44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整机承重≥150kg，床架承重稳固、长期牵引不变形</w:t>
            </w:r>
          </w:p>
          <w:p w14:paraId="7F23B54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二、腰椎牵引系统</w:t>
            </w:r>
          </w:p>
          <w:p w14:paraId="322DAEB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腰椎牵引力0–900N无级可调，带闭环拉力自动补偿，拉力误差≤±20%</w:t>
            </w:r>
          </w:p>
          <w:p w14:paraId="1F1818C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腰椎牵引行程0–200mm可调</w:t>
            </w:r>
          </w:p>
          <w:p w14:paraId="7CF3BD1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总治疗时间0–60min、单次牵引0–9min、间歇0–90s独立可调</w:t>
            </w:r>
          </w:p>
          <w:p w14:paraId="02B8283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内置≥8种牵引程序，支持持续、间歇牵引模式切换</w:t>
            </w:r>
          </w:p>
          <w:p w14:paraId="77D84D4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5. 可存储≥20组治疗参数，支持一键调取</w:t>
            </w:r>
          </w:p>
          <w:p w14:paraId="5942C5C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三、颈椎独立牵引系统</w:t>
            </w:r>
          </w:p>
          <w:p w14:paraId="5E35F98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配置可升降颈椎牵引杆，颈、腰双电机独立驱动控制</w:t>
            </w:r>
          </w:p>
          <w:p w14:paraId="6AC087F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颈椎牵引力0–300N无级可调</w:t>
            </w:r>
          </w:p>
          <w:p w14:paraId="10D5B97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颈椎牵引行程0–300mm可调</w:t>
            </w:r>
          </w:p>
          <w:p w14:paraId="3003782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颈椎、腰椎参数可独立设置，可单独治疗</w:t>
            </w:r>
          </w:p>
          <w:p w14:paraId="0C2ED2A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四、操控显示</w:t>
            </w:r>
          </w:p>
          <w:p w14:paraId="37CD97A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微电脑数控系统，LED分区显示颈腰拉力、时间、间歇参数</w:t>
            </w:r>
          </w:p>
          <w:p w14:paraId="772F3179">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数值实时动态更新，界面清晰直观</w:t>
            </w:r>
          </w:p>
          <w:p w14:paraId="38A960D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五、安全防护系统</w:t>
            </w:r>
          </w:p>
          <w:p w14:paraId="613E1052">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双路急停（操作台+患者手持开关），触发≤2秒快速泄压复位</w:t>
            </w:r>
          </w:p>
          <w:p w14:paraId="0AC42A9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具备拉力超限、电机堵转、过热、断电自动泄压多重保护</w:t>
            </w:r>
          </w:p>
          <w:p w14:paraId="4EE4B69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传动机构全封闭防护，防夹伤、防磕碰</w:t>
            </w:r>
          </w:p>
          <w:p w14:paraId="54D7BCA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六、床体结构</w:t>
            </w:r>
          </w:p>
          <w:p w14:paraId="035D0A4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加厚冷轧钢板整体焊接床架，静电喷塑防锈</w:t>
            </w:r>
          </w:p>
          <w:p w14:paraId="4484822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高密度海绵PU防水软包床面，可拆卸清洗消毒</w:t>
            </w:r>
          </w:p>
          <w:p w14:paraId="4EB981B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分体式独立腰椎牵引拖板，静音顺滑无卡顿</w:t>
            </w:r>
          </w:p>
          <w:p w14:paraId="5A5A238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带锁止万向脚轮，移动便捷、治疗固定稳固</w:t>
            </w:r>
          </w:p>
          <w:p w14:paraId="565C7488">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七、整机配置</w:t>
            </w:r>
          </w:p>
          <w:p w14:paraId="3BB448D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加厚碳钢稳固床体，防锈耐腐蚀</w:t>
            </w:r>
          </w:p>
          <w:p w14:paraId="6B36957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可拆卸防水耐磨床垫软垫</w:t>
            </w:r>
          </w:p>
          <w:p w14:paraId="5AF1191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静音低摩擦腰椎牵引滑轨</w:t>
            </w:r>
          </w:p>
          <w:p w14:paraId="1650F7F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不锈钢可升降颈椎牵引支架，适配各类身高</w:t>
            </w:r>
          </w:p>
          <w:p w14:paraId="514BB33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5. 标配加厚腰椎绑带、颈椎牵引吊带，锁紧牢固不滑脱</w:t>
            </w:r>
          </w:p>
          <w:p w14:paraId="5EE50FC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6. 双静音直线电机，颈腰独立动力、互不干扰</w:t>
            </w:r>
          </w:p>
          <w:p w14:paraId="4E4A21D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AB21811">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347E1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507B5C5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57</w:t>
            </w:r>
          </w:p>
        </w:tc>
        <w:tc>
          <w:tcPr>
            <w:tcW w:w="1415" w:type="dxa"/>
            <w:tcBorders>
              <w:top w:val="single" w:color="000000" w:sz="4" w:space="0"/>
              <w:bottom w:val="single" w:color="000000" w:sz="4" w:space="0"/>
            </w:tcBorders>
            <w:vAlign w:val="top"/>
          </w:tcPr>
          <w:p w14:paraId="78B34B8E">
            <w:pPr>
              <w:kinsoku w:val="0"/>
              <w:autoSpaceDE w:val="0"/>
              <w:autoSpaceDN w:val="0"/>
              <w:adjustRightInd w:val="0"/>
              <w:snapToGrid w:val="0"/>
              <w:spacing w:before="129" w:line="219" w:lineRule="auto"/>
              <w:ind w:left="2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多功能理疗床</w:t>
            </w:r>
          </w:p>
        </w:tc>
        <w:tc>
          <w:tcPr>
            <w:tcW w:w="6878" w:type="dxa"/>
            <w:tcBorders>
              <w:top w:val="single" w:color="000000" w:sz="4" w:space="0"/>
              <w:bottom w:val="single" w:color="000000" w:sz="4" w:space="0"/>
            </w:tcBorders>
            <w:vAlign w:val="top"/>
          </w:tcPr>
          <w:p w14:paraId="60C4DA5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1.框架材质  铁框架加表面喷塑处理；</w:t>
            </w:r>
          </w:p>
          <w:p w14:paraId="718C3F4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2.承重：≥250kg；</w:t>
            </w:r>
          </w:p>
          <w:p w14:paraId="211744A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3.升降范围：52-96cm；</w:t>
            </w:r>
          </w:p>
          <w:p w14:paraId="646EEC5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4.调节需要时间：约 30 秒；</w:t>
            </w:r>
          </w:p>
          <w:p w14:paraId="00DD49B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5.≥4 段可调节角度</w:t>
            </w:r>
          </w:p>
          <w:p w14:paraId="5D5FF30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6.头部气杆控制角度的调整；</w:t>
            </w:r>
          </w:p>
          <w:p w14:paraId="1649AF5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7.高密度海绵；</w:t>
            </w:r>
          </w:p>
          <w:p w14:paraId="3CA8975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8.透气孔加孔塞设计；</w:t>
            </w:r>
          </w:p>
          <w:p w14:paraId="1BFA2CE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9.≥7.5cm 直径医用承压轮；</w:t>
            </w:r>
          </w:p>
          <w:p w14:paraId="51F7424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10.独有的四调节螺杆设计，提升床体对于地面的适应性。</w:t>
            </w:r>
          </w:p>
          <w:p w14:paraId="28A0FC4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配置清单</w:t>
            </w:r>
          </w:p>
          <w:p w14:paraId="6594A0D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配置清单</w:t>
            </w:r>
          </w:p>
          <w:p w14:paraId="76A3181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1.电动推杆 1 台；</w:t>
            </w:r>
          </w:p>
          <w:p w14:paraId="24C71F4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2.医用承压轮 4 只；</w:t>
            </w:r>
          </w:p>
          <w:p w14:paraId="2D573A7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3.控制器 1 套；</w:t>
            </w:r>
          </w:p>
          <w:p w14:paraId="73A53312">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4.扶手 1 套；</w:t>
            </w:r>
          </w:p>
          <w:p w14:paraId="4F5A7FC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zh-CN"/>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5.气弹簧 7 支</w:t>
            </w:r>
            <w:r>
              <w:rPr>
                <w:rFonts w:hint="eastAsia" w:ascii="宋体" w:hAnsi="宋体" w:eastAsia="宋体" w:cs="宋体"/>
                <w:b w:val="0"/>
                <w:bCs w:val="0"/>
                <w:i w:val="0"/>
                <w:iCs w:val="0"/>
                <w:caps w:val="0"/>
                <w:snapToGrid w:val="0"/>
                <w:color w:val="auto"/>
                <w:spacing w:val="0"/>
                <w:kern w:val="0"/>
                <w:sz w:val="18"/>
                <w:szCs w:val="18"/>
                <w:shd w:val="clear" w:fill="FFFFFF"/>
                <w:lang w:eastAsia="zh-CN"/>
              </w:rPr>
              <w:t>；</w:t>
            </w:r>
          </w:p>
          <w:p w14:paraId="007D99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6.</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CA9A8BB">
            <w:pPr>
              <w:widowControl/>
              <w:kinsoku w:val="0"/>
              <w:autoSpaceDE w:val="0"/>
              <w:autoSpaceDN w:val="0"/>
              <w:adjustRightInd w:val="0"/>
              <w:snapToGrid w:val="0"/>
              <w:spacing w:before="129" w:line="219" w:lineRule="auto"/>
              <w:ind w:left="2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195C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5A98111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58</w:t>
            </w:r>
          </w:p>
        </w:tc>
        <w:tc>
          <w:tcPr>
            <w:tcW w:w="1415" w:type="dxa"/>
            <w:tcBorders>
              <w:top w:val="single" w:color="000000" w:sz="4" w:space="0"/>
              <w:bottom w:val="single" w:color="000000" w:sz="4" w:space="0"/>
            </w:tcBorders>
            <w:vAlign w:val="top"/>
          </w:tcPr>
          <w:p w14:paraId="316B1C8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eastAsia="en-US"/>
              </w:rPr>
            </w:pPr>
            <w:r>
              <w:rPr>
                <w:rFonts w:hint="eastAsia" w:ascii="宋体" w:hAnsi="宋体" w:eastAsia="宋体" w:cs="宋体"/>
                <w:snapToGrid w:val="0"/>
                <w:color w:val="auto"/>
                <w:kern w:val="0"/>
                <w:sz w:val="18"/>
                <w:szCs w:val="18"/>
                <w:lang w:eastAsia="en-US"/>
              </w:rPr>
              <w:t>上下肢主被动康复训练器</w:t>
            </w:r>
          </w:p>
        </w:tc>
        <w:tc>
          <w:tcPr>
            <w:tcW w:w="6878" w:type="dxa"/>
            <w:tcBorders>
              <w:top w:val="single" w:color="000000" w:sz="4" w:space="0"/>
              <w:bottom w:val="single" w:color="000000" w:sz="4" w:space="0"/>
            </w:tcBorders>
            <w:vAlign w:val="top"/>
          </w:tcPr>
          <w:p w14:paraId="32CBCA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Cs w:val="21"/>
                <w:lang w:eastAsia="en-US"/>
              </w:rPr>
              <w:t xml:space="preserve"> </w:t>
            </w:r>
            <w:r>
              <w:rPr>
                <w:rFonts w:hint="eastAsia" w:ascii="宋体" w:hAnsi="宋体" w:eastAsia="宋体" w:cs="宋体"/>
                <w:snapToGrid w:val="0"/>
                <w:color w:val="auto"/>
                <w:kern w:val="0"/>
                <w:sz w:val="18"/>
                <w:szCs w:val="18"/>
                <w:lang w:eastAsia="en-US"/>
              </w:rPr>
              <w:t>一、资质要求</w:t>
            </w:r>
          </w:p>
          <w:p w14:paraId="74BFD9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设备为国产全新原装上下肢主被动康复训练器，属于Ⅱ类医疗器械，具备有效的NMPA医疗器械注册证、医疗器械生产许可证，相关注册信息可在国家药品监督管理局官网查询核验；投标时须提供加盖生产厂家公章的证件复印件。</w:t>
            </w:r>
          </w:p>
          <w:p w14:paraId="485023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整机满足医用电气安全标准 GB 9706.1-2020；设备制造商具备有效的ISO13485医疗器械质量管理体系认证证书。</w:t>
            </w:r>
          </w:p>
          <w:p w14:paraId="62D5567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适用范围：适用于脑卒中偏瘫、脑外伤、脊髓损伤、四肢骨折术后、关节置换术后患者开展上下肢康复训练；实现量化评估+康复训练一体化，能够客观评估肢体肌力、肌张力、双侧肢体运动对称性，为康复方案制定、康复疗效对比提供数字化支撑。</w:t>
            </w:r>
          </w:p>
          <w:p w14:paraId="0D5C285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二、整机训练模式</w:t>
            </w:r>
          </w:p>
          <w:p w14:paraId="215EE8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具备被动训练、助力训练、主动抗阻训练、等速训练四种训练模式；支持上肢独立训练、下肢独立训练、上下肢同步联动训练；支持正向、反向双向运动。</w:t>
            </w:r>
          </w:p>
          <w:p w14:paraId="704729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被动模式转速：5～60r/min，以1r/min步进可调，训练过程中支持实时调速。</w:t>
            </w:r>
          </w:p>
          <w:p w14:paraId="40F9EB0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主动模式阻力≥10档连续可调，支持自适应阻力输出。</w:t>
            </w:r>
          </w:p>
          <w:p w14:paraId="716A9E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训练定时范围：1～60min可调，界面倒计时显示，训练时长结束自动停机。</w:t>
            </w:r>
          </w:p>
          <w:p w14:paraId="760D85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三、评估功能</w:t>
            </w:r>
          </w:p>
          <w:p w14:paraId="28E042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内置力矩传感采集系统，可开展肌力评估、痉挛程度评估、双侧肢体力量对称性评估；实时展示患侧/健侧发力占比、运动做功、平均力矩相关数据。</w:t>
            </w:r>
          </w:p>
          <w:p w14:paraId="3CB339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支持多次训练数据纵向对比，直观呈现康复进展，系统可自动生成康复评估数据表。</w:t>
            </w:r>
          </w:p>
          <w:p w14:paraId="4D201B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内置患者病例数据库，可保存患者基础信息、历次评估记录、训练档案。</w:t>
            </w:r>
          </w:p>
          <w:p w14:paraId="62C225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支持评估报告预览、打印输出；预留数据通讯接口，可对接院内HIS信息系统。</w:t>
            </w:r>
          </w:p>
          <w:p w14:paraId="082F7C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四、安全防护</w:t>
            </w:r>
          </w:p>
          <w:p w14:paraId="169662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智能痉挛识别保护：痉挛灵敏度多档位可调；系统识别肢体发生痉挛时自动减速、缓释张力，并声光报警。</w:t>
            </w:r>
          </w:p>
          <w:p w14:paraId="24EE22C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设置独立物理急停按钮，紧急状态下一键停机，避免患者产生二次损伤。</w:t>
            </w:r>
          </w:p>
          <w:p w14:paraId="539D1C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五、人机交互与软件功能</w:t>
            </w:r>
          </w:p>
          <w:p w14:paraId="6E94093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彩色液晶触控显示屏，全中文操作界面，实时显示转速、阻力、训练时长、评估数据、双侧对称曲线。</w:t>
            </w:r>
          </w:p>
          <w:p w14:paraId="291744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内置多套标准化康复预设程序，包含脑卒中、骨关节术后康复方案。</w:t>
            </w:r>
          </w:p>
          <w:p w14:paraId="748D32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具备互动生物反馈训练、情景化训练模式，提升患者主动训练参与度。</w:t>
            </w:r>
          </w:p>
          <w:p w14:paraId="452660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六、机械结构</w:t>
            </w:r>
          </w:p>
          <w:p w14:paraId="5A2671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上肢训练支架高度、角度可调；下肢脚踏机构适配不同身高人群；配置加宽柔性固定绑带、肢体支撑托，有效防止训练过程肢体滑脱。</w:t>
            </w:r>
          </w:p>
          <w:p w14:paraId="29FF9E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整机底部配备静音万向刹车脚轮，方便诊室转运，可定点锁定。</w:t>
            </w:r>
          </w:p>
          <w:p w14:paraId="065A817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设备外壳表面平整光滑，便于擦拭消毒；配套绑带支持清洗，满足院感管控要求。</w:t>
            </w:r>
          </w:p>
          <w:p w14:paraId="3FBAAE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七、标准配置</w:t>
            </w:r>
          </w:p>
          <w:p w14:paraId="715EBF5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上下肢主被动康复训练主机 1台</w:t>
            </w:r>
          </w:p>
          <w:p w14:paraId="01C752A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上肢训练组件、防滑握把、肢体固定绑带</w:t>
            </w:r>
          </w:p>
          <w:p w14:paraId="0943DF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下肢脚踏组件、足部固定装置、小腿支撑托</w:t>
            </w:r>
          </w:p>
          <w:p w14:paraId="280331C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触控显示终端、全套连接线缆</w:t>
            </w:r>
          </w:p>
          <w:p w14:paraId="6A076C3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操作说明书、保修卡</w:t>
            </w:r>
          </w:p>
          <w:p w14:paraId="2861AC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八、售后</w:t>
            </w:r>
          </w:p>
          <w:p w14:paraId="2CF4F5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整机免费质保≥2年；核心伺服电机、传感部件质保不低于3年。</w:t>
            </w:r>
          </w:p>
          <w:p w14:paraId="6A05935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在湖南省内设有厂家授权售后服务网点，承诺48小时上门维修服务。</w:t>
            </w:r>
          </w:p>
          <w:p w14:paraId="7C95DF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供方提供免费安装调试、医护人员操作培训、康复评估临床方案指导。</w:t>
            </w:r>
          </w:p>
          <w:p w14:paraId="7CD7EA1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承诺长期稳定供应原厂配件，配件报价公开透明。</w:t>
            </w:r>
          </w:p>
          <w:p w14:paraId="584D651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377A2033">
            <w:pPr>
              <w:widowControl/>
              <w:kinsoku w:val="0"/>
              <w:autoSpaceDE w:val="0"/>
              <w:autoSpaceDN w:val="0"/>
              <w:adjustRightInd w:val="0"/>
              <w:snapToGrid w:val="0"/>
              <w:spacing w:before="125" w:line="219" w:lineRule="auto"/>
              <w:ind w:left="44"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255EA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87D5E4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59</w:t>
            </w:r>
          </w:p>
        </w:tc>
        <w:tc>
          <w:tcPr>
            <w:tcW w:w="1415" w:type="dxa"/>
            <w:tcBorders>
              <w:top w:val="single" w:color="000000" w:sz="4" w:space="0"/>
              <w:bottom w:val="single" w:color="000000" w:sz="4" w:space="0"/>
            </w:tcBorders>
            <w:vAlign w:val="top"/>
          </w:tcPr>
          <w:p w14:paraId="73484B4A">
            <w:pPr>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医用高分子筛制氧系统</w:t>
            </w:r>
          </w:p>
        </w:tc>
        <w:tc>
          <w:tcPr>
            <w:tcW w:w="6878" w:type="dxa"/>
            <w:tcBorders>
              <w:top w:val="single" w:color="000000" w:sz="4" w:space="0"/>
              <w:bottom w:val="single" w:color="000000" w:sz="4" w:space="0"/>
            </w:tcBorders>
            <w:vAlign w:val="top"/>
          </w:tcPr>
          <w:p w14:paraId="34B59D2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一、主要技术及系统概述：</w:t>
            </w:r>
          </w:p>
          <w:p w14:paraId="324BF7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一、制氧机：</w:t>
            </w:r>
          </w:p>
          <w:p w14:paraId="079BA06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1、产氧量：≥2.5m3/h，氧气出口压力：0.2-0.5MPa；</w:t>
            </w:r>
          </w:p>
          <w:p w14:paraId="2318026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2、氧气制造原理：采用 PSA 变压吸附技术制造氧气；</w:t>
            </w:r>
          </w:p>
          <w:p w14:paraId="0A6BFC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3、输出氧气浓度： 93%±3%（V/V），并有相关的技术保证措施，其它理化指标必须符合行业标准；提供第三方检测机构出具的具有 CMA 标识的检测报告；且报告中载明所投产品满足此条款要求；</w:t>
            </w:r>
          </w:p>
          <w:p w14:paraId="63A2DD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4、制氧设备开机 30min 以内，其氧产量、氧气纯度应达到规范要求；</w:t>
            </w:r>
          </w:p>
          <w:p w14:paraId="3D6D61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5、设备采用集成式一体机；</w:t>
            </w:r>
          </w:p>
          <w:p w14:paraId="118FEEE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6、制氧主机噪音：＜80dB；制氧设备具有消音降噪设计，能有效降低设备运行噪音；需提供第三方出具的具有消音降噪措施证明材料；</w:t>
            </w:r>
          </w:p>
          <w:p w14:paraId="2308F5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7、具有氮气回收再利用技术，用于空气干燥再生处理，可有效降低空气处理能耗；需提供第三方出具的证明材料；</w:t>
            </w:r>
          </w:p>
          <w:p w14:paraId="5208075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8、制氧机主要阀件使用寿命达 10 年以上；提供第三方检测机构出具的具有 CMA 标识的检测报告；且报告中载明所投产品满足此条款要求。</w:t>
            </w:r>
          </w:p>
          <w:p w14:paraId="2D19C56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二、空压机：</w:t>
            </w:r>
          </w:p>
          <w:p w14:paraId="4FE2717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1、采用无油涡旋式空压机；</w:t>
            </w:r>
          </w:p>
          <w:p w14:paraId="05A0430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2、空气压缩机功率：≥3.5kW；</w:t>
            </w:r>
          </w:p>
          <w:p w14:paraId="77438A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3、气排量：≥420L/min；</w:t>
            </w:r>
          </w:p>
          <w:p w14:paraId="3227B63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4、排气压力：≥0.8MPa；</w:t>
            </w:r>
          </w:p>
          <w:p w14:paraId="1815BB5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三、吸附式干燥机：</w:t>
            </w:r>
          </w:p>
          <w:p w14:paraId="66C6B77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1、采用不锈钢或者铝合金洁净设计；</w:t>
            </w:r>
          </w:p>
          <w:p w14:paraId="270847D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2、处理气量（标准状态下）：≥2.0m3/min；</w:t>
            </w:r>
          </w:p>
          <w:p w14:paraId="580B973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3、吸附后露点≤-50℃，提供第三方检测机构出具的具有 CMA 标识的检测报告；且报告中载明所投产品满足此条款要求。</w:t>
            </w:r>
          </w:p>
          <w:p w14:paraId="43D225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四、空气缓冲罐：</w:t>
            </w:r>
          </w:p>
          <w:p w14:paraId="4CD610E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1、材质为优质不锈钢或铝合金；</w:t>
            </w:r>
          </w:p>
          <w:p w14:paraId="005A5A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2、容积：≥60L；</w:t>
            </w:r>
          </w:p>
          <w:p w14:paraId="66BC3D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3、工作压力：≥0.8MPa；</w:t>
            </w:r>
          </w:p>
          <w:p w14:paraId="5221E2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五、过滤器组：</w:t>
            </w:r>
          </w:p>
          <w:p w14:paraId="054B44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1、包含前级、中级、活性炭、超精过滤器；</w:t>
            </w:r>
          </w:p>
          <w:p w14:paraId="311E74D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2、能够有效过滤去除直径： ≤0.1μm 颗粒，油分含量≤0.1mg/m3；</w:t>
            </w:r>
          </w:p>
          <w:p w14:paraId="68F3D5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3、前级处理气量：≥1.5m3/min；</w:t>
            </w:r>
          </w:p>
          <w:p w14:paraId="6A066B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4、中级、活性炭、超精过滤器处理气量：≥0.6m3/min；</w:t>
            </w:r>
          </w:p>
          <w:p w14:paraId="6290EE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六、氧气缓冲罐：</w:t>
            </w:r>
          </w:p>
          <w:p w14:paraId="40BE168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1、材质为优质不锈钢或铝合金；</w:t>
            </w:r>
          </w:p>
          <w:p w14:paraId="04B632F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2、容积：≥30L；</w:t>
            </w:r>
          </w:p>
          <w:p w14:paraId="18F993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3、工作压力：≥0.8MPa</w:t>
            </w:r>
          </w:p>
          <w:p w14:paraId="423173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七、氧气储罐：</w:t>
            </w:r>
          </w:p>
          <w:p w14:paraId="51E2CB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1、材质为优质不锈钢或铝合金；</w:t>
            </w:r>
          </w:p>
          <w:p w14:paraId="0DD97B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2、容积：≥110L</w:t>
            </w:r>
          </w:p>
          <w:p w14:paraId="3C9726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3、工作压力：≥0.8MPa</w:t>
            </w:r>
          </w:p>
          <w:p w14:paraId="5E829D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八、氧气浓度分析仪</w:t>
            </w:r>
          </w:p>
          <w:p w14:paraId="1FEC2C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1、精度：≤±1%F.S</w:t>
            </w:r>
          </w:p>
          <w:p w14:paraId="227C89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2、采用离子流氧传感器作为测量单元，测量精度≤±1%.FS;稳定性≤±1%.FS/7d；</w:t>
            </w:r>
          </w:p>
          <w:p w14:paraId="5033207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3、采用 4-20mA 信号输出；</w:t>
            </w:r>
          </w:p>
          <w:p w14:paraId="0267FF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4、响应时间：T90＜ 60s（充分预热后）</w:t>
            </w:r>
          </w:p>
          <w:p w14:paraId="1DCF5E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传感器寿命：大于 5 年（正常使用）</w:t>
            </w:r>
          </w:p>
          <w:p w14:paraId="2DF9E9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仪器寿命：大于 10 年（正常使用）。</w:t>
            </w:r>
          </w:p>
          <w:p w14:paraId="0C08E9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九、氧气流量计：</w:t>
            </w:r>
          </w:p>
          <w:p w14:paraId="34650E7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1、过滤精度：≤±3%F.S；</w:t>
            </w:r>
          </w:p>
          <w:p w14:paraId="59CB584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2、重复精度：≤±1%F.S ；</w:t>
            </w:r>
          </w:p>
          <w:p w14:paraId="2D182F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3、额定流量范围（量程）：1-100L/min</w:t>
            </w:r>
          </w:p>
          <w:p w14:paraId="06BA76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响应时间：＜50ms。</w:t>
            </w:r>
          </w:p>
          <w:p w14:paraId="1A7983D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十、PLC 控制系统：</w:t>
            </w:r>
          </w:p>
          <w:p w14:paraId="50F07E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1、采用 PLC 控制器，触摸屏显示控制；</w:t>
            </w:r>
          </w:p>
          <w:p w14:paraId="703FFFC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2、能够根据实际需要对制氧系统进行编程，根据用户需要设定、变更控制技术参数指标；</w:t>
            </w:r>
          </w:p>
          <w:p w14:paraId="753788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3、能够实时监控制氧设备的流程及运行状态，包括空压机、冷干机、吸干机、制氧主机的状态显示；</w:t>
            </w:r>
          </w:p>
          <w:p w14:paraId="43E8A1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4、能够实时显示氧气浓度、流量、压力指标，并可自动储存和查询历史数据；</w:t>
            </w:r>
          </w:p>
          <w:p w14:paraId="7E83C62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5、能够实时显示系统运行时间以及距离维修保养的时间。</w:t>
            </w:r>
          </w:p>
          <w:p w14:paraId="79B80B1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十一、制氧机后台管理及远程管理系统：</w:t>
            </w:r>
          </w:p>
          <w:p w14:paraId="535F46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1、具备实时监控 制氧主机运行画面、空压机运行画面、冷干机运行画面。空气压力数据显示、氧气压力数据显示、氧气流量数据显示、氧气纯度数据显示等实时数据；</w:t>
            </w:r>
          </w:p>
          <w:p w14:paraId="63E35F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2、制氧系统具有远程监控系统；</w:t>
            </w:r>
          </w:p>
          <w:p w14:paraId="338AC4F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3、制氧系统具有可视化操作系统；</w:t>
            </w:r>
          </w:p>
          <w:p w14:paraId="412A39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4、制氧机具有一键启停功能，控制系统既可全自动智能化运行，同时也能转换为手动运行。</w:t>
            </w:r>
          </w:p>
          <w:p w14:paraId="273D23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十二、管路系统 制氧设备之间的连接管道和仪表控制管路需采用不锈钢硬管连接。</w:t>
            </w:r>
          </w:p>
          <w:p w14:paraId="3CC90F2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十三、</w:t>
            </w:r>
            <w:r>
              <w:rPr>
                <w:rFonts w:hint="eastAsia" w:ascii="宋体" w:hAnsi="宋体" w:eastAsia="宋体" w:cs="宋体"/>
                <w:snapToGrid w:val="0"/>
                <w:color w:val="auto"/>
                <w:kern w:val="0"/>
                <w:sz w:val="18"/>
                <w:szCs w:val="18"/>
                <w:lang w:eastAsia="en-US"/>
              </w:rPr>
              <w:t>国产。</w:t>
            </w:r>
          </w:p>
          <w:p w14:paraId="5616926D">
            <w:pPr>
              <w:widowControl/>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2BBA0774">
            <w:pPr>
              <w:widowControl/>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58CB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4FCDA0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60</w:t>
            </w:r>
          </w:p>
        </w:tc>
        <w:tc>
          <w:tcPr>
            <w:tcW w:w="1415" w:type="dxa"/>
            <w:tcBorders>
              <w:top w:val="single" w:color="000000" w:sz="4" w:space="0"/>
              <w:bottom w:val="single" w:color="000000" w:sz="4" w:space="0"/>
            </w:tcBorders>
            <w:vAlign w:val="top"/>
          </w:tcPr>
          <w:p w14:paraId="3889B00B">
            <w:pPr>
              <w:kinsoku w:val="0"/>
              <w:autoSpaceDE w:val="0"/>
              <w:autoSpaceDN w:val="0"/>
              <w:adjustRightInd w:val="0"/>
              <w:snapToGrid w:val="0"/>
              <w:spacing w:before="128"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6878" w:type="dxa"/>
            <w:tcBorders>
              <w:top w:val="single" w:color="000000" w:sz="4" w:space="0"/>
              <w:bottom w:val="single" w:color="000000" w:sz="4" w:space="0"/>
            </w:tcBorders>
            <w:vAlign w:val="top"/>
          </w:tcPr>
          <w:p w14:paraId="7FA44A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1.容积：≥24L</w:t>
            </w:r>
          </w:p>
          <w:p w14:paraId="7ACA3FD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2.材质：06Cr19Ni10(SUS304)</w:t>
            </w:r>
          </w:p>
          <w:p w14:paraId="776C536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3.设计压力：-0.1/0.3MPa</w:t>
            </w:r>
          </w:p>
          <w:p w14:paraId="747B69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4.设计温度：144℃</w:t>
            </w:r>
          </w:p>
          <w:p w14:paraId="4B3C6A5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5.使用寿命：≥8年/16000次循环</w:t>
            </w:r>
          </w:p>
          <w:p w14:paraId="6719C54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6.主体保温：粘胶纤维保温层</w:t>
            </w:r>
          </w:p>
          <w:p w14:paraId="17FAC0C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7.腔壁加热：覆膜式加热膜</w:t>
            </w:r>
          </w:p>
          <w:p w14:paraId="00BBCB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8.门板：拉伸门板，材料厚度≥2mm；</w:t>
            </w:r>
          </w:p>
          <w:p w14:paraId="510CE94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9.开关门方式：电机驱动，一键式侧开门</w:t>
            </w:r>
          </w:p>
          <w:p w14:paraId="45C0DA7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10.二层托盘</w:t>
            </w:r>
          </w:p>
          <w:p w14:paraId="7DFF1C3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5BCE02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4865D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8EC30A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kern w:val="0"/>
                <w:sz w:val="18"/>
                <w:szCs w:val="18"/>
                <w:lang w:val="en-US" w:eastAsia="zh-CN"/>
              </w:rPr>
              <w:t>61</w:t>
            </w:r>
          </w:p>
        </w:tc>
        <w:tc>
          <w:tcPr>
            <w:tcW w:w="1415" w:type="dxa"/>
            <w:tcBorders>
              <w:top w:val="single" w:color="000000" w:sz="4" w:space="0"/>
              <w:bottom w:val="single" w:color="000000" w:sz="4" w:space="0"/>
            </w:tcBorders>
            <w:vAlign w:val="top"/>
          </w:tcPr>
          <w:p w14:paraId="42BA47A4">
            <w:pPr>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烘干机</w:t>
            </w:r>
          </w:p>
        </w:tc>
        <w:tc>
          <w:tcPr>
            <w:tcW w:w="6878" w:type="dxa"/>
            <w:tcBorders>
              <w:top w:val="single" w:color="000000" w:sz="4" w:space="0"/>
              <w:bottom w:val="single" w:color="000000" w:sz="4" w:space="0"/>
            </w:tcBorders>
            <w:vAlign w:val="top"/>
          </w:tcPr>
          <w:p w14:paraId="60701CDF">
            <w:pPr>
              <w:widowControl/>
              <w:kinsoku w:val="0"/>
              <w:autoSpaceDE w:val="0"/>
              <w:autoSpaceDN w:val="0"/>
              <w:adjustRightInd w:val="0"/>
              <w:snapToGrid w:val="0"/>
              <w:spacing w:line="240" w:lineRule="auto"/>
              <w:jc w:val="both"/>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一、基础规格</w:t>
            </w:r>
          </w:p>
          <w:p w14:paraId="033E55B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1</w:t>
            </w:r>
            <w:r>
              <w:rPr>
                <w:rFonts w:hint="eastAsia" w:ascii="宋体" w:hAnsi="宋体" w:eastAsia="宋体" w:cs="宋体"/>
                <w:b w:val="0"/>
                <w:bCs w:val="0"/>
                <w:i w:val="0"/>
                <w:iCs w:val="0"/>
                <w:caps w:val="0"/>
                <w:snapToGrid w:val="0"/>
                <w:color w:val="auto"/>
                <w:spacing w:val="0"/>
                <w:kern w:val="0"/>
                <w:sz w:val="18"/>
                <w:szCs w:val="18"/>
                <w:shd w:val="clear" w:fill="FFFFFF"/>
                <w:lang w:eastAsia="en-US"/>
              </w:rPr>
              <w:t>. 额定洗涤容量：≥30kg</w:t>
            </w:r>
          </w:p>
          <w:p w14:paraId="0052894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2</w:t>
            </w:r>
            <w:r>
              <w:rPr>
                <w:rFonts w:hint="eastAsia" w:ascii="宋体" w:hAnsi="宋体" w:eastAsia="宋体" w:cs="宋体"/>
                <w:b w:val="0"/>
                <w:bCs w:val="0"/>
                <w:i w:val="0"/>
                <w:iCs w:val="0"/>
                <w:caps w:val="0"/>
                <w:snapToGrid w:val="0"/>
                <w:color w:val="auto"/>
                <w:spacing w:val="0"/>
                <w:kern w:val="0"/>
                <w:sz w:val="18"/>
                <w:szCs w:val="18"/>
                <w:shd w:val="clear" w:fill="FFFFFF"/>
                <w:lang w:eastAsia="en-US"/>
              </w:rPr>
              <w:t>. 额定烘干容量：≥24kg</w:t>
            </w:r>
          </w:p>
          <w:p w14:paraId="297E3BA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3</w:t>
            </w:r>
            <w:r>
              <w:rPr>
                <w:rFonts w:hint="eastAsia" w:ascii="宋体" w:hAnsi="宋体" w:eastAsia="宋体" w:cs="宋体"/>
                <w:b w:val="0"/>
                <w:bCs w:val="0"/>
                <w:i w:val="0"/>
                <w:iCs w:val="0"/>
                <w:caps w:val="0"/>
                <w:snapToGrid w:val="0"/>
                <w:color w:val="auto"/>
                <w:spacing w:val="0"/>
                <w:kern w:val="0"/>
                <w:sz w:val="18"/>
                <w:szCs w:val="18"/>
                <w:shd w:val="clear" w:fill="FFFFFF"/>
                <w:lang w:eastAsia="en-US"/>
              </w:rPr>
              <w:t>. 滚筒有效容积：≥300L</w:t>
            </w:r>
          </w:p>
          <w:p w14:paraId="4B52E354">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二、材质与结构</w:t>
            </w:r>
          </w:p>
          <w:p w14:paraId="3A7567E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内胆、外筒、门框、风道、水管全部采用304不锈钢材质</w:t>
            </w:r>
          </w:p>
          <w:p w14:paraId="373153C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前后双门电子互锁，可穿墙安装，实现洁污完全分区</w:t>
            </w:r>
          </w:p>
          <w:p w14:paraId="0C77444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全悬浮弹簧阻尼减震结构，无需专用地基</w:t>
            </w:r>
          </w:p>
          <w:p w14:paraId="2D4CE6D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三、电气驱动参数</w:t>
            </w:r>
          </w:p>
          <w:p w14:paraId="38947AC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电源：三相380V/50Hz</w:t>
            </w:r>
          </w:p>
          <w:p w14:paraId="2263227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主变频电机功率：≥4.0kW</w:t>
            </w:r>
          </w:p>
          <w:p w14:paraId="75B9391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烘干风机功率：0.85kW</w:t>
            </w:r>
          </w:p>
          <w:p w14:paraId="62CFF91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洗涤转速：40–50rpm；匀布转速：60–70rpm</w:t>
            </w:r>
          </w:p>
          <w:p w14:paraId="1A0C2B2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 最高脱水转速：≥800rpm，脱水G值≥300</w:t>
            </w:r>
          </w:p>
          <w:p w14:paraId="2664FDC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 织物含水率：≤45%</w:t>
            </w:r>
          </w:p>
          <w:p w14:paraId="725D25A4">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7. 烘干风机支持正反转循环送风</w:t>
            </w:r>
          </w:p>
          <w:p w14:paraId="3B37B6B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四、热泵烘干系统</w:t>
            </w:r>
          </w:p>
          <w:p w14:paraId="579D722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纯空气源热泵低温烘干，无内置电加热管</w:t>
            </w:r>
          </w:p>
          <w:p w14:paraId="39AB8E1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热泵总输入功率：≤4.8kW</w:t>
            </w:r>
          </w:p>
          <w:p w14:paraId="1CBC866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制热COP能效比：≥3.5</w:t>
            </w:r>
          </w:p>
          <w:p w14:paraId="350401C9">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采用R134a环保冷媒</w:t>
            </w:r>
          </w:p>
          <w:p w14:paraId="11EA6C7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 烘干温度：45℃–65℃可调</w:t>
            </w:r>
          </w:p>
          <w:p w14:paraId="22F1AE2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 自带冷凝排水系统，无需蒸汽配套</w:t>
            </w:r>
          </w:p>
          <w:p w14:paraId="5D88A43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7. 相比传统烘干节电65%以上</w:t>
            </w:r>
          </w:p>
          <w:p w14:paraId="5C60CFB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 xml:space="preserve">五、控制与消毒功能 </w:t>
            </w:r>
          </w:p>
          <w:p w14:paraId="6D42873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净、污区双独立中文触摸屏操作</w:t>
            </w:r>
          </w:p>
          <w:p w14:paraId="41746E58">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具备医用消毒等级：常规A0≥600、高温强化消毒A0≥3000（支持90℃洗涤）</w:t>
            </w:r>
          </w:p>
          <w:p w14:paraId="2BBBA71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自动记录批次数据，支持U盘导出、全程溯源</w:t>
            </w:r>
          </w:p>
          <w:p w14:paraId="48E6F99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内置多套医用布草专用程序，支持自定义程序储存</w:t>
            </w:r>
          </w:p>
          <w:p w14:paraId="75B708A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 预留洗涤剂、消毒剂自动加注接口</w:t>
            </w:r>
          </w:p>
          <w:p w14:paraId="73ED9E42">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 具备超温、过载、高低水位自适应、故障报警自诊断保护</w:t>
            </w:r>
          </w:p>
          <w:p w14:paraId="183CEB3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六、管路与噪音</w:t>
            </w:r>
          </w:p>
          <w:p w14:paraId="0BE5B39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双路3/4寸冷水进水</w:t>
            </w:r>
          </w:p>
          <w:p w14:paraId="4DD5E838">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排水管径≥75mm，内置毛发过滤装置</w:t>
            </w:r>
          </w:p>
          <w:p w14:paraId="6E24C32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整机运行噪音≤72dB(A)</w:t>
            </w:r>
          </w:p>
          <w:p w14:paraId="6BFFEA2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七、资质与售后质保</w:t>
            </w:r>
          </w:p>
          <w:p w14:paraId="0762BB9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提供WS/T508医用织物洗涤检测、304材质证明、热泵能效检测报告</w:t>
            </w:r>
          </w:p>
          <w:p w14:paraId="1F9C9054">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整机质保≥1年</w:t>
            </w:r>
          </w:p>
          <w:p w14:paraId="52762C1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变频电机、热泵压缩机、主控系统核心部件质保≥2年</w:t>
            </w:r>
          </w:p>
          <w:p w14:paraId="26B4B58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省内24小时响应、48小时上门维修</w:t>
            </w:r>
          </w:p>
          <w:p w14:paraId="0F582D2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 xml:space="preserve">5.  </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7150348">
            <w:pPr>
              <w:widowControl/>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4E8FD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F2132C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b/>
                <w:bCs/>
                <w:i w:val="0"/>
                <w:snapToGrid w:val="0"/>
                <w:color w:val="auto"/>
                <w:kern w:val="0"/>
                <w:sz w:val="22"/>
                <w:szCs w:val="22"/>
                <w:u w:val="none"/>
                <w:lang w:val="en-US" w:eastAsia="zh-CN" w:bidi="ar"/>
              </w:rPr>
              <w:t>62</w:t>
            </w:r>
          </w:p>
        </w:tc>
        <w:tc>
          <w:tcPr>
            <w:tcW w:w="1415" w:type="dxa"/>
            <w:tcBorders>
              <w:top w:val="single" w:color="000000" w:sz="4" w:space="0"/>
              <w:bottom w:val="single" w:color="000000" w:sz="4" w:space="0"/>
            </w:tcBorders>
            <w:vAlign w:val="top"/>
          </w:tcPr>
          <w:p w14:paraId="40FE8207">
            <w:pPr>
              <w:kinsoku w:val="0"/>
              <w:autoSpaceDE w:val="0"/>
              <w:autoSpaceDN w:val="0"/>
              <w:adjustRightInd w:val="0"/>
              <w:snapToGrid w:val="0"/>
              <w:spacing w:before="122" w:line="221" w:lineRule="auto"/>
              <w:ind w:left="1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b/>
                <w:bCs/>
                <w:snapToGrid w:val="0"/>
                <w:color w:val="auto"/>
                <w:spacing w:val="-1"/>
                <w:kern w:val="0"/>
                <w:sz w:val="18"/>
                <w:szCs w:val="18"/>
                <w:lang w:val="en-US" w:eastAsia="en-US" w:bidi="ar-SA"/>
              </w:rPr>
              <w:t>D</w:t>
            </w:r>
            <w:r>
              <w:rPr>
                <w:rFonts w:hint="eastAsia" w:ascii="宋体" w:hAnsi="宋体" w:eastAsia="宋体" w:cs="宋体"/>
                <w:b/>
                <w:bCs/>
                <w:snapToGrid w:val="0"/>
                <w:color w:val="auto"/>
                <w:spacing w:val="-1"/>
                <w:kern w:val="0"/>
                <w:sz w:val="18"/>
                <w:szCs w:val="18"/>
                <w:lang w:val="en-US" w:eastAsia="zh-CN" w:bidi="ar-SA"/>
              </w:rPr>
              <w:t>R机</w:t>
            </w:r>
          </w:p>
        </w:tc>
        <w:tc>
          <w:tcPr>
            <w:tcW w:w="6878" w:type="dxa"/>
            <w:tcBorders>
              <w:top w:val="single" w:color="000000" w:sz="4" w:space="0"/>
              <w:bottom w:val="single" w:color="000000" w:sz="4" w:space="0"/>
            </w:tcBorders>
            <w:vAlign w:val="top"/>
          </w:tcPr>
          <w:p w14:paraId="795E1048">
            <w:pPr>
              <w:widowControl/>
              <w:numPr>
                <w:ilvl w:val="0"/>
                <w:numId w:val="22"/>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eastAsia="zh-CN"/>
              </w:rPr>
            </w:pPr>
            <w:r>
              <w:rPr>
                <w:rFonts w:hint="eastAsia" w:ascii="宋体" w:hAnsi="宋体" w:eastAsia="宋体" w:cs="宋体"/>
                <w:i w:val="0"/>
                <w:iCs w:val="0"/>
                <w:snapToGrid w:val="0"/>
                <w:color w:val="auto"/>
                <w:kern w:val="0"/>
                <w:sz w:val="18"/>
                <w:szCs w:val="18"/>
                <w:u w:val="none"/>
                <w:lang w:eastAsia="zh-CN"/>
              </w:rPr>
              <w:t>功率1.额定功率：65KW高频电压，逆变律≥260KHz2.最大管电流：２00Ma，最大Mas：800Mas3.管电压：40Kv~150Kv，支持厚体部、肥胖患者、腰椎、盆骨高透拍摄4.标配三电离室AEC自动曝光，探测器自动感应体厚优化剂量5.具备高压、过流、过热、防短路多重硬件保护。</w:t>
            </w:r>
          </w:p>
          <w:p w14:paraId="10FC4DA2">
            <w:pPr>
              <w:widowControl/>
              <w:numPr>
                <w:ilvl w:val="0"/>
                <w:numId w:val="22"/>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eastAsia="zh-CN"/>
              </w:rPr>
            </w:pPr>
            <w:r>
              <w:rPr>
                <w:rFonts w:hint="eastAsia" w:ascii="宋体" w:hAnsi="宋体" w:eastAsia="宋体" w:cs="宋体"/>
                <w:i w:val="0"/>
                <w:iCs w:val="0"/>
                <w:snapToGrid w:val="0"/>
                <w:color w:val="auto"/>
                <w:kern w:val="0"/>
                <w:sz w:val="18"/>
                <w:szCs w:val="18"/>
                <w:u w:val="none"/>
                <w:lang w:eastAsia="zh-CN"/>
              </w:rPr>
              <w:t>X线球管组件1.配置：原装进口高热容量旋转阳极X线球管2.双焦点设计：大焦点1.2mm，小焦点0.6mm3.阳极热容量：≥300Khu，可连续批量体检拍片无等待4.球管转动角度：垂直+100°、水平360°任意悬停锁止。</w:t>
            </w:r>
          </w:p>
          <w:p w14:paraId="5A269BE1">
            <w:pPr>
              <w:widowControl/>
              <w:numPr>
                <w:ilvl w:val="0"/>
                <w:numId w:val="22"/>
              </w:numPr>
              <w:kinsoku w:val="0"/>
              <w:autoSpaceDE w:val="0"/>
              <w:autoSpaceDN w:val="0"/>
              <w:adjustRightInd w:val="0"/>
              <w:snapToGrid w:val="0"/>
              <w:spacing w:line="439" w:lineRule="auto"/>
              <w:ind w:left="0" w:leftChars="0" w:firstLine="0" w:firstLineChars="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设备主要构成及附件：</w:t>
            </w:r>
          </w:p>
          <w:p w14:paraId="7BAFA1AE">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eastAsia="zh-CN"/>
              </w:rPr>
            </w:pPr>
            <w:r>
              <w:rPr>
                <w:rFonts w:hint="eastAsia" w:ascii="宋体" w:hAnsi="宋体" w:eastAsia="宋体" w:cs="宋体"/>
                <w:i w:val="0"/>
                <w:iCs w:val="0"/>
                <w:snapToGrid w:val="0"/>
                <w:color w:val="auto"/>
                <w:kern w:val="0"/>
                <w:sz w:val="18"/>
                <w:szCs w:val="18"/>
                <w:u w:val="none"/>
                <w:lang w:val="en-US" w:eastAsia="zh-CN"/>
              </w:rPr>
              <w:t>3.1</w:t>
            </w:r>
            <w:r>
              <w:rPr>
                <w:rFonts w:hint="eastAsia" w:ascii="宋体" w:hAnsi="宋体" w:eastAsia="宋体" w:cs="宋体"/>
                <w:i w:val="0"/>
                <w:iCs w:val="0"/>
                <w:snapToGrid w:val="0"/>
                <w:color w:val="auto"/>
                <w:kern w:val="0"/>
                <w:sz w:val="18"/>
                <w:szCs w:val="18"/>
                <w:u w:val="none"/>
                <w:lang w:eastAsia="zh-CN"/>
              </w:rPr>
              <w:t>动态平板探测器一块。</w:t>
            </w:r>
          </w:p>
          <w:p w14:paraId="46B18F5C">
            <w:pPr>
              <w:widowControl/>
              <w:numPr>
                <w:ilvl w:val="0"/>
                <w:numId w:val="0"/>
              </w:numPr>
              <w:kinsoku w:val="0"/>
              <w:autoSpaceDE w:val="0"/>
              <w:autoSpaceDN w:val="0"/>
              <w:adjustRightInd w:val="0"/>
              <w:snapToGrid w:val="0"/>
              <w:spacing w:line="338"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3.2静态平板探测器一块</w:t>
            </w:r>
          </w:p>
          <w:p w14:paraId="49E1A542">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3.3 X线球管一套。</w:t>
            </w:r>
          </w:p>
          <w:p w14:paraId="5062D7B9">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3.4高频高压发生器1套。</w:t>
            </w:r>
          </w:p>
          <w:p w14:paraId="5D7BC038">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3.5 DR悬吊式机架。</w:t>
            </w:r>
          </w:p>
          <w:p w14:paraId="2623FA0C">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3.6限束器一个。</w:t>
            </w:r>
          </w:p>
          <w:p w14:paraId="3D308FD5">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3.7专用图像采集/处理工作站一套。</w:t>
            </w:r>
          </w:p>
          <w:p w14:paraId="115F5F5D">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3.8语音呼叫系统一套。</w:t>
            </w:r>
          </w:p>
          <w:p w14:paraId="38147E6C">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3.9虑线栅2块</w:t>
            </w:r>
          </w:p>
          <w:p w14:paraId="47C17C62">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3.10遥控台1个</w:t>
            </w:r>
          </w:p>
          <w:p w14:paraId="5ED0E507">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3.11电离室2套</w:t>
            </w:r>
          </w:p>
          <w:p w14:paraId="3EB78463">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2.12诊断床</w:t>
            </w:r>
          </w:p>
          <w:p w14:paraId="77212114">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2.13诊断工作站</w:t>
            </w:r>
          </w:p>
          <w:p w14:paraId="0230F65C">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四、总机（含球管）质保三年</w:t>
            </w:r>
          </w:p>
          <w:p w14:paraId="6A5B733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3A2B1897">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0E954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573722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63</w:t>
            </w:r>
          </w:p>
        </w:tc>
        <w:tc>
          <w:tcPr>
            <w:tcW w:w="1415" w:type="dxa"/>
            <w:tcBorders>
              <w:top w:val="single" w:color="000000" w:sz="4" w:space="0"/>
              <w:bottom w:val="single" w:color="000000" w:sz="4" w:space="0"/>
            </w:tcBorders>
            <w:vAlign w:val="top"/>
          </w:tcPr>
          <w:p w14:paraId="22C4662D">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全自动5分类血球分析仪</w:t>
            </w:r>
          </w:p>
        </w:tc>
        <w:tc>
          <w:tcPr>
            <w:tcW w:w="6878" w:type="dxa"/>
            <w:tcBorders>
              <w:top w:val="single" w:color="000000" w:sz="4" w:space="0"/>
              <w:bottom w:val="single" w:color="000000" w:sz="4" w:space="0"/>
            </w:tcBorders>
            <w:vAlign w:val="top"/>
          </w:tcPr>
          <w:p w14:paraId="24C7F989">
            <w:pPr>
              <w:widowControl/>
              <w:kinsoku w:val="0"/>
              <w:autoSpaceDE w:val="0"/>
              <w:autoSpaceDN w:val="0"/>
              <w:adjustRightInd w:val="0"/>
              <w:snapToGrid w:val="0"/>
              <w:spacing w:before="123" w:line="219" w:lineRule="auto"/>
              <w:jc w:val="left"/>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b w:val="0"/>
                <w:i w:val="0"/>
                <w:iCs w:val="0"/>
                <w:snapToGrid w:val="0"/>
                <w:color w:val="auto"/>
                <w:kern w:val="0"/>
                <w:sz w:val="18"/>
                <w:szCs w:val="18"/>
                <w:u w:val="none"/>
                <w:lang w:val="en-US" w:eastAsia="zh-CN" w:bidi="ar"/>
              </w:rPr>
              <w:t>1</w:t>
            </w:r>
            <w:r>
              <w:rPr>
                <w:rFonts w:hint="eastAsia" w:ascii="宋体" w:hAnsi="宋体" w:eastAsia="宋体" w:cs="宋体"/>
                <w:i w:val="0"/>
                <w:iCs w:val="0"/>
                <w:snapToGrid w:val="0"/>
                <w:color w:val="auto"/>
                <w:kern w:val="0"/>
                <w:sz w:val="18"/>
                <w:szCs w:val="18"/>
                <w:u w:val="none"/>
                <w:lang w:val="en-US" w:eastAsia="zh-CN" w:bidi="ar"/>
              </w:rPr>
              <w:t xml:space="preserve"> 检测功能：一机检测血常规（CBC+DIFF）、CRP、SAA。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 xml:space="preserve">2.检测速度：CBC+DIFF≥80样本/小时；三联检≥25样本/小时。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 xml:space="preserve">3.核心原理：白细胞分类采用荧光染色流式细胞术；红细胞/血小板为鞘流电阻抗法。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4.样本系统：标配封闭穿刺自动进样器，支持急诊优先。</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 xml:space="preserve">5.关键参数：提供≥30项血常规参数，含大血小板(P-LCC)。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6.性能要求：重复性（WBC≤2.5%，PLT≤4.0%）；线性范围宽（PLT:0-5000×10⁹/L）。</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7. 系统要求：</w:t>
            </w:r>
            <w:r>
              <w:rPr>
                <w:rFonts w:hint="eastAsia" w:ascii="宋体" w:hAnsi="宋体" w:eastAsia="宋体" w:cs="宋体"/>
                <w:snapToGrid w:val="0"/>
                <w:color w:val="auto"/>
                <w:kern w:val="0"/>
                <w:sz w:val="18"/>
                <w:szCs w:val="18"/>
                <w:lang w:val="en-US" w:eastAsia="zh-CN"/>
              </w:rPr>
              <w:t>网络接口可连接LIS/HIS等数据管理系统；</w:t>
            </w:r>
          </w:p>
          <w:p w14:paraId="4825E111">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bidi="ar"/>
              </w:rPr>
              <w:t>8.</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1A521F5B">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3E049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510116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64</w:t>
            </w:r>
          </w:p>
        </w:tc>
        <w:tc>
          <w:tcPr>
            <w:tcW w:w="1415" w:type="dxa"/>
            <w:tcBorders>
              <w:top w:val="single" w:color="000000" w:sz="4" w:space="0"/>
              <w:bottom w:val="single" w:color="000000" w:sz="4" w:space="0"/>
            </w:tcBorders>
            <w:vAlign w:val="top"/>
          </w:tcPr>
          <w:p w14:paraId="191F1582">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全自动糖化血红蛋白仪</w:t>
            </w:r>
          </w:p>
        </w:tc>
        <w:tc>
          <w:tcPr>
            <w:tcW w:w="6878" w:type="dxa"/>
            <w:tcBorders>
              <w:top w:val="single" w:color="000000" w:sz="4" w:space="0"/>
              <w:bottom w:val="single" w:color="000000" w:sz="4" w:space="0"/>
            </w:tcBorders>
            <w:vAlign w:val="top"/>
          </w:tcPr>
          <w:p w14:paraId="27FCDE19">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检测速度：单样本检测时长≤68秒，小时通量≥54测试；配备独立急诊样本位，支持急诊插队优先检测。</w:t>
            </w:r>
          </w:p>
          <w:p w14:paraId="163DD2C4">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进样模式：圆盘批量进样，样本位≥15位；支持原始采血管盖帽穿刺上机，自动混匀、条码扫码录入信息；兼容静脉全血、末梢血样本。3. 样本用量：单次全血进样量≤5μL，微量采血适配基层老年患者。</w:t>
            </w:r>
          </w:p>
          <w:p w14:paraId="29638C2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4. 检测范围：HbA1c线性区间3.0%～18.0%，相关系数r≥0.99；同时出具NGSP（%）、IFCC（mmol/mol）双单位报告，附带平均血糖eAG换算值。</w:t>
            </w:r>
          </w:p>
          <w:p w14:paraId="7EA0E4A8">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5. 性能精度：重复性CV≤2.5%，携带污染率≤1%；可识别常见血红蛋白变异体并异常提示，结果满足湖南省室间质评要求。</w:t>
            </w:r>
          </w:p>
          <w:p w14:paraId="52DB3196">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6. 操作系统与存储：中文触控显示屏，本地存储≥10000条检测结果，可查询、导出、打印检测图谱与报告单。</w:t>
            </w:r>
          </w:p>
          <w:p w14:paraId="17D180AF">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7. 数据接口：配备网口、USB接口，支持双向LIS/HIS系统联网，检验数据自动上传院内系统。</w:t>
            </w:r>
          </w:p>
          <w:p w14:paraId="441FCE9A">
            <w:pPr>
              <w:widowControl/>
              <w:numPr>
                <w:ilvl w:val="0"/>
                <w:numId w:val="23"/>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自动维护：开关机自动清洗管路，试剂余量、压力异常自动报警；恒温控制层析柱，保障检测稳定性。</w:t>
            </w:r>
          </w:p>
          <w:p w14:paraId="3051DE85">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516D95A">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1CFF1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33BCD10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65</w:t>
            </w:r>
          </w:p>
        </w:tc>
        <w:tc>
          <w:tcPr>
            <w:tcW w:w="1415" w:type="dxa"/>
            <w:tcBorders>
              <w:top w:val="single" w:color="000000" w:sz="4" w:space="0"/>
              <w:bottom w:val="single" w:color="000000" w:sz="4" w:space="0"/>
            </w:tcBorders>
            <w:vAlign w:val="top"/>
          </w:tcPr>
          <w:p w14:paraId="39F4745C">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全自动大便分析仪</w:t>
            </w:r>
          </w:p>
        </w:tc>
        <w:tc>
          <w:tcPr>
            <w:tcW w:w="6878" w:type="dxa"/>
            <w:tcBorders>
              <w:top w:val="single" w:color="000000" w:sz="4" w:space="0"/>
              <w:bottom w:val="single" w:color="000000" w:sz="4" w:space="0"/>
            </w:tcBorders>
            <w:vAlign w:val="top"/>
          </w:tcPr>
          <w:p w14:paraId="79CDCC2C">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（一）检测原理与进样</w:t>
            </w:r>
          </w:p>
          <w:p w14:paraId="2884D42A">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采用全自动封闭管路检测，自动混匀、稀释、过滤、高清成像、AI智能分类计数，无需人工镜检；全封闭穿刺吸样，降低院感风险；</w:t>
            </w:r>
          </w:p>
          <w:p w14:paraId="63AFD7E0">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轨道/转盘批量进样，一次性样本位≥40个，支持急诊插队优先检测；自带条码扫描录入患者信息。</w:t>
            </w:r>
          </w:p>
          <w:p w14:paraId="17A640F2">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（二）检测速度</w:t>
            </w:r>
          </w:p>
          <w:p w14:paraId="0977830D">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连续检测通量≥75样本/小时，单样本检测时长≤48秒，满足高峰批量体检需求。 </w:t>
            </w:r>
          </w:p>
          <w:p w14:paraId="71C29D7B">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（三）检测项目</w:t>
            </w:r>
          </w:p>
          <w:p w14:paraId="4D10DA23">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形态学有形成分≥20项：红细胞、白细胞、上皮细胞、吞噬细胞、虫卵、原虫、结晶、霉菌、脂肪球、淀粉颗粒等，自动留存实景图片，支持人工复核；自动判读粪便颜色、性状；</w:t>
            </w:r>
          </w:p>
          <w:p w14:paraId="633DF52F">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2. 免疫联检模块：标配粪便隐血（OB）+转铁蛋白，可拓展轮状/腺病毒、钙卫蛋白等项目；一机完成形态+免疫全套报告。 </w:t>
            </w:r>
          </w:p>
          <w:p w14:paraId="70BA2D99">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（四）性能指标 </w:t>
            </w:r>
          </w:p>
          <w:p w14:paraId="4C820499">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携带污染率≤0.05%；细胞计数重复性CV值符合行业标准，结果可参与湖南省室间质评；具备智能二次稀释功能，适配浓/稀异常样本。</w:t>
            </w:r>
          </w:p>
          <w:p w14:paraId="6BC066D4">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 （五）软件与数据接口</w:t>
            </w:r>
          </w:p>
          <w:p w14:paraId="15BBABB3">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中文触控操作系统，本地存储≥30000条图文报告，可查询、导出、打印；</w:t>
            </w:r>
          </w:p>
          <w:p w14:paraId="615FE476">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标配网口、USB接口，支持双向LIS/HIS联网，检验数据自动上传院内系统。</w:t>
            </w:r>
          </w:p>
          <w:p w14:paraId="14B94B12">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 （六）自动维护 </w:t>
            </w:r>
          </w:p>
          <w:p w14:paraId="37F49C2B">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i w:val="0"/>
                <w:iCs w:val="0"/>
                <w:snapToGrid w:val="0"/>
                <w:color w:val="auto"/>
                <w:kern w:val="0"/>
                <w:sz w:val="18"/>
                <w:szCs w:val="18"/>
                <w:u w:val="none"/>
                <w:lang w:val="en-US" w:eastAsia="zh-CN"/>
              </w:rPr>
              <w:t>1.管路内外自动清洗；试剂余量、废液量、故障自动声光报警；日常一键维护。</w:t>
            </w:r>
          </w:p>
          <w:p w14:paraId="1440FB3A">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10986A9">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74D56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A98D4E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66</w:t>
            </w:r>
          </w:p>
        </w:tc>
        <w:tc>
          <w:tcPr>
            <w:tcW w:w="1415" w:type="dxa"/>
            <w:tcBorders>
              <w:top w:val="single" w:color="000000" w:sz="4" w:space="0"/>
              <w:bottom w:val="single" w:color="000000" w:sz="4" w:space="0"/>
            </w:tcBorders>
            <w:vAlign w:val="top"/>
          </w:tcPr>
          <w:p w14:paraId="286AA044">
            <w:pPr>
              <w:kinsoku w:val="0"/>
              <w:autoSpaceDE w:val="0"/>
              <w:autoSpaceDN w:val="0"/>
              <w:adjustRightInd w:val="0"/>
              <w:snapToGrid w:val="0"/>
              <w:spacing w:before="124"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尿成渣仪器</w:t>
            </w:r>
          </w:p>
        </w:tc>
        <w:tc>
          <w:tcPr>
            <w:tcW w:w="6878" w:type="dxa"/>
            <w:tcBorders>
              <w:top w:val="single" w:color="000000" w:sz="4" w:space="0"/>
              <w:bottom w:val="single" w:color="000000" w:sz="4" w:space="0"/>
            </w:tcBorders>
            <w:vAlign w:val="top"/>
          </w:tcPr>
          <w:p w14:paraId="4879928B">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检测速度：检测效率≥30样本/小时，支持急诊插队检测。</w:t>
            </w:r>
          </w:p>
          <w:p w14:paraId="49E0C46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进样方式：转盘式批量进样，样本位≥10位，原始试管直接上机。</w:t>
            </w:r>
          </w:p>
          <w:p w14:paraId="558CDDB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 检测项目：可识别尿液有形成分≥16项，含红细胞、白细胞、管型、结晶、细菌、真菌、粘液丝等常规项目，可定量计数、可留存图像人工复核。</w:t>
            </w:r>
          </w:p>
          <w:p w14:paraId="0C7286CA">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4. 检测性能：携带污染率≤0.05%，细胞检出限≤5个/μL，检测结果稳定，满足室间质评要求。</w:t>
            </w:r>
          </w:p>
          <w:p w14:paraId="0F4C7FE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5. 样本用量：单次检测样本量≤2mL，具备液面感应、样本不足报警功能。</w:t>
            </w:r>
          </w:p>
          <w:p w14:paraId="3A93919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6. 操作系统：中文触控操作，内置大容量存储，可存储数万条带图检测结果，支持查询、导出、打印报告。</w:t>
            </w:r>
          </w:p>
          <w:p w14:paraId="34588D51">
            <w:pPr>
              <w:widowControl/>
              <w:numPr>
                <w:ilvl w:val="0"/>
                <w:numId w:val="25"/>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系统接口：标配网络、USB接口，支持双向LIS/HIS联网，</w:t>
            </w:r>
            <w:r>
              <w:rPr>
                <w:rFonts w:hint="eastAsia" w:ascii="宋体" w:hAnsi="宋体" w:eastAsia="宋体" w:cs="宋体"/>
                <w:snapToGrid w:val="0"/>
                <w:color w:val="auto"/>
                <w:kern w:val="0"/>
                <w:sz w:val="18"/>
                <w:szCs w:val="18"/>
                <w:lang w:val="en-US" w:eastAsia="zh-CN"/>
              </w:rPr>
              <w:t>网络接口可连接 LIS/HIS 等数据管理系统；</w:t>
            </w:r>
            <w:r>
              <w:rPr>
                <w:rFonts w:hint="eastAsia" w:ascii="宋体" w:hAnsi="宋体" w:eastAsia="宋体" w:cs="宋体"/>
                <w:i w:val="0"/>
                <w:iCs w:val="0"/>
                <w:snapToGrid w:val="0"/>
                <w:color w:val="auto"/>
                <w:kern w:val="0"/>
                <w:sz w:val="18"/>
                <w:szCs w:val="18"/>
                <w:u w:val="none"/>
                <w:lang w:val="en-US" w:eastAsia="zh-CN"/>
              </w:rPr>
              <w:t>数据自动上传。</w:t>
            </w:r>
          </w:p>
          <w:p w14:paraId="7E0A55AD">
            <w:pPr>
              <w:widowControl/>
              <w:numPr>
                <w:ilvl w:val="0"/>
                <w:numId w:val="25"/>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47919EC">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7C560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00C0AD6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67</w:t>
            </w:r>
          </w:p>
        </w:tc>
        <w:tc>
          <w:tcPr>
            <w:tcW w:w="1415" w:type="dxa"/>
            <w:tcBorders>
              <w:top w:val="single" w:color="000000" w:sz="4" w:space="0"/>
              <w:bottom w:val="single" w:color="000000" w:sz="4" w:space="0"/>
            </w:tcBorders>
            <w:vAlign w:val="top"/>
          </w:tcPr>
          <w:p w14:paraId="5028A139">
            <w:pPr>
              <w:kinsoku w:val="0"/>
              <w:autoSpaceDE w:val="0"/>
              <w:autoSpaceDN w:val="0"/>
              <w:adjustRightInd w:val="0"/>
              <w:snapToGrid w:val="0"/>
              <w:spacing w:before="126"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血沉仪</w:t>
            </w:r>
          </w:p>
        </w:tc>
        <w:tc>
          <w:tcPr>
            <w:tcW w:w="6878" w:type="dxa"/>
            <w:tcBorders>
              <w:top w:val="single" w:color="000000" w:sz="4" w:space="0"/>
              <w:bottom w:val="single" w:color="000000" w:sz="4" w:space="0"/>
            </w:tcBorders>
            <w:vAlign w:val="top"/>
          </w:tcPr>
          <w:p w14:paraId="016AB0B5">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1.样品测试位大于20孔</w:t>
            </w:r>
          </w:p>
          <w:p w14:paraId="32C49CD8">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2.30-60分钟连续可调</w:t>
            </w:r>
          </w:p>
          <w:p w14:paraId="45C4892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3.测量误差小于0.5</w:t>
            </w:r>
          </w:p>
          <w:p w14:paraId="53D94727">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xml:space="preserve">4.采血量小于1.28 </w:t>
            </w:r>
          </w:p>
          <w:p w14:paraId="47E9C05F">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5.测量项目 ：血沉值、压积值、方程K值、动态沉降曲线</w:t>
            </w:r>
          </w:p>
          <w:p w14:paraId="4EB96046">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xml:space="preserve"> 6、操作方法 采集新鲜抗凝血本，直接插入血沉仪即可</w:t>
            </w:r>
          </w:p>
          <w:p w14:paraId="662B755C">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bidi="ar"/>
              </w:rPr>
              <w:t>7、系统要求：</w:t>
            </w:r>
            <w:r>
              <w:rPr>
                <w:rFonts w:hint="eastAsia" w:ascii="宋体" w:hAnsi="宋体" w:eastAsia="宋体" w:cs="宋体"/>
                <w:snapToGrid w:val="0"/>
                <w:color w:val="auto"/>
                <w:kern w:val="0"/>
                <w:sz w:val="18"/>
                <w:szCs w:val="18"/>
                <w:lang w:val="en-US" w:eastAsia="zh-CN"/>
              </w:rPr>
              <w:t>网络接口可连接LIS/HIS等数据管理系统</w:t>
            </w:r>
          </w:p>
          <w:p w14:paraId="6F2CF349">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C33DDA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095F9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3E2CFC1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68</w:t>
            </w:r>
          </w:p>
        </w:tc>
        <w:tc>
          <w:tcPr>
            <w:tcW w:w="1415" w:type="dxa"/>
            <w:tcBorders>
              <w:top w:val="single" w:color="000000" w:sz="4" w:space="0"/>
              <w:bottom w:val="single" w:color="000000" w:sz="4" w:space="0"/>
            </w:tcBorders>
            <w:vAlign w:val="top"/>
          </w:tcPr>
          <w:p w14:paraId="5ACFC920">
            <w:pPr>
              <w:kinsoku w:val="0"/>
              <w:autoSpaceDE w:val="0"/>
              <w:autoSpaceDN w:val="0"/>
              <w:adjustRightInd w:val="0"/>
              <w:snapToGrid w:val="0"/>
              <w:spacing w:before="126" w:line="219" w:lineRule="auto"/>
              <w:ind w:left="4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白带分析仪</w:t>
            </w:r>
          </w:p>
        </w:tc>
        <w:tc>
          <w:tcPr>
            <w:tcW w:w="6878" w:type="dxa"/>
            <w:tcBorders>
              <w:top w:val="single" w:color="000000" w:sz="4" w:space="0"/>
              <w:bottom w:val="single" w:color="000000" w:sz="4" w:space="0"/>
            </w:tcBorders>
            <w:vAlign w:val="center"/>
          </w:tcPr>
          <w:p w14:paraId="3703D7D3">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1. 检测原理</w:t>
            </w:r>
          </w:p>
          <w:p w14:paraId="7597753B">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全自动一体化检测，AI机器视觉自动拍摄识别有形成分，结合光电比色法检测生化项目；全程自动混匀、加样、染色、对焦、判读，无需人工显微镜阅片。</w:t>
            </w:r>
          </w:p>
          <w:p w14:paraId="34345534">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2. 检测速度与进样</w:t>
            </w:r>
          </w:p>
          <w:p w14:paraId="176E871B">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检测通量≥35样本/小时，支持急诊样本插队优先检测；支持试管条码扫码录入。</w:t>
            </w:r>
          </w:p>
          <w:p w14:paraId="628555FE">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3. 检测项目</w:t>
            </w:r>
          </w:p>
          <w:p w14:paraId="05D7D2ED">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形态学（镜检）：白细胞、红细胞、上皮细胞、线索细胞、滴虫、霉菌、各类杆菌、结晶等，自动判定清洁度；</w:t>
            </w:r>
          </w:p>
          <w:p w14:paraId="4844EDC5">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干化学项目≥8项：pH值、过氧化氢、白细胞酯酶、唾液酸苷酶、β-乙酰氨基葡萄糖苷酶等常用炎症指标；</w:t>
            </w:r>
          </w:p>
          <w:p w14:paraId="373F4A07">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可自动出具微生态综合评分，所有样本留存实景图片，支持人工复核。</w:t>
            </w:r>
          </w:p>
          <w:p w14:paraId="2A15FC57">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4. 样本与性能</w:t>
            </w:r>
          </w:p>
          <w:p w14:paraId="405BCDE8">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单次样本用量≤2mL；携带污染率低，检测结果稳定，可参与湖南省室间质评；内置恒温孵育系统，保障酶学结果精准。</w:t>
            </w:r>
          </w:p>
          <w:p w14:paraId="23B731D4">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5. 系统存储与接口</w:t>
            </w:r>
          </w:p>
          <w:p w14:paraId="6D0B84BA">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中文触控操作系统，本地存储≥3万条图文报告；配备网口、USB接口，支持双向LIS/HIS院内系统联网，数据自动上传，可外接打印机打印报告单。</w:t>
            </w:r>
          </w:p>
          <w:p w14:paraId="005FDC8F">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6. 自动维护</w:t>
            </w:r>
          </w:p>
          <w:p w14:paraId="3930F4CB">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管路自动清洗、试剂余量不足自动报警，降低日常维护难度。</w:t>
            </w:r>
          </w:p>
          <w:p w14:paraId="7164C01A">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6041E086">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7D64C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572C465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69</w:t>
            </w:r>
          </w:p>
        </w:tc>
        <w:tc>
          <w:tcPr>
            <w:tcW w:w="1415" w:type="dxa"/>
            <w:tcBorders>
              <w:top w:val="single" w:color="000000" w:sz="4" w:space="0"/>
              <w:bottom w:val="single" w:color="000000" w:sz="4" w:space="0"/>
            </w:tcBorders>
            <w:vAlign w:val="top"/>
          </w:tcPr>
          <w:p w14:paraId="3D457885">
            <w:pPr>
              <w:kinsoku w:val="0"/>
              <w:autoSpaceDE w:val="0"/>
              <w:autoSpaceDN w:val="0"/>
              <w:adjustRightInd w:val="0"/>
              <w:snapToGrid w:val="0"/>
              <w:spacing w:before="157"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全自动化学发光仪</w:t>
            </w:r>
          </w:p>
        </w:tc>
        <w:tc>
          <w:tcPr>
            <w:tcW w:w="6878" w:type="dxa"/>
            <w:tcBorders>
              <w:top w:val="single" w:color="000000" w:sz="4" w:space="0"/>
              <w:bottom w:val="single" w:color="000000" w:sz="4" w:space="0"/>
            </w:tcBorders>
            <w:vAlign w:val="top"/>
          </w:tcPr>
          <w:p w14:paraId="1828F19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1、仪器类型：全自动随机管式，急诊优先检测；</w:t>
            </w:r>
          </w:p>
          <w:p w14:paraId="1CBD626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2、测试速度：单台设备最大测试速度≥200T/H；</w:t>
            </w:r>
          </w:p>
          <w:p w14:paraId="1B6A33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3、视觉识别：能够自动识别不同的样本容器，对异常液面智能识别和报警，确保加样的准确性；</w:t>
            </w:r>
          </w:p>
          <w:p w14:paraId="49AA9D1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4、样本针清洗方式：瀑布式真空气吸清洗，样本针携带污染率&lt;0.1ppm；</w:t>
            </w:r>
          </w:p>
          <w:p w14:paraId="18B3AA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5、样本管规格：能支持微量样本杯、原始采血管、塑料试管；</w:t>
            </w:r>
          </w:p>
          <w:p w14:paraId="0BDDFD6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6、试剂针：具有液面探测、随量跟踪、立体防撞、气泡检测等功能；</w:t>
            </w:r>
          </w:p>
          <w:p w14:paraId="5E07070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7、反应杯：反应单元为一次性反应杯，一次性加载≥1200个,料斗式散装反应杯进样；</w:t>
            </w:r>
          </w:p>
          <w:p w14:paraId="61E14F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8、混匀方式：同时具备非接触式偏心涡旋混匀和超声混匀两种技术；</w:t>
            </w:r>
          </w:p>
          <w:p w14:paraId="10BA0D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9、磁分离机构布局：单独磁分离盘，4重磁分离清洗，底物注入；</w:t>
            </w:r>
          </w:p>
          <w:p w14:paraId="2046354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10、校准方式：内置主曲线，二维码识别，配套校准品校正；</w:t>
            </w:r>
          </w:p>
          <w:p w14:paraId="1BC4350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w:t>
            </w:r>
          </w:p>
          <w:p w14:paraId="176BBFAE">
            <w:pPr>
              <w:widowControl/>
              <w:kinsoku w:val="0"/>
              <w:autoSpaceDE w:val="0"/>
              <w:autoSpaceDN w:val="0"/>
              <w:adjustRightInd w:val="0"/>
              <w:snapToGrid w:val="0"/>
              <w:spacing w:before="157" w:line="219" w:lineRule="auto"/>
              <w:ind w:left="17"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w:t>
            </w:r>
            <w:r>
              <w:rPr>
                <w:rFonts w:hint="eastAsia" w:ascii="宋体" w:hAnsi="宋体" w:eastAsia="宋体" w:cs="宋体"/>
                <w:snapToGrid w:val="0"/>
                <w:color w:val="auto"/>
                <w:kern w:val="0"/>
                <w:sz w:val="18"/>
                <w:szCs w:val="18"/>
                <w:lang w:eastAsia="en-US"/>
              </w:rPr>
              <w:t>原厂免费开放接口，无缝对接HIS/LIS/PACS/公卫系统，无对接年费。</w:t>
            </w:r>
          </w:p>
        </w:tc>
        <w:tc>
          <w:tcPr>
            <w:tcW w:w="1297" w:type="dxa"/>
            <w:tcBorders>
              <w:top w:val="single" w:color="000000" w:sz="4" w:space="0"/>
              <w:bottom w:val="single" w:color="000000" w:sz="4" w:space="0"/>
            </w:tcBorders>
            <w:vAlign w:val="top"/>
          </w:tcPr>
          <w:p w14:paraId="088B8AB7">
            <w:pPr>
              <w:widowControl/>
              <w:kinsoku w:val="0"/>
              <w:autoSpaceDE w:val="0"/>
              <w:autoSpaceDN w:val="0"/>
              <w:adjustRightInd w:val="0"/>
              <w:snapToGrid w:val="0"/>
              <w:spacing w:before="157"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5C74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76FFF0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70</w:t>
            </w:r>
          </w:p>
        </w:tc>
        <w:tc>
          <w:tcPr>
            <w:tcW w:w="1415" w:type="dxa"/>
            <w:tcBorders>
              <w:top w:val="single" w:color="000000" w:sz="4" w:space="0"/>
              <w:bottom w:val="single" w:color="000000" w:sz="4" w:space="0"/>
            </w:tcBorders>
            <w:vAlign w:val="top"/>
          </w:tcPr>
          <w:p w14:paraId="11908293">
            <w:pPr>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全自动凝血仪</w:t>
            </w:r>
          </w:p>
        </w:tc>
        <w:tc>
          <w:tcPr>
            <w:tcW w:w="6878" w:type="dxa"/>
            <w:tcBorders>
              <w:top w:val="single" w:color="000000" w:sz="4" w:space="0"/>
              <w:bottom w:val="single" w:color="000000" w:sz="4" w:space="0"/>
            </w:tcBorders>
            <w:vAlign w:val="top"/>
          </w:tcPr>
          <w:p w14:paraId="3F07DB2E">
            <w:pPr>
              <w:widowControl/>
              <w:numPr>
                <w:ilvl w:val="0"/>
                <w:numId w:val="26"/>
              </w:numPr>
              <w:kinsoku w:val="0"/>
              <w:autoSpaceDE w:val="0"/>
              <w:autoSpaceDN w:val="0"/>
              <w:adjustRightInd w:val="0"/>
              <w:snapToGrid w:val="0"/>
              <w:spacing w:line="338" w:lineRule="auto"/>
              <w:ind w:leftChars="0"/>
              <w:jc w:val="left"/>
              <w:textAlignment w:val="baseline"/>
              <w:rPr>
                <w:rFonts w:hint="eastAsia" w:ascii="宋体" w:hAnsi="宋体" w:eastAsia="宋体" w:cs="宋体"/>
                <w:b w:val="0"/>
                <w:i w:val="0"/>
                <w:iCs w:val="0"/>
                <w:snapToGrid w:val="0"/>
                <w:color w:val="auto"/>
                <w:kern w:val="0"/>
                <w:sz w:val="18"/>
                <w:szCs w:val="18"/>
                <w:u w:val="none"/>
                <w:lang w:val="en-US" w:eastAsia="zh-CN" w:bidi="ar"/>
              </w:rPr>
            </w:pPr>
            <w:r>
              <w:rPr>
                <w:rFonts w:hint="eastAsia" w:ascii="宋体" w:hAnsi="宋体" w:eastAsia="宋体" w:cs="宋体"/>
                <w:b w:val="0"/>
                <w:i w:val="0"/>
                <w:iCs w:val="0"/>
                <w:snapToGrid w:val="0"/>
                <w:color w:val="auto"/>
                <w:kern w:val="0"/>
                <w:sz w:val="18"/>
                <w:szCs w:val="18"/>
                <w:u w:val="none"/>
                <w:lang w:val="en-US" w:eastAsia="zh-CN" w:bidi="ar"/>
              </w:rPr>
              <w:t>功能：全自动凝血功能检测；</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2. 检测速度：≥120测试/小时；</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3. 检测原理：磁珠法+光学法、集成凝固法、发色底物法、免疫比浊法</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4. 检测项目：PT、APTT、TT、FIB、D-二聚体、FDP等；</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5. 试剂位：≥20个试剂位；</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6. 样品位：≥60个样本位；</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7. 系统：全中文操作，自动稀释，双向LIS/HIS接口，内置质控。</w:t>
            </w:r>
          </w:p>
          <w:p w14:paraId="5E5CF297">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698B2F51">
            <w:pPr>
              <w:widowControl/>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7C06F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60ABB4A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71</w:t>
            </w:r>
          </w:p>
        </w:tc>
        <w:tc>
          <w:tcPr>
            <w:tcW w:w="1415" w:type="dxa"/>
            <w:tcBorders>
              <w:top w:val="single" w:color="000000" w:sz="4" w:space="0"/>
              <w:bottom w:val="single" w:color="000000" w:sz="4" w:space="0"/>
            </w:tcBorders>
            <w:vAlign w:val="top"/>
          </w:tcPr>
          <w:p w14:paraId="17578C2A">
            <w:pPr>
              <w:kinsoku w:val="0"/>
              <w:autoSpaceDE w:val="0"/>
              <w:autoSpaceDN w:val="0"/>
              <w:adjustRightInd w:val="0"/>
              <w:snapToGrid w:val="0"/>
              <w:spacing w:before="124"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血液透析机双泵</w:t>
            </w:r>
          </w:p>
        </w:tc>
        <w:tc>
          <w:tcPr>
            <w:tcW w:w="6878" w:type="dxa"/>
            <w:tcBorders>
              <w:top w:val="single" w:color="000000" w:sz="4" w:space="0"/>
              <w:bottom w:val="single" w:color="000000" w:sz="4" w:space="0"/>
            </w:tcBorders>
            <w:vAlign w:val="top"/>
          </w:tcPr>
          <w:p w14:paraId="6EB97B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一、技术特点</w:t>
            </w:r>
          </w:p>
          <w:p w14:paraId="59E83F0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1.国产。</w:t>
            </w:r>
          </w:p>
          <w:p w14:paraId="37768E4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2.适用于血液透析、在线血液滤过（HF-online）、在线血液透析滤过（HDF-online）、单纯超滤等治疗模式。</w:t>
            </w:r>
          </w:p>
          <w:p w14:paraId="7514E1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3.采用≧15 </w:t>
            </w:r>
            <w:r>
              <w:rPr>
                <w:rFonts w:hint="eastAsia" w:ascii="宋体" w:hAnsi="宋体" w:eastAsia="宋体" w:cs="宋体"/>
                <w:snapToGrid w:val="0"/>
                <w:color w:val="auto"/>
                <w:kern w:val="0"/>
                <w:sz w:val="18"/>
                <w:szCs w:val="18"/>
                <w:lang w:val="en-US" w:eastAsia="zh-CN"/>
              </w:rPr>
              <w:t>英</w:t>
            </w:r>
            <w:r>
              <w:rPr>
                <w:rFonts w:hint="eastAsia" w:ascii="宋体" w:hAnsi="宋体" w:eastAsia="宋体" w:cs="宋体"/>
                <w:snapToGrid w:val="0"/>
                <w:color w:val="auto"/>
                <w:kern w:val="0"/>
                <w:sz w:val="18"/>
                <w:szCs w:val="18"/>
                <w:lang w:eastAsia="en-US"/>
              </w:rPr>
              <w:t>寸多角度旋转液晶触摸屏，中英文等多种语言界面。</w:t>
            </w:r>
          </w:p>
          <w:p w14:paraId="2F3313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4.具有多种钠离子、超滤速率、</w:t>
            </w:r>
            <w:r>
              <w:rPr>
                <w:rFonts w:hint="eastAsia" w:ascii="宋体" w:hAnsi="宋体" w:eastAsia="宋体" w:cs="宋体"/>
                <w:snapToGrid w:val="0"/>
                <w:color w:val="auto"/>
                <w:kern w:val="0"/>
                <w:sz w:val="18"/>
                <w:szCs w:val="18"/>
                <w:lang w:val="en-US" w:eastAsia="zh-CN"/>
              </w:rPr>
              <w:t>碳酸氢</w:t>
            </w:r>
            <w:r>
              <w:rPr>
                <w:rFonts w:hint="eastAsia" w:ascii="宋体" w:hAnsi="宋体" w:eastAsia="宋体" w:cs="宋体"/>
                <w:snapToGrid w:val="0"/>
                <w:color w:val="auto"/>
                <w:kern w:val="0"/>
                <w:sz w:val="18"/>
                <w:szCs w:val="18"/>
                <w:lang w:eastAsia="en-US"/>
              </w:rPr>
              <w:t>盐、肝素流量、透析液流量、透析液温度等标准曲线和自设曲线功能，可为患者提供个性化治疗。</w:t>
            </w:r>
          </w:p>
          <w:p w14:paraId="0E78CF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5.预设多种标准透析液配制比例，亦可自设比例，适应市面上各种品牌的透析粉或浓缩液。</w:t>
            </w:r>
          </w:p>
          <w:p w14:paraId="782A10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6.先进的容量平衡反馈控制系统，超滤更精确。</w:t>
            </w:r>
          </w:p>
          <w:p w14:paraId="099D14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7.方便的序贯透析（透析←→单纯超滤）、高低钠序贯透析。</w:t>
            </w:r>
          </w:p>
          <w:p w14:paraId="0A9C05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8.透析液配制反馈控制系统，透析液离子浓度更准确。</w:t>
            </w:r>
          </w:p>
          <w:p w14:paraId="64FDB19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.醒目的红、黄、绿三级警示灯，配合多种音乐提示和报警，兼顾安全与人性化。</w:t>
            </w:r>
          </w:p>
          <w:p w14:paraId="2FC8E5A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 xml:space="preserve">.内置后备电源，停电后可维持治疗血液回路工作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0 分钟以上。</w:t>
            </w:r>
          </w:p>
          <w:p w14:paraId="135563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.可使用10mL、20mL、 30 mL、50mL 注射器，自动检测注射器型号，完善的功能自检和报警系统，支持肝素曲线。</w:t>
            </w:r>
          </w:p>
          <w:p w14:paraId="64F452C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.引导式操作界面，医护人员操作更加简单、快捷。</w:t>
            </w:r>
          </w:p>
          <w:p w14:paraId="2CDA22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.置换液自动充管，大幅度减低医护人员工作强度和降低使用成本。</w:t>
            </w:r>
          </w:p>
          <w:p w14:paraId="232CD1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.具有双级内毒素过滤功能（HDF-online），保证置换液高于静脉注射用液的标准。</w:t>
            </w:r>
          </w:p>
          <w:p w14:paraId="40F85F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en-US"/>
              </w:rPr>
              <w:t>具有在线Kt/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实时清除率监测功能，可实时测量并图形显示Kt/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值和URR值，用于评价透析治疗的充分性。</w:t>
            </w:r>
          </w:p>
          <w:p w14:paraId="0A6CCE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16.具有血容量监测功能，用于监测治疗过程中患者的相对血容量。</w:t>
            </w:r>
          </w:p>
          <w:p w14:paraId="161B65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w:t>
            </w:r>
            <w:r>
              <w:rPr>
                <w:rFonts w:hint="eastAsia" w:ascii="宋体" w:hAnsi="宋体" w:eastAsia="宋体" w:cs="宋体"/>
                <w:snapToGrid w:val="0"/>
                <w:color w:val="auto"/>
                <w:kern w:val="0"/>
                <w:sz w:val="18"/>
                <w:szCs w:val="18"/>
                <w:lang w:eastAsia="zh-CN"/>
              </w:rPr>
              <w:t>具有</w:t>
            </w:r>
            <w:r>
              <w:rPr>
                <w:rFonts w:hint="eastAsia" w:ascii="宋体" w:hAnsi="宋体" w:eastAsia="宋体" w:cs="宋体"/>
                <w:snapToGrid w:val="0"/>
                <w:color w:val="auto"/>
                <w:kern w:val="0"/>
                <w:sz w:val="18"/>
                <w:szCs w:val="18"/>
                <w:lang w:eastAsia="en-US"/>
              </w:rPr>
              <w:t>体外循环血液温度监测功能，用于监测治疗过程中体外循环管路内血液温度</w:t>
            </w:r>
            <w:r>
              <w:rPr>
                <w:rFonts w:hint="eastAsia" w:ascii="宋体" w:hAnsi="宋体" w:eastAsia="宋体" w:cs="宋体"/>
                <w:snapToGrid w:val="0"/>
                <w:color w:val="auto"/>
                <w:kern w:val="0"/>
                <w:sz w:val="18"/>
                <w:szCs w:val="18"/>
                <w:lang w:eastAsia="zh-CN"/>
              </w:rPr>
              <w:t>。</w:t>
            </w:r>
          </w:p>
          <w:p w14:paraId="660FF3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二、技术参数</w:t>
            </w:r>
          </w:p>
          <w:p w14:paraId="223CFE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1．动脉压监测: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00mmHg，精度可达：±10 mmHg</w:t>
            </w:r>
          </w:p>
          <w:p w14:paraId="7E5DF20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2．静脉压监测: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10F948F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3．跨膜压监测: -</w:t>
            </w: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505A639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4．透析液流量：100mL/min～</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00mL/min，精度：±5%</w:t>
            </w:r>
          </w:p>
          <w:p w14:paraId="6B7AFD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5．透析液温度范围：33℃～40℃，精度±0.5℃</w:t>
            </w:r>
          </w:p>
          <w:p w14:paraId="3C9D788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6．透析液电导率: 12.0mS/cm～18.0mS/cm</w:t>
            </w:r>
            <w:r>
              <w:rPr>
                <w:rFonts w:hint="eastAsia" w:ascii="宋体" w:hAnsi="宋体" w:eastAsia="宋体" w:cs="宋体"/>
                <w:snapToGrid w:val="0"/>
                <w:color w:val="auto"/>
                <w:kern w:val="0"/>
                <w:sz w:val="18"/>
                <w:szCs w:val="18"/>
                <w:lang w:eastAsia="en-US"/>
              </w:rPr>
              <w:tab/>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 ±0.1 mS/cm</w:t>
            </w:r>
          </w:p>
          <w:p w14:paraId="614DB31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7．置换液流量：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00mL/min(HDF-online)</w:t>
            </w:r>
            <w:r>
              <w:rPr>
                <w:rFonts w:hint="eastAsia" w:ascii="宋体" w:hAnsi="宋体" w:eastAsia="宋体" w:cs="宋体"/>
                <w:snapToGrid w:val="0"/>
                <w:color w:val="auto"/>
                <w:kern w:val="0"/>
                <w:sz w:val="18"/>
                <w:szCs w:val="18"/>
                <w:lang w:eastAsia="en-US"/>
              </w:rPr>
              <w:tab/>
            </w:r>
          </w:p>
          <w:p w14:paraId="646145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8．血流量：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600</w:t>
            </w:r>
            <w:r>
              <w:rPr>
                <w:rFonts w:hint="eastAsia" w:ascii="宋体" w:hAnsi="宋体" w:eastAsia="宋体" w:cs="宋体"/>
                <w:snapToGrid w:val="0"/>
                <w:color w:val="auto"/>
                <w:kern w:val="0"/>
                <w:sz w:val="18"/>
                <w:szCs w:val="18"/>
                <w:lang w:eastAsia="en-US"/>
              </w:rPr>
              <w:t>mL/min</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精度±10%</w:t>
            </w:r>
          </w:p>
          <w:p w14:paraId="69A62FE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9．超滤控制 超滤率：100～5000mL/h</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精度：±30mL/h</w:t>
            </w:r>
          </w:p>
          <w:p w14:paraId="067BBC6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10．肝素泵注入流量：0～10ml/h</w:t>
            </w:r>
          </w:p>
          <w:p w14:paraId="420744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11．气泡检测器：可监测＞0.02 mL的气泡，可监测累积气泡</w:t>
            </w:r>
          </w:p>
          <w:p w14:paraId="58B4EC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12．漏血监测：可监测 ≤0.35mL/min 的漏血(HCT32%)</w:t>
            </w:r>
          </w:p>
          <w:p w14:paraId="62FE95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13．消毒功能：具有化学剂消毒和热消毒两种</w:t>
            </w:r>
            <w:r>
              <w:rPr>
                <w:rFonts w:hint="eastAsia" w:ascii="宋体" w:hAnsi="宋体" w:eastAsia="宋体" w:cs="宋体"/>
                <w:snapToGrid w:val="0"/>
                <w:color w:val="auto"/>
                <w:kern w:val="0"/>
                <w:sz w:val="18"/>
                <w:szCs w:val="18"/>
                <w:lang w:val="en-US" w:eastAsia="zh-CN"/>
              </w:rPr>
              <w:t>，热消毒最高温度大于93℃</w:t>
            </w:r>
          </w:p>
          <w:p w14:paraId="49DFC2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14．供水条件温度：进水压：1.5-</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.0bar，供水温度：5～3</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w:t>
            </w:r>
          </w:p>
          <w:p w14:paraId="0D689D0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15．所投设备型号首次取得注册证时间在2018年以前。</w:t>
            </w:r>
          </w:p>
          <w:p w14:paraId="270323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其他</w:t>
            </w:r>
          </w:p>
          <w:p w14:paraId="548DF3E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1.质保期不少于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年，质保期内全免费维修和更换零配件。</w:t>
            </w:r>
          </w:p>
          <w:p w14:paraId="36EF29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2.提供良好的售后服务支持，能及时快捷的提供维修服务，接到电话半小时内响应，24 小时内到达现场。</w:t>
            </w:r>
          </w:p>
        </w:tc>
        <w:tc>
          <w:tcPr>
            <w:tcW w:w="1297" w:type="dxa"/>
            <w:tcBorders>
              <w:top w:val="single" w:color="000000" w:sz="4" w:space="0"/>
              <w:bottom w:val="single" w:color="000000" w:sz="4" w:space="0"/>
            </w:tcBorders>
            <w:vAlign w:val="top"/>
          </w:tcPr>
          <w:p w14:paraId="326CD388">
            <w:pPr>
              <w:widowControl/>
              <w:kinsoku w:val="0"/>
              <w:autoSpaceDE w:val="0"/>
              <w:autoSpaceDN w:val="0"/>
              <w:adjustRightInd w:val="0"/>
              <w:snapToGrid w:val="0"/>
              <w:spacing w:before="124"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76173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F0132C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72</w:t>
            </w:r>
          </w:p>
        </w:tc>
        <w:tc>
          <w:tcPr>
            <w:tcW w:w="1415" w:type="dxa"/>
            <w:tcBorders>
              <w:top w:val="single" w:color="000000" w:sz="4" w:space="0"/>
              <w:bottom w:val="single" w:color="000000" w:sz="4" w:space="0"/>
            </w:tcBorders>
            <w:vAlign w:val="top"/>
          </w:tcPr>
          <w:p w14:paraId="1232B46D">
            <w:pPr>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血液透析用水处理系统</w:t>
            </w:r>
          </w:p>
        </w:tc>
        <w:tc>
          <w:tcPr>
            <w:tcW w:w="6878" w:type="dxa"/>
            <w:tcBorders>
              <w:top w:val="single" w:color="000000" w:sz="4" w:space="0"/>
              <w:bottom w:val="single" w:color="000000" w:sz="4" w:space="0"/>
            </w:tcBorders>
            <w:vAlign w:val="top"/>
          </w:tcPr>
          <w:p w14:paraId="3EF21BA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2"/>
                <w:kern w:val="0"/>
                <w:sz w:val="18"/>
                <w:szCs w:val="18"/>
                <w:lang w:val="en-US" w:eastAsia="zh-CN" w:bidi="ar-SA"/>
              </w:rPr>
              <w:t>1</w:t>
            </w:r>
            <w:r>
              <w:rPr>
                <w:rFonts w:hint="eastAsia" w:ascii="宋体" w:hAnsi="宋体" w:eastAsia="宋体" w:cs="宋体"/>
                <w:snapToGrid w:val="0"/>
                <w:color w:val="auto"/>
                <w:kern w:val="0"/>
                <w:sz w:val="18"/>
                <w:szCs w:val="18"/>
                <w:lang w:eastAsia="en-US"/>
              </w:rPr>
              <w:t>、水质完全符合YY0572-2015血液透析和相关治疗用水标准. 应符合YY 0505-2012《医用电气设备 第1-2部分：安全通用标准 并列标准：电磁兼容要求和试验》。</w:t>
            </w:r>
          </w:p>
          <w:p w14:paraId="1542183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2、产水量：产水量≥1000L/H（25℃）。</w:t>
            </w:r>
          </w:p>
          <w:p w14:paraId="3E751140">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3溶解盐去除率：≥97% 。回收率≥75%</w:t>
            </w:r>
          </w:p>
          <w:p w14:paraId="7452369E">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4、产水水质菌落总数：≤10CFU； 产水水质内毒素：≤0.03EU  </w:t>
            </w:r>
          </w:p>
          <w:p w14:paraId="5F5A1F4E">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5、控制方式：运用品牌PLC控制技术、全自动运行。</w:t>
            </w:r>
          </w:p>
          <w:p w14:paraId="1FC91BA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6、水处理工艺独特的双级反渗透耦合，为了避免中间环节对反渗水的二次污染，系统采取了一二级全封闭直接对接方式，无任何中间存水装置，使设备运行更安全简洁。</w:t>
            </w:r>
          </w:p>
          <w:p w14:paraId="16C2DFD9">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7、预处理提示功能：当系统运行时，预处理发生时间错误，导致再生和冲洗时，会自动关闭进水阀，出现报警并提示请将预处理调整到正常工作位置，防止硬水和无过滤水进入反渗透系统，提高透析安全。</w:t>
            </w:r>
          </w:p>
          <w:p w14:paraId="31925B2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8、工作模式：多种工作模式、一二级可切换单独使用. 采用有EMC认证的控制阀自动转换，无须手动调节。</w:t>
            </w:r>
          </w:p>
          <w:p w14:paraId="5D8C52B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9、抑菌功能：设备全自动运行，可设置周一到周日的自动开、停机时间，待机状态下系统管路自动冲洗功能，有效抑制菌类的滋生.纯水养护：停机后纯水填整个系统，防止微生物滋生。</w:t>
            </w:r>
          </w:p>
          <w:p w14:paraId="2914ECAA">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10、消毒功能：系统自带一键式化学消毒功能和一键式热消毒功能；热消毒装置采用无接触式电磁感应加热技术，热效率≥98％，加热系统无储存水箱，正常运行时无死腔全循环。安全高效、节能环保,并具备定时开关功能：无需人员值守，全自动完成，并记录消毒过程和消毒温度。确保消毒温度末端≥85度</w:t>
            </w:r>
            <w:r>
              <w:rPr>
                <w:rFonts w:hint="eastAsia" w:ascii="宋体" w:hAnsi="宋体" w:eastAsia="宋体" w:cs="宋体"/>
                <w:snapToGrid w:val="0"/>
                <w:color w:val="auto"/>
                <w:kern w:val="0"/>
                <w:sz w:val="18"/>
                <w:szCs w:val="18"/>
                <w:lang w:eastAsia="zh-CN"/>
              </w:rPr>
              <w:t>。</w:t>
            </w:r>
          </w:p>
          <w:p w14:paraId="4ACC639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11、反渗透膜自动冲洗，间隔时间可调，开机、关机自动大流量冲洗，排出淤积水，同时运行中自动检测工作状况，随时进行冲洗。停用后，具有反渗透膜及管道自动冲洗功能，防止系统细菌滋生。</w:t>
            </w:r>
          </w:p>
          <w:p w14:paraId="4DB2166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12、智能安全保护措施，密码进入操作界面。有运行温度/电导率显示和记录，具有记录高压泵、电动阀等部件使用程度的长期数据，以备运行状态分析所用，同时自动保存。</w:t>
            </w:r>
          </w:p>
          <w:p w14:paraId="02B1455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13、在线监测原水、一、二级纯水水质，具有纯水水质超标报警功能：具有完善的无水、压力、电源保护多种安全自锁功能 </w:t>
            </w:r>
          </w:p>
          <w:p w14:paraId="36974F0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14、控制屏：全彩触摸屏尺寸要求≥10"，工艺过程及运行参数实时显示.自动累计工作时间和部件使用频率。</w:t>
            </w:r>
          </w:p>
          <w:p w14:paraId="4AB92996">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 外观整洁布局合理外观采用弧形整体静音一体式机柜设计，外观布局合理。</w:t>
            </w:r>
          </w:p>
          <w:p w14:paraId="2E16BC77">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16、采用新型直连式无死腔反渗透膜壳，使反渗透膜在运行时能实现全循环，避免了反渗透膜细菌的滋生。</w:t>
            </w:r>
          </w:p>
          <w:p w14:paraId="440475E9">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17、故障的自检解决帮助功能、多种应急方案以保证设备的运行。</w:t>
            </w:r>
          </w:p>
          <w:p w14:paraId="4ED7408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18、平衡器采用智能平衡阀系统不采用浮球阀，减小噪音和减少压力频繁波动对预处理的破坏，根据用水量保证水箱液位正负值在20mm以内，并可以数值化显示。</w:t>
            </w:r>
          </w:p>
          <w:p w14:paraId="539CEE5D">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19、原水增压泵：独立变频，压力变送器控制，全自动加压泵组件，带有低压不锈钢保护装置，可防止加压泵无水空转。</w:t>
            </w:r>
          </w:p>
          <w:p w14:paraId="48616DBF">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20、纯水供水采用大循环恒压供水模式，管路中应增加留样功能装置</w:t>
            </w:r>
          </w:p>
          <w:p w14:paraId="33A8454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21、采用0.1%FS精度压力传感器监测压力，供水压力更稳定。</w:t>
            </w:r>
          </w:p>
          <w:p w14:paraId="1053C2A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22、 供水管路采用304不锈钢管路1套。</w:t>
            </w:r>
          </w:p>
          <w:p w14:paraId="602C008A">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23、设备的使用年限≥10年。</w:t>
            </w:r>
          </w:p>
          <w:p w14:paraId="3F05C736">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二、产品主要配置</w:t>
            </w:r>
          </w:p>
          <w:p w14:paraId="38E620F8">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1、预处理系统：原水增压泵、变频控制器、多介质过滤器、自动控制阀、炭过滤器</w:t>
            </w:r>
          </w:p>
          <w:p w14:paraId="6524DAD4">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自动控制阀、软化过滤器、自动软水阀、软水盐箱、精密过滤器等</w:t>
            </w:r>
          </w:p>
          <w:p w14:paraId="4106E889">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2、反渗透主机:平衡水器、一级高压泵、一级反渗透膜、二级高压泵、二级反渗透膜、膜壳、阀门、仪表、主机管件等</w:t>
            </w:r>
          </w:p>
          <w:p w14:paraId="40C8EB6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3、设备结构机架:PLC控制器、触摸屏、设备机箱、电气组件等</w:t>
            </w:r>
          </w:p>
          <w:p w14:paraId="12501C1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4、病房纯水循环系统循环管路、恒压调节装置等</w:t>
            </w:r>
          </w:p>
          <w:p w14:paraId="7FCAC46C">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5、热消毒装置加热器、热水循环泵、热消毒主机管路、PLC控制器、触摸屏、阀门、仪表、机箱、电气组件等</w:t>
            </w:r>
          </w:p>
          <w:p w14:paraId="2DC1617C">
            <w:pPr>
              <w:widowControl/>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509F39DB">
            <w:pPr>
              <w:widowControl/>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209CF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392C3B1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73</w:t>
            </w:r>
          </w:p>
        </w:tc>
        <w:tc>
          <w:tcPr>
            <w:tcW w:w="1415" w:type="dxa"/>
            <w:tcBorders>
              <w:top w:val="single" w:color="000000" w:sz="4" w:space="0"/>
              <w:bottom w:val="single" w:color="000000" w:sz="4" w:space="0"/>
            </w:tcBorders>
            <w:vAlign w:val="top"/>
          </w:tcPr>
          <w:p w14:paraId="7EDA14CE">
            <w:pPr>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多功能治疗床</w:t>
            </w:r>
          </w:p>
        </w:tc>
        <w:tc>
          <w:tcPr>
            <w:tcW w:w="6878" w:type="dxa"/>
            <w:tcBorders>
              <w:top w:val="single" w:color="000000" w:sz="4" w:space="0"/>
              <w:bottom w:val="single" w:color="000000" w:sz="4" w:space="0"/>
            </w:tcBorders>
            <w:vAlign w:val="top"/>
          </w:tcPr>
          <w:p w14:paraId="722EE9DD">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1.外形尺寸（长×宽） 1900-2150mm × 600-700mm </w:t>
            </w:r>
          </w:p>
          <w:p w14:paraId="2B4591E0">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升降高度范围 460-980mm（电动升降）  </w:t>
            </w:r>
          </w:p>
          <w:p w14:paraId="278B0345">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承重能力 ≥220-250kg  </w:t>
            </w:r>
          </w:p>
          <w:p w14:paraId="7439C6E2">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净重 约 64-80kg </w:t>
            </w:r>
          </w:p>
          <w:p w14:paraId="5EAAE70A">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调节时间 升降调节时间 ≤ 30秒 </w:t>
            </w:r>
          </w:p>
          <w:p w14:paraId="04D3F1B0">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节段调节参数</w:t>
            </w:r>
          </w:p>
          <w:p w14:paraId="53235CC3">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节段数量 3-6段，常见为3-5段 </w:t>
            </w:r>
          </w:p>
          <w:p w14:paraId="15EE005E">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头板调节 -45°至+45° </w:t>
            </w:r>
          </w:p>
          <w:p w14:paraId="34334C68">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背板/第二段调节 0°至 25-40° </w:t>
            </w:r>
          </w:p>
          <w:p w14:paraId="63B08378">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腿板/第三段调节 0°至 70-80° </w:t>
            </w:r>
          </w:p>
          <w:p w14:paraId="375DBEF8">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小腿部调节 部分高端型号可独立调节，范围约-50°至+90° </w:t>
            </w:r>
          </w:p>
          <w:p w14:paraId="25CA9D6E">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下肢外展调节 部分型号支持 50°-90° 外展</w:t>
            </w:r>
          </w:p>
          <w:p w14:paraId="3D2F38EF">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扶手调节 调节距离 150mm 或平面旋转 3. 电机与控制系统</w:t>
            </w:r>
          </w:p>
          <w:p w14:paraId="137FED2B">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电机推力 ≥6000N </w:t>
            </w:r>
          </w:p>
          <w:p w14:paraId="0446D7EC">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电机数量 2-4个（主升降+背部+其他） </w:t>
            </w:r>
          </w:p>
          <w:p w14:paraId="1A3946FA">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3.操控方式 360°环形碰触式开关 + 手控器 + 可选脚控 </w:t>
            </w:r>
          </w:p>
          <w:p w14:paraId="41BC1F81">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电压 220V 50Hz </w:t>
            </w:r>
          </w:p>
          <w:p w14:paraId="4FCB8BB5">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 材质与工艺</w:t>
            </w:r>
          </w:p>
          <w:p w14:paraId="201FB744">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参数类别 基本要求与参考范围 来源</w:t>
            </w:r>
          </w:p>
          <w:p w14:paraId="0D28D686">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床架材质 铁框架加表面喷塑处理 </w:t>
            </w:r>
          </w:p>
          <w:p w14:paraId="766B9F66">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床垫海绵 厚度 ≥5cm，密度 36kg/m³ </w:t>
            </w:r>
          </w:p>
          <w:p w14:paraId="772160D4">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床面材质 医用PVC皮革，阻燃标准英标5852 </w:t>
            </w:r>
          </w:p>
          <w:p w14:paraId="6415B784">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透气孔 头部配置透气孔及孔塞 </w:t>
            </w:r>
          </w:p>
          <w:p w14:paraId="7A3B56A6">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 移动与地面适应性</w:t>
            </w:r>
          </w:p>
          <w:p w14:paraId="07722C30">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脚轮 伸缩脚轮设计 + 7.5cm医用承压轮 </w:t>
            </w:r>
          </w:p>
          <w:p w14:paraId="37EF10A4">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地面适应性 四调节螺杆设计，提升不平整地面稳定性 </w:t>
            </w:r>
          </w:p>
          <w:p w14:paraId="3F893772">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6.保修与使用年限</w:t>
            </w:r>
          </w:p>
          <w:p w14:paraId="7F3ADEF6">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7.参数类别 </w:t>
            </w:r>
          </w:p>
          <w:p w14:paraId="236B19AB">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整机保修 ≥3年 </w:t>
            </w:r>
          </w:p>
          <w:p w14:paraId="773EA631">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电机保修 ≥5年 </w:t>
            </w:r>
          </w:p>
          <w:p w14:paraId="4A479062">
            <w:pPr>
              <w:widowControl/>
              <w:numPr>
                <w:numId w:val="0"/>
              </w:numPr>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使用年限 ≥8年 </w:t>
            </w:r>
            <w:r>
              <w:rPr>
                <w:rFonts w:hint="eastAsia" w:ascii="宋体" w:hAnsi="宋体" w:eastAsia="宋体" w:cs="宋体"/>
                <w:snapToGrid w:val="0"/>
                <w:color w:val="auto"/>
                <w:kern w:val="0"/>
                <w:sz w:val="18"/>
                <w:szCs w:val="18"/>
                <w:lang w:eastAsia="en-US"/>
              </w:rPr>
              <w:t>。</w:t>
            </w:r>
          </w:p>
        </w:tc>
        <w:tc>
          <w:tcPr>
            <w:tcW w:w="1297" w:type="dxa"/>
            <w:tcBorders>
              <w:top w:val="single" w:color="000000" w:sz="4" w:space="0"/>
              <w:bottom w:val="single" w:color="000000" w:sz="4" w:space="0"/>
            </w:tcBorders>
            <w:vAlign w:val="top"/>
          </w:tcPr>
          <w:p w14:paraId="206B141E">
            <w:pPr>
              <w:widowControl/>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DC40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766BF01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74</w:t>
            </w:r>
          </w:p>
        </w:tc>
        <w:tc>
          <w:tcPr>
            <w:tcW w:w="1415" w:type="dxa"/>
            <w:tcBorders>
              <w:top w:val="single" w:color="000000" w:sz="4" w:space="0"/>
              <w:bottom w:val="single" w:color="000000" w:sz="4" w:space="0"/>
            </w:tcBorders>
            <w:vAlign w:val="top"/>
          </w:tcPr>
          <w:p w14:paraId="5510CA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按摩床</w:t>
            </w:r>
          </w:p>
        </w:tc>
        <w:tc>
          <w:tcPr>
            <w:tcW w:w="6878" w:type="dxa"/>
            <w:tcBorders>
              <w:top w:val="single" w:color="000000" w:sz="4" w:space="0"/>
              <w:bottom w:val="single" w:color="000000" w:sz="4" w:space="0"/>
            </w:tcBorders>
            <w:vAlign w:val="top"/>
          </w:tcPr>
          <w:p w14:paraId="0A8D70B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en-US"/>
              </w:rPr>
              <w:t>按摩床参数外形尺寸（长×宽） 1900×700mm 为常见规格，部分为 1900×600mm 或 1900×800mm  长度通常为190cm，宽度60-80cm可选，以适应不同体型和使用空间</w:t>
            </w:r>
          </w:p>
          <w:p w14:paraId="65051B8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en-US"/>
              </w:rPr>
              <w:t>高度 650mm 为常规固定高度，部分可微调  普通按摩床多为固定高度，部分可通过脚垫微调</w:t>
            </w:r>
          </w:p>
          <w:p w14:paraId="345105F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en-US"/>
              </w:rPr>
              <w:t>折叠尺寸 折叠后厚度约 150-200mm，便于收纳 常见于便携式或家用折叠床</w:t>
            </w:r>
          </w:p>
          <w:p w14:paraId="5741C5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en-US"/>
              </w:rPr>
              <w:t>承重能力 100-200kg，常见为 150kg 左右  家用或普通商用通常≥150kg即可，低于医用床（≥220kg）的要求</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val="en-US" w:eastAsia="en-US"/>
              </w:rPr>
              <w:t>国产。</w:t>
            </w:r>
          </w:p>
        </w:tc>
        <w:tc>
          <w:tcPr>
            <w:tcW w:w="1297" w:type="dxa"/>
            <w:tcBorders>
              <w:top w:val="single" w:color="000000" w:sz="4" w:space="0"/>
              <w:bottom w:val="single" w:color="000000" w:sz="4" w:space="0"/>
            </w:tcBorders>
            <w:vAlign w:val="top"/>
          </w:tcPr>
          <w:p w14:paraId="0E520429">
            <w:pPr>
              <w:widowControl/>
              <w:numPr>
                <w:ilvl w:val="0"/>
                <w:numId w:val="0"/>
              </w:numPr>
              <w:kinsoku w:val="0"/>
              <w:autoSpaceDE w:val="0"/>
              <w:autoSpaceDN w:val="0"/>
              <w:adjustRightInd w:val="0"/>
              <w:snapToGrid w:val="0"/>
              <w:spacing w:line="338" w:lineRule="auto"/>
              <w:ind w:left="0" w:leftChars="0" w:firstLine="0" w:firstLine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9B46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CC24A76">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75</w:t>
            </w:r>
          </w:p>
        </w:tc>
        <w:tc>
          <w:tcPr>
            <w:tcW w:w="1415" w:type="dxa"/>
            <w:tcBorders>
              <w:top w:val="single" w:color="000000" w:sz="4" w:space="0"/>
              <w:bottom w:val="single" w:color="000000" w:sz="4" w:space="0"/>
            </w:tcBorders>
            <w:vAlign w:val="top"/>
          </w:tcPr>
          <w:p w14:paraId="418D3F59">
            <w:pPr>
              <w:kinsoku w:val="0"/>
              <w:autoSpaceDE w:val="0"/>
              <w:autoSpaceDN w:val="0"/>
              <w:adjustRightInd w:val="0"/>
              <w:snapToGrid w:val="0"/>
              <w:spacing w:before="122"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i w:val="0"/>
                <w:iCs w:val="0"/>
                <w:snapToGrid w:val="0"/>
                <w:color w:val="auto"/>
                <w:kern w:val="0"/>
                <w:sz w:val="18"/>
                <w:szCs w:val="18"/>
                <w:u w:val="none"/>
                <w:lang w:val="en-US" w:eastAsia="en-US" w:bidi="ar-SA"/>
              </w:rPr>
              <w:t>治</w:t>
            </w:r>
            <w:r>
              <w:rPr>
                <w:rFonts w:hint="eastAsia" w:ascii="宋体" w:hAnsi="宋体" w:eastAsia="宋体" w:cs="宋体"/>
                <w:snapToGrid w:val="0"/>
                <w:color w:val="auto"/>
                <w:spacing w:val="-2"/>
                <w:kern w:val="0"/>
                <w:sz w:val="18"/>
                <w:szCs w:val="18"/>
                <w:lang w:val="en-US" w:eastAsia="en-US" w:bidi="ar-SA"/>
              </w:rPr>
              <w:t>疗推车</w:t>
            </w:r>
          </w:p>
        </w:tc>
        <w:tc>
          <w:tcPr>
            <w:tcW w:w="6878" w:type="dxa"/>
            <w:tcBorders>
              <w:top w:val="single" w:color="000000" w:sz="4" w:space="0"/>
              <w:bottom w:val="single" w:color="000000" w:sz="4" w:space="0"/>
            </w:tcBorders>
            <w:vAlign w:val="top"/>
          </w:tcPr>
          <w:p w14:paraId="3A745F6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eastAsia="en-US"/>
              </w:rPr>
              <w:t>双层治疗车：600×350×880mm 左右；三层治疗车：710×445×950mm 左</w:t>
            </w:r>
            <w:r>
              <w:rPr>
                <w:rFonts w:hint="eastAsia" w:ascii="宋体" w:hAnsi="宋体" w:eastAsia="宋体" w:cs="宋体"/>
                <w:i w:val="0"/>
                <w:iCs w:val="0"/>
                <w:snapToGrid w:val="0"/>
                <w:color w:val="auto"/>
                <w:kern w:val="0"/>
                <w:sz w:val="18"/>
                <w:szCs w:val="18"/>
                <w:u w:val="none"/>
                <w:lang w:val="en-US" w:eastAsia="zh-CN"/>
              </w:rPr>
              <w:t>右，</w:t>
            </w:r>
            <w:r>
              <w:rPr>
                <w:rFonts w:hint="eastAsia" w:ascii="宋体" w:hAnsi="宋体" w:eastAsia="宋体" w:cs="宋体"/>
                <w:snapToGrid w:val="0"/>
                <w:color w:val="auto"/>
                <w:kern w:val="0"/>
                <w:sz w:val="18"/>
                <w:szCs w:val="18"/>
                <w:lang w:eastAsia="en-US"/>
              </w:rPr>
              <w:t>国产</w:t>
            </w:r>
            <w:r>
              <w:rPr>
                <w:rFonts w:hint="eastAsia" w:ascii="宋体" w:hAnsi="宋体" w:eastAsia="宋体" w:cs="宋体"/>
                <w:i w:val="0"/>
                <w:iCs w:val="0"/>
                <w:snapToGrid w:val="0"/>
                <w:color w:val="auto"/>
                <w:kern w:val="0"/>
                <w:sz w:val="18"/>
                <w:szCs w:val="18"/>
                <w:u w:val="none"/>
                <w:lang w:val="en-US" w:eastAsia="zh-CN"/>
              </w:rPr>
              <w:t>。</w:t>
            </w:r>
          </w:p>
        </w:tc>
        <w:tc>
          <w:tcPr>
            <w:tcW w:w="1297" w:type="dxa"/>
            <w:tcBorders>
              <w:top w:val="single" w:color="000000" w:sz="4" w:space="0"/>
              <w:bottom w:val="single" w:color="000000" w:sz="4" w:space="0"/>
            </w:tcBorders>
            <w:vAlign w:val="top"/>
          </w:tcPr>
          <w:p w14:paraId="788700C3">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13D6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4C0317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76</w:t>
            </w:r>
          </w:p>
        </w:tc>
        <w:tc>
          <w:tcPr>
            <w:tcW w:w="1415" w:type="dxa"/>
            <w:tcBorders>
              <w:top w:val="single" w:color="000000" w:sz="4" w:space="0"/>
              <w:bottom w:val="single" w:color="000000" w:sz="4" w:space="0"/>
            </w:tcBorders>
            <w:shd w:val="clear" w:color="auto" w:fill="auto"/>
            <w:vAlign w:val="top"/>
          </w:tcPr>
          <w:p w14:paraId="020C5BA8">
            <w:pPr>
              <w:kinsoku w:val="0"/>
              <w:autoSpaceDE w:val="0"/>
              <w:autoSpaceDN w:val="0"/>
              <w:adjustRightInd w:val="0"/>
              <w:snapToGrid w:val="0"/>
              <w:spacing w:before="123" w:line="219" w:lineRule="auto"/>
              <w:ind w:left="18" w:leftChars="0"/>
              <w:jc w:val="left"/>
              <w:textAlignment w:val="baseline"/>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2"/>
                <w:kern w:val="0"/>
                <w:sz w:val="18"/>
                <w:szCs w:val="18"/>
                <w:lang w:val="en-US" w:eastAsia="en-US" w:bidi="ar-SA"/>
              </w:rPr>
              <w:t>牵引床</w:t>
            </w:r>
          </w:p>
        </w:tc>
        <w:tc>
          <w:tcPr>
            <w:tcW w:w="6878" w:type="dxa"/>
            <w:tcBorders>
              <w:top w:val="single" w:color="000000" w:sz="4" w:space="0"/>
              <w:bottom w:val="single" w:color="000000" w:sz="4" w:space="0"/>
            </w:tcBorders>
            <w:shd w:val="clear" w:color="auto" w:fill="auto"/>
            <w:vAlign w:val="top"/>
          </w:tcPr>
          <w:p w14:paraId="5DB0975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参数维度 具体参数 典型数值/功能要求</w:t>
            </w:r>
          </w:p>
          <w:p w14:paraId="4146BA3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基本规格 电源 AC 220V±22V， 50Hz±1Hz </w:t>
            </w:r>
          </w:p>
          <w:p w14:paraId="7110E9D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功率 通常在 110VA 至 600VA 之间 </w:t>
            </w:r>
          </w:p>
          <w:p w14:paraId="2B81049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噪音 ≤60 dB(A) </w:t>
            </w:r>
          </w:p>
          <w:p w14:paraId="66FF233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牵引性能 腰椎牵引力 0~99kg (0~980N) 可具备自动检测与补偿功能 </w:t>
            </w:r>
          </w:p>
          <w:p w14:paraId="01113D2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颈椎牵引力 0~30kg (0~300N) 可调 </w:t>
            </w:r>
          </w:p>
          <w:p w14:paraId="30CC112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腰椎行程 0~200mm </w:t>
            </w:r>
          </w:p>
          <w:p w14:paraId="3845986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颈椎行程 0~300mm </w:t>
            </w:r>
          </w:p>
          <w:p w14:paraId="78EED64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治疗模式 牵引模式 持续、间歇、反复（阶梯）、脉冲等多种模式 </w:t>
            </w:r>
          </w:p>
          <w:p w14:paraId="56F068E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时间设定 总时间0~99min，牵引时间0~9min，间歇时间0~90s </w:t>
            </w:r>
          </w:p>
          <w:p w14:paraId="3966CB7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辅助功能 三维/多维牵引 具备成角角度（如-20°~+20°或上30°下10°）和旋转角度（如±25°）调节功能 </w:t>
            </w:r>
          </w:p>
          <w:p w14:paraId="307FB8A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加热功能 腰部或颈部加热垫，温度可调（如5级可调或恒温55℃） </w:t>
            </w:r>
          </w:p>
          <w:p w14:paraId="6C79122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结构与安全 结构设计 床体坚固（承载≥240kg），材质抗菌环保，可能配备碳纤维加热布或德国阻尼器 </w:t>
            </w:r>
          </w:p>
          <w:p w14:paraId="65F6B75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i w:val="0"/>
                <w:iCs w:val="0"/>
                <w:snapToGrid w:val="0"/>
                <w:color w:val="auto"/>
                <w:kern w:val="0"/>
                <w:sz w:val="18"/>
                <w:szCs w:val="18"/>
                <w:u w:val="none"/>
                <w:lang w:eastAsia="en-US"/>
              </w:rPr>
              <w:t xml:space="preserve"> 安全保护 配有手持式急退开关和医务人员操作急退键</w:t>
            </w:r>
            <w:r>
              <w:rPr>
                <w:rFonts w:hint="eastAsia" w:ascii="宋体" w:hAnsi="宋体" w:eastAsia="宋体" w:cs="宋体"/>
                <w:i w:val="0"/>
                <w:iCs w:val="0"/>
                <w:snapToGrid w:val="0"/>
                <w:color w:val="auto"/>
                <w:kern w:val="0"/>
                <w:sz w:val="18"/>
                <w:szCs w:val="18"/>
                <w:u w:val="none"/>
                <w:lang w:eastAsia="zh-CN"/>
              </w:rPr>
              <w:t>，国产</w:t>
            </w:r>
            <w:r>
              <w:rPr>
                <w:rFonts w:hint="eastAsia" w:ascii="宋体" w:hAnsi="宋体" w:eastAsia="宋体" w:cs="宋体"/>
                <w:snapToGrid w:val="0"/>
                <w:color w:val="auto"/>
                <w:kern w:val="0"/>
                <w:sz w:val="18"/>
                <w:szCs w:val="18"/>
                <w:lang w:eastAsia="en-US"/>
              </w:rPr>
              <w:t>。</w:t>
            </w:r>
          </w:p>
        </w:tc>
        <w:tc>
          <w:tcPr>
            <w:tcW w:w="1297" w:type="dxa"/>
            <w:tcBorders>
              <w:top w:val="single" w:color="000000" w:sz="4" w:space="0"/>
              <w:bottom w:val="single" w:color="000000" w:sz="4" w:space="0"/>
            </w:tcBorders>
            <w:shd w:val="clear" w:color="auto" w:fill="auto"/>
            <w:vAlign w:val="top"/>
          </w:tcPr>
          <w:p w14:paraId="72368574">
            <w:pPr>
              <w:widowControl/>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bookmarkStart w:id="2040" w:name="_GoBack"/>
            <w:bookmarkEnd w:id="2040"/>
          </w:p>
        </w:tc>
      </w:tr>
      <w:tr w14:paraId="5D187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33B8081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77</w:t>
            </w:r>
          </w:p>
        </w:tc>
        <w:tc>
          <w:tcPr>
            <w:tcW w:w="1415" w:type="dxa"/>
            <w:tcBorders>
              <w:top w:val="single" w:color="000000" w:sz="4" w:space="0"/>
              <w:bottom w:val="single" w:color="000000" w:sz="4" w:space="0"/>
            </w:tcBorders>
            <w:vAlign w:val="top"/>
          </w:tcPr>
          <w:p w14:paraId="2FC698E9">
            <w:pPr>
              <w:kinsoku w:val="0"/>
              <w:autoSpaceDE w:val="0"/>
              <w:autoSpaceDN w:val="0"/>
              <w:adjustRightInd w:val="0"/>
              <w:snapToGrid w:val="0"/>
              <w:spacing w:before="121" w:line="220" w:lineRule="auto"/>
              <w:ind w:left="19"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悬空灸排烟系统</w:t>
            </w:r>
          </w:p>
        </w:tc>
        <w:tc>
          <w:tcPr>
            <w:tcW w:w="6878" w:type="dxa"/>
            <w:tcBorders>
              <w:top w:val="single" w:color="000000" w:sz="4" w:space="0"/>
              <w:bottom w:val="single" w:color="000000" w:sz="4" w:space="0"/>
            </w:tcBorders>
            <w:vAlign w:val="top"/>
          </w:tcPr>
          <w:p w14:paraId="0B1D95C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风量 360-2800 m³/h，视床位数量而定 一拖一/便携式：360-400 m³/h左右；一拖二/三：1600-2200 m³/h；一拖四/大型系统：2500-2800 m³/h 静压/风压 400-1280 Pa 数值越大，克服管道阻力能力越强。大型中央系统要求≥800-1280 Pa </w:t>
            </w:r>
          </w:p>
          <w:p w14:paraId="5182C36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额定功率 40W-880W 单床小风机：40-200W；多床集成主机：550W-880W </w:t>
            </w:r>
          </w:p>
          <w:p w14:paraId="2DBFDB2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转速 1250-3200 r/min 部分支持无极/多档调速 </w:t>
            </w:r>
          </w:p>
          <w:p w14:paraId="0249E0E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电压 220V 50Hz 标准市电 </w:t>
            </w:r>
          </w:p>
          <w:p w14:paraId="12C5E32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二、机械结构与集烟参数（吸气臂/集烟罩）</w:t>
            </w:r>
          </w:p>
          <w:p w14:paraId="30B6A57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决定了设备是否能灵活到达治疗部位并有效拢烟。（一）吸气臂/轨道系统</w:t>
            </w:r>
          </w:p>
          <w:p w14:paraId="6E6594F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1875EB0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吸气口/管道直径 75-200 mm 常见为 160mm 主管道，进风口≥75mm</w:t>
            </w:r>
          </w:p>
          <w:p w14:paraId="264FA4D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旋转半径/长度 1.5-2.5米 铝合金轨道长度 1500-1800mm，软管长度 2000-2500mm</w:t>
            </w:r>
          </w:p>
          <w:p w14:paraId="4383EA2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臂身材质 铝合金（氧化处理） 或 不锈钢 要求表面光滑、可任意位置悬停、360°旋转</w:t>
            </w:r>
          </w:p>
          <w:p w14:paraId="71F0914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升降方式 手动/电动遥控 电动升降行程约 2米，载重≥10-35kg</w:t>
            </w:r>
          </w:p>
          <w:p w14:paraId="6C28B0C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（二）集烟罩参数</w:t>
            </w:r>
          </w:p>
          <w:p w14:paraId="6E96866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05D592D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外形尺寸 长580-900mm × 宽400-600mm × 高150-230mm 常规大罩约 900×600×180mm，便携式略小</w:t>
            </w:r>
          </w:p>
          <w:p w14:paraId="6160771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材质 PC/亚克力，透明 便于观察施灸部位；耐温≥100-200℃</w:t>
            </w:r>
          </w:p>
          <w:p w14:paraId="69A4B34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厚度 ≥2-4mm 防止变形破裂</w:t>
            </w:r>
          </w:p>
          <w:p w14:paraId="2021687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功能 内置可调节风阀/360°旋转 部分带初效过滤网</w:t>
            </w:r>
          </w:p>
          <w:p w14:paraId="294A08A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三、过滤与净化参数（针对内循环/环保型）</w:t>
            </w:r>
          </w:p>
          <w:p w14:paraId="111E50B8">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如果系统不将烟气直接排出室外，而是净化后室内循环，则需关注以下参数：</w:t>
            </w:r>
          </w:p>
          <w:p w14:paraId="570E5F6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4333C61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过滤效率 0.3μm颗粒过滤效率≥99.97%（HEPA标准） </w:t>
            </w:r>
          </w:p>
          <w:p w14:paraId="35AF1A2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滤芯层数 4层过滤（初效+中效+高效+活性炭） 常见设计，部分带滤芯阻塞报警</w:t>
            </w:r>
          </w:p>
          <w:p w14:paraId="5808109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滤芯尺寸 主体直径≥125mm，高度≥60mm </w:t>
            </w:r>
          </w:p>
          <w:p w14:paraId="47D6949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四、使用体验与电气参数</w:t>
            </w:r>
          </w:p>
          <w:p w14:paraId="6FE5B53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（一）噪音控制</w:t>
            </w:r>
          </w:p>
          <w:p w14:paraId="09F804A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1B216DD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工作噪音 ≤40-60dB(A) 便携式/一拖一：≤55dB；中央系统：≤50-60dB</w:t>
            </w:r>
          </w:p>
          <w:p w14:paraId="5BAFF73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（二）控制方式</w:t>
            </w:r>
          </w:p>
          <w:p w14:paraId="29578CF1">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045C4C6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调速功能 无极调速/多档调节 0-10V调速或2-3档位</w:t>
            </w:r>
          </w:p>
          <w:p w14:paraId="54647A5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操控方式 遥控（距离≥5米）+ 手动/面板 遥控升降、调风量</w:t>
            </w:r>
          </w:p>
          <w:p w14:paraId="5D5E5C0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三</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14F9A36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524D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533C136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78</w:t>
            </w:r>
          </w:p>
        </w:tc>
        <w:tc>
          <w:tcPr>
            <w:tcW w:w="1415" w:type="dxa"/>
            <w:tcBorders>
              <w:top w:val="single" w:color="000000" w:sz="4" w:space="0"/>
              <w:bottom w:val="single" w:color="000000" w:sz="4" w:space="0"/>
            </w:tcBorders>
            <w:vAlign w:val="top"/>
          </w:tcPr>
          <w:p w14:paraId="38C03144">
            <w:pPr>
              <w:kinsoku w:val="0"/>
              <w:autoSpaceDE w:val="0"/>
              <w:autoSpaceDN w:val="0"/>
              <w:adjustRightInd w:val="0"/>
              <w:snapToGrid w:val="0"/>
              <w:spacing w:before="127" w:line="219" w:lineRule="auto"/>
              <w:ind w:left="2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除颤仪</w:t>
            </w:r>
          </w:p>
        </w:tc>
        <w:tc>
          <w:tcPr>
            <w:tcW w:w="6878" w:type="dxa"/>
            <w:tcBorders>
              <w:top w:val="single" w:color="000000" w:sz="4" w:space="0"/>
              <w:bottom w:val="single" w:color="000000" w:sz="4" w:space="0"/>
            </w:tcBorders>
            <w:vAlign w:val="top"/>
          </w:tcPr>
          <w:p w14:paraId="516AE693">
            <w:pPr>
              <w:keepNext w:val="0"/>
              <w:keepLines w:val="0"/>
              <w:widowControl/>
              <w:numPr>
                <w:ilvl w:val="0"/>
                <w:numId w:val="27"/>
              </w:numPr>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具备手动除颤、心电监护功能。</w:t>
            </w:r>
          </w:p>
          <w:p w14:paraId="2C0EB3F3">
            <w:pPr>
              <w:keepNext w:val="0"/>
              <w:keepLines w:val="0"/>
              <w:widowControl/>
              <w:numPr>
                <w:ilvl w:val="0"/>
                <w:numId w:val="27"/>
              </w:numPr>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同步除颤和手动除颤中，能量分25档以上，可通过体外电极板进行能量选择最小为1J, 最大为360J。</w:t>
            </w:r>
          </w:p>
          <w:p w14:paraId="7C25807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3.除颤充电迅速，充电至200J&lt;5s,充电至360J&lt;8s.</w:t>
            </w:r>
          </w:p>
          <w:p w14:paraId="061DFE5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4体外除颤电极板手柄支持充电、放电、能量选择，具备充电完成指示灯。成人、小儿一体化电极板。</w:t>
            </w:r>
          </w:p>
          <w:p w14:paraId="1F8A3024">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监护功能：可选配升级12导ECG、SPo2、体温、NIBP&gt;旁流EtCO2监测功能。具有226种心律失常分析</w:t>
            </w:r>
          </w:p>
          <w:p w14:paraId="0E8FADC6">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07D0A1C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6036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C1670D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79</w:t>
            </w:r>
          </w:p>
        </w:tc>
        <w:tc>
          <w:tcPr>
            <w:tcW w:w="1415" w:type="dxa"/>
            <w:tcBorders>
              <w:top w:val="single" w:color="000000" w:sz="4" w:space="0"/>
              <w:bottom w:val="single" w:color="000000" w:sz="4" w:space="0"/>
            </w:tcBorders>
            <w:vAlign w:val="top"/>
          </w:tcPr>
          <w:p w14:paraId="347F3E12">
            <w:pPr>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胎心监护仪</w:t>
            </w:r>
          </w:p>
        </w:tc>
        <w:tc>
          <w:tcPr>
            <w:tcW w:w="6878" w:type="dxa"/>
            <w:tcBorders>
              <w:top w:val="single" w:color="000000" w:sz="4" w:space="0"/>
              <w:bottom w:val="single" w:color="000000" w:sz="4" w:space="0"/>
            </w:tcBorders>
            <w:vAlign w:val="top"/>
          </w:tcPr>
          <w:p w14:paraId="1DB612EC">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1.</w:t>
            </w:r>
            <w:r>
              <w:rPr>
                <w:rFonts w:hint="eastAsia" w:ascii="宋体" w:hAnsi="宋体" w:eastAsia="宋体" w:cs="宋体"/>
                <w:i w:val="0"/>
                <w:iCs w:val="0"/>
                <w:snapToGrid w:val="0"/>
                <w:color w:val="auto"/>
                <w:kern w:val="0"/>
                <w:sz w:val="18"/>
                <w:szCs w:val="18"/>
                <w:u w:val="none"/>
                <w:lang w:eastAsia="en-US"/>
              </w:rPr>
              <w:t>胎心率（FHR）</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测量范围：30～250 bpm（高端）；50～210 bpm（远程/家用）精度：±1 bpm（医院）；±2 bpm（远程/家用）超声探头：9～12晶片、宽波束；频率1MHz/2MHz/3MHz</w:t>
            </w:r>
          </w:p>
          <w:p w14:paraId="393F4DA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超声安全：Iob＜5～20 mW/cm²（远低于国标安全限）AI功能：干扰识别、双胎分离、自动NST判读（准确率＞95%）</w:t>
            </w:r>
          </w:p>
          <w:p w14:paraId="775FC9DF">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2. 宫缩压力（TOCO/UC）测量范围：0～100 压力单位 / 0～100 mmHg误差：≤±10%</w:t>
            </w:r>
          </w:p>
          <w:p w14:paraId="1D6A5B79">
            <w:pPr>
              <w:keepNext w:val="0"/>
              <w:keepLines w:val="0"/>
              <w:widowControl/>
              <w:suppressLineNumbers w:val="0"/>
              <w:kinsoku w:val="0"/>
              <w:autoSpaceDE w:val="0"/>
              <w:autoSpaceDN w:val="0"/>
              <w:adjustRightInd w:val="0"/>
              <w:snapToGrid w:val="0"/>
              <w:spacing w:line="240" w:lineRule="auto"/>
              <w:ind w:firstLine="360" w:firstLineChars="20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调节：基线0/5/10/15/20；增益50%/100%/200%</w:t>
            </w:r>
          </w:p>
          <w:p w14:paraId="37F214AB">
            <w:pPr>
              <w:keepNext w:val="0"/>
              <w:keepLines w:val="0"/>
              <w:widowControl/>
              <w:numPr>
                <w:ilvl w:val="0"/>
                <w:numId w:val="27"/>
              </w:numPr>
              <w:suppressLineNumbers w:val="0"/>
              <w:kinsoku w:val="0"/>
              <w:autoSpaceDE w:val="0"/>
              <w:autoSpaceDN w:val="0"/>
              <w:adjustRightInd w:val="0"/>
              <w:snapToGrid w:val="0"/>
              <w:spacing w:line="240" w:lineRule="auto"/>
              <w:ind w:left="0" w:leftChars="0" w:firstLine="0" w:firstLineChars="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胎动（FM）模式：自动+手动双标记</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计数：20分钟≥3次为合格</w:t>
            </w:r>
          </w:p>
          <w:p w14:paraId="0B0940C0">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4</w:t>
            </w:r>
            <w:r>
              <w:rPr>
                <w:rFonts w:hint="eastAsia" w:ascii="宋体" w:hAnsi="宋体" w:eastAsia="宋体" w:cs="宋体"/>
                <w:i w:val="0"/>
                <w:iCs w:val="0"/>
                <w:snapToGrid w:val="0"/>
                <w:color w:val="auto"/>
                <w:kern w:val="0"/>
                <w:sz w:val="18"/>
                <w:szCs w:val="18"/>
                <w:u w:val="none"/>
                <w:lang w:eastAsia="en-US"/>
              </w:rPr>
              <w:t>、母亲监护参数（高端母胎一体机）</w:t>
            </w:r>
          </w:p>
          <w:p w14:paraId="17AFD11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ECG：15～300 bpm；±1 bpm；3/5/12导；滤波/增益可SpO₂：0～100%；±2%；Masimo/Ne模块呼吸：6～120 bpm；±1 bpm脉率：20～254 bpm；±1 bpm三、硬件与连接（2026最新）</w:t>
            </w:r>
          </w:p>
          <w:p w14:paraId="641AADE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5、</w:t>
            </w:r>
            <w:r>
              <w:rPr>
                <w:rFonts w:hint="eastAsia" w:ascii="宋体" w:hAnsi="宋体" w:eastAsia="宋体" w:cs="宋体"/>
                <w:i w:val="0"/>
                <w:iCs w:val="0"/>
                <w:snapToGrid w:val="0"/>
                <w:color w:val="auto"/>
                <w:kern w:val="0"/>
                <w:sz w:val="18"/>
                <w:szCs w:val="18"/>
                <w:u w:val="none"/>
                <w:lang w:eastAsia="en-US"/>
              </w:rPr>
              <w:t>屏幕与操作</w:t>
            </w:r>
          </w:p>
          <w:p w14:paraId="558C26E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尺寸：10.2～11英寸高清触摸屏；0～180°可视</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显示：同屏曲线+数值；正常区间（110-160）自动标色</w:t>
            </w:r>
          </w:p>
          <w:p w14:paraId="6C9B0362">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6</w:t>
            </w:r>
            <w:r>
              <w:rPr>
                <w:rFonts w:hint="eastAsia" w:ascii="宋体" w:hAnsi="宋体" w:eastAsia="宋体" w:cs="宋体"/>
                <w:i w:val="0"/>
                <w:iCs w:val="0"/>
                <w:snapToGrid w:val="0"/>
                <w:color w:val="auto"/>
                <w:kern w:val="0"/>
                <w:sz w:val="18"/>
                <w:szCs w:val="18"/>
                <w:u w:val="none"/>
                <w:lang w:eastAsia="en-US"/>
              </w:rPr>
              <w:t xml:space="preserve"> </w:t>
            </w:r>
            <w:r>
              <w:rPr>
                <w:rFonts w:hint="eastAsia" w:ascii="宋体" w:hAnsi="宋体" w:eastAsia="宋体" w:cs="宋体"/>
                <w:i w:val="0"/>
                <w:iCs w:val="0"/>
                <w:snapToGrid w:val="0"/>
                <w:color w:val="auto"/>
                <w:kern w:val="0"/>
                <w:sz w:val="18"/>
                <w:szCs w:val="18"/>
                <w:u w:val="none"/>
                <w:lang w:eastAsia="zh-CN"/>
              </w:rPr>
              <w:t>、</w:t>
            </w:r>
            <w:r>
              <w:rPr>
                <w:rFonts w:hint="eastAsia" w:ascii="宋体" w:hAnsi="宋体" w:eastAsia="宋体" w:cs="宋体"/>
                <w:i w:val="0"/>
                <w:iCs w:val="0"/>
                <w:snapToGrid w:val="0"/>
                <w:color w:val="auto"/>
                <w:kern w:val="0"/>
                <w:sz w:val="18"/>
                <w:szCs w:val="18"/>
                <w:u w:val="none"/>
                <w:lang w:eastAsia="en-US"/>
              </w:rPr>
              <w:t>无线与远程</w:t>
            </w:r>
          </w:p>
          <w:p w14:paraId="0C230FB9">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无线探头：蓝牙/Wi-Fi 6；通讯距离≥80～1000米；IP68防水</w:t>
            </w:r>
          </w:p>
          <w:p w14:paraId="35FA3EDD">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续航：探头≥6～8小时；主机≥2～4小时</w:t>
            </w:r>
            <w:r>
              <w:rPr>
                <w:rFonts w:hint="eastAsia" w:ascii="宋体" w:hAnsi="宋体" w:eastAsia="宋体" w:cs="宋体"/>
                <w:i w:val="0"/>
                <w:iCs w:val="0"/>
                <w:snapToGrid w:val="0"/>
                <w:color w:val="auto"/>
                <w:kern w:val="0"/>
                <w:sz w:val="18"/>
                <w:szCs w:val="18"/>
                <w:u w:val="none"/>
                <w:lang w:eastAsia="zh-CN"/>
              </w:rPr>
              <w:t>，</w:t>
            </w:r>
            <w:r>
              <w:rPr>
                <w:rFonts w:hint="eastAsia" w:ascii="宋体" w:hAnsi="宋体" w:eastAsia="宋体" w:cs="宋体"/>
                <w:i w:val="0"/>
                <w:iCs w:val="0"/>
                <w:snapToGrid w:val="0"/>
                <w:color w:val="auto"/>
                <w:kern w:val="0"/>
                <w:sz w:val="18"/>
                <w:szCs w:val="18"/>
                <w:u w:val="none"/>
                <w:lang w:eastAsia="en-US"/>
              </w:rPr>
              <w:t>中央联网：子机≥200台；数据续传/断点重连</w:t>
            </w:r>
          </w:p>
          <w:p w14:paraId="1F6DBB45">
            <w:pPr>
              <w:keepNext w:val="0"/>
              <w:keepLines w:val="0"/>
              <w:widowControl/>
              <w:numPr>
                <w:ilvl w:val="0"/>
                <w:numId w:val="0"/>
              </w:numPr>
              <w:suppressLineNumbers w:val="0"/>
              <w:kinsoku w:val="0"/>
              <w:autoSpaceDE w:val="0"/>
              <w:autoSpaceDN w:val="0"/>
              <w:adjustRightInd w:val="0"/>
              <w:snapToGrid w:val="0"/>
              <w:spacing w:line="240" w:lineRule="auto"/>
              <w:ind w:leftChars="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7、</w:t>
            </w:r>
            <w:r>
              <w:rPr>
                <w:rFonts w:hint="eastAsia" w:ascii="宋体" w:hAnsi="宋体" w:eastAsia="宋体" w:cs="宋体"/>
                <w:i w:val="0"/>
                <w:iCs w:val="0"/>
                <w:snapToGrid w:val="0"/>
                <w:color w:val="auto"/>
                <w:kern w:val="0"/>
                <w:sz w:val="18"/>
                <w:szCs w:val="18"/>
                <w:u w:val="none"/>
                <w:lang w:eastAsia="en-US"/>
              </w:rPr>
              <w:t>电源与便携</w:t>
            </w:r>
          </w:p>
          <w:p w14:paraId="2DDD0D5B">
            <w:pPr>
              <w:keepNext w:val="0"/>
              <w:keepLines w:val="0"/>
              <w:widowControl/>
              <w:numPr>
                <w:ilvl w:val="0"/>
                <w:numId w:val="0"/>
              </w:numPr>
              <w:suppressLineNumbers w:val="0"/>
              <w:kinsoku w:val="0"/>
              <w:autoSpaceDE w:val="0"/>
              <w:autoSpaceDN w:val="0"/>
              <w:adjustRightInd w:val="0"/>
              <w:snapToGrid w:val="0"/>
              <w:spacing w:line="240" w:lineRule="auto"/>
              <w:ind w:leftChars="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电源：AC100-240V 50/60Hz + DC锂电</w:t>
            </w:r>
          </w:p>
          <w:p w14:paraId="18F2D5A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家用/远程：≤390g；尺寸≤144×71×29mm；续航≥6小时</w:t>
            </w:r>
          </w:p>
          <w:p w14:paraId="3EE0DC3E">
            <w:pPr>
              <w:keepNext w:val="0"/>
              <w:keepLines w:val="0"/>
              <w:widowControl/>
              <w:numPr>
                <w:ilvl w:val="0"/>
                <w:numId w:val="0"/>
              </w:numPr>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8、</w:t>
            </w:r>
            <w:r>
              <w:rPr>
                <w:rFonts w:hint="eastAsia" w:ascii="宋体" w:hAnsi="宋体" w:eastAsia="宋体" w:cs="宋体"/>
                <w:i w:val="0"/>
                <w:iCs w:val="0"/>
                <w:snapToGrid w:val="0"/>
                <w:color w:val="auto"/>
                <w:kern w:val="0"/>
                <w:sz w:val="18"/>
                <w:szCs w:val="18"/>
                <w:u w:val="none"/>
                <w:lang w:eastAsia="en-US"/>
              </w:rPr>
              <w:t>存储与打印</w:t>
            </w:r>
          </w:p>
          <w:p w14:paraId="4FE84360">
            <w:pPr>
              <w:keepNext w:val="0"/>
              <w:keepLines w:val="0"/>
              <w:widowControl/>
              <w:numPr>
                <w:ilvl w:val="0"/>
                <w:numId w:val="0"/>
              </w:numPr>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存储：≥12小时；支持回放/导出/打印</w:t>
            </w:r>
            <w:r>
              <w:rPr>
                <w:rFonts w:hint="eastAsia" w:ascii="宋体" w:hAnsi="宋体" w:eastAsia="宋体" w:cs="宋体"/>
                <w:i w:val="0"/>
                <w:iCs w:val="0"/>
                <w:snapToGrid w:val="0"/>
                <w:color w:val="auto"/>
                <w:kern w:val="0"/>
                <w:sz w:val="18"/>
                <w:szCs w:val="18"/>
                <w:u w:val="none"/>
                <w:lang w:eastAsia="zh-CN"/>
              </w:rPr>
              <w:t>，</w:t>
            </w:r>
            <w:r>
              <w:rPr>
                <w:rFonts w:hint="eastAsia" w:ascii="宋体" w:hAnsi="宋体" w:eastAsia="宋体" w:cs="宋体"/>
                <w:i w:val="0"/>
                <w:iCs w:val="0"/>
                <w:snapToGrid w:val="0"/>
                <w:color w:val="auto"/>
                <w:kern w:val="0"/>
                <w:sz w:val="18"/>
                <w:szCs w:val="18"/>
                <w:u w:val="none"/>
                <w:lang w:eastAsia="en-US"/>
              </w:rPr>
              <w:t>打印速度：1/2/3 cm/min；6.25/12.5/25/50 mm/s</w:t>
            </w:r>
          </w:p>
          <w:p w14:paraId="0D12F3E5">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9</w:t>
            </w:r>
            <w:r>
              <w:rPr>
                <w:rFonts w:hint="eastAsia" w:ascii="宋体" w:hAnsi="宋体" w:eastAsia="宋体" w:cs="宋体"/>
                <w:i w:val="0"/>
                <w:iCs w:val="0"/>
                <w:snapToGrid w:val="0"/>
                <w:color w:val="auto"/>
                <w:kern w:val="0"/>
                <w:sz w:val="18"/>
                <w:szCs w:val="18"/>
                <w:u w:val="none"/>
                <w:lang w:eastAsia="en-US"/>
              </w:rPr>
              <w:t>、安全与报警</w:t>
            </w:r>
          </w:p>
          <w:p w14:paraId="6FBE55E8">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报警：声光；胎心过速/过缓/减速/变异异常/宫缩过频</w:t>
            </w:r>
          </w:p>
          <w:p w14:paraId="592C04E1">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防护：探头防脱落/防反插；主机防电磁干扰</w:t>
            </w:r>
          </w:p>
          <w:p w14:paraId="58B66847">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10</w:t>
            </w:r>
            <w:r>
              <w:rPr>
                <w:rFonts w:hint="eastAsia" w:ascii="宋体" w:hAnsi="宋体" w:eastAsia="宋体" w:cs="宋体"/>
                <w:i w:val="0"/>
                <w:iCs w:val="0"/>
                <w:snapToGrid w:val="0"/>
                <w:color w:val="auto"/>
                <w:kern w:val="0"/>
                <w:sz w:val="18"/>
                <w:szCs w:val="18"/>
                <w:u w:val="none"/>
                <w:lang w:eastAsia="en-US"/>
              </w:rPr>
              <w:t>、2026最新技术亮点</w:t>
            </w:r>
          </w:p>
          <w:p w14:paraId="550212D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fECG胎儿心电：腹壁电极，抗干扰，提前预警酸中毒</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柔性贴片：3mm/3g，居家无线监护，自由体位</w:t>
            </w:r>
          </w:p>
          <w:p w14:paraId="01AFBFF8">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AI自动判读：NST反应型/可疑/异常一键出报告</w:t>
            </w:r>
          </w:p>
          <w:p w14:paraId="046A8475">
            <w:pPr>
              <w:widowControl/>
              <w:numPr>
                <w:ilvl w:val="0"/>
                <w:numId w:val="28"/>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bidi="ar"/>
              </w:rPr>
              <w:t>系统要求：</w:t>
            </w:r>
            <w:r>
              <w:rPr>
                <w:rFonts w:hint="eastAsia" w:ascii="宋体" w:hAnsi="宋体" w:eastAsia="宋体" w:cs="宋体"/>
                <w:snapToGrid w:val="0"/>
                <w:color w:val="auto"/>
                <w:kern w:val="0"/>
                <w:sz w:val="18"/>
                <w:szCs w:val="18"/>
                <w:lang w:val="en-US" w:eastAsia="zh-CN"/>
              </w:rPr>
              <w:t>网络接口可连接LIS/HIS等数据管理系统；</w:t>
            </w:r>
          </w:p>
          <w:p w14:paraId="54A15BA4">
            <w:pPr>
              <w:widowControl/>
              <w:numPr>
                <w:ilvl w:val="0"/>
                <w:numId w:val="28"/>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E443C1A">
            <w:pPr>
              <w:widowControl/>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D1A8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2BC4784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80</w:t>
            </w:r>
          </w:p>
        </w:tc>
        <w:tc>
          <w:tcPr>
            <w:tcW w:w="1415" w:type="dxa"/>
            <w:tcBorders>
              <w:top w:val="single" w:color="000000" w:sz="4" w:space="0"/>
              <w:bottom w:val="single" w:color="000000" w:sz="4" w:space="0"/>
            </w:tcBorders>
            <w:vAlign w:val="top"/>
          </w:tcPr>
          <w:p w14:paraId="6A2150D3">
            <w:pPr>
              <w:kinsoku w:val="0"/>
              <w:autoSpaceDE w:val="0"/>
              <w:autoSpaceDN w:val="0"/>
              <w:adjustRightInd w:val="0"/>
              <w:snapToGrid w:val="0"/>
              <w:spacing w:before="122"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医用热敏打印机</w:t>
            </w:r>
          </w:p>
        </w:tc>
        <w:tc>
          <w:tcPr>
            <w:tcW w:w="6878" w:type="dxa"/>
            <w:tcBorders>
              <w:top w:val="single" w:color="000000" w:sz="4" w:space="0"/>
              <w:bottom w:val="single" w:color="000000" w:sz="4" w:space="0"/>
            </w:tcBorders>
            <w:vAlign w:val="top"/>
          </w:tcPr>
          <w:p w14:paraId="4BD09E6A">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1. 打印技术： 干式热敏直热式(非激光或喷墨)。</w:t>
            </w:r>
          </w:p>
          <w:p w14:paraId="38AD5212">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2.分辨率：≥320 dpi。</w:t>
            </w:r>
          </w:p>
          <w:p w14:paraId="0EB33D12">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3. 灰 度 ：≥12    bit。</w:t>
            </w:r>
          </w:p>
          <w:p w14:paraId="2D5CE830">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4.像素尺寸：≤80  μm。</w:t>
            </w:r>
          </w:p>
          <w:p w14:paraId="2CAAC815">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5.尺寸支持：兼容8x10,10x12,11x14,14x17 英寸。</w:t>
            </w:r>
          </w:p>
          <w:p w14:paraId="482370F4">
            <w:pPr>
              <w:keepNext w:val="0"/>
              <w:keepLines w:val="0"/>
              <w:pageBreakBefore w:val="0"/>
              <w:widowControl/>
              <w:kinsoku w:val="0"/>
              <w:wordWrap/>
              <w:overflowPunct/>
              <w:topLinePunct w:val="0"/>
              <w:autoSpaceDE w:val="0"/>
              <w:autoSpaceDN w:val="0"/>
              <w:bidi w:val="0"/>
              <w:adjustRightInd w:val="0"/>
              <w:snapToGrid w:val="0"/>
              <w:spacing w:line="300" w:lineRule="exact"/>
              <w:ind w:right="109"/>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6.出片速度：14x17 英寸胶片，第一张≤60秒，连续≥100 张/小时。</w:t>
            </w:r>
          </w:p>
          <w:p w14:paraId="0F283EF7">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7.接口：千兆以太网，支持 DICOM  3.0  Print  &amp;Worklist。</w:t>
            </w:r>
          </w:p>
          <w:p w14:paraId="5237095F">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8. 供片仓：至少2个，支持不同尺寸胶片自动切换。</w:t>
            </w:r>
          </w:p>
          <w:p w14:paraId="40646EC3">
            <w:pPr>
              <w:keepNext w:val="0"/>
              <w:keepLines w:val="0"/>
              <w:pageBreakBefore w:val="0"/>
              <w:widowControl/>
              <w:kinsoku w:val="0"/>
              <w:wordWrap/>
              <w:overflowPunct/>
              <w:topLinePunct w:val="0"/>
              <w:autoSpaceDE w:val="0"/>
              <w:autoSpaceDN w:val="0"/>
              <w:bidi w:val="0"/>
              <w:adjustRightInd w:val="0"/>
              <w:snapToGrid w:val="0"/>
              <w:spacing w:line="300" w:lineRule="exact"/>
              <w:ind w:left="21" w:leftChars="0"/>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9. 耗材：必须使用原厂或认证的医用热敏胶片(可要求提供 胶片检测报告)。</w:t>
            </w:r>
          </w:p>
          <w:p w14:paraId="17C7B7CE">
            <w:pPr>
              <w:keepNext w:val="0"/>
              <w:keepLines w:val="0"/>
              <w:pageBreakBefore w:val="0"/>
              <w:widowControl/>
              <w:kinsoku w:val="0"/>
              <w:wordWrap/>
              <w:overflowPunct/>
              <w:topLinePunct w:val="0"/>
              <w:autoSpaceDE w:val="0"/>
              <w:autoSpaceDN w:val="0"/>
              <w:bidi w:val="0"/>
              <w:adjustRightInd w:val="0"/>
              <w:snapToGrid w:val="0"/>
              <w:spacing w:line="300" w:lineRule="exact"/>
              <w:ind w:left="21"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bidi="ar-SA"/>
              </w:rPr>
              <w:t>10.</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C5D20ED">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12232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1BA3E30F">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81</w:t>
            </w:r>
          </w:p>
        </w:tc>
        <w:tc>
          <w:tcPr>
            <w:tcW w:w="1415" w:type="dxa"/>
            <w:tcBorders>
              <w:top w:val="single" w:color="000000" w:sz="4" w:space="0"/>
              <w:bottom w:val="single" w:color="000000" w:sz="4" w:space="0"/>
            </w:tcBorders>
            <w:vAlign w:val="top"/>
          </w:tcPr>
          <w:p w14:paraId="3BFD933C">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冷藏柜</w:t>
            </w:r>
          </w:p>
        </w:tc>
        <w:tc>
          <w:tcPr>
            <w:tcW w:w="6878" w:type="dxa"/>
            <w:tcBorders>
              <w:top w:val="single" w:color="000000" w:sz="4" w:space="0"/>
              <w:bottom w:val="single" w:color="000000" w:sz="4" w:space="0"/>
            </w:tcBorders>
            <w:vAlign w:val="top"/>
          </w:tcPr>
          <w:p w14:paraId="6F1D660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rPr>
              <w:t>有效容积229升，温度0-10，制冷方式：风冷，</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CFDE530">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39BB9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68FA88B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22"/>
                <w:szCs w:val="22"/>
                <w:lang w:val="en-US" w:eastAsia="zh-CN"/>
              </w:rPr>
              <w:t>82</w:t>
            </w:r>
          </w:p>
        </w:tc>
        <w:tc>
          <w:tcPr>
            <w:tcW w:w="1415" w:type="dxa"/>
            <w:tcBorders>
              <w:top w:val="single" w:color="000000" w:sz="4" w:space="0"/>
              <w:bottom w:val="single" w:color="000000" w:sz="4" w:space="0"/>
            </w:tcBorders>
            <w:vAlign w:val="top"/>
          </w:tcPr>
          <w:p w14:paraId="5BB330CC">
            <w:pPr>
              <w:kinsoku w:val="0"/>
              <w:autoSpaceDE w:val="0"/>
              <w:autoSpaceDN w:val="0"/>
              <w:adjustRightInd w:val="0"/>
              <w:snapToGrid w:val="0"/>
              <w:spacing w:before="126" w:line="222" w:lineRule="auto"/>
              <w:ind w:left="12"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UPS电源</w:t>
            </w:r>
          </w:p>
        </w:tc>
        <w:tc>
          <w:tcPr>
            <w:tcW w:w="6878" w:type="dxa"/>
            <w:tcBorders>
              <w:top w:val="single" w:color="000000" w:sz="4" w:space="0"/>
              <w:bottom w:val="single" w:color="000000" w:sz="4" w:space="0"/>
            </w:tcBorders>
            <w:vAlign w:val="top"/>
          </w:tcPr>
          <w:p w14:paraId="137F075C">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rPr>
              <w:t>1、UPS电源:型号C10KS;高频在线式容量10kVA/9kW、220V进220V出 1/台，2、蓄电池:型号12V100AH;免维护铅酸蓄电池12V100AH 16/只， 国3、电池柜:型号C16;含电池连接线及电池空开1/套，6KW后备时间：2h。</w:t>
            </w:r>
          </w:p>
        </w:tc>
        <w:tc>
          <w:tcPr>
            <w:tcW w:w="1297" w:type="dxa"/>
            <w:tcBorders>
              <w:top w:val="single" w:color="000000" w:sz="4" w:space="0"/>
              <w:bottom w:val="single" w:color="000000" w:sz="4" w:space="0"/>
            </w:tcBorders>
            <w:vAlign w:val="top"/>
          </w:tcPr>
          <w:p w14:paraId="1D211CD6">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64169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42C76C5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83</w:t>
            </w:r>
          </w:p>
        </w:tc>
        <w:tc>
          <w:tcPr>
            <w:tcW w:w="1415" w:type="dxa"/>
            <w:tcBorders>
              <w:top w:val="single" w:color="000000" w:sz="4" w:space="0"/>
              <w:bottom w:val="single" w:color="000000" w:sz="4" w:space="0"/>
            </w:tcBorders>
            <w:vAlign w:val="top"/>
          </w:tcPr>
          <w:p w14:paraId="780CE446">
            <w:pPr>
              <w:kinsoku w:val="0"/>
              <w:autoSpaceDE w:val="0"/>
              <w:autoSpaceDN w:val="0"/>
              <w:adjustRightInd w:val="0"/>
              <w:snapToGrid w:val="0"/>
              <w:spacing w:before="126"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煎药机</w:t>
            </w:r>
          </w:p>
        </w:tc>
        <w:tc>
          <w:tcPr>
            <w:tcW w:w="6878" w:type="dxa"/>
            <w:tcBorders>
              <w:top w:val="single" w:color="000000" w:sz="4" w:space="0"/>
              <w:bottom w:val="single" w:color="000000" w:sz="4" w:space="0"/>
            </w:tcBorders>
            <w:vAlign w:val="top"/>
          </w:tcPr>
          <w:p w14:paraId="07C006A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eastAsia="en-US"/>
              </w:rPr>
              <w:t>煎药包装一体机，丝杠压榨4+1型变量。容量：25Lx4+13L。电压：220V。功率：8.05kw。尺寸（长宽高）：1960x560x1150mm。性能特点：1、高压煎煮2、分离药液3、挤压药渣4、时间设定5武火设定6文火设定7先煎后下8智能报警9毫升可调10袋数可调11无液停机12干烧保护13清洗按键</w:t>
            </w:r>
            <w:r>
              <w:rPr>
                <w:rFonts w:hint="eastAsia" w:ascii="宋体" w:hAnsi="宋体" w:eastAsia="宋体" w:cs="宋体"/>
                <w:i w:val="0"/>
                <w:iCs w:val="0"/>
                <w:snapToGrid w:val="0"/>
                <w:color w:val="auto"/>
                <w:kern w:val="0"/>
                <w:sz w:val="18"/>
                <w:szCs w:val="18"/>
                <w:u w:val="none"/>
                <w:lang w:val="en-US" w:eastAsia="zh-CN"/>
              </w:rPr>
              <w:t>,</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2D917B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2B742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499" w:hRule="atLeast"/>
          <w:jc w:val="center"/>
        </w:trPr>
        <w:tc>
          <w:tcPr>
            <w:tcW w:w="637" w:type="dxa"/>
            <w:tcBorders>
              <w:top w:val="single" w:color="000000" w:sz="4" w:space="0"/>
              <w:bottom w:val="single" w:color="000000" w:sz="4" w:space="0"/>
            </w:tcBorders>
            <w:vAlign w:val="center"/>
          </w:tcPr>
          <w:p w14:paraId="2057286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84</w:t>
            </w:r>
          </w:p>
        </w:tc>
        <w:tc>
          <w:tcPr>
            <w:tcW w:w="1415" w:type="dxa"/>
            <w:tcBorders>
              <w:top w:val="single" w:color="000000" w:sz="4" w:space="0"/>
              <w:bottom w:val="single" w:color="000000" w:sz="4" w:space="0"/>
            </w:tcBorders>
            <w:vAlign w:val="top"/>
          </w:tcPr>
          <w:p w14:paraId="7E57DE01">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人工流产吸引器</w:t>
            </w:r>
          </w:p>
        </w:tc>
        <w:tc>
          <w:tcPr>
            <w:tcW w:w="6878" w:type="dxa"/>
            <w:tcBorders>
              <w:top w:val="single" w:color="000000" w:sz="4" w:space="0"/>
              <w:bottom w:val="single" w:color="000000" w:sz="4" w:space="0"/>
            </w:tcBorders>
            <w:vAlign w:val="top"/>
          </w:tcPr>
          <w:p w14:paraId="237C573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1</w:t>
            </w:r>
            <w:r>
              <w:rPr>
                <w:rFonts w:hint="eastAsia" w:ascii="宋体" w:hAnsi="宋体" w:eastAsia="宋体" w:cs="宋体"/>
                <w:i w:val="0"/>
                <w:iCs w:val="0"/>
                <w:snapToGrid w:val="0"/>
                <w:color w:val="auto"/>
                <w:kern w:val="0"/>
                <w:sz w:val="18"/>
                <w:szCs w:val="18"/>
                <w:u w:val="none"/>
                <w:lang w:eastAsia="en-US"/>
              </w:rPr>
              <w:t>、核心负压参数（最关键）极限负压：≥0.09MPa（680mmHg）负压调节范围：0.01～0.09MPa（150～680mmHg）负压回降：≤0.005MPa/10min（保压稳定）</w:t>
            </w:r>
          </w:p>
          <w:p w14:paraId="552C7FF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w:t>
            </w:r>
          </w:p>
          <w:p w14:paraId="3C197F2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2</w:t>
            </w:r>
            <w:r>
              <w:rPr>
                <w:rFonts w:hint="eastAsia" w:ascii="宋体" w:hAnsi="宋体" w:eastAsia="宋体" w:cs="宋体"/>
                <w:i w:val="0"/>
                <w:iCs w:val="0"/>
                <w:snapToGrid w:val="0"/>
                <w:color w:val="auto"/>
                <w:kern w:val="0"/>
                <w:sz w:val="18"/>
                <w:szCs w:val="18"/>
                <w:u w:val="none"/>
                <w:lang w:eastAsia="en-US"/>
              </w:rPr>
              <w:t>、抽气速率（吸力速度）终端：≥15～20L/mi泵口：≥30～40L/min储液/贮气系统</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贮液瓶：500ml/1000ml/1500ml ×2（玻璃/PC）贮气瓶：2500ml ×2（缓冲稳压）</w:t>
            </w:r>
          </w:p>
          <w:p w14:paraId="1B8D084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w:t>
            </w:r>
          </w:p>
          <w:p w14:paraId="57A412E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3</w:t>
            </w:r>
            <w:r>
              <w:rPr>
                <w:rFonts w:hint="eastAsia" w:ascii="宋体" w:hAnsi="宋体" w:eastAsia="宋体" w:cs="宋体"/>
                <w:i w:val="0"/>
                <w:iCs w:val="0"/>
                <w:snapToGrid w:val="0"/>
                <w:color w:val="auto"/>
                <w:kern w:val="0"/>
                <w:sz w:val="18"/>
                <w:szCs w:val="18"/>
                <w:u w:val="none"/>
                <w:lang w:eastAsia="en-US"/>
              </w:rPr>
              <w:t>、电气参数电源：AC220V±10%，50Hz±输入功率：150～280VA噪音：≤55～60dB(A)</w:t>
            </w:r>
          </w:p>
          <w:p w14:paraId="2113043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w:t>
            </w:r>
            <w:r>
              <w:rPr>
                <w:rFonts w:hint="eastAsia" w:ascii="宋体" w:hAnsi="宋体" w:eastAsia="宋体" w:cs="宋体"/>
                <w:i w:val="0"/>
                <w:iCs w:val="0"/>
                <w:snapToGrid w:val="0"/>
                <w:color w:val="auto"/>
                <w:kern w:val="0"/>
                <w:sz w:val="18"/>
                <w:szCs w:val="18"/>
                <w:u w:val="none"/>
                <w:lang w:val="en-US" w:eastAsia="zh-CN"/>
              </w:rPr>
              <w:t>4</w:t>
            </w:r>
            <w:r>
              <w:rPr>
                <w:rFonts w:hint="eastAsia" w:ascii="宋体" w:hAnsi="宋体" w:eastAsia="宋体" w:cs="宋体"/>
                <w:i w:val="0"/>
                <w:iCs w:val="0"/>
                <w:snapToGrid w:val="0"/>
                <w:color w:val="auto"/>
                <w:kern w:val="0"/>
                <w:sz w:val="18"/>
                <w:szCs w:val="18"/>
                <w:u w:val="none"/>
                <w:lang w:eastAsia="en-US"/>
              </w:rPr>
              <w:t>、结构与安全</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泵类型：无油膜式/旋片真空泵（免维护、无油雾）控制：脚踏开关（启停/放气）+ 手动调压</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安全：防正压、防溢流、紧急泄压、单向阀</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 xml:space="preserve">尺寸/重量：约50×46×96cm，净重20～26kg </w:t>
            </w:r>
          </w:p>
          <w:p w14:paraId="1AA49F7B">
            <w:pPr>
              <w:keepNext w:val="0"/>
              <w:keepLines w:val="0"/>
              <w:pageBreakBefore w:val="0"/>
              <w:widowControl/>
              <w:numPr>
                <w:ilvl w:val="0"/>
                <w:numId w:val="29"/>
              </w:numPr>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临床常用参考值</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人流手术常用负压：0.04～0.07MPa（300～530mmHg</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20分钟内抽气速率≥30L/min 更高效</w:t>
            </w:r>
          </w:p>
          <w:p w14:paraId="3399327C">
            <w:pPr>
              <w:keepNext w:val="0"/>
              <w:keepLines w:val="0"/>
              <w:pageBreakBefore w:val="0"/>
              <w:widowControl/>
              <w:numPr>
                <w:ilvl w:val="0"/>
                <w:numId w:val="29"/>
              </w:numPr>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FEA3BC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E6D9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wAfter w:w="0" w:type="auto"/>
          <w:trHeight w:val="2827" w:hRule="atLeast"/>
          <w:jc w:val="center"/>
        </w:trPr>
        <w:tc>
          <w:tcPr>
            <w:tcW w:w="637" w:type="dxa"/>
            <w:tcBorders>
              <w:top w:val="single" w:color="000000" w:sz="4" w:space="0"/>
              <w:bottom w:val="single" w:color="000000" w:sz="4" w:space="0"/>
            </w:tcBorders>
            <w:vAlign w:val="center"/>
          </w:tcPr>
          <w:p w14:paraId="4C9D293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85</w:t>
            </w:r>
          </w:p>
        </w:tc>
        <w:tc>
          <w:tcPr>
            <w:tcW w:w="1415" w:type="dxa"/>
            <w:tcBorders>
              <w:top w:val="single" w:color="000000" w:sz="4" w:space="0"/>
              <w:bottom w:val="single" w:color="000000" w:sz="4" w:space="0"/>
            </w:tcBorders>
            <w:vAlign w:val="top"/>
          </w:tcPr>
          <w:p w14:paraId="17677DB7">
            <w:pPr>
              <w:kinsoku w:val="0"/>
              <w:autoSpaceDE w:val="0"/>
              <w:autoSpaceDN w:val="0"/>
              <w:adjustRightInd w:val="0"/>
              <w:snapToGrid w:val="0"/>
              <w:spacing w:before="125" w:line="219" w:lineRule="auto"/>
              <w:ind w:left="3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中心供氧系统</w:t>
            </w:r>
          </w:p>
        </w:tc>
        <w:tc>
          <w:tcPr>
            <w:tcW w:w="6878" w:type="dxa"/>
            <w:tcBorders>
              <w:top w:val="single" w:color="000000" w:sz="4" w:space="0"/>
              <w:bottom w:val="single" w:color="000000" w:sz="4" w:space="0"/>
            </w:tcBorders>
            <w:vAlign w:val="center"/>
          </w:tcPr>
          <w:p w14:paraId="3F93CD94">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终端保证气压范围：0.2-0.48MPa，且可调。</w:t>
            </w:r>
          </w:p>
          <w:p w14:paraId="0F4D09B2">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系统小时泄漏率：不超过0.2%。</w:t>
            </w:r>
          </w:p>
          <w:p w14:paraId="37E982D1">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在最大和最小使用流量工况下，供氧压力误差应控制在≯0.02MPa范围内。</w:t>
            </w:r>
          </w:p>
          <w:p w14:paraId="08A5296F">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氧气终端设计流量：普通病床不低于10L/min，手术室、急诊抢救等重病床不低于100L/min。</w:t>
            </w:r>
          </w:p>
          <w:p w14:paraId="1E56A1E6">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氧气管道气体流速限制：≯8m/s。</w:t>
            </w:r>
          </w:p>
          <w:p w14:paraId="7AFB3C34">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系统运行模式：终端连续用气，停电时仍需保证供气。</w:t>
            </w:r>
          </w:p>
          <w:p w14:paraId="56589AC0">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自动控制要求：当氧源和整个管路系统输出压力超出额定范围时，应发出声光报警信号。</w:t>
            </w:r>
          </w:p>
          <w:p w14:paraId="0D86A5FD">
            <w:pPr>
              <w:widowControl/>
              <w:kinsoku w:val="0"/>
              <w:autoSpaceDE w:val="0"/>
              <w:autoSpaceDN w:val="0"/>
              <w:adjustRightInd w:val="0"/>
              <w:snapToGrid w:val="0"/>
              <w:spacing w:line="240" w:lineRule="auto"/>
              <w:jc w:val="both"/>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eastAsia="en-US"/>
              </w:rPr>
              <w:t>氧气管道必须可靠接地，接地电阻应小于10欧姆。</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0B390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bl>
    <w:p w14:paraId="675FC15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p>
    <w:p w14:paraId="4DC502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p>
    <w:p w14:paraId="06920DA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宋体" w:hAnsi="宋体" w:eastAsia="宋体" w:cs="宋体"/>
          <w:b/>
          <w:bCs/>
          <w:color w:val="auto"/>
          <w:szCs w:val="21"/>
          <w:lang w:val="en-US" w:eastAsia="zh-CN"/>
        </w:rPr>
      </w:pPr>
      <w:r>
        <w:rPr>
          <w:rFonts w:hint="eastAsia" w:ascii="宋体" w:hAnsi="宋体" w:eastAsia="宋体" w:cs="宋体"/>
          <w:b/>
          <w:bCs/>
          <w:color w:val="auto"/>
          <w:sz w:val="32"/>
          <w:szCs w:val="32"/>
          <w:lang w:val="en-US" w:eastAsia="zh-CN"/>
        </w:rPr>
        <w:t>商务要求</w:t>
      </w:r>
    </w:p>
    <w:p w14:paraId="5AFF53FB">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一、整体要求</w:t>
      </w:r>
    </w:p>
    <w:p w14:paraId="6E97562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所有产品须符合国家工程项目现行规范及强制性标准；</w:t>
      </w:r>
      <w:r>
        <w:rPr>
          <w:rFonts w:hint="eastAsia" w:ascii="宋体" w:hAnsi="宋体" w:eastAsia="宋体" w:cs="宋体"/>
          <w:bCs/>
          <w:color w:val="auto"/>
          <w:kern w:val="0"/>
          <w:sz w:val="21"/>
          <w:szCs w:val="21"/>
          <w:highlight w:val="none"/>
        </w:rPr>
        <w:t>国家没有相应标准、规范的，可使用行业标准、规定。</w:t>
      </w:r>
    </w:p>
    <w:p w14:paraId="1C9A2DE5">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二、产品运输、保险及保管</w:t>
      </w:r>
    </w:p>
    <w:p w14:paraId="4FEE6773">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1.中标人负责产品的全部运输，包括装卸及现场搬运、备品备件等。</w:t>
      </w:r>
    </w:p>
    <w:p w14:paraId="2486039D">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2.中标人负责产品的保管，直至项目验收合格。</w:t>
      </w:r>
    </w:p>
    <w:p w14:paraId="2A583EAB">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三、安装调试</w:t>
      </w:r>
    </w:p>
    <w:p w14:paraId="66EEC038">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eastAsia="zh-CN"/>
        </w:rPr>
        <w:t>.</w:t>
      </w:r>
      <w:r>
        <w:rPr>
          <w:rFonts w:hint="eastAsia" w:ascii="宋体" w:hAnsi="宋体" w:eastAsia="宋体" w:cs="宋体"/>
          <w:color w:val="auto"/>
          <w:szCs w:val="21"/>
        </w:rPr>
        <w:t>本项目的安装调试（包括设备及相关设施的安装</w:t>
      </w:r>
      <w:r>
        <w:rPr>
          <w:rFonts w:hint="eastAsia" w:ascii="宋体" w:hAnsi="宋体" w:eastAsia="宋体" w:cs="宋体"/>
          <w:color w:val="auto"/>
          <w:kern w:val="2"/>
          <w:szCs w:val="21"/>
        </w:rPr>
        <w:t>）</w:t>
      </w:r>
      <w:r>
        <w:rPr>
          <w:rFonts w:hint="eastAsia" w:ascii="宋体" w:hAnsi="宋体" w:eastAsia="宋体" w:cs="宋体"/>
          <w:color w:val="auto"/>
          <w:szCs w:val="21"/>
        </w:rPr>
        <w:t>由中标人负责。</w:t>
      </w:r>
    </w:p>
    <w:p w14:paraId="27C19FBD">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中标人负责供应所需设备及安装所需的零配件、材料等；</w:t>
      </w:r>
    </w:p>
    <w:p w14:paraId="5B9ACECA">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四、报价要求</w:t>
      </w:r>
    </w:p>
    <w:p w14:paraId="730B4EC7">
      <w:pPr>
        <w:keepNext w:val="0"/>
        <w:keepLines w:val="0"/>
        <w:pageBreakBefore w:val="0"/>
        <w:widowControl w:val="0"/>
        <w:kinsoku/>
        <w:wordWrap/>
        <w:overflowPunct/>
        <w:topLinePunct w:val="0"/>
        <w:autoSpaceDE/>
        <w:autoSpaceDN/>
        <w:bidi w:val="0"/>
        <w:snapToGrid/>
        <w:spacing w:line="400" w:lineRule="exact"/>
        <w:ind w:firstLine="420"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kern w:val="2"/>
          <w:sz w:val="21"/>
          <w:szCs w:val="21"/>
          <w:lang w:val="en-US" w:eastAsia="zh-CN" w:bidi="ar-SA"/>
        </w:rPr>
        <w:t>总价不能超过项目预算控制价，并说明品牌、产地、规格型号。</w:t>
      </w:r>
      <w:r>
        <w:rPr>
          <w:rFonts w:hint="eastAsia" w:ascii="宋体" w:hAnsi="宋体" w:eastAsia="宋体" w:cs="宋体"/>
          <w:b/>
          <w:bCs/>
          <w:color w:val="auto"/>
          <w:sz w:val="21"/>
          <w:szCs w:val="21"/>
          <w:highlight w:val="none"/>
        </w:rPr>
        <w:t>该项目已包含与交验有关的各项费用</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kern w:val="2"/>
          <w:sz w:val="21"/>
          <w:szCs w:val="21"/>
          <w:lang w:val="en-US" w:eastAsia="zh-CN" w:bidi="ar-SA"/>
        </w:rPr>
        <w:t>所有报价为含税价，包括</w:t>
      </w:r>
      <w:r>
        <w:rPr>
          <w:rFonts w:hint="eastAsia" w:ascii="宋体" w:hAnsi="宋体" w:eastAsia="宋体" w:cs="宋体"/>
          <w:b/>
          <w:bCs/>
          <w:color w:val="auto"/>
          <w:sz w:val="21"/>
          <w:szCs w:val="21"/>
          <w:highlight w:val="none"/>
        </w:rPr>
        <w:t>人工费、运输及搬运费、安装调试费、运行维护、维修保养的费用及其它伴随服务等相关费用，采购人不再追加任何费用。</w:t>
      </w:r>
    </w:p>
    <w:p w14:paraId="37137907">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五、供货要求</w:t>
      </w:r>
    </w:p>
    <w:p w14:paraId="504068E6">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1.要求中标人按采购人要求，将所供货物送达采购人指定地点，自行处理供货、发货过程中的运输、安全等相关事项。</w:t>
      </w:r>
    </w:p>
    <w:p w14:paraId="2FE1B15E">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2.供货时间：自合同签订后60日内完成供货、验收及安装调试并验收合格，具体期限由成交供应商按照采购人要求时间实施。</w:t>
      </w:r>
    </w:p>
    <w:p w14:paraId="37DBD51B">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lang w:val="en-US" w:eastAsia="zh-CN" w:bidi="ar-SA"/>
        </w:rPr>
        <w:t>3.</w:t>
      </w:r>
      <w:r>
        <w:rPr>
          <w:rFonts w:hint="eastAsia" w:ascii="宋体" w:hAnsi="宋体" w:eastAsia="宋体" w:cs="宋体"/>
          <w:color w:val="auto"/>
          <w:szCs w:val="21"/>
          <w:highlight w:val="none"/>
        </w:rPr>
        <w:t>交货/交付地点：</w:t>
      </w:r>
      <w:r>
        <w:rPr>
          <w:rFonts w:hint="eastAsia" w:ascii="宋体" w:hAnsi="宋体" w:eastAsia="宋体" w:cs="宋体"/>
          <w:color w:val="auto"/>
          <w:szCs w:val="21"/>
          <w:highlight w:val="none"/>
          <w:lang w:eastAsia="zh-CN"/>
        </w:rPr>
        <w:t>采购人指定地点</w:t>
      </w:r>
      <w:r>
        <w:rPr>
          <w:rFonts w:hint="eastAsia" w:ascii="宋体" w:hAnsi="宋体" w:eastAsia="宋体" w:cs="宋体"/>
          <w:color w:val="auto"/>
          <w:szCs w:val="21"/>
          <w:highlight w:val="none"/>
          <w:lang w:val="en-US" w:eastAsia="zh-CN"/>
        </w:rPr>
        <w:t>。</w:t>
      </w:r>
    </w:p>
    <w:p w14:paraId="7DD22C02">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六、供货方式</w:t>
      </w:r>
    </w:p>
    <w:p w14:paraId="626EDCF3">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项目安装完毕后须进行终验，中标方承担验收合格前的一切风险、责任和费用。所提供货物环保等级要求达到国家环保标准，项目相关产品应全部在指定地点安装并调试合格。</w:t>
      </w:r>
    </w:p>
    <w:p w14:paraId="393413D5">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szCs w:val="21"/>
          <w:lang w:val="en-US" w:eastAsia="zh-CN"/>
        </w:rPr>
        <w:t>七、</w:t>
      </w:r>
      <w:bookmarkStart w:id="1184" w:name="_Toc4818"/>
      <w:bookmarkStart w:id="1185" w:name="_Toc25179"/>
      <w:bookmarkStart w:id="1186" w:name="_Toc29462"/>
      <w:bookmarkStart w:id="1187" w:name="_Toc15619"/>
      <w:bookmarkStart w:id="1188" w:name="_Toc31581"/>
      <w:bookmarkStart w:id="1189" w:name="_Toc148964643"/>
      <w:bookmarkStart w:id="1190" w:name="_Toc25796"/>
      <w:r>
        <w:rPr>
          <w:rFonts w:hint="eastAsia" w:ascii="宋体" w:hAnsi="宋体" w:eastAsia="宋体" w:cs="宋体"/>
          <w:b/>
          <w:bCs/>
          <w:color w:val="auto"/>
          <w:kern w:val="2"/>
          <w:sz w:val="21"/>
          <w:szCs w:val="21"/>
          <w:lang w:val="en-US" w:eastAsia="zh-CN" w:bidi="ar-SA"/>
        </w:rPr>
        <w:t>质量保证及售后服务</w:t>
      </w:r>
      <w:bookmarkEnd w:id="1184"/>
      <w:bookmarkEnd w:id="1185"/>
      <w:bookmarkEnd w:id="1186"/>
      <w:bookmarkEnd w:id="1187"/>
      <w:bookmarkEnd w:id="1188"/>
      <w:bookmarkEnd w:id="1189"/>
      <w:bookmarkEnd w:id="1190"/>
    </w:p>
    <w:p w14:paraId="411FA69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b w:val="0"/>
          <w:bCs w:val="0"/>
          <w:color w:val="auto"/>
          <w:kern w:val="0"/>
          <w:sz w:val="21"/>
          <w:szCs w:val="21"/>
          <w:lang w:val="en-US" w:eastAsia="zh-CN"/>
        </w:rPr>
        <w:t>1.</w:t>
      </w:r>
      <w:r>
        <w:rPr>
          <w:rFonts w:hint="eastAsia" w:ascii="宋体" w:hAnsi="宋体" w:eastAsia="宋体" w:cs="宋体"/>
          <w:b w:val="0"/>
          <w:bCs w:val="0"/>
          <w:color w:val="auto"/>
          <w:kern w:val="0"/>
          <w:sz w:val="21"/>
          <w:szCs w:val="21"/>
        </w:rPr>
        <w:t>产</w:t>
      </w:r>
      <w:r>
        <w:rPr>
          <w:rFonts w:hint="eastAsia" w:ascii="宋体" w:hAnsi="宋体" w:eastAsia="宋体" w:cs="宋体"/>
          <w:color w:val="auto"/>
          <w:kern w:val="0"/>
          <w:sz w:val="21"/>
          <w:szCs w:val="21"/>
        </w:rPr>
        <w:t>品质量保证期：自验收合格之日起，其投标产品质量保证期不能低于国家强制标准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个别货物有特殊约定的，从其规定。</w:t>
      </w:r>
    </w:p>
    <w:p w14:paraId="09F97618">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lang w:val="en-US" w:eastAsia="zh-CN"/>
        </w:rPr>
        <w:t>2.</w:t>
      </w:r>
      <w:r>
        <w:rPr>
          <w:rFonts w:hint="eastAsia" w:ascii="宋体" w:hAnsi="宋体" w:eastAsia="宋体" w:cs="宋体"/>
          <w:b w:val="0"/>
          <w:bCs w:val="0"/>
          <w:color w:val="auto"/>
          <w:kern w:val="0"/>
          <w:sz w:val="21"/>
          <w:szCs w:val="21"/>
        </w:rPr>
        <w:t>售后服务内容</w:t>
      </w:r>
    </w:p>
    <w:p w14:paraId="6B0C957C">
      <w:pPr>
        <w:keepNext w:val="0"/>
        <w:keepLines w:val="0"/>
        <w:pageBreakBefore w:val="0"/>
        <w:widowControl w:val="0"/>
        <w:kinsoku/>
        <w:overflowPunct/>
        <w:topLinePunct w:val="0"/>
        <w:autoSpaceDE/>
        <w:autoSpaceDN/>
        <w:bidi w:val="0"/>
        <w:snapToGrid w:val="0"/>
        <w:spacing w:line="400" w:lineRule="exact"/>
        <w:ind w:firstLine="210" w:firstLineChars="100"/>
        <w:textAlignment w:val="auto"/>
        <w:rPr>
          <w:rFonts w:hint="eastAsia" w:ascii="宋体" w:hAnsi="宋体" w:eastAsia="宋体" w:cs="宋体"/>
          <w:color w:val="auto"/>
          <w:kern w:val="0"/>
          <w:sz w:val="21"/>
          <w:szCs w:val="21"/>
        </w:rPr>
      </w:pPr>
      <w:r>
        <w:rPr>
          <w:rFonts w:hint="eastAsia" w:ascii="宋体" w:hAnsi="宋体" w:eastAsia="宋体" w:cs="宋体"/>
          <w:b w:val="0"/>
          <w:bCs w:val="0"/>
          <w:color w:val="auto"/>
          <w:szCs w:val="21"/>
          <w:highlight w:val="none"/>
          <w:lang w:val="en-US" w:eastAsia="zh-CN"/>
        </w:rPr>
        <w:t>（1）</w:t>
      </w:r>
      <w:r>
        <w:rPr>
          <w:rFonts w:hint="eastAsia" w:ascii="宋体" w:hAnsi="宋体" w:eastAsia="宋体" w:cs="宋体"/>
          <w:color w:val="auto"/>
          <w:kern w:val="0"/>
          <w:sz w:val="21"/>
          <w:szCs w:val="21"/>
        </w:rPr>
        <w:t>投标人在质量保证期内应当为采购人提供以下技术支持和服务：</w:t>
      </w:r>
    </w:p>
    <w:p w14:paraId="6D40499F">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1.1电话咨询</w:t>
      </w:r>
    </w:p>
    <w:p w14:paraId="728F0144">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投标人应当为采购人提供技术援助电话，解答采购人在使用中遇到的问题，及时为采购人提出解决问题的建议。</w:t>
      </w:r>
    </w:p>
    <w:p w14:paraId="209E5268">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1.2现场响应</w:t>
      </w:r>
    </w:p>
    <w:p w14:paraId="752FA5AF">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采购人遇到使用及技术问题，电话咨询不能解决的，投标人应在4小时内到达现场进行处理，确保产品正常工作；无法在24小时内解决的，应在72小时内提供备用产品，使采购人能够正常使用。</w:t>
      </w:r>
    </w:p>
    <w:p w14:paraId="570C55A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1.3技术升级</w:t>
      </w:r>
    </w:p>
    <w:p w14:paraId="7FCCCF24">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在质保期内，如果投标人的产品技术升级，投标人应及时通知采购人，如采购人有相应要求，投标人应对采购人购买的产品进行升级服务。</w:t>
      </w:r>
    </w:p>
    <w:p w14:paraId="5FBC6B80">
      <w:pPr>
        <w:keepNext w:val="0"/>
        <w:keepLines w:val="0"/>
        <w:pageBreakBefore w:val="0"/>
        <w:widowControl w:val="0"/>
        <w:kinsoku/>
        <w:overflowPunct/>
        <w:topLinePunct w:val="0"/>
        <w:autoSpaceDE/>
        <w:autoSpaceDN/>
        <w:bidi w:val="0"/>
        <w:snapToGrid w:val="0"/>
        <w:spacing w:line="400" w:lineRule="exact"/>
        <w:ind w:firstLine="210" w:firstLineChars="100"/>
        <w:textAlignment w:val="auto"/>
        <w:rPr>
          <w:rFonts w:hint="eastAsia" w:ascii="宋体" w:hAnsi="宋体" w:eastAsia="宋体" w:cs="宋体"/>
          <w:color w:val="auto"/>
          <w:kern w:val="0"/>
          <w:sz w:val="21"/>
          <w:szCs w:val="21"/>
        </w:rPr>
      </w:pPr>
      <w:r>
        <w:rPr>
          <w:rFonts w:hint="eastAsia" w:ascii="宋体" w:hAnsi="宋体" w:eastAsia="宋体" w:cs="宋体"/>
          <w:b w:val="0"/>
          <w:bCs w:val="0"/>
          <w:color w:val="auto"/>
          <w:szCs w:val="21"/>
          <w:highlight w:val="none"/>
          <w:lang w:val="en-US" w:eastAsia="zh-CN"/>
        </w:rPr>
        <w:t>（2）</w:t>
      </w:r>
      <w:r>
        <w:rPr>
          <w:rFonts w:hint="eastAsia" w:ascii="宋体" w:hAnsi="宋体" w:eastAsia="宋体" w:cs="宋体"/>
          <w:color w:val="auto"/>
          <w:kern w:val="0"/>
          <w:sz w:val="21"/>
          <w:szCs w:val="21"/>
        </w:rPr>
        <w:t>质保期外服务要求</w:t>
      </w:r>
    </w:p>
    <w:p w14:paraId="620B8FEC">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2.1质量保证期过后，投标人应同样提供免费电话咨询服务，并应承诺提供产品上门维护服务。</w:t>
      </w:r>
    </w:p>
    <w:p w14:paraId="09E9857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2.2质量保证期过后，采购人需要继续由原投标人提供售后服务的，该投标人应以优惠价格提供售后服务。</w:t>
      </w:r>
    </w:p>
    <w:p w14:paraId="281CD49C">
      <w:pPr>
        <w:keepNext w:val="0"/>
        <w:keepLines w:val="0"/>
        <w:pageBreakBefore w:val="0"/>
        <w:widowControl w:val="0"/>
        <w:kinsoku/>
        <w:overflowPunct/>
        <w:topLinePunct w:val="0"/>
        <w:autoSpaceDE/>
        <w:autoSpaceDN/>
        <w:bidi w:val="0"/>
        <w:snapToGrid w:val="0"/>
        <w:spacing w:line="400" w:lineRule="exact"/>
        <w:ind w:firstLine="210" w:firstLineChars="100"/>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kern w:val="0"/>
          <w:sz w:val="21"/>
          <w:szCs w:val="21"/>
        </w:rPr>
        <w:t>备品备件及易损件</w:t>
      </w:r>
    </w:p>
    <w:p w14:paraId="6F31A7BF">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投标人售后服务中，维修使用的备品备件及易损件应为原厂配件，未经采购人同意不得使用非原厂配件，常用的、容易损坏的备品备件及易损件的价格清单须在投标文件中列出。</w:t>
      </w:r>
    </w:p>
    <w:p w14:paraId="05343B30">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八、验货要求</w:t>
      </w:r>
    </w:p>
    <w:p w14:paraId="7D43ED42">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rPr>
        <w:t>本项目由采购人自行组织履约验收。</w:t>
      </w:r>
    </w:p>
    <w:p w14:paraId="2821A3C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rPr>
        <w:t>具体验收步骤：</w:t>
      </w:r>
    </w:p>
    <w:p w14:paraId="468EBFF5">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w:t>
      </w:r>
      <w:r>
        <w:rPr>
          <w:rFonts w:hint="eastAsia" w:ascii="宋体" w:hAnsi="宋体" w:eastAsia="宋体" w:cs="宋体"/>
          <w:bCs/>
          <w:color w:val="auto"/>
          <w:kern w:val="0"/>
          <w:sz w:val="21"/>
          <w:szCs w:val="21"/>
          <w:highlight w:val="none"/>
          <w:lang w:eastAsia="zh-CN"/>
        </w:rPr>
        <w:t>中标人</w:t>
      </w:r>
      <w:r>
        <w:rPr>
          <w:rFonts w:hint="eastAsia" w:ascii="宋体" w:hAnsi="宋体" w:eastAsia="宋体" w:cs="宋体"/>
          <w:bCs/>
          <w:color w:val="auto"/>
          <w:kern w:val="0"/>
          <w:sz w:val="21"/>
          <w:szCs w:val="21"/>
          <w:highlight w:val="none"/>
        </w:rPr>
        <w:t>设备到达安装现场，应提前通知采购方，安装前开箱查验由</w:t>
      </w:r>
      <w:r>
        <w:rPr>
          <w:rFonts w:hint="eastAsia" w:ascii="宋体" w:hAnsi="宋体" w:eastAsia="宋体" w:cs="宋体"/>
          <w:bCs/>
          <w:color w:val="auto"/>
          <w:kern w:val="0"/>
          <w:sz w:val="21"/>
          <w:szCs w:val="21"/>
          <w:highlight w:val="none"/>
          <w:lang w:eastAsia="zh-CN"/>
        </w:rPr>
        <w:t>中标人</w:t>
      </w:r>
      <w:r>
        <w:rPr>
          <w:rFonts w:hint="eastAsia" w:ascii="宋体" w:hAnsi="宋体" w:eastAsia="宋体" w:cs="宋体"/>
          <w:bCs/>
          <w:color w:val="auto"/>
          <w:kern w:val="0"/>
          <w:sz w:val="21"/>
          <w:szCs w:val="21"/>
          <w:highlight w:val="none"/>
        </w:rPr>
        <w:t>会同采购方及有关人员</w:t>
      </w:r>
      <w:r>
        <w:rPr>
          <w:rFonts w:hint="eastAsia" w:ascii="宋体" w:hAnsi="宋体" w:eastAsia="宋体" w:cs="宋体"/>
          <w:color w:val="auto"/>
          <w:kern w:val="0"/>
          <w:sz w:val="21"/>
          <w:szCs w:val="21"/>
        </w:rPr>
        <w:t>当面开箱，共同清点、检查外观，作出开箱记录，双方签字确认</w:t>
      </w:r>
      <w:r>
        <w:rPr>
          <w:rFonts w:hint="eastAsia" w:ascii="宋体" w:hAnsi="宋体" w:eastAsia="宋体" w:cs="宋体"/>
          <w:bCs/>
          <w:color w:val="auto"/>
          <w:kern w:val="0"/>
          <w:sz w:val="21"/>
          <w:szCs w:val="21"/>
          <w:highlight w:val="none"/>
        </w:rPr>
        <w:t>进行验收。</w:t>
      </w:r>
    </w:p>
    <w:p w14:paraId="370A8830">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2.2中标人应保证货物到达采购人所在地完好无损，如有缺漏、损坏，由投标人负责调换、补齐或赔偿。</w:t>
      </w:r>
    </w:p>
    <w:p w14:paraId="0609B96C">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2.3中标人应提供完备的技术资料、装箱单和合格证等，并派遣专业技术人员进行现场安装调试。验收合格条件如下：</w:t>
      </w:r>
    </w:p>
    <w:p w14:paraId="13107EA9">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2.3.1设备技术参数与采购合同一致，性能指标达到规定的标准。</w:t>
      </w:r>
    </w:p>
    <w:p w14:paraId="3D8A33B2">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2.3.2货物技术资料、装箱单、合格证等资料齐全。</w:t>
      </w:r>
    </w:p>
    <w:p w14:paraId="2B9ECB4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2.3.3在系统试运行期间所出现的问题得到解决，并运行正常。</w:t>
      </w:r>
    </w:p>
    <w:p w14:paraId="129516C9">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2.3.4在规定时间内完成交货并验收，并经采购人确认。</w:t>
      </w:r>
    </w:p>
    <w:p w14:paraId="5DD5057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2.4产品在安装调试并试运行符合要求后，才作为最终验收。</w:t>
      </w:r>
    </w:p>
    <w:p w14:paraId="34C0B1B2">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2.5中标人提供的货物未达到招标文件规定要求，且对采购人造成损失的，由中标人承担一切责任，并赔偿所造成的损失。</w:t>
      </w:r>
    </w:p>
    <w:p w14:paraId="491B223B">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2.6大型或者复杂的政府采购项目，采购人应当邀请国家认可的质量检测机构参加验收工作。</w:t>
      </w:r>
    </w:p>
    <w:p w14:paraId="6353992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7</w:t>
      </w:r>
      <w:r>
        <w:rPr>
          <w:rFonts w:hint="eastAsia" w:ascii="宋体" w:hAnsi="宋体" w:eastAsia="宋体" w:cs="宋体"/>
          <w:color w:val="auto"/>
          <w:kern w:val="0"/>
          <w:sz w:val="21"/>
          <w:szCs w:val="21"/>
        </w:rPr>
        <w:t>产品包装材料归采购人所有。</w:t>
      </w:r>
    </w:p>
    <w:p w14:paraId="4D2538D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2.8项目验收不合格，由中标人返工直至合格，有关返工、再行验收，以及给采购人造成的损失等费用由中标人承担。连续两次项目验收不合格的，采购人可终止合同，另行按规定选择其他投标人采购，由此带来的一切损失由中标人承担。</w:t>
      </w:r>
    </w:p>
    <w:p w14:paraId="4470FBCD">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九、付款方式</w:t>
      </w:r>
    </w:p>
    <w:p w14:paraId="7CBC2D9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合同签订后，货到验收，经安装、调试、培训合格且正常运行2个月后（无质量问题、售后服务纠纷，以及其他经济法律纠纷等），一次性支付货款95%。余款5%无质量问题1年后付清。</w:t>
      </w:r>
    </w:p>
    <w:p w14:paraId="557C3AE9">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十、其它要求</w:t>
      </w:r>
    </w:p>
    <w:p w14:paraId="052230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售后服务网络：</w:t>
      </w:r>
      <w:r>
        <w:rPr>
          <w:rFonts w:hint="eastAsia" w:ascii="宋体" w:hAnsi="宋体" w:eastAsia="宋体" w:cs="宋体"/>
          <w:bCs/>
          <w:color w:val="auto"/>
          <w:kern w:val="0"/>
          <w:sz w:val="21"/>
          <w:szCs w:val="21"/>
          <w:highlight w:val="none"/>
          <w:lang w:val="en-US" w:eastAsia="zh-CN"/>
        </w:rPr>
        <w:t>有完整的售后服务网络提供长期技术支持和维修服务。</w:t>
      </w:r>
    </w:p>
    <w:p w14:paraId="20A8C25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维修技术人员及设备方面的保证措施及收费标准的要求：</w:t>
      </w:r>
      <w:r>
        <w:rPr>
          <w:rFonts w:hint="eastAsia" w:ascii="宋体" w:hAnsi="宋体" w:eastAsia="宋体" w:cs="宋体"/>
          <w:bCs/>
          <w:color w:val="auto"/>
          <w:kern w:val="0"/>
          <w:sz w:val="21"/>
          <w:szCs w:val="21"/>
          <w:highlight w:val="none"/>
          <w:lang w:val="en-US" w:eastAsia="zh-CN"/>
        </w:rPr>
        <w:t>投标人应主动免费的协助采购人做好设备的保养，免费提供现场培训（操作、维护等）。</w:t>
      </w:r>
    </w:p>
    <w:p w14:paraId="43AD1B2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备品备件供应及优惠价格要求：</w:t>
      </w:r>
      <w:r>
        <w:rPr>
          <w:rFonts w:hint="eastAsia" w:ascii="宋体" w:hAnsi="宋体" w:eastAsia="宋体" w:cs="宋体"/>
          <w:bCs/>
          <w:color w:val="auto"/>
          <w:kern w:val="0"/>
          <w:sz w:val="21"/>
          <w:szCs w:val="21"/>
          <w:highlight w:val="none"/>
          <w:lang w:val="en-US" w:eastAsia="zh-CN"/>
        </w:rPr>
        <w:t>质保期从验收合格后开始计算。</w:t>
      </w:r>
      <w:r>
        <w:rPr>
          <w:rFonts w:hint="eastAsia" w:ascii="宋体" w:hAnsi="宋体" w:eastAsia="宋体" w:cs="宋体"/>
          <w:color w:val="auto"/>
          <w:szCs w:val="21"/>
          <w:highlight w:val="none"/>
        </w:rPr>
        <w:t>质保期内所有服务及配件全部免费，质保期间产品的一切质量问题，更换部件及产品本身质量原因造成的经济损失全部由</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自行负责。若在规定时间内未解除故障，免费提供备品备件以保证系统正常使用。质保期满后，若产品出现质量问题，只收取配件成本费，不收取工时费和差旅费。</w:t>
      </w:r>
    </w:p>
    <w:p w14:paraId="26351E4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培训人员现场培训（操作、维护等）：建立完整的培训体系，设置科学的培训方案。</w:t>
      </w:r>
    </w:p>
    <w:p w14:paraId="41E192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系统扩展、升级服务要求：免费服务。</w:t>
      </w:r>
    </w:p>
    <w:p w14:paraId="2766078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6.★本包中实质性要求及重要指标用★标注。（“★”必须标注在序号前），★标注项不得负偏离，如果负偏离，则投标文件无效。</w:t>
      </w:r>
    </w:p>
    <w:p w14:paraId="2AC8D8F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设备安装调试完成后，</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需提供设备质保书、保修证明等书面资料。</w:t>
      </w:r>
    </w:p>
    <w:p w14:paraId="59D4046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8.未尽事宜以第六章政府采购合同协议书为准并按国家相关法律及行业标准执行。</w:t>
      </w:r>
    </w:p>
    <w:p w14:paraId="602F9D1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9.本项目的实施合同在履行过程中发生争议，双方应及时协商解决，协商不成时，双方同意由娄底仲裁委员会仲裁解决。</w:t>
      </w:r>
    </w:p>
    <w:p w14:paraId="2A4DC5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10.具体内容已双方签订的合同为准。</w:t>
      </w:r>
    </w:p>
    <w:p w14:paraId="26DBC1BC">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bookmarkStart w:id="1191" w:name="_Hlk47598736"/>
      <w:r>
        <w:rPr>
          <w:rFonts w:hint="eastAsia" w:ascii="宋体" w:hAnsi="宋体" w:eastAsia="宋体" w:cs="宋体"/>
          <w:b/>
          <w:bCs/>
          <w:color w:val="auto"/>
          <w:szCs w:val="21"/>
          <w:lang w:val="en-US" w:eastAsia="zh-CN"/>
        </w:rPr>
        <w:t>十一、商务条款</w:t>
      </w:r>
    </w:p>
    <w:p w14:paraId="456F5D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1.按照国家规定和厂家承诺实行三包，保证提供全新产品，产品符合国家有关认证标准及安全规定，并提供产品合格证、医疗设备备案证、生产许可证、营业执照等。</w:t>
      </w:r>
    </w:p>
    <w:p w14:paraId="3D9BAD8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2.售后服务：设备保修期为</w:t>
      </w:r>
      <w:r>
        <w:rPr>
          <w:rFonts w:hint="eastAsia" w:ascii="宋体" w:hAnsi="宋体" w:eastAsia="宋体" w:cs="宋体"/>
          <w:color w:val="auto"/>
          <w:kern w:val="0"/>
          <w:sz w:val="21"/>
          <w:szCs w:val="21"/>
        </w:rPr>
        <w:t>不能低于国家强制标准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个别货物有特殊约定的，从其规定</w:t>
      </w:r>
      <w:r>
        <w:rPr>
          <w:rFonts w:hint="eastAsia" w:ascii="宋体" w:hAnsi="宋体" w:eastAsia="宋体" w:cs="宋体"/>
          <w:color w:val="auto"/>
          <w:szCs w:val="21"/>
          <w:highlight w:val="none"/>
          <w:lang w:val="en-US" w:eastAsia="zh-CN"/>
        </w:rPr>
        <w:t>。自验收合格之日起计算，保修期间成交供应商应提供一切免费维修服务，保修期满后，提供终身维护，用户只需付零配件的费用，对用户在日常使用过程中出现的设备质量投诉做出快速反应最迟不超过1小时，在2小时内与客户取得联系给出解决问题的方案，在质量保修期内设备运行发生故障时，供方在接到故障通知后4小时内委派专业技术人员到现场，免费提供咨询、维修和更换零部件等服务，并及时填写维修报告（包括故障原因、处理情况及用户意见等）报用户备案。</w:t>
      </w:r>
    </w:p>
    <w:p w14:paraId="2620EF6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仿宋" w:hAnsi="仿宋" w:eastAsia="仿宋" w:cs="仿宋"/>
          <w:b w:val="0"/>
          <w:bCs/>
          <w:color w:val="FF0000"/>
          <w:kern w:val="0"/>
          <w:sz w:val="28"/>
          <w:szCs w:val="28"/>
          <w:lang w:val="en-US" w:eastAsia="zh-CN" w:bidi="ar-SA"/>
        </w:rPr>
      </w:pPr>
      <w:r>
        <w:rPr>
          <w:rFonts w:hint="eastAsia" w:ascii="宋体" w:hAnsi="宋体" w:eastAsia="宋体" w:cs="宋体"/>
          <w:color w:val="auto"/>
          <w:szCs w:val="21"/>
          <w:highlight w:val="none"/>
          <w:lang w:val="en-US" w:eastAsia="zh-CN"/>
        </w:rPr>
        <w:t>3.交货地点：采购人指定地点，交货时须提供产品说明书、保修卡、合格证等资料。</w:t>
      </w:r>
      <w:bookmarkEnd w:id="1191"/>
    </w:p>
    <w:p w14:paraId="653AEC93">
      <w:pPr>
        <w:pStyle w:val="22"/>
        <w:adjustRightInd w:val="0"/>
        <w:snapToGrid w:val="0"/>
        <w:spacing w:line="360" w:lineRule="auto"/>
        <w:jc w:val="center"/>
        <w:outlineLvl w:val="0"/>
        <w:rPr>
          <w:rFonts w:hint="eastAsia" w:ascii="黑体" w:hAnsi="华文中宋" w:eastAsia="黑体"/>
          <w:b/>
          <w:color w:val="auto"/>
          <w:sz w:val="32"/>
          <w:szCs w:val="32"/>
        </w:rPr>
      </w:pPr>
    </w:p>
    <w:p w14:paraId="02374BAC">
      <w:pPr>
        <w:pStyle w:val="22"/>
        <w:adjustRightInd w:val="0"/>
        <w:snapToGrid w:val="0"/>
        <w:spacing w:line="360" w:lineRule="auto"/>
        <w:jc w:val="center"/>
        <w:outlineLvl w:val="0"/>
        <w:rPr>
          <w:rFonts w:hint="eastAsia" w:ascii="黑体" w:hAnsi="华文中宋" w:eastAsia="黑体"/>
          <w:b/>
          <w:color w:val="auto"/>
          <w:sz w:val="32"/>
          <w:szCs w:val="32"/>
        </w:rPr>
      </w:pPr>
    </w:p>
    <w:p w14:paraId="0827A2F8">
      <w:pPr>
        <w:pStyle w:val="22"/>
        <w:adjustRightInd w:val="0"/>
        <w:snapToGrid w:val="0"/>
        <w:spacing w:line="360" w:lineRule="auto"/>
        <w:jc w:val="center"/>
        <w:outlineLvl w:val="0"/>
        <w:rPr>
          <w:rFonts w:hint="eastAsia" w:ascii="黑体" w:hAnsi="华文中宋" w:eastAsia="黑体"/>
          <w:b/>
          <w:color w:val="auto"/>
          <w:sz w:val="32"/>
          <w:szCs w:val="32"/>
        </w:rPr>
      </w:pPr>
    </w:p>
    <w:p w14:paraId="055E117D">
      <w:pPr>
        <w:pStyle w:val="22"/>
        <w:adjustRightInd w:val="0"/>
        <w:snapToGrid w:val="0"/>
        <w:spacing w:line="360" w:lineRule="auto"/>
        <w:jc w:val="both"/>
        <w:outlineLvl w:val="0"/>
        <w:rPr>
          <w:rFonts w:hint="eastAsia" w:ascii="黑体" w:hAnsi="华文中宋" w:eastAsia="黑体"/>
          <w:b/>
          <w:color w:val="auto"/>
          <w:sz w:val="32"/>
          <w:szCs w:val="32"/>
        </w:rPr>
      </w:pPr>
    </w:p>
    <w:p w14:paraId="273001AA">
      <w:pPr>
        <w:pStyle w:val="22"/>
        <w:adjustRightInd w:val="0"/>
        <w:snapToGrid w:val="0"/>
        <w:spacing w:line="360" w:lineRule="auto"/>
        <w:jc w:val="both"/>
        <w:outlineLvl w:val="0"/>
        <w:rPr>
          <w:rFonts w:hint="eastAsia" w:ascii="黑体" w:hAnsi="华文中宋" w:eastAsia="黑体"/>
          <w:b/>
          <w:color w:val="auto"/>
          <w:sz w:val="32"/>
          <w:szCs w:val="32"/>
        </w:rPr>
      </w:pPr>
    </w:p>
    <w:p w14:paraId="3AE8D1CB">
      <w:pPr>
        <w:pStyle w:val="22"/>
        <w:adjustRightInd w:val="0"/>
        <w:snapToGrid w:val="0"/>
        <w:spacing w:line="360" w:lineRule="auto"/>
        <w:jc w:val="both"/>
        <w:outlineLvl w:val="0"/>
        <w:rPr>
          <w:rFonts w:hint="eastAsia" w:ascii="黑体" w:hAnsi="华文中宋" w:eastAsia="黑体"/>
          <w:b/>
          <w:color w:val="auto"/>
          <w:sz w:val="32"/>
          <w:szCs w:val="32"/>
        </w:rPr>
      </w:pPr>
    </w:p>
    <w:p w14:paraId="21969CC8">
      <w:pPr>
        <w:pStyle w:val="22"/>
        <w:adjustRightInd w:val="0"/>
        <w:snapToGrid w:val="0"/>
        <w:spacing w:line="360" w:lineRule="auto"/>
        <w:jc w:val="both"/>
        <w:outlineLvl w:val="0"/>
        <w:rPr>
          <w:rFonts w:hint="eastAsia" w:ascii="黑体" w:hAnsi="华文中宋" w:eastAsia="黑体"/>
          <w:b/>
          <w:color w:val="auto"/>
          <w:sz w:val="32"/>
          <w:szCs w:val="32"/>
        </w:rPr>
      </w:pPr>
    </w:p>
    <w:p w14:paraId="51ECC3B2">
      <w:pPr>
        <w:pStyle w:val="22"/>
        <w:adjustRightInd w:val="0"/>
        <w:snapToGrid w:val="0"/>
        <w:spacing w:line="360" w:lineRule="auto"/>
        <w:jc w:val="both"/>
        <w:outlineLvl w:val="0"/>
        <w:rPr>
          <w:rFonts w:hint="eastAsia" w:ascii="黑体" w:hAnsi="华文中宋" w:eastAsia="黑体"/>
          <w:b/>
          <w:color w:val="auto"/>
          <w:sz w:val="32"/>
          <w:szCs w:val="32"/>
        </w:rPr>
      </w:pPr>
    </w:p>
    <w:p w14:paraId="787B46C4">
      <w:pPr>
        <w:pStyle w:val="22"/>
        <w:adjustRightInd w:val="0"/>
        <w:snapToGrid w:val="0"/>
        <w:spacing w:line="360" w:lineRule="auto"/>
        <w:jc w:val="both"/>
        <w:outlineLvl w:val="0"/>
        <w:rPr>
          <w:rFonts w:hint="eastAsia" w:ascii="黑体" w:hAnsi="华文中宋" w:eastAsia="黑体"/>
          <w:b/>
          <w:color w:val="auto"/>
          <w:sz w:val="32"/>
          <w:szCs w:val="32"/>
        </w:rPr>
      </w:pPr>
    </w:p>
    <w:p w14:paraId="45E2353A">
      <w:pPr>
        <w:pStyle w:val="22"/>
        <w:adjustRightInd w:val="0"/>
        <w:snapToGrid w:val="0"/>
        <w:spacing w:line="360" w:lineRule="auto"/>
        <w:jc w:val="both"/>
        <w:outlineLvl w:val="0"/>
        <w:rPr>
          <w:rFonts w:hint="eastAsia" w:ascii="黑体" w:hAnsi="华文中宋" w:eastAsia="黑体"/>
          <w:b/>
          <w:color w:val="auto"/>
          <w:sz w:val="32"/>
          <w:szCs w:val="32"/>
        </w:rPr>
      </w:pPr>
    </w:p>
    <w:p w14:paraId="00A9F989">
      <w:pPr>
        <w:pStyle w:val="22"/>
        <w:adjustRightInd w:val="0"/>
        <w:snapToGrid w:val="0"/>
        <w:spacing w:line="360" w:lineRule="auto"/>
        <w:jc w:val="both"/>
        <w:outlineLvl w:val="0"/>
        <w:rPr>
          <w:rFonts w:hint="eastAsia" w:ascii="黑体" w:hAnsi="华文中宋" w:eastAsia="黑体"/>
          <w:b/>
          <w:color w:val="auto"/>
          <w:sz w:val="32"/>
          <w:szCs w:val="32"/>
        </w:rPr>
      </w:pPr>
    </w:p>
    <w:p w14:paraId="7134E3AA">
      <w:pPr>
        <w:pStyle w:val="22"/>
        <w:adjustRightInd w:val="0"/>
        <w:snapToGrid w:val="0"/>
        <w:spacing w:line="360" w:lineRule="auto"/>
        <w:jc w:val="both"/>
        <w:outlineLvl w:val="0"/>
        <w:rPr>
          <w:rFonts w:hint="eastAsia" w:ascii="黑体" w:hAnsi="华文中宋" w:eastAsia="黑体"/>
          <w:b/>
          <w:color w:val="auto"/>
          <w:sz w:val="32"/>
          <w:szCs w:val="32"/>
        </w:rPr>
      </w:pPr>
    </w:p>
    <w:p w14:paraId="57FB7B53">
      <w:pPr>
        <w:pStyle w:val="22"/>
        <w:adjustRightInd w:val="0"/>
        <w:snapToGrid w:val="0"/>
        <w:spacing w:line="360" w:lineRule="auto"/>
        <w:jc w:val="both"/>
        <w:outlineLvl w:val="0"/>
        <w:rPr>
          <w:rFonts w:hint="eastAsia" w:ascii="黑体" w:hAnsi="华文中宋" w:eastAsia="黑体"/>
          <w:b/>
          <w:color w:val="auto"/>
          <w:sz w:val="32"/>
          <w:szCs w:val="32"/>
        </w:rPr>
      </w:pPr>
    </w:p>
    <w:p w14:paraId="6D54D82E">
      <w:pPr>
        <w:pStyle w:val="22"/>
        <w:adjustRightInd w:val="0"/>
        <w:snapToGrid w:val="0"/>
        <w:spacing w:line="360" w:lineRule="auto"/>
        <w:jc w:val="center"/>
        <w:outlineLvl w:val="0"/>
        <w:rPr>
          <w:rFonts w:hint="eastAsia" w:ascii="黑体" w:hAnsi="华文中宋" w:eastAsia="黑体"/>
          <w:b/>
          <w:color w:val="auto"/>
          <w:sz w:val="32"/>
          <w:szCs w:val="32"/>
        </w:rPr>
      </w:pPr>
    </w:p>
    <w:p w14:paraId="6B3F2AD9">
      <w:pPr>
        <w:pStyle w:val="22"/>
        <w:adjustRightInd w:val="0"/>
        <w:snapToGrid w:val="0"/>
        <w:spacing w:line="360" w:lineRule="auto"/>
        <w:jc w:val="center"/>
        <w:outlineLvl w:val="0"/>
        <w:rPr>
          <w:rFonts w:hint="eastAsia" w:ascii="黑体" w:hAnsi="华文中宋" w:eastAsia="黑体"/>
          <w:b/>
          <w:color w:val="auto"/>
          <w:sz w:val="32"/>
          <w:szCs w:val="32"/>
        </w:rPr>
      </w:pPr>
    </w:p>
    <w:p w14:paraId="0BEFA27D">
      <w:pPr>
        <w:pStyle w:val="22"/>
        <w:adjustRightInd w:val="0"/>
        <w:snapToGrid w:val="0"/>
        <w:spacing w:line="360" w:lineRule="auto"/>
        <w:jc w:val="center"/>
        <w:outlineLvl w:val="0"/>
        <w:rPr>
          <w:rFonts w:ascii="黑体" w:hAnsi="华文中宋" w:eastAsia="黑体"/>
          <w:b/>
          <w:color w:val="auto"/>
          <w:sz w:val="32"/>
          <w:szCs w:val="32"/>
        </w:rPr>
      </w:pPr>
      <w:r>
        <w:rPr>
          <w:rFonts w:hint="eastAsia" w:ascii="黑体" w:hAnsi="华文中宋" w:eastAsia="黑体"/>
          <w:b/>
          <w:color w:val="auto"/>
          <w:sz w:val="32"/>
          <w:szCs w:val="32"/>
        </w:rPr>
        <w:t>第六章 政府采购合同</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14:paraId="60179558">
      <w:pPr>
        <w:pStyle w:val="3"/>
        <w:adjustRightInd w:val="0"/>
        <w:snapToGrid w:val="0"/>
        <w:spacing w:before="156" w:beforeLines="50"/>
        <w:jc w:val="center"/>
        <w:rPr>
          <w:rFonts w:ascii="黑体" w:hAnsi="华文中宋" w:eastAsia="黑体"/>
          <w:color w:val="auto"/>
          <w:sz w:val="28"/>
          <w:szCs w:val="28"/>
        </w:rPr>
      </w:pPr>
      <w:bookmarkStart w:id="1192" w:name="_Toc34637778"/>
      <w:bookmarkStart w:id="1193" w:name="_Toc22201110"/>
      <w:bookmarkStart w:id="1194" w:name="_Toc1225"/>
      <w:bookmarkStart w:id="1195" w:name="_Toc29470"/>
      <w:r>
        <w:rPr>
          <w:rFonts w:hint="eastAsia" w:ascii="黑体" w:hAnsi="华文中宋" w:eastAsia="黑体"/>
          <w:color w:val="auto"/>
          <w:sz w:val="28"/>
          <w:szCs w:val="28"/>
        </w:rPr>
        <w:t xml:space="preserve">第一节 </w:t>
      </w:r>
      <w:bookmarkEnd w:id="1192"/>
      <w:bookmarkEnd w:id="1193"/>
      <w:bookmarkEnd w:id="1194"/>
      <w:r>
        <w:rPr>
          <w:rFonts w:hint="eastAsia" w:ascii="宋体" w:hAnsi="宋体" w:cs="黑体"/>
          <w:color w:val="auto"/>
          <w:sz w:val="32"/>
        </w:rPr>
        <w:t xml:space="preserve"> 政府采购合同协议书</w:t>
      </w:r>
      <w:bookmarkEnd w:id="1195"/>
    </w:p>
    <w:p w14:paraId="51C33105">
      <w:pPr>
        <w:adjustRightInd w:val="0"/>
        <w:snapToGrid w:val="0"/>
        <w:spacing w:before="156" w:beforeLines="50" w:line="360" w:lineRule="auto"/>
        <w:ind w:firstLine="5460" w:firstLineChars="2600"/>
        <w:rPr>
          <w:rFonts w:ascii="宋体" w:hAnsi="宋体"/>
          <w:b/>
          <w:color w:val="auto"/>
          <w:szCs w:val="21"/>
        </w:rPr>
      </w:pPr>
      <w:r>
        <w:rPr>
          <w:rFonts w:hint="eastAsia" w:ascii="宋体" w:hAnsi="宋体"/>
          <w:color w:val="auto"/>
          <w:szCs w:val="21"/>
        </w:rPr>
        <w:t>采购合同编号：</w:t>
      </w:r>
    </w:p>
    <w:p w14:paraId="7D5D721F">
      <w:pPr>
        <w:adjustRightInd w:val="0"/>
        <w:snapToGrid w:val="0"/>
        <w:spacing w:before="156" w:beforeLines="50" w:line="360" w:lineRule="auto"/>
        <w:rPr>
          <w:rFonts w:ascii="宋体" w:hAnsi="宋体"/>
          <w:color w:val="auto"/>
          <w:szCs w:val="21"/>
        </w:rPr>
      </w:pPr>
      <w:r>
        <w:rPr>
          <w:rFonts w:hint="eastAsia" w:ascii="宋体" w:hAnsi="宋体"/>
          <w:color w:val="auto"/>
          <w:szCs w:val="21"/>
        </w:rPr>
        <w:t>采购人（全称）：</w:t>
      </w:r>
      <w:r>
        <w:rPr>
          <w:rFonts w:hint="eastAsia" w:ascii="宋体" w:hAnsi="宋体"/>
          <w:bCs/>
          <w:color w:val="auto"/>
          <w:szCs w:val="21"/>
          <w:u w:val="single"/>
        </w:rPr>
        <w:t xml:space="preserve">                      </w:t>
      </w:r>
      <w:r>
        <w:rPr>
          <w:rFonts w:hint="eastAsia" w:ascii="宋体" w:hAnsi="宋体"/>
          <w:color w:val="auto"/>
          <w:szCs w:val="21"/>
        </w:rPr>
        <w:t>（甲方）</w:t>
      </w:r>
    </w:p>
    <w:p w14:paraId="720E6ABB">
      <w:pPr>
        <w:adjustRightInd w:val="0"/>
        <w:snapToGrid w:val="0"/>
        <w:spacing w:before="156" w:beforeLines="50" w:line="360" w:lineRule="auto"/>
        <w:rPr>
          <w:rFonts w:ascii="宋体" w:hAnsi="宋体"/>
          <w:color w:val="auto"/>
          <w:szCs w:val="21"/>
        </w:rPr>
      </w:pPr>
      <w:r>
        <w:rPr>
          <w:rFonts w:hint="eastAsia" w:ascii="宋体" w:hAnsi="宋体"/>
          <w:color w:val="auto"/>
          <w:szCs w:val="21"/>
        </w:rPr>
        <w:t>供应商（全称）：</w:t>
      </w:r>
      <w:r>
        <w:rPr>
          <w:rFonts w:hint="eastAsia" w:ascii="宋体" w:hAnsi="宋体"/>
          <w:bCs/>
          <w:color w:val="auto"/>
          <w:szCs w:val="21"/>
          <w:u w:val="single"/>
        </w:rPr>
        <w:t xml:space="preserve">                      </w:t>
      </w:r>
      <w:r>
        <w:rPr>
          <w:rFonts w:hint="eastAsia" w:ascii="宋体" w:hAnsi="宋体"/>
          <w:color w:val="auto"/>
          <w:szCs w:val="21"/>
          <w:lang w:eastAsia="zh-CN"/>
        </w:rPr>
        <w:t>（</w:t>
      </w:r>
      <w:r>
        <w:rPr>
          <w:rFonts w:hint="eastAsia" w:ascii="宋体" w:hAnsi="宋体"/>
          <w:color w:val="auto"/>
          <w:szCs w:val="21"/>
        </w:rPr>
        <w:t>乙方）</w:t>
      </w:r>
    </w:p>
    <w:p w14:paraId="4F1FC1AF">
      <w:pPr>
        <w:pStyle w:val="18"/>
        <w:adjustRightInd w:val="0"/>
        <w:snapToGrid w:val="0"/>
        <w:spacing w:before="156" w:beforeLines="50" w:after="0" w:line="360" w:lineRule="auto"/>
        <w:ind w:left="0" w:leftChars="0" w:firstLine="400" w:firstLineChars="200"/>
        <w:rPr>
          <w:rFonts w:ascii="宋体" w:hAnsi="宋体"/>
          <w:color w:val="auto"/>
          <w:szCs w:val="21"/>
        </w:rPr>
      </w:pPr>
      <w:r>
        <w:rPr>
          <w:rFonts w:hint="eastAsia" w:ascii="宋体" w:hAnsi="宋体"/>
          <w:color w:val="auto"/>
          <w:szCs w:val="21"/>
        </w:rPr>
        <w:t>为了保护甲、乙双方合法权益，根据《中华人民共和国民法典》、《中华人民共和国政府采购法》及其他有关法律、法规、规章，双方签订本合同协议书。</w:t>
      </w:r>
    </w:p>
    <w:p w14:paraId="5A9A907A">
      <w:pPr>
        <w:pStyle w:val="4"/>
        <w:adjustRightInd w:val="0"/>
        <w:snapToGrid w:val="0"/>
        <w:spacing w:before="50" w:line="360" w:lineRule="auto"/>
        <w:rPr>
          <w:rFonts w:ascii="黑体" w:hAnsi="华文中宋" w:eastAsia="黑体"/>
          <w:color w:val="auto"/>
          <w:sz w:val="24"/>
          <w:szCs w:val="24"/>
        </w:rPr>
      </w:pPr>
      <w:bookmarkStart w:id="1196" w:name="_Toc34637779"/>
      <w:bookmarkStart w:id="1197" w:name="_Toc20239"/>
      <w:r>
        <w:rPr>
          <w:rFonts w:ascii="黑体" w:hAnsi="华文中宋" w:eastAsia="黑体"/>
          <w:color w:val="auto"/>
          <w:sz w:val="24"/>
          <w:szCs w:val="24"/>
        </w:rPr>
        <w:t>1.项目信息</w:t>
      </w:r>
      <w:bookmarkEnd w:id="1196"/>
      <w:bookmarkEnd w:id="1197"/>
    </w:p>
    <w:p w14:paraId="4B90EB1F">
      <w:pPr>
        <w:pStyle w:val="18"/>
        <w:adjustRightInd w:val="0"/>
        <w:snapToGrid w:val="0"/>
        <w:spacing w:before="156" w:beforeLines="50" w:after="0" w:line="360" w:lineRule="auto"/>
        <w:rPr>
          <w:rFonts w:hint="eastAsia"/>
          <w:lang w:eastAsia="zh-CN"/>
        </w:rPr>
      </w:pPr>
      <w:r>
        <w:rPr>
          <w:rFonts w:hint="eastAsia" w:ascii="宋体" w:hAnsi="宋体"/>
          <w:color w:val="auto"/>
          <w:szCs w:val="21"/>
        </w:rPr>
        <w:t>（1）采购项目名称（含包名称）：</w:t>
      </w:r>
      <w:r>
        <w:rPr>
          <w:rFonts w:hint="eastAsia" w:ascii="宋体" w:hAnsi="宋体"/>
          <w:bCs/>
          <w:color w:val="auto"/>
          <w:szCs w:val="21"/>
          <w:u w:val="single"/>
        </w:rPr>
        <w:t xml:space="preserve">                     </w:t>
      </w:r>
    </w:p>
    <w:p w14:paraId="057BFBE3">
      <w:pPr>
        <w:pStyle w:val="18"/>
        <w:adjustRightInd w:val="0"/>
        <w:snapToGrid w:val="0"/>
        <w:spacing w:before="156" w:beforeLines="50" w:after="0" w:line="360" w:lineRule="auto"/>
        <w:rPr>
          <w:rFonts w:ascii="宋体" w:hAnsi="宋体"/>
          <w:color w:val="auto"/>
          <w:szCs w:val="21"/>
        </w:rPr>
      </w:pPr>
      <w:r>
        <w:rPr>
          <w:rFonts w:hint="eastAsia" w:ascii="宋体" w:hAnsi="宋体"/>
          <w:color w:val="auto"/>
          <w:szCs w:val="21"/>
        </w:rPr>
        <w:t>（2）采购计划编号：</w:t>
      </w:r>
      <w:r>
        <w:rPr>
          <w:rFonts w:hint="eastAsia" w:ascii="宋体" w:hAnsi="宋体"/>
          <w:bCs/>
          <w:color w:val="auto"/>
          <w:szCs w:val="21"/>
          <w:u w:val="single"/>
        </w:rPr>
        <w:t xml:space="preserve">                      </w:t>
      </w:r>
    </w:p>
    <w:p w14:paraId="748EA560">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（3）项目内容：</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p>
    <w:p w14:paraId="07CBC27F">
      <w:pPr>
        <w:adjustRightInd w:val="0"/>
        <w:snapToGrid w:val="0"/>
        <w:spacing w:before="156" w:beforeLines="50"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4）是否分包：</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p>
    <w:p w14:paraId="2F9387CB">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（4）项目负责人：</w:t>
      </w:r>
      <w:r>
        <w:rPr>
          <w:rFonts w:hint="eastAsia" w:ascii="宋体" w:hAnsi="宋体"/>
          <w:bCs/>
          <w:color w:val="auto"/>
          <w:szCs w:val="21"/>
          <w:u w:val="single"/>
        </w:rPr>
        <w:t xml:space="preserve">                      </w:t>
      </w:r>
    </w:p>
    <w:p w14:paraId="61C6318F">
      <w:pPr>
        <w:adjustRightInd w:val="0"/>
        <w:snapToGrid w:val="0"/>
        <w:spacing w:before="156" w:beforeLines="50" w:line="360" w:lineRule="auto"/>
        <w:ind w:firstLine="420" w:firstLineChars="200"/>
        <w:rPr>
          <w:rFonts w:hint="eastAsia" w:ascii="宋体" w:hAnsi="宋体" w:eastAsia="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5）联系电话：</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w:t>
      </w:r>
      <w:r>
        <w:rPr>
          <w:rFonts w:hint="eastAsia" w:ascii="宋体" w:hAnsi="宋体"/>
          <w:color w:val="auto"/>
          <w:szCs w:val="21"/>
          <w:lang w:val="en-US" w:eastAsia="zh-CN"/>
        </w:rPr>
        <w:t xml:space="preserve"> </w:t>
      </w:r>
    </w:p>
    <w:p w14:paraId="2F6D8CA7">
      <w:pPr>
        <w:pStyle w:val="4"/>
        <w:adjustRightInd w:val="0"/>
        <w:snapToGrid w:val="0"/>
        <w:spacing w:before="50" w:line="360" w:lineRule="auto"/>
        <w:rPr>
          <w:rFonts w:ascii="黑体" w:hAnsi="华文中宋" w:eastAsia="黑体"/>
          <w:color w:val="auto"/>
          <w:sz w:val="24"/>
          <w:szCs w:val="24"/>
        </w:rPr>
      </w:pPr>
      <w:bookmarkStart w:id="1198" w:name="_Toc34637780"/>
      <w:bookmarkStart w:id="1199" w:name="_Toc17250"/>
      <w:r>
        <w:rPr>
          <w:rFonts w:ascii="黑体" w:hAnsi="华文中宋" w:eastAsia="黑体"/>
          <w:color w:val="auto"/>
          <w:sz w:val="24"/>
          <w:szCs w:val="24"/>
        </w:rPr>
        <w:t>2.合同金额</w:t>
      </w:r>
      <w:bookmarkEnd w:id="1198"/>
      <w:bookmarkEnd w:id="1199"/>
    </w:p>
    <w:p w14:paraId="24526755">
      <w:pPr>
        <w:adjustRightInd w:val="0"/>
        <w:snapToGrid w:val="0"/>
        <w:spacing w:before="156" w:beforeLines="50" w:line="360" w:lineRule="auto"/>
        <w:ind w:firstLine="420" w:firstLineChars="200"/>
        <w:rPr>
          <w:rFonts w:hint="eastAsia" w:ascii="宋体" w:hAnsi="宋体"/>
          <w:bCs/>
          <w:color w:val="auto"/>
          <w:szCs w:val="21"/>
          <w:u w:val="single"/>
        </w:rPr>
      </w:pPr>
      <w:r>
        <w:rPr>
          <w:rFonts w:hint="eastAsia" w:ascii="宋体" w:hAnsi="宋体"/>
          <w:color w:val="auto"/>
          <w:szCs w:val="21"/>
        </w:rPr>
        <w:t>（1）合同金额小写：</w:t>
      </w:r>
      <w:r>
        <w:rPr>
          <w:rFonts w:hint="eastAsia" w:ascii="宋体" w:hAnsi="宋体"/>
          <w:bCs/>
          <w:color w:val="auto"/>
          <w:szCs w:val="21"/>
          <w:u w:val="single"/>
        </w:rPr>
        <w:t xml:space="preserve">                      </w:t>
      </w:r>
    </w:p>
    <w:p w14:paraId="6FAB91C9">
      <w:pPr>
        <w:adjustRightInd w:val="0"/>
        <w:snapToGrid w:val="0"/>
        <w:spacing w:before="156" w:beforeLines="50" w:line="360" w:lineRule="auto"/>
        <w:ind w:firstLine="420" w:firstLineChars="200"/>
        <w:rPr>
          <w:rFonts w:hint="default" w:ascii="宋体" w:hAnsi="宋体" w:eastAsia="宋体"/>
          <w:b/>
          <w:color w:val="auto"/>
          <w:szCs w:val="21"/>
          <w:lang w:val="en-US" w:eastAsia="zh-CN"/>
        </w:rPr>
      </w:pPr>
      <w:r>
        <w:rPr>
          <w:rFonts w:hint="eastAsia" w:ascii="宋体" w:hAnsi="宋体"/>
          <w:color w:val="auto"/>
          <w:szCs w:val="21"/>
        </w:rPr>
        <w:t xml:space="preserve">           大写：</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p>
    <w:p w14:paraId="207BB5AB">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（2）具体标的见附件。</w:t>
      </w:r>
    </w:p>
    <w:p w14:paraId="7E3B3155">
      <w:pPr>
        <w:adjustRightInd w:val="0"/>
        <w:snapToGrid w:val="0"/>
        <w:spacing w:before="156" w:beforeLines="50" w:line="360" w:lineRule="auto"/>
        <w:ind w:firstLine="420" w:firstLineChars="200"/>
        <w:rPr>
          <w:rFonts w:hint="eastAsia" w:ascii="宋体" w:hAnsi="宋体"/>
          <w:iCs/>
          <w:color w:val="auto"/>
          <w:lang w:val="en-US" w:eastAsia="zh-CN"/>
        </w:rPr>
      </w:pPr>
      <w:r>
        <w:rPr>
          <w:rFonts w:hint="eastAsia" w:ascii="宋体" w:hAnsi="宋体"/>
          <w:color w:val="auto"/>
          <w:szCs w:val="21"/>
        </w:rPr>
        <w:t>（3）合同价格形式：</w:t>
      </w:r>
      <w:r>
        <w:rPr>
          <w:rFonts w:hint="eastAsia" w:ascii="宋体" w:hAnsi="宋体"/>
          <w:iCs/>
          <w:color w:val="auto"/>
        </w:rPr>
        <w:sym w:font="Wingdings" w:char="00A8"/>
      </w:r>
      <w:r>
        <w:rPr>
          <w:rFonts w:hint="eastAsia" w:ascii="宋体" w:hAnsi="宋体"/>
          <w:iCs/>
          <w:color w:val="auto"/>
          <w:lang w:val="en-US" w:eastAsia="zh-CN"/>
        </w:rPr>
        <w:t xml:space="preserve">固定总价 </w:t>
      </w:r>
      <w:r>
        <w:rPr>
          <w:rFonts w:hint="eastAsia" w:ascii="宋体" w:hAnsi="宋体"/>
          <w:iCs/>
          <w:color w:val="auto"/>
        </w:rPr>
        <w:sym w:font="Wingdings" w:char="00A8"/>
      </w:r>
      <w:r>
        <w:rPr>
          <w:rFonts w:hint="eastAsia" w:ascii="宋体" w:hAnsi="宋体"/>
          <w:iCs/>
          <w:color w:val="auto"/>
          <w:lang w:val="en-US" w:eastAsia="zh-CN"/>
        </w:rPr>
        <w:t xml:space="preserve">固定单价 </w:t>
      </w:r>
      <w:r>
        <w:rPr>
          <w:rFonts w:hint="eastAsia" w:ascii="宋体" w:hAnsi="宋体"/>
          <w:iCs/>
          <w:color w:val="auto"/>
        </w:rPr>
        <w:sym w:font="Wingdings" w:char="00A8"/>
      </w:r>
      <w:r>
        <w:rPr>
          <w:rFonts w:hint="eastAsia" w:ascii="宋体" w:hAnsi="宋体"/>
          <w:iCs/>
          <w:color w:val="auto"/>
          <w:lang w:val="en-US" w:eastAsia="zh-CN"/>
        </w:rPr>
        <w:t xml:space="preserve"> 成本补偿  </w:t>
      </w:r>
      <w:r>
        <w:rPr>
          <w:rFonts w:hint="eastAsia" w:ascii="宋体" w:hAnsi="宋体"/>
          <w:iCs/>
          <w:color w:val="auto"/>
        </w:rPr>
        <w:sym w:font="Wingdings" w:char="00A8"/>
      </w:r>
      <w:r>
        <w:rPr>
          <w:rFonts w:hint="eastAsia" w:ascii="宋体" w:hAnsi="宋体"/>
          <w:iCs/>
          <w:color w:val="auto"/>
          <w:lang w:val="en-US" w:eastAsia="zh-CN"/>
        </w:rPr>
        <w:t>绩效激励</w:t>
      </w:r>
    </w:p>
    <w:p w14:paraId="3C902AC6">
      <w:pPr>
        <w:adjustRightInd w:val="0"/>
        <w:snapToGrid w:val="0"/>
        <w:spacing w:before="156" w:beforeLines="50" w:line="360" w:lineRule="auto"/>
        <w:ind w:firstLine="420" w:firstLineChars="200"/>
        <w:rPr>
          <w:rFonts w:hint="eastAsia" w:ascii="宋体" w:hAnsi="宋体"/>
          <w:iCs/>
          <w:color w:val="auto"/>
          <w:lang w:val="en-US" w:eastAsia="zh-CN"/>
        </w:rPr>
      </w:pPr>
      <w:r>
        <w:rPr>
          <w:rFonts w:hint="eastAsia" w:ascii="宋体" w:hAnsi="宋体"/>
          <w:iCs/>
          <w:color w:val="auto"/>
          <w:lang w:val="en-US" w:eastAsia="zh-CN"/>
        </w:rPr>
        <w:t>（4）付款方式（按项目实际勾选填写）：</w:t>
      </w:r>
    </w:p>
    <w:p w14:paraId="7EA20582">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全额付款：</w:t>
      </w:r>
      <w:r>
        <w:rPr>
          <w:rFonts w:hint="eastAsia" w:ascii="宋体" w:hAnsi="宋体"/>
          <w:iCs/>
          <w:color w:val="auto"/>
          <w:u w:val="single"/>
          <w:lang w:val="en-US" w:eastAsia="zh-CN"/>
        </w:rPr>
        <w:t xml:space="preserve">（应一次性支付全部合同款项）   </w:t>
      </w:r>
    </w:p>
    <w:p w14:paraId="0BC7585C">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预付款：</w:t>
      </w:r>
      <w:r>
        <w:rPr>
          <w:rFonts w:hint="eastAsia" w:ascii="宋体" w:hAnsi="宋体"/>
          <w:iCs/>
          <w:color w:val="auto"/>
          <w:u w:val="single"/>
          <w:lang w:val="en-US" w:eastAsia="zh-CN"/>
        </w:rPr>
        <w:t xml:space="preserve">（应明确预付款的支付比例和支付条件）   </w:t>
      </w:r>
    </w:p>
    <w:p w14:paraId="02100E20">
      <w:pPr>
        <w:adjustRightInd w:val="0"/>
        <w:snapToGrid w:val="0"/>
        <w:spacing w:before="156" w:beforeLines="50" w:line="360" w:lineRule="auto"/>
        <w:ind w:firstLine="420" w:firstLineChars="200"/>
        <w:rPr>
          <w:rFonts w:hint="default" w:ascii="宋体" w:hAnsi="宋体"/>
          <w:iCs/>
          <w:color w:val="auto"/>
          <w:lang w:val="en-US" w:eastAsia="zh-CN"/>
        </w:rPr>
      </w:pPr>
      <w:r>
        <w:rPr>
          <w:rFonts w:hint="eastAsia" w:ascii="宋体" w:hAnsi="宋体"/>
          <w:iCs/>
          <w:color w:val="auto"/>
        </w:rPr>
        <w:sym w:font="Wingdings" w:char="00A8"/>
      </w:r>
      <w:r>
        <w:rPr>
          <w:rFonts w:hint="eastAsia" w:ascii="宋体" w:hAnsi="宋体"/>
          <w:iCs/>
          <w:color w:val="auto"/>
          <w:lang w:val="en-US" w:eastAsia="zh-CN"/>
        </w:rPr>
        <w:t>分期付款：</w:t>
      </w:r>
      <w:r>
        <w:rPr>
          <w:rFonts w:hint="eastAsia" w:ascii="宋体" w:hAnsi="宋体"/>
          <w:iCs/>
          <w:color w:val="auto"/>
          <w:u w:val="single"/>
          <w:lang w:val="en-US" w:eastAsia="zh-CN"/>
        </w:rPr>
        <w:t xml:space="preserve">（应安照季度分期支付合同款项）   </w:t>
      </w:r>
    </w:p>
    <w:p w14:paraId="4785757D">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成本补偿：</w:t>
      </w:r>
      <w:r>
        <w:rPr>
          <w:rFonts w:hint="eastAsia" w:ascii="宋体" w:hAnsi="宋体"/>
          <w:iCs/>
          <w:color w:val="auto"/>
          <w:u w:val="single"/>
          <w:lang w:val="en-US" w:eastAsia="zh-CN"/>
        </w:rPr>
        <w:t xml:space="preserve">（应明确按照成本补偿方式的支付方式和支付条件）   </w:t>
      </w:r>
    </w:p>
    <w:p w14:paraId="19BCED56">
      <w:pPr>
        <w:adjustRightInd w:val="0"/>
        <w:snapToGrid w:val="0"/>
        <w:spacing w:before="156" w:beforeLines="50" w:line="360" w:lineRule="auto"/>
        <w:ind w:firstLine="420" w:firstLineChars="200"/>
        <w:rPr>
          <w:rFonts w:hint="default" w:ascii="宋体" w:hAnsi="宋体" w:eastAsia="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绩效激励：</w:t>
      </w:r>
      <w:r>
        <w:rPr>
          <w:rFonts w:hint="eastAsia" w:ascii="宋体" w:hAnsi="宋体"/>
          <w:iCs/>
          <w:color w:val="auto"/>
          <w:u w:val="single"/>
          <w:lang w:val="en-US" w:eastAsia="zh-CN"/>
        </w:rPr>
        <w:t xml:space="preserve">（应明确按照绩效激励方式的支付方式和支付条件）    </w:t>
      </w:r>
    </w:p>
    <w:p w14:paraId="3C620E77">
      <w:pPr>
        <w:pStyle w:val="4"/>
        <w:adjustRightInd w:val="0"/>
        <w:snapToGrid w:val="0"/>
        <w:spacing w:before="50" w:line="360" w:lineRule="auto"/>
        <w:rPr>
          <w:rFonts w:ascii="黑体" w:hAnsi="华文中宋" w:eastAsia="黑体"/>
          <w:color w:val="auto"/>
          <w:sz w:val="24"/>
          <w:szCs w:val="24"/>
        </w:rPr>
      </w:pPr>
      <w:bookmarkStart w:id="1200" w:name="_Toc34637781"/>
      <w:bookmarkStart w:id="1201" w:name="_Toc3366"/>
      <w:r>
        <w:rPr>
          <w:rFonts w:ascii="黑体" w:hAnsi="华文中宋" w:eastAsia="黑体"/>
          <w:color w:val="auto"/>
          <w:sz w:val="24"/>
          <w:szCs w:val="24"/>
        </w:rPr>
        <w:t>3.履行合同的时间、地点及方式</w:t>
      </w:r>
      <w:bookmarkEnd w:id="1200"/>
      <w:bookmarkEnd w:id="1201"/>
    </w:p>
    <w:p w14:paraId="6E389CCB">
      <w:pPr>
        <w:adjustRightInd w:val="0"/>
        <w:snapToGrid w:val="0"/>
        <w:spacing w:before="156" w:beforeLines="50" w:line="360" w:lineRule="auto"/>
        <w:rPr>
          <w:rFonts w:ascii="宋体" w:hAnsi="宋体"/>
          <w:color w:val="auto"/>
          <w:szCs w:val="21"/>
        </w:rPr>
      </w:pPr>
      <w:r>
        <w:rPr>
          <w:rFonts w:hint="eastAsia" w:ascii="宋体" w:hAnsi="宋体"/>
          <w:color w:val="auto"/>
          <w:szCs w:val="21"/>
          <w:lang w:eastAsia="zh-CN"/>
        </w:rPr>
        <w:t>（</w:t>
      </w:r>
      <w:r>
        <w:rPr>
          <w:rFonts w:hint="eastAsia" w:ascii="宋体" w:hAnsi="宋体"/>
          <w:color w:val="auto"/>
          <w:szCs w:val="21"/>
          <w:lang w:val="en-US" w:eastAsia="zh-CN"/>
        </w:rPr>
        <w:t>1）</w:t>
      </w:r>
      <w:r>
        <w:rPr>
          <w:rFonts w:hint="eastAsia" w:ascii="宋体" w:hAnsi="宋体"/>
          <w:color w:val="auto"/>
          <w:szCs w:val="21"/>
        </w:rPr>
        <w:t>起始日期：</w:t>
      </w:r>
      <w:r>
        <w:rPr>
          <w:rFonts w:hint="eastAsia" w:ascii="宋体" w:hAnsi="宋体"/>
          <w:color w:val="auto"/>
          <w:szCs w:val="21"/>
          <w:lang w:val="en-US" w:eastAsia="zh-CN"/>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年</w:t>
      </w:r>
      <w:r>
        <w:rPr>
          <w:rFonts w:hint="eastAsia" w:ascii="宋体" w:hAnsi="宋体"/>
          <w:color w:val="auto"/>
          <w:szCs w:val="21"/>
          <w:u w:val="single"/>
          <w:lang w:val="en-US" w:eastAsia="zh-CN"/>
        </w:rPr>
        <w:t xml:space="preserve">   </w:t>
      </w:r>
      <w:r>
        <w:rPr>
          <w:rFonts w:hint="eastAsia" w:ascii="宋体" w:hAnsi="宋体"/>
          <w:color w:val="auto"/>
          <w:szCs w:val="21"/>
        </w:rPr>
        <w:t>月</w:t>
      </w:r>
      <w:r>
        <w:rPr>
          <w:rFonts w:hint="eastAsia" w:ascii="宋体" w:hAnsi="宋体"/>
          <w:color w:val="auto"/>
          <w:szCs w:val="21"/>
          <w:u w:val="single"/>
          <w:lang w:val="en-US" w:eastAsia="zh-CN"/>
        </w:rPr>
        <w:t xml:space="preserve">   </w:t>
      </w:r>
      <w:r>
        <w:rPr>
          <w:rFonts w:hint="eastAsia" w:ascii="宋体" w:hAnsi="宋体"/>
          <w:color w:val="auto"/>
          <w:szCs w:val="21"/>
        </w:rPr>
        <w:t>日，完成日期：</w:t>
      </w:r>
      <w:r>
        <w:rPr>
          <w:rFonts w:hint="eastAsia" w:ascii="宋体" w:hAnsi="宋体"/>
          <w:color w:val="auto"/>
          <w:szCs w:val="21"/>
          <w:u w:val="single"/>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u w:val="single"/>
          <w:lang w:val="en-US" w:eastAsia="zh-CN"/>
        </w:rPr>
        <w:t xml:space="preserve">   </w:t>
      </w:r>
      <w:r>
        <w:rPr>
          <w:rFonts w:hint="eastAsia" w:ascii="宋体" w:hAnsi="宋体"/>
          <w:color w:val="auto"/>
          <w:szCs w:val="21"/>
        </w:rPr>
        <w:t>月</w:t>
      </w:r>
      <w:r>
        <w:rPr>
          <w:rFonts w:hint="eastAsia" w:ascii="宋体" w:hAnsi="宋体"/>
          <w:color w:val="auto"/>
          <w:szCs w:val="21"/>
          <w:u w:val="single"/>
          <w:lang w:val="en-US" w:eastAsia="zh-CN"/>
        </w:rPr>
        <w:t xml:space="preserve">   </w:t>
      </w:r>
      <w:r>
        <w:rPr>
          <w:rFonts w:hint="eastAsia" w:ascii="宋体" w:hAnsi="宋体"/>
          <w:color w:val="auto"/>
          <w:szCs w:val="21"/>
        </w:rPr>
        <w:t>日。总日历天数：</w:t>
      </w:r>
      <w:r>
        <w:rPr>
          <w:rFonts w:hint="eastAsia" w:ascii="宋体" w:hAnsi="宋体"/>
          <w:color w:val="auto"/>
          <w:szCs w:val="21"/>
          <w:u w:val="single"/>
          <w:lang w:val="en-US" w:eastAsia="zh-CN"/>
        </w:rPr>
        <w:t xml:space="preserve">    </w:t>
      </w:r>
      <w:r>
        <w:rPr>
          <w:rFonts w:hint="eastAsia" w:ascii="宋体" w:hAnsi="宋体"/>
          <w:color w:val="auto"/>
          <w:szCs w:val="21"/>
        </w:rPr>
        <w:t>天。</w:t>
      </w:r>
    </w:p>
    <w:p w14:paraId="0D8D74F8">
      <w:pPr>
        <w:adjustRightInd w:val="0"/>
        <w:snapToGrid w:val="0"/>
        <w:spacing w:before="156" w:beforeLines="50" w:line="360" w:lineRule="auto"/>
        <w:rPr>
          <w:rFonts w:hint="eastAsia" w:ascii="宋体" w:hAnsi="宋体"/>
          <w:color w:val="auto"/>
          <w:szCs w:val="21"/>
          <w:u w:val="single"/>
          <w:lang w:val="en-US" w:eastAsia="zh-CN"/>
        </w:rPr>
      </w:pPr>
      <w:r>
        <w:rPr>
          <w:rFonts w:hint="eastAsia" w:ascii="宋体" w:hAnsi="宋体"/>
          <w:color w:val="auto"/>
          <w:szCs w:val="21"/>
          <w:lang w:eastAsia="zh-CN"/>
        </w:rPr>
        <w:t>（</w:t>
      </w:r>
      <w:r>
        <w:rPr>
          <w:rFonts w:hint="eastAsia" w:ascii="宋体" w:hAnsi="宋体"/>
          <w:color w:val="auto"/>
          <w:szCs w:val="21"/>
          <w:lang w:val="en-US" w:eastAsia="zh-CN"/>
        </w:rPr>
        <w:t>2)</w:t>
      </w:r>
      <w:r>
        <w:rPr>
          <w:rFonts w:hint="eastAsia" w:ascii="宋体" w:hAnsi="宋体"/>
          <w:color w:val="auto"/>
          <w:szCs w:val="21"/>
        </w:rPr>
        <w:t>地点</w:t>
      </w:r>
      <w:r>
        <w:rPr>
          <w:rFonts w:hint="eastAsia" w:ascii="宋体" w:hAnsi="宋体"/>
          <w:b/>
          <w:color w:val="auto"/>
          <w:szCs w:val="21"/>
        </w:rPr>
        <w:t>：</w:t>
      </w:r>
      <w:r>
        <w:rPr>
          <w:rFonts w:hint="eastAsia" w:ascii="宋体" w:hAnsi="宋体"/>
          <w:color w:val="auto"/>
          <w:szCs w:val="21"/>
          <w:lang w:val="en-US" w:eastAsia="zh-CN"/>
        </w:rPr>
        <w:t xml:space="preserve"> </w:t>
      </w:r>
      <w:r>
        <w:rPr>
          <w:rFonts w:hint="eastAsia" w:ascii="宋体" w:hAnsi="宋体"/>
          <w:color w:val="auto"/>
          <w:szCs w:val="21"/>
          <w:u w:val="single"/>
          <w:lang w:val="en-US" w:eastAsia="zh-CN"/>
        </w:rPr>
        <w:t xml:space="preserve">         </w:t>
      </w:r>
    </w:p>
    <w:p w14:paraId="32E014C0">
      <w:pPr>
        <w:adjustRightInd w:val="0"/>
        <w:snapToGrid w:val="0"/>
        <w:spacing w:before="156" w:beforeLines="50" w:line="360" w:lineRule="auto"/>
        <w:rPr>
          <w:rFonts w:hint="eastAsia" w:ascii="宋体" w:hAnsi="宋体"/>
          <w:color w:val="auto"/>
          <w:szCs w:val="21"/>
          <w:u w:val="none"/>
          <w:lang w:val="en-US" w:eastAsia="zh-CN"/>
        </w:rPr>
      </w:pPr>
      <w:r>
        <w:rPr>
          <w:rFonts w:hint="eastAsia" w:ascii="宋体" w:hAnsi="宋体"/>
          <w:color w:val="auto"/>
          <w:szCs w:val="21"/>
          <w:u w:val="none"/>
          <w:lang w:val="en-US" w:eastAsia="zh-CN"/>
        </w:rPr>
        <w:t>(3）方式：</w:t>
      </w:r>
      <w:r>
        <w:rPr>
          <w:rFonts w:hint="eastAsia" w:ascii="宋体" w:hAnsi="宋体"/>
          <w:color w:val="auto"/>
          <w:szCs w:val="21"/>
          <w:u w:val="single"/>
          <w:lang w:val="en-US" w:eastAsia="zh-CN"/>
        </w:rPr>
        <w:t xml:space="preserve">         </w:t>
      </w:r>
    </w:p>
    <w:p w14:paraId="6F2E1F34">
      <w:pPr>
        <w:adjustRightInd w:val="0"/>
        <w:snapToGrid w:val="0"/>
        <w:spacing w:before="156" w:beforeLines="50" w:line="360" w:lineRule="auto"/>
        <w:rPr>
          <w:rFonts w:hint="default" w:ascii="宋体" w:hAnsi="宋体"/>
          <w:color w:val="auto"/>
          <w:szCs w:val="21"/>
          <w:u w:val="single"/>
          <w:lang w:val="en-US" w:eastAsia="zh-CN"/>
        </w:rPr>
      </w:pPr>
      <w:r>
        <w:rPr>
          <w:rFonts w:hint="eastAsia" w:ascii="宋体" w:hAnsi="宋体"/>
          <w:color w:val="auto"/>
          <w:szCs w:val="21"/>
          <w:u w:val="none"/>
          <w:lang w:val="en-US" w:eastAsia="zh-CN"/>
        </w:rPr>
        <w:t>（4）履约担保：</w:t>
      </w:r>
      <w:r>
        <w:rPr>
          <w:rFonts w:hint="eastAsia" w:ascii="宋体" w:hAnsi="宋体"/>
          <w:color w:val="auto"/>
          <w:szCs w:val="21"/>
          <w:u w:val="single"/>
          <w:lang w:val="en-US" w:eastAsia="zh-CN"/>
        </w:rPr>
        <w:t>履约担保的金额、形式和期限要求。</w:t>
      </w:r>
    </w:p>
    <w:p w14:paraId="6C78888E">
      <w:pPr>
        <w:adjustRightInd w:val="0"/>
        <w:snapToGrid w:val="0"/>
        <w:spacing w:before="156" w:beforeLines="50" w:line="360" w:lineRule="auto"/>
        <w:rPr>
          <w:rFonts w:ascii="宋体" w:hAnsi="宋体"/>
          <w:color w:val="auto"/>
          <w:szCs w:val="21"/>
        </w:rPr>
      </w:pPr>
      <w:r>
        <w:rPr>
          <w:rFonts w:hint="eastAsia" w:ascii="宋体" w:hAnsi="宋体"/>
          <w:color w:val="auto"/>
          <w:szCs w:val="21"/>
          <w:u w:val="none"/>
          <w:lang w:eastAsia="zh-CN"/>
        </w:rPr>
        <w:t>（</w:t>
      </w:r>
      <w:r>
        <w:rPr>
          <w:rFonts w:hint="eastAsia" w:ascii="宋体" w:hAnsi="宋体"/>
          <w:color w:val="auto"/>
          <w:szCs w:val="21"/>
          <w:u w:val="none"/>
          <w:lang w:val="en-US" w:eastAsia="zh-CN"/>
        </w:rPr>
        <w:t>5）质量保证金：</w:t>
      </w:r>
      <w:r>
        <w:rPr>
          <w:rFonts w:hint="eastAsia" w:ascii="宋体" w:hAnsi="宋体"/>
          <w:color w:val="auto"/>
          <w:szCs w:val="21"/>
          <w:u w:val="single"/>
          <w:lang w:val="en-US" w:eastAsia="zh-CN"/>
        </w:rPr>
        <w:t>质量保证金的金额、形式和期限要求。</w:t>
      </w:r>
      <w:r>
        <w:rPr>
          <w:rFonts w:hint="eastAsia" w:ascii="宋体" w:hAnsi="宋体"/>
          <w:color w:val="auto"/>
          <w:szCs w:val="21"/>
        </w:rPr>
        <w:t xml:space="preserve"> </w:t>
      </w:r>
    </w:p>
    <w:p w14:paraId="1E5BCCCF">
      <w:pPr>
        <w:adjustRightInd w:val="0"/>
        <w:snapToGrid w:val="0"/>
        <w:spacing w:before="156" w:beforeLines="50" w:line="360" w:lineRule="auto"/>
        <w:rPr>
          <w:rFonts w:hint="default" w:ascii="黑体" w:hAnsi="华文中宋" w:eastAsia="黑体" w:cs="Times New Roman"/>
          <w:b/>
          <w:bCs/>
          <w:color w:val="auto"/>
          <w:kern w:val="0"/>
          <w:sz w:val="24"/>
          <w:szCs w:val="24"/>
          <w:lang w:val="en-US" w:eastAsia="zh-CN" w:bidi="ar-SA"/>
        </w:rPr>
      </w:pPr>
      <w:bookmarkStart w:id="1202" w:name="_Toc34637782"/>
      <w:bookmarkStart w:id="1203" w:name="_Toc15890"/>
      <w:r>
        <w:rPr>
          <w:rFonts w:ascii="黑体" w:hAnsi="华文中宋" w:eastAsia="黑体" w:cs="Times New Roman"/>
          <w:b/>
          <w:bCs/>
          <w:color w:val="auto"/>
          <w:kern w:val="0"/>
          <w:sz w:val="24"/>
          <w:szCs w:val="24"/>
          <w:lang w:val="en-US" w:eastAsia="zh-CN" w:bidi="ar-SA"/>
        </w:rPr>
        <w:t>4</w:t>
      </w:r>
      <w:r>
        <w:rPr>
          <w:rFonts w:hint="eastAsia" w:ascii="黑体" w:hAnsi="华文中宋" w:eastAsia="黑体" w:cs="Times New Roman"/>
          <w:b/>
          <w:bCs/>
          <w:color w:val="auto"/>
          <w:kern w:val="0"/>
          <w:sz w:val="24"/>
          <w:szCs w:val="24"/>
          <w:lang w:val="en-US" w:eastAsia="zh-CN" w:bidi="ar-SA"/>
        </w:rPr>
        <w:t>.</w:t>
      </w:r>
      <w:bookmarkEnd w:id="1202"/>
      <w:bookmarkEnd w:id="1203"/>
      <w:r>
        <w:rPr>
          <w:rFonts w:hint="eastAsia" w:ascii="黑体" w:hAnsi="华文中宋" w:eastAsia="黑体" w:cs="Times New Roman"/>
          <w:b/>
          <w:bCs/>
          <w:color w:val="auto"/>
          <w:kern w:val="0"/>
          <w:sz w:val="24"/>
          <w:szCs w:val="24"/>
          <w:lang w:val="en-US" w:eastAsia="zh-CN" w:bidi="ar-SA"/>
        </w:rPr>
        <w:t>合同验收</w:t>
      </w:r>
    </w:p>
    <w:p w14:paraId="46D2E8B1">
      <w:pPr>
        <w:adjustRightInd w:val="0"/>
        <w:snapToGrid w:val="0"/>
        <w:spacing w:before="156" w:beforeLines="50" w:line="360" w:lineRule="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（1）验收主体：</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lang w:val="en-US" w:eastAsia="zh-CN"/>
        </w:rPr>
        <w:t xml:space="preserve"> 。 </w:t>
      </w:r>
    </w:p>
    <w:p w14:paraId="155DEAB8">
      <w:pPr>
        <w:adjustRightInd w:val="0"/>
        <w:snapToGrid w:val="0"/>
        <w:spacing w:before="156" w:beforeLines="50" w:line="360" w:lineRule="auto"/>
        <w:rPr>
          <w:rFonts w:hint="eastAsia" w:ascii="宋体" w:hAnsi="宋体" w:eastAsia="宋体" w:cs="Times New Roman"/>
          <w:color w:val="auto"/>
          <w:szCs w:val="21"/>
          <w:lang w:val="en-US" w:eastAsia="zh-CN"/>
        </w:rPr>
      </w:pPr>
      <w:bookmarkStart w:id="1204" w:name="_Toc34637783"/>
      <w:r>
        <w:rPr>
          <w:rFonts w:hint="eastAsia" w:ascii="宋体" w:hAnsi="宋体" w:eastAsia="宋体" w:cs="Times New Roman"/>
          <w:color w:val="auto"/>
          <w:szCs w:val="21"/>
          <w:lang w:val="en-US" w:eastAsia="zh-CN"/>
        </w:rPr>
        <w:t xml:space="preserve">（2）验收方式： </w:t>
      </w:r>
      <w:r>
        <w:rPr>
          <w:rFonts w:hint="eastAsia" w:ascii="宋体" w:hAnsi="宋体"/>
          <w:color w:val="auto"/>
          <w:szCs w:val="21"/>
          <w:u w:val="single"/>
          <w:lang w:val="en-US" w:eastAsia="zh-CN"/>
        </w:rPr>
        <w:t xml:space="preserve">                   </w:t>
      </w:r>
      <w:r>
        <w:rPr>
          <w:rFonts w:hint="eastAsia" w:ascii="宋体" w:hAnsi="宋体" w:eastAsia="宋体" w:cs="Times New Roman"/>
          <w:color w:val="auto"/>
          <w:szCs w:val="21"/>
          <w:lang w:val="en-US" w:eastAsia="zh-CN"/>
        </w:rPr>
        <w:t>。</w:t>
      </w:r>
    </w:p>
    <w:p w14:paraId="0C12DA59">
      <w:pPr>
        <w:adjustRightInd w:val="0"/>
        <w:snapToGrid w:val="0"/>
        <w:spacing w:before="156" w:beforeLines="50" w:line="360" w:lineRule="auto"/>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（3）验收标准：</w:t>
      </w:r>
      <w:r>
        <w:rPr>
          <w:rFonts w:hint="eastAsia" w:ascii="宋体" w:hAnsi="宋体"/>
          <w:color w:val="auto"/>
          <w:szCs w:val="21"/>
          <w:u w:val="single"/>
          <w:lang w:val="en-US" w:eastAsia="zh-CN"/>
        </w:rPr>
        <w:t xml:space="preserve">                   </w:t>
      </w:r>
      <w:r>
        <w:rPr>
          <w:rFonts w:hint="eastAsia" w:ascii="宋体" w:hAnsi="宋体" w:eastAsia="宋体" w:cs="Times New Roman"/>
          <w:color w:val="auto"/>
          <w:szCs w:val="21"/>
          <w:lang w:val="en-US" w:eastAsia="zh-CN"/>
        </w:rPr>
        <w:t>。</w:t>
      </w:r>
    </w:p>
    <w:p w14:paraId="30EF64D4">
      <w:pPr>
        <w:adjustRightInd w:val="0"/>
        <w:snapToGrid w:val="0"/>
        <w:spacing w:before="156" w:beforeLines="50" w:line="360" w:lineRule="auto"/>
        <w:rPr>
          <w:rFonts w:hint="eastAsia" w:ascii="黑体" w:hAnsi="华文中宋" w:eastAsia="黑体" w:cs="Times New Roman"/>
          <w:b/>
          <w:bCs/>
          <w:color w:val="auto"/>
          <w:kern w:val="0"/>
          <w:sz w:val="24"/>
          <w:szCs w:val="24"/>
          <w:lang w:val="en-US" w:eastAsia="zh-CN" w:bidi="ar-SA"/>
        </w:rPr>
      </w:pPr>
      <w:r>
        <w:rPr>
          <w:rFonts w:hint="eastAsia" w:ascii="黑体" w:hAnsi="华文中宋" w:eastAsia="黑体" w:cs="Times New Roman"/>
          <w:b/>
          <w:bCs/>
          <w:color w:val="auto"/>
          <w:kern w:val="0"/>
          <w:sz w:val="24"/>
          <w:szCs w:val="24"/>
          <w:lang w:val="en-US" w:eastAsia="zh-CN" w:bidi="ar-SA"/>
        </w:rPr>
        <w:t>5.</w:t>
      </w:r>
      <w:bookmarkEnd w:id="1204"/>
      <w:r>
        <w:rPr>
          <w:rFonts w:hint="eastAsia" w:ascii="黑体" w:hAnsi="华文中宋" w:eastAsia="黑体" w:cs="Times New Roman"/>
          <w:b/>
          <w:bCs/>
          <w:color w:val="auto"/>
          <w:kern w:val="0"/>
          <w:sz w:val="24"/>
          <w:szCs w:val="24"/>
          <w:lang w:val="en-US" w:eastAsia="zh-CN" w:bidi="ar-SA"/>
        </w:rPr>
        <w:t>组成合同的文件</w:t>
      </w:r>
    </w:p>
    <w:p w14:paraId="7764E4CC">
      <w:pPr>
        <w:adjustRightInd w:val="0"/>
        <w:snapToGrid w:val="0"/>
        <w:spacing w:before="156" w:beforeLines="50" w:line="360" w:lineRule="auto"/>
        <w:ind w:firstLine="420" w:firstLineChars="2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本协议书与下列文件一起构成合同文件，如下述文件之间有任何抵触、矛盾或歧义，应按以下顺序解释：</w:t>
      </w:r>
    </w:p>
    <w:p w14:paraId="69A12624">
      <w:pPr>
        <w:adjustRightInd w:val="0"/>
        <w:snapToGrid w:val="0"/>
        <w:spacing w:before="156" w:beforeLines="50" w:line="360" w:lineRule="auto"/>
        <w:ind w:firstLine="210" w:firstLineChars="1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（1）在采购或合同履行过程中乙方作出的承诺以及双方协商达成的变更或补充协议</w:t>
      </w:r>
    </w:p>
    <w:p w14:paraId="1B8C1BE0">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（2)本合同协议书</w:t>
      </w:r>
    </w:p>
    <w:p w14:paraId="4D3DA4FF">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(3)中标通知书</w:t>
      </w:r>
    </w:p>
    <w:p w14:paraId="71FC7E4D">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(4)投标文件</w:t>
      </w:r>
    </w:p>
    <w:p w14:paraId="4C718809">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（5）政府采购合同专用条款</w:t>
      </w:r>
    </w:p>
    <w:p w14:paraId="1E375D07">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（6）政府采购合同通用条款</w:t>
      </w:r>
    </w:p>
    <w:p w14:paraId="5961F73C">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（7）标准、规范及有关技术文件，图纸。</w:t>
      </w:r>
    </w:p>
    <w:p w14:paraId="28110BA6">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（8）其他合同文件。</w:t>
      </w:r>
    </w:p>
    <w:p w14:paraId="25FB5763">
      <w:pPr>
        <w:pStyle w:val="4"/>
        <w:adjustRightInd w:val="0"/>
        <w:snapToGrid w:val="0"/>
        <w:spacing w:before="50" w:line="360" w:lineRule="auto"/>
        <w:rPr>
          <w:rFonts w:ascii="黑体" w:hAnsi="华文中宋" w:eastAsia="黑体"/>
          <w:color w:val="auto"/>
          <w:sz w:val="24"/>
          <w:szCs w:val="24"/>
        </w:rPr>
      </w:pPr>
      <w:bookmarkStart w:id="1205" w:name="_Toc34637785"/>
      <w:bookmarkStart w:id="1206" w:name="_Toc72"/>
      <w:r>
        <w:rPr>
          <w:rFonts w:hint="eastAsia" w:ascii="黑体" w:hAnsi="华文中宋" w:eastAsia="黑体"/>
          <w:color w:val="auto"/>
          <w:sz w:val="24"/>
          <w:szCs w:val="24"/>
          <w:lang w:val="en-US" w:eastAsia="zh-CN"/>
        </w:rPr>
        <w:t>6</w:t>
      </w:r>
      <w:r>
        <w:rPr>
          <w:rFonts w:ascii="黑体" w:hAnsi="华文中宋" w:eastAsia="黑体"/>
          <w:color w:val="auto"/>
          <w:sz w:val="24"/>
          <w:szCs w:val="24"/>
        </w:rPr>
        <w:t>.合同生效</w:t>
      </w:r>
      <w:bookmarkEnd w:id="1205"/>
      <w:bookmarkEnd w:id="1206"/>
    </w:p>
    <w:p w14:paraId="51925A83">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生效。</w:t>
      </w:r>
    </w:p>
    <w:p w14:paraId="4AA1AC71">
      <w:pPr>
        <w:pStyle w:val="4"/>
        <w:adjustRightInd w:val="0"/>
        <w:snapToGrid w:val="0"/>
        <w:spacing w:before="50" w:line="360" w:lineRule="auto"/>
        <w:rPr>
          <w:rFonts w:ascii="黑体" w:hAnsi="华文中宋" w:eastAsia="黑体"/>
          <w:color w:val="auto"/>
          <w:sz w:val="24"/>
          <w:szCs w:val="24"/>
        </w:rPr>
      </w:pPr>
      <w:bookmarkStart w:id="1207" w:name="_Toc11851"/>
      <w:bookmarkStart w:id="1208" w:name="_Toc34637786"/>
      <w:r>
        <w:rPr>
          <w:rFonts w:hint="eastAsia" w:ascii="黑体" w:hAnsi="华文中宋" w:eastAsia="黑体"/>
          <w:color w:val="auto"/>
          <w:sz w:val="24"/>
          <w:szCs w:val="24"/>
          <w:lang w:val="en-US" w:eastAsia="zh-CN"/>
        </w:rPr>
        <w:t>7</w:t>
      </w:r>
      <w:r>
        <w:rPr>
          <w:rFonts w:ascii="黑体" w:hAnsi="华文中宋" w:eastAsia="黑体"/>
          <w:color w:val="auto"/>
          <w:sz w:val="24"/>
          <w:szCs w:val="24"/>
        </w:rPr>
        <w:t>.合同份数</w:t>
      </w:r>
      <w:bookmarkEnd w:id="1207"/>
      <w:bookmarkEnd w:id="1208"/>
    </w:p>
    <w:p w14:paraId="1906D271">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份，采购人</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份，供应商执</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份，均具有同等法律效力。</w:t>
      </w:r>
    </w:p>
    <w:p w14:paraId="581BBD5D">
      <w:pPr>
        <w:adjustRightInd w:val="0"/>
        <w:snapToGrid w:val="0"/>
        <w:spacing w:before="156" w:beforeLines="50" w:line="360" w:lineRule="auto"/>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日</w:t>
      </w:r>
    </w:p>
    <w:p w14:paraId="5BF3C10F">
      <w:pPr>
        <w:adjustRightInd w:val="0"/>
        <w:snapToGrid w:val="0"/>
        <w:spacing w:before="156" w:beforeLines="50" w:line="360" w:lineRule="auto"/>
        <w:rPr>
          <w:rFonts w:hint="eastAsia" w:ascii="宋体" w:hAnsi="宋体"/>
          <w:color w:val="auto"/>
          <w:szCs w:val="21"/>
          <w:u w:val="single"/>
          <w:lang w:val="en-US" w:eastAsia="zh-CN"/>
        </w:rPr>
      </w:pPr>
      <w:r>
        <w:rPr>
          <w:rFonts w:hint="eastAsia" w:ascii="宋体" w:hAnsi="宋体"/>
          <w:color w:val="auto"/>
          <w:szCs w:val="21"/>
        </w:rPr>
        <w:t>合同订立地点：</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p>
    <w:p w14:paraId="0F9B24E3">
      <w:pPr>
        <w:adjustRightInd w:val="0"/>
        <w:snapToGrid w:val="0"/>
        <w:spacing w:before="156" w:beforeLines="50" w:line="360" w:lineRule="auto"/>
        <w:rPr>
          <w:rFonts w:hint="default" w:ascii="宋体" w:hAnsi="宋体" w:eastAsia="宋体"/>
          <w:color w:val="auto"/>
          <w:szCs w:val="21"/>
          <w:lang w:val="en-US" w:eastAsia="zh-CN"/>
        </w:rPr>
      </w:pPr>
      <w:r>
        <w:rPr>
          <w:rFonts w:hint="eastAsia" w:ascii="宋体" w:hAnsi="宋体"/>
          <w:color w:val="auto"/>
          <w:szCs w:val="21"/>
          <w:lang w:val="en-US" w:eastAsia="zh-CN"/>
        </w:rPr>
        <w:t>附件：具体标的明细、分包合同等。</w:t>
      </w:r>
    </w:p>
    <w:p w14:paraId="580B3DDC">
      <w:pPr>
        <w:adjustRightInd w:val="0"/>
        <w:snapToGrid w:val="0"/>
        <w:spacing w:before="156" w:beforeLines="50" w:line="360" w:lineRule="auto"/>
        <w:rPr>
          <w:rFonts w:ascii="宋体" w:hAnsi="宋体"/>
          <w:color w:val="auto"/>
          <w:szCs w:val="21"/>
        </w:rPr>
      </w:pPr>
      <w:r>
        <w:rPr>
          <w:rFonts w:hint="eastAsia" w:ascii="宋体" w:hAnsi="宋体"/>
          <w:color w:val="auto"/>
          <w:szCs w:val="21"/>
        </w:rPr>
        <w:t>甲      方：（公章）                     乙      方：（公章）</w:t>
      </w:r>
    </w:p>
    <w:p w14:paraId="0FBFE731">
      <w:pPr>
        <w:adjustRightInd w:val="0"/>
        <w:snapToGrid w:val="0"/>
        <w:spacing w:before="156" w:beforeLines="50" w:line="360" w:lineRule="auto"/>
        <w:rPr>
          <w:rFonts w:ascii="宋体" w:hAnsi="宋体"/>
          <w:color w:val="auto"/>
          <w:szCs w:val="21"/>
        </w:rPr>
      </w:pPr>
      <w:r>
        <w:rPr>
          <w:rFonts w:hint="eastAsia" w:ascii="宋体" w:hAnsi="宋体"/>
          <w:color w:val="auto"/>
          <w:szCs w:val="21"/>
        </w:rPr>
        <w:t>法定代表人：                            法定代表人：</w:t>
      </w:r>
    </w:p>
    <w:p w14:paraId="24B3D13F">
      <w:pPr>
        <w:adjustRightInd w:val="0"/>
        <w:snapToGrid w:val="0"/>
        <w:spacing w:before="156" w:beforeLines="50" w:line="360" w:lineRule="auto"/>
        <w:rPr>
          <w:rFonts w:ascii="宋体" w:hAnsi="宋体"/>
          <w:color w:val="auto"/>
          <w:szCs w:val="21"/>
        </w:rPr>
      </w:pPr>
      <w:r>
        <w:rPr>
          <w:rFonts w:hint="eastAsia" w:ascii="宋体" w:hAnsi="宋体"/>
          <w:color w:val="auto"/>
          <w:szCs w:val="21"/>
        </w:rPr>
        <w:t>委托代理人：                            委托代理人：</w:t>
      </w:r>
    </w:p>
    <w:p w14:paraId="679B8572">
      <w:pPr>
        <w:tabs>
          <w:tab w:val="left" w:pos="7307"/>
        </w:tabs>
        <w:adjustRightInd w:val="0"/>
        <w:snapToGrid w:val="0"/>
        <w:spacing w:before="156" w:beforeLines="50" w:line="360" w:lineRule="auto"/>
        <w:rPr>
          <w:rFonts w:hint="eastAsia" w:ascii="宋体" w:hAnsi="宋体"/>
          <w:color w:val="auto"/>
          <w:szCs w:val="21"/>
        </w:rPr>
      </w:pPr>
      <w:r>
        <w:rPr>
          <w:rFonts w:hint="eastAsia" w:ascii="宋体" w:hAnsi="宋体"/>
          <w:color w:val="auto"/>
          <w:szCs w:val="21"/>
        </w:rPr>
        <w:t>电      话：                            电      话：</w:t>
      </w:r>
      <w:r>
        <w:rPr>
          <w:rFonts w:hint="eastAsia" w:ascii="宋体" w:hAnsi="宋体"/>
          <w:color w:val="auto"/>
          <w:szCs w:val="21"/>
        </w:rPr>
        <w:tab/>
      </w:r>
    </w:p>
    <w:p w14:paraId="7F14CB31">
      <w:pPr>
        <w:adjustRightInd w:val="0"/>
        <w:snapToGrid w:val="0"/>
        <w:spacing w:before="156" w:beforeLines="50" w:line="360" w:lineRule="auto"/>
        <w:rPr>
          <w:rFonts w:ascii="宋体" w:hAnsi="宋体"/>
          <w:color w:val="auto"/>
          <w:szCs w:val="21"/>
        </w:rPr>
      </w:pPr>
      <w:r>
        <w:rPr>
          <w:rFonts w:hint="eastAsia" w:ascii="宋体" w:hAnsi="宋体"/>
          <w:color w:val="auto"/>
          <w:szCs w:val="21"/>
        </w:rPr>
        <w:t>传      真：                            传      真：</w:t>
      </w:r>
    </w:p>
    <w:p w14:paraId="524F1246">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 xml:space="preserve">                                    开 户 银 行：</w:t>
      </w:r>
    </w:p>
    <w:p w14:paraId="0CFE8796">
      <w:pPr>
        <w:adjustRightInd w:val="0"/>
        <w:snapToGrid w:val="0"/>
        <w:spacing w:before="156" w:beforeLines="50" w:line="360" w:lineRule="auto"/>
        <w:jc w:val="center"/>
        <w:rPr>
          <w:rFonts w:ascii="宋体" w:hAnsi="宋体"/>
          <w:b/>
          <w:color w:val="auto"/>
          <w:szCs w:val="21"/>
        </w:rPr>
      </w:pP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帐       号：</w:t>
      </w:r>
    </w:p>
    <w:p w14:paraId="4B6B00E5">
      <w:pPr>
        <w:pStyle w:val="3"/>
        <w:adjustRightInd w:val="0"/>
        <w:snapToGrid w:val="0"/>
        <w:spacing w:before="156" w:beforeLines="50"/>
        <w:ind w:firstLine="2249" w:firstLineChars="800"/>
        <w:jc w:val="both"/>
        <w:rPr>
          <w:rFonts w:hint="eastAsia" w:ascii="黑体" w:hAnsi="黑体" w:eastAsia="黑体"/>
          <w:color w:val="auto"/>
          <w:sz w:val="28"/>
          <w:szCs w:val="28"/>
        </w:rPr>
      </w:pPr>
      <w:bookmarkStart w:id="1209" w:name="_Toc94367924"/>
      <w:bookmarkStart w:id="1210" w:name="_Toc21989"/>
      <w:bookmarkStart w:id="1211" w:name="_Toc171273715"/>
      <w:bookmarkStart w:id="1212" w:name="_Toc117192494"/>
      <w:bookmarkStart w:id="1213" w:name="_Toc20466"/>
      <w:bookmarkStart w:id="1214" w:name="_Toc78450001"/>
      <w:bookmarkStart w:id="1215" w:name="_Toc95601409"/>
      <w:bookmarkStart w:id="1216" w:name="_Toc100670717"/>
      <w:bookmarkStart w:id="1217" w:name="_Toc85972974"/>
      <w:bookmarkStart w:id="1218" w:name="_Toc27523"/>
      <w:bookmarkStart w:id="1219" w:name="_Toc192951256"/>
      <w:bookmarkStart w:id="1220" w:name="_Toc114036758"/>
      <w:bookmarkStart w:id="1221" w:name="_Toc108341984"/>
      <w:bookmarkStart w:id="1222" w:name="_Toc112704987"/>
      <w:bookmarkStart w:id="1223" w:name="_Toc100670469"/>
      <w:bookmarkStart w:id="1224" w:name="_Toc78314308"/>
      <w:bookmarkStart w:id="1225" w:name="_Toc22849"/>
      <w:bookmarkStart w:id="1226" w:name="_Toc285"/>
      <w:bookmarkStart w:id="1227" w:name="_Toc13532"/>
      <w:bookmarkStart w:id="1228" w:name="_Toc192949745"/>
      <w:bookmarkStart w:id="1229" w:name="_Toc15888524"/>
      <w:bookmarkStart w:id="1230" w:name="_Toc154428433"/>
      <w:bookmarkStart w:id="1231" w:name="_Toc75289594"/>
      <w:bookmarkStart w:id="1232" w:name="_Toc192949646"/>
      <w:bookmarkStart w:id="1233" w:name="_Toc77676512"/>
      <w:bookmarkStart w:id="1234" w:name="_Toc28139"/>
      <w:bookmarkStart w:id="1235" w:name="_Toc75289276"/>
      <w:bookmarkStart w:id="1236" w:name="_Toc77199448"/>
      <w:bookmarkStart w:id="1237" w:name="_Toc7939"/>
      <w:bookmarkStart w:id="1238" w:name="_Toc23724"/>
    </w:p>
    <w:p w14:paraId="7B250878">
      <w:pPr>
        <w:pStyle w:val="3"/>
        <w:adjustRightInd w:val="0"/>
        <w:snapToGrid w:val="0"/>
        <w:spacing w:before="156" w:beforeLines="50"/>
        <w:jc w:val="both"/>
        <w:rPr>
          <w:rFonts w:hint="eastAsia" w:ascii="黑体" w:hAnsi="黑体" w:eastAsia="黑体"/>
          <w:color w:val="auto"/>
          <w:sz w:val="28"/>
          <w:szCs w:val="28"/>
        </w:rPr>
      </w:pPr>
    </w:p>
    <w:p w14:paraId="4097F668">
      <w:pPr>
        <w:rPr>
          <w:rFonts w:hint="eastAsia" w:ascii="黑体" w:hAnsi="黑体" w:eastAsia="黑体"/>
          <w:color w:val="auto"/>
          <w:sz w:val="28"/>
          <w:szCs w:val="28"/>
        </w:rPr>
      </w:pPr>
    </w:p>
    <w:p w14:paraId="695ECFB7">
      <w:pPr>
        <w:rPr>
          <w:rFonts w:hint="eastAsia" w:ascii="黑体" w:hAnsi="黑体" w:eastAsia="黑体"/>
          <w:color w:val="auto"/>
          <w:sz w:val="28"/>
          <w:szCs w:val="28"/>
        </w:rPr>
      </w:pPr>
    </w:p>
    <w:p w14:paraId="3C7AC8B5">
      <w:pPr>
        <w:rPr>
          <w:rFonts w:hint="eastAsia" w:ascii="黑体" w:hAnsi="黑体" w:eastAsia="黑体"/>
          <w:color w:val="auto"/>
          <w:sz w:val="28"/>
          <w:szCs w:val="28"/>
        </w:rPr>
      </w:pPr>
    </w:p>
    <w:p w14:paraId="6193F79D">
      <w:pPr>
        <w:rPr>
          <w:rFonts w:hint="eastAsia" w:ascii="黑体" w:hAnsi="黑体" w:eastAsia="黑体"/>
          <w:color w:val="auto"/>
          <w:sz w:val="28"/>
          <w:szCs w:val="28"/>
        </w:rPr>
      </w:pPr>
    </w:p>
    <w:p w14:paraId="0737BDD4">
      <w:pPr>
        <w:rPr>
          <w:rFonts w:hint="eastAsia" w:ascii="黑体" w:hAnsi="黑体" w:eastAsia="黑体"/>
          <w:color w:val="auto"/>
          <w:sz w:val="28"/>
          <w:szCs w:val="28"/>
        </w:rPr>
      </w:pPr>
    </w:p>
    <w:p w14:paraId="43CC999A">
      <w:pPr>
        <w:rPr>
          <w:rFonts w:hint="eastAsia" w:ascii="黑体" w:hAnsi="黑体" w:eastAsia="黑体"/>
          <w:color w:val="auto"/>
          <w:sz w:val="28"/>
          <w:szCs w:val="28"/>
        </w:rPr>
      </w:pPr>
    </w:p>
    <w:p w14:paraId="30D93903">
      <w:pPr>
        <w:rPr>
          <w:rFonts w:hint="eastAsia" w:ascii="黑体" w:hAnsi="黑体" w:eastAsia="黑体"/>
          <w:color w:val="auto"/>
          <w:sz w:val="28"/>
          <w:szCs w:val="28"/>
        </w:rPr>
      </w:pPr>
    </w:p>
    <w:p w14:paraId="711967BF">
      <w:pPr>
        <w:pStyle w:val="3"/>
        <w:adjustRightInd w:val="0"/>
        <w:snapToGrid w:val="0"/>
        <w:spacing w:before="156" w:beforeLines="50"/>
        <w:jc w:val="both"/>
        <w:rPr>
          <w:rFonts w:hint="eastAsia" w:ascii="黑体" w:hAnsi="黑体" w:eastAsia="黑体"/>
          <w:color w:val="auto"/>
          <w:sz w:val="28"/>
          <w:szCs w:val="28"/>
        </w:rPr>
      </w:pPr>
    </w:p>
    <w:p w14:paraId="444920C7">
      <w:pPr>
        <w:pStyle w:val="3"/>
        <w:adjustRightInd w:val="0"/>
        <w:snapToGrid w:val="0"/>
        <w:spacing w:before="156" w:beforeLines="50"/>
        <w:ind w:firstLine="1968" w:firstLineChars="700"/>
        <w:jc w:val="both"/>
        <w:rPr>
          <w:rFonts w:ascii="黑体" w:hAnsi="黑体" w:eastAsia="黑体"/>
          <w:color w:val="auto"/>
          <w:sz w:val="28"/>
          <w:szCs w:val="28"/>
        </w:rPr>
      </w:pPr>
      <w:r>
        <w:rPr>
          <w:rFonts w:hint="eastAsia" w:ascii="黑体" w:hAnsi="黑体" w:eastAsia="黑体"/>
          <w:color w:val="auto"/>
          <w:sz w:val="28"/>
          <w:szCs w:val="28"/>
        </w:rPr>
        <w:t>第二节 政府采购合同通用条款</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14:paraId="29EA7E82">
      <w:pPr>
        <w:tabs>
          <w:tab w:val="left" w:pos="8820"/>
          <w:tab w:val="left" w:pos="9345"/>
          <w:tab w:val="left" w:pos="9765"/>
        </w:tabs>
        <w:adjustRightInd w:val="0"/>
        <w:snapToGrid w:val="0"/>
        <w:spacing w:before="50" w:line="360" w:lineRule="auto"/>
        <w:jc w:val="left"/>
        <w:rPr>
          <w:rFonts w:ascii="宋体" w:hAnsi="宋体"/>
          <w:b/>
          <w:bCs/>
          <w:color w:val="auto"/>
          <w:sz w:val="24"/>
        </w:rPr>
      </w:pPr>
      <w:r>
        <w:rPr>
          <w:rFonts w:hint="eastAsia" w:ascii="宋体" w:hAnsi="宋体"/>
          <w:b/>
          <w:color w:val="auto"/>
          <w:sz w:val="24"/>
        </w:rPr>
        <w:t>1.</w:t>
      </w:r>
      <w:r>
        <w:rPr>
          <w:rFonts w:hint="eastAsia" w:ascii="宋体" w:hAnsi="宋体"/>
          <w:b/>
          <w:bCs/>
          <w:color w:val="auto"/>
          <w:sz w:val="24"/>
        </w:rPr>
        <w:t xml:space="preserve"> 定义</w:t>
      </w:r>
    </w:p>
    <w:p w14:paraId="00B6D80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1.1合同当事人</w:t>
      </w:r>
    </w:p>
    <w:p w14:paraId="3480013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（1）采购人（以下称甲方）是指使用财政性资金，通过政府采购方式向供应商购买货物、服务的国家机关、事业单位、团体组织。本次采购的甲方名称、地址见</w:t>
      </w:r>
      <w:r>
        <w:rPr>
          <w:rFonts w:hint="eastAsia" w:ascii="宋体" w:hAnsi="宋体"/>
          <w:b/>
          <w:color w:val="auto"/>
          <w:szCs w:val="21"/>
        </w:rPr>
        <w:t>【政府采购合同专用条款】。</w:t>
      </w:r>
    </w:p>
    <w:p w14:paraId="1547430B">
      <w:pPr>
        <w:autoSpaceDE w:val="0"/>
        <w:autoSpaceDN w:val="0"/>
        <w:adjustRightInd w:val="0"/>
        <w:snapToGrid w:val="0"/>
        <w:spacing w:before="50" w:line="360" w:lineRule="auto"/>
        <w:ind w:firstLine="420" w:firstLineChars="200"/>
        <w:jc w:val="left"/>
        <w:rPr>
          <w:rFonts w:ascii="宋体" w:hAnsi="宋体"/>
          <w:b/>
          <w:color w:val="auto"/>
          <w:szCs w:val="21"/>
        </w:rPr>
      </w:pPr>
      <w:r>
        <w:rPr>
          <w:rFonts w:hint="eastAsia" w:ascii="宋体" w:hAnsi="宋体"/>
          <w:color w:val="auto"/>
          <w:szCs w:val="21"/>
        </w:rPr>
        <w:t>（2）供应商（以下称乙方）是指参加政府采购活动而取得中标结果，并向采购人提供货物、服务的法人、其他组织或者自然人。</w:t>
      </w:r>
    </w:p>
    <w:p w14:paraId="2E17FE92">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1.2本合同下列术语应解释为：</w:t>
      </w:r>
    </w:p>
    <w:p w14:paraId="3770368D">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（1）“合同”系指甲乙双方签署的、政府采购合同协议书中载明的甲乙双方所达成的协议，包括所有的附件、附录和上述文件所提到的构成合同的所有文件。</w:t>
      </w:r>
    </w:p>
    <w:p w14:paraId="5D288842">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（2）“合同价”系指根据本合同规定乙方在正确地完全履行合同义务后甲方应支付给乙方的价款。</w:t>
      </w:r>
    </w:p>
    <w:p w14:paraId="0B1A550E">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（3）“货物”系指乙方根据本合同规定须向甲方提供的各种形态和种类的物品，包括原材料、设备、产品（包括软件）及相关的其备品备件、工具、手册及其它技术资料和材料。</w:t>
      </w:r>
    </w:p>
    <w:p w14:paraId="35BA169A">
      <w:pPr>
        <w:tabs>
          <w:tab w:val="left" w:pos="570"/>
          <w:tab w:val="left" w:pos="888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742B100E">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（5）“合同条款”系指本合同及其附件、补充文件约定的全部条款。</w:t>
      </w:r>
    </w:p>
    <w:p w14:paraId="7D0531D3">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（6）“项目现场”系指本合同项下货物安装、运行的现场，其名称见</w:t>
      </w:r>
      <w:r>
        <w:rPr>
          <w:rFonts w:hint="eastAsia" w:ascii="宋体" w:hAnsi="宋体"/>
          <w:b/>
          <w:color w:val="auto"/>
          <w:szCs w:val="21"/>
        </w:rPr>
        <w:t>【政府采购合同专用条款】</w:t>
      </w:r>
      <w:r>
        <w:rPr>
          <w:rFonts w:hint="eastAsia" w:ascii="宋体" w:hAnsi="宋体"/>
          <w:color w:val="auto"/>
          <w:szCs w:val="21"/>
        </w:rPr>
        <w:t>。</w:t>
      </w:r>
    </w:p>
    <w:p w14:paraId="716E7357">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2.合同的适用范围</w:t>
      </w:r>
    </w:p>
    <w:p w14:paraId="758FC75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2.1 本合同条款适用于没有被本合同其他部分的条款所取代的范围。</w:t>
      </w:r>
    </w:p>
    <w:p w14:paraId="6DE1DEA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 合同内容根据招标文件、投标文件而确定。</w:t>
      </w:r>
    </w:p>
    <w:p w14:paraId="5BA3141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3.</w:t>
      </w:r>
      <w:r>
        <w:rPr>
          <w:rFonts w:hint="eastAsia" w:ascii="宋体" w:hAnsi="宋体"/>
          <w:b/>
          <w:color w:val="auto"/>
          <w:sz w:val="24"/>
        </w:rPr>
        <w:t>合同标的及金额</w:t>
      </w:r>
    </w:p>
    <w:p w14:paraId="3038E4A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3.1 合同标的及金额应与中标结果一致。</w:t>
      </w:r>
    </w:p>
    <w:p w14:paraId="3F7E5D64">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4.</w:t>
      </w:r>
      <w:r>
        <w:rPr>
          <w:rFonts w:hint="eastAsia" w:ascii="宋体" w:hAnsi="宋体"/>
          <w:b/>
          <w:color w:val="auto"/>
          <w:sz w:val="24"/>
        </w:rPr>
        <w:t>合同价款</w:t>
      </w:r>
    </w:p>
    <w:p w14:paraId="476A27E8">
      <w:pPr>
        <w:adjustRightInd w:val="0"/>
        <w:snapToGrid w:val="0"/>
        <w:spacing w:before="50" w:line="360" w:lineRule="auto"/>
        <w:ind w:firstLine="420" w:firstLineChars="200"/>
        <w:jc w:val="left"/>
        <w:rPr>
          <w:rFonts w:ascii="宋体" w:hAnsi="宋体"/>
          <w:b/>
          <w:bCs/>
          <w:i/>
          <w:iCs/>
          <w:color w:val="auto"/>
          <w:szCs w:val="21"/>
        </w:rPr>
      </w:pPr>
      <w:r>
        <w:rPr>
          <w:rFonts w:hint="eastAsia" w:ascii="宋体" w:hAnsi="宋体"/>
          <w:color w:val="auto"/>
          <w:szCs w:val="21"/>
        </w:rPr>
        <w:t>4.1具体合同价款见本合同第3.1条。乙方为履行本合同而发生的所有费用均应包含在合同价款中，甲方不再另行支付其它任何费用。</w:t>
      </w:r>
    </w:p>
    <w:p w14:paraId="5D8BF736">
      <w:pPr>
        <w:adjustRightInd w:val="0"/>
        <w:snapToGrid w:val="0"/>
        <w:spacing w:before="50" w:line="360" w:lineRule="auto"/>
        <w:jc w:val="left"/>
        <w:rPr>
          <w:rFonts w:ascii="宋体" w:hAnsi="宋体"/>
          <w:b/>
          <w:color w:val="auto"/>
          <w:sz w:val="24"/>
        </w:rPr>
      </w:pPr>
      <w:r>
        <w:rPr>
          <w:rFonts w:hint="eastAsia" w:ascii="宋体" w:hAnsi="宋体"/>
          <w:b/>
          <w:color w:val="auto"/>
          <w:sz w:val="24"/>
        </w:rPr>
        <w:t>5.履行合同的时间、地点和方式</w:t>
      </w:r>
    </w:p>
    <w:p w14:paraId="351750F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5.1 乙方应当在甲方确定的时间、指定的地点履行合同，具体的交货时间、地点和方式见</w:t>
      </w:r>
      <w:r>
        <w:rPr>
          <w:rFonts w:hint="eastAsia" w:ascii="宋体" w:hAnsi="宋体"/>
          <w:b/>
          <w:color w:val="auto"/>
          <w:szCs w:val="21"/>
        </w:rPr>
        <w:t>【政府采购合同专用条款】</w:t>
      </w:r>
      <w:r>
        <w:rPr>
          <w:rFonts w:hint="eastAsia" w:ascii="宋体" w:hAnsi="宋体"/>
          <w:color w:val="auto"/>
          <w:szCs w:val="21"/>
        </w:rPr>
        <w:t>。</w:t>
      </w:r>
    </w:p>
    <w:p w14:paraId="16C287C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5.2 乙方提供服务的应当在甲方指定的时间和地点完成服务项目。</w:t>
      </w:r>
    </w:p>
    <w:p w14:paraId="463D29E6">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6.</w:t>
      </w:r>
      <w:r>
        <w:rPr>
          <w:rFonts w:hint="eastAsia" w:ascii="宋体" w:hAnsi="宋体"/>
          <w:b/>
          <w:color w:val="auto"/>
          <w:sz w:val="24"/>
        </w:rPr>
        <w:t>货物的验收</w:t>
      </w:r>
    </w:p>
    <w:p w14:paraId="66EC17A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6.1 甲方在收到乙方交付的货物后应当及时组织验收。</w:t>
      </w:r>
    </w:p>
    <w:p w14:paraId="771FC2D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6.2 货物的表面瑕疵，甲方应在验收时当面提出；对质量问题有异议的应在安装调试后十个工作日内提出。</w:t>
      </w:r>
    </w:p>
    <w:p w14:paraId="0028D92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6.3 在验收过程中发现数量不足或有质量、技术等问题，乙方应负责按照甲方的要求采取补足、更换或退货等处理措施，并承担由此发生的一切费用和损失。</w:t>
      </w:r>
    </w:p>
    <w:p w14:paraId="55002AE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6.4 甲方在乙方按合同规定交货或安装、调试后，无正当理由而拖延接收、验收或拒绝接收、验收的，应承担因此给乙方造成的直接损失。</w:t>
      </w:r>
    </w:p>
    <w:p w14:paraId="1244F72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6.5 甲方对货物进行检查验收合格后，应当收取发票并在《交货验收单》上签署验收意见及加盖单位印章。</w:t>
      </w:r>
    </w:p>
    <w:p w14:paraId="799B351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6.6 大型或者复杂的货物采购项目，甲方可以邀请国家认可的质量检测机构参加验收工作，并由其出具验收报告单。</w:t>
      </w:r>
    </w:p>
    <w:p w14:paraId="57812D6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6.7 乙方提供的进口产品，乙方应出示中华人民共和国进出口商品检验部门出具的检验证书（招标文件第五章采购需求另有约定的除外）。</w:t>
      </w:r>
    </w:p>
    <w:p w14:paraId="7487436C">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7.货物包装要求</w:t>
      </w:r>
    </w:p>
    <w:p w14:paraId="7496818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4EA6EDD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7.2 每一个包装箱内应附一份详细装箱单、质量证书和保修保养证书。</w:t>
      </w:r>
    </w:p>
    <w:p w14:paraId="66FA8A73">
      <w:pPr>
        <w:adjustRightInd w:val="0"/>
        <w:snapToGrid w:val="0"/>
        <w:spacing w:before="50" w:line="360" w:lineRule="auto"/>
        <w:jc w:val="left"/>
        <w:rPr>
          <w:rFonts w:ascii="宋体" w:hAnsi="宋体"/>
          <w:b/>
          <w:color w:val="auto"/>
          <w:sz w:val="24"/>
        </w:rPr>
      </w:pPr>
      <w:r>
        <w:rPr>
          <w:rFonts w:hint="eastAsia" w:ascii="宋体" w:hAnsi="宋体"/>
          <w:b/>
          <w:color w:val="auto"/>
          <w:sz w:val="24"/>
        </w:rPr>
        <w:t>8.运输和保险</w:t>
      </w:r>
    </w:p>
    <w:p w14:paraId="2BAF8E67">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8.1乙方负责办理将货物运抵本合同第5.1条规定的交货地点的一切运输事项，相关费用应包括在合同总价中。</w:t>
      </w:r>
    </w:p>
    <w:p w14:paraId="144A842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8.2乙方应向保险公司投保以甲方为受益人的发运合同货物发票金额的110％运输一切险。</w:t>
      </w:r>
    </w:p>
    <w:p w14:paraId="2B88E7EF">
      <w:pPr>
        <w:adjustRightInd w:val="0"/>
        <w:snapToGrid w:val="0"/>
        <w:spacing w:before="50" w:line="360" w:lineRule="auto"/>
        <w:jc w:val="left"/>
        <w:rPr>
          <w:rFonts w:ascii="宋体" w:hAnsi="宋体"/>
          <w:b/>
          <w:color w:val="auto"/>
          <w:sz w:val="24"/>
        </w:rPr>
      </w:pPr>
      <w:r>
        <w:rPr>
          <w:rFonts w:hint="eastAsia" w:ascii="宋体" w:hAnsi="宋体"/>
          <w:b/>
          <w:color w:val="auto"/>
          <w:sz w:val="24"/>
        </w:rPr>
        <w:t>9.质量标准和保证</w:t>
      </w:r>
    </w:p>
    <w:p w14:paraId="304BFB6C">
      <w:pPr>
        <w:pStyle w:val="22"/>
        <w:adjustRightInd w:val="0"/>
        <w:snapToGrid w:val="0"/>
        <w:spacing w:before="50" w:line="360" w:lineRule="auto"/>
        <w:ind w:firstLine="400" w:firstLineChars="200"/>
        <w:jc w:val="left"/>
        <w:rPr>
          <w:rFonts w:hAnsi="宋体"/>
          <w:b/>
          <w:color w:val="auto"/>
        </w:rPr>
      </w:pPr>
      <w:r>
        <w:rPr>
          <w:rFonts w:hint="eastAsia" w:hAnsi="宋体"/>
          <w:color w:val="auto"/>
        </w:rPr>
        <w:t>9.1 质量标准</w:t>
      </w:r>
    </w:p>
    <w:p w14:paraId="506371B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（1）本合同下交付的货物应符合招标文件第四章“技术规格、参数与要求”所述的标准。如果没有提及适用标准，则应符合中华人民共和国有关机构发布的最新版本的标准。</w:t>
      </w:r>
    </w:p>
    <w:p w14:paraId="7DB49CCC">
      <w:pPr>
        <w:pStyle w:val="22"/>
        <w:adjustRightInd w:val="0"/>
        <w:snapToGrid w:val="0"/>
        <w:spacing w:before="50" w:line="360" w:lineRule="auto"/>
        <w:ind w:firstLine="400" w:firstLineChars="200"/>
        <w:jc w:val="left"/>
        <w:rPr>
          <w:rFonts w:hAnsi="宋体"/>
          <w:color w:val="auto"/>
        </w:rPr>
      </w:pPr>
      <w:r>
        <w:rPr>
          <w:rFonts w:hint="eastAsia" w:hAnsi="宋体"/>
          <w:color w:val="auto"/>
        </w:rPr>
        <w:t>（2）采用中华人民共和国法定计量单位。</w:t>
      </w:r>
    </w:p>
    <w:p w14:paraId="153DAEE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（3）乙方所出售的货物还应符合国家有关安全、环保、卫生之规定。</w:t>
      </w:r>
    </w:p>
    <w:p w14:paraId="15866D7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9.2 保证</w:t>
      </w:r>
    </w:p>
    <w:p w14:paraId="5957ED8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auto"/>
          <w:szCs w:val="21"/>
        </w:rPr>
        <w:t>【政府采购合同专用条款】</w:t>
      </w:r>
      <w:r>
        <w:rPr>
          <w:rFonts w:hint="eastAsia" w:ascii="宋体" w:hAnsi="宋体"/>
          <w:color w:val="auto"/>
          <w:szCs w:val="21"/>
        </w:rPr>
        <w:t>规定或乙方承诺（两者以较长的为准）的质量保证期内，本保证保持有效。</w:t>
      </w:r>
    </w:p>
    <w:p w14:paraId="0D11A40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（2）在质量保证期内所发现的缺陷，甲方应尽快以书面形式通知乙方。</w:t>
      </w:r>
    </w:p>
    <w:p w14:paraId="6E7AEFA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（3）乙方收到通知后应在</w:t>
      </w:r>
      <w:r>
        <w:rPr>
          <w:rFonts w:hint="eastAsia" w:ascii="宋体" w:hAnsi="宋体"/>
          <w:b/>
          <w:color w:val="auto"/>
          <w:szCs w:val="21"/>
        </w:rPr>
        <w:t>【政府采购合同专用条款】</w:t>
      </w:r>
      <w:r>
        <w:rPr>
          <w:rFonts w:hint="eastAsia" w:ascii="宋体" w:hAnsi="宋体"/>
          <w:color w:val="auto"/>
          <w:szCs w:val="21"/>
        </w:rPr>
        <w:t>规定的响应时间内以合理的速度免费维修或更换有缺陷的货物或部件。</w:t>
      </w:r>
    </w:p>
    <w:p w14:paraId="202C01C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60F1FF31">
      <w:pPr>
        <w:adjustRightInd w:val="0"/>
        <w:snapToGrid w:val="0"/>
        <w:spacing w:before="50" w:line="360" w:lineRule="auto"/>
        <w:ind w:firstLine="420" w:firstLineChars="200"/>
        <w:jc w:val="left"/>
        <w:rPr>
          <w:rFonts w:ascii="宋体" w:hAnsi="宋体"/>
          <w:b/>
          <w:color w:val="auto"/>
          <w:szCs w:val="21"/>
        </w:rPr>
      </w:pPr>
      <w:r>
        <w:rPr>
          <w:rFonts w:hint="eastAsia" w:ascii="宋体" w:hAnsi="宋体"/>
          <w:color w:val="auto"/>
          <w:szCs w:val="21"/>
        </w:rPr>
        <w:t>（5）乙方在约定的时间内未能弥补缺陷，甲方可采取必要的补救措施，但其风险和费用将由乙方承担，甲方根据合同规定对乙方行使的其他权利不受影响。</w:t>
      </w:r>
    </w:p>
    <w:p w14:paraId="44BCA673">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10.权利瑕疵担保</w:t>
      </w:r>
    </w:p>
    <w:p w14:paraId="4960DF9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10.1 乙方保证对其出售的货物享有合法的权利。</w:t>
      </w:r>
    </w:p>
    <w:p w14:paraId="2B531E9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10.2 乙方保证在其出售的货物上不存在任何未曾向甲方透露的担保物权，如抵押权、质押权、留置权等。</w:t>
      </w:r>
    </w:p>
    <w:p w14:paraId="40B180F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10.3 如甲方使用该货物构成上述侵权的，则由乙方承担全部责任。</w:t>
      </w:r>
    </w:p>
    <w:p w14:paraId="6A763A7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11.知识产权保护</w:t>
      </w:r>
    </w:p>
    <w:p w14:paraId="6CB1466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11.1 乙方对其所销售的货物应当享有知识产权或经权利人合法授权，保证没有侵犯任何第三人的知识产权和商业秘密等权利。</w:t>
      </w:r>
    </w:p>
    <w:p w14:paraId="451068B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11.2 甲方使用乙方提供的货物对第三人构成侵权的，应当由乙方承担全部法律责任，给甲方造成损害的，乙方应当承担赔偿责任。</w:t>
      </w:r>
    </w:p>
    <w:p w14:paraId="00BD5A0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11.3 甲方委托乙方开发的产品，甲方享有知识产权，未经甲方许可不得转让任何第三人。</w:t>
      </w:r>
    </w:p>
    <w:p w14:paraId="312A63B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12.保密义务</w:t>
      </w:r>
    </w:p>
    <w:p w14:paraId="75194DB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12.1 甲、乙双方在采购和履行合同过程中所获悉的对方属于保密的内容，双方均有保密义务。</w:t>
      </w:r>
    </w:p>
    <w:p w14:paraId="4D01803C">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13.合同价款支付</w:t>
      </w:r>
    </w:p>
    <w:p w14:paraId="6E2FC7C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13.1验收合格后，乙方出具正规发票给甲方，凭甲方开具的《政府采购合同验收报告单》办理合同价</w:t>
      </w:r>
      <w:r>
        <w:rPr>
          <w:rFonts w:hint="eastAsia" w:ascii="宋体" w:hAnsi="宋体"/>
          <w:bCs/>
          <w:color w:val="auto"/>
          <w:szCs w:val="21"/>
        </w:rPr>
        <w:t>款</w:t>
      </w:r>
      <w:r>
        <w:rPr>
          <w:rFonts w:hint="eastAsia" w:ascii="宋体" w:hAnsi="宋体"/>
          <w:color w:val="auto"/>
          <w:szCs w:val="21"/>
        </w:rPr>
        <w:t>结算手续。</w:t>
      </w:r>
    </w:p>
    <w:p w14:paraId="7C30A27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13.2 合同价款构成中应当由财政支付的部分，甲方应当在货物验收合格后的十五个工作日内向国库管理部门申请支付，经国库管理部门审核后直接支付给乙方。</w:t>
      </w:r>
    </w:p>
    <w:p w14:paraId="2E1A642D">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13.3 合同价款构成中应当由甲方自行支付的部分，甲方应当在货物验收合格后十五个工作日内支付。</w:t>
      </w:r>
    </w:p>
    <w:p w14:paraId="57179C26">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13.4支付合同价</w:t>
      </w:r>
      <w:r>
        <w:rPr>
          <w:rFonts w:hint="eastAsia" w:ascii="宋体" w:hAnsi="宋体"/>
          <w:bCs/>
          <w:color w:val="auto"/>
          <w:szCs w:val="21"/>
        </w:rPr>
        <w:t>款</w:t>
      </w:r>
      <w:r>
        <w:rPr>
          <w:rFonts w:hint="eastAsia" w:ascii="宋体" w:hAnsi="宋体"/>
          <w:color w:val="auto"/>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66F1040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13.5 合同价款支付方式</w:t>
      </w:r>
      <w:r>
        <w:rPr>
          <w:rFonts w:hint="eastAsia" w:ascii="宋体" w:hAnsi="宋体"/>
          <w:bCs/>
          <w:color w:val="auto"/>
          <w:szCs w:val="21"/>
        </w:rPr>
        <w:t>和条件在</w:t>
      </w:r>
      <w:r>
        <w:rPr>
          <w:rFonts w:hint="eastAsia" w:ascii="宋体" w:hAnsi="宋体"/>
          <w:b/>
          <w:color w:val="auto"/>
          <w:szCs w:val="21"/>
        </w:rPr>
        <w:t>【政府采购合同专用条款】</w:t>
      </w:r>
      <w:r>
        <w:rPr>
          <w:rFonts w:hint="eastAsia" w:ascii="宋体" w:hAnsi="宋体"/>
          <w:color w:val="auto"/>
          <w:szCs w:val="21"/>
        </w:rPr>
        <w:t>中另有规定。</w:t>
      </w:r>
    </w:p>
    <w:p w14:paraId="35A7B6EA">
      <w:pPr>
        <w:autoSpaceDE w:val="0"/>
        <w:autoSpaceDN w:val="0"/>
        <w:adjustRightInd w:val="0"/>
        <w:snapToGrid w:val="0"/>
        <w:spacing w:before="50" w:line="360" w:lineRule="auto"/>
        <w:jc w:val="left"/>
        <w:rPr>
          <w:rFonts w:ascii="宋体" w:hAnsi="宋体"/>
          <w:b/>
          <w:color w:val="auto"/>
          <w:sz w:val="24"/>
        </w:rPr>
      </w:pPr>
      <w:r>
        <w:rPr>
          <w:rFonts w:hint="eastAsia" w:ascii="宋体" w:hAnsi="宋体"/>
          <w:b/>
          <w:bCs/>
          <w:color w:val="auto"/>
          <w:sz w:val="24"/>
        </w:rPr>
        <w:t>14.</w:t>
      </w:r>
      <w:r>
        <w:rPr>
          <w:rFonts w:hint="eastAsia"/>
          <w:b/>
          <w:color w:val="auto"/>
          <w:sz w:val="24"/>
        </w:rPr>
        <w:t>乙方应提供的</w:t>
      </w:r>
      <w:r>
        <w:rPr>
          <w:rFonts w:hint="eastAsia" w:ascii="宋体" w:hAnsi="宋体"/>
          <w:b/>
          <w:color w:val="auto"/>
          <w:sz w:val="24"/>
        </w:rPr>
        <w:t>服务</w:t>
      </w:r>
    </w:p>
    <w:p w14:paraId="3D577276">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14.1 乙方应向甲方提交所提供货物的技术文件，包括相应的中文技术文件，如：产品目录、图纸、操作手册、使用说明、维护手册或服务指南。这些文件应包装好随同货物一起发运。</w:t>
      </w:r>
    </w:p>
    <w:p w14:paraId="6747D89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14.2 乙方还应提供下列服务：</w:t>
      </w:r>
    </w:p>
    <w:p w14:paraId="687CCE3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（1）货物的现场移动、安装、调试、启动监督及技术支持；</w:t>
      </w:r>
    </w:p>
    <w:p w14:paraId="1D7159B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（2）提供货物组装和维修所需的专用工具和辅助材料；</w:t>
      </w:r>
    </w:p>
    <w:p w14:paraId="3B26CFD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（3）在合同各方商定的一定期限内对所有的货物实施运行监督、维修，但前提条件是该服务并不能免除乙方在质量保证期内所承担的义务；</w:t>
      </w:r>
    </w:p>
    <w:p w14:paraId="4AF0551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（4）在制造商或项目现场就货物的安装、启动、运营、维护对甲方操作人员进行培训；</w:t>
      </w:r>
    </w:p>
    <w:p w14:paraId="617EE23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w:t>
      </w:r>
      <w:r>
        <w:rPr>
          <w:rFonts w:hint="eastAsia" w:ascii="宋体" w:hAnsi="宋体"/>
          <w:b/>
          <w:color w:val="auto"/>
          <w:szCs w:val="21"/>
        </w:rPr>
        <w:t>【政府采购合同专用条款】</w:t>
      </w:r>
      <w:r>
        <w:rPr>
          <w:rFonts w:hint="eastAsia" w:ascii="宋体" w:hAnsi="宋体"/>
          <w:color w:val="auto"/>
          <w:szCs w:val="21"/>
        </w:rPr>
        <w:t>规定由乙方提供的其他服务。</w:t>
      </w:r>
    </w:p>
    <w:p w14:paraId="06203C8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14.3 乙方提供的服务的费用应包含在合同价款中，甲方不再另行支付。</w:t>
      </w:r>
    </w:p>
    <w:p w14:paraId="06ACBED8">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15.违约责任</w:t>
      </w:r>
    </w:p>
    <w:p w14:paraId="6B48EDD2">
      <w:pPr>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15.1质量瑕疵的补救措施和索赔</w:t>
      </w:r>
    </w:p>
    <w:p w14:paraId="32CB2BE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29BF80A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①乙方同意退货并将货款退还给甲方，由此发生的一切费用和损失由乙方承担。</w:t>
      </w:r>
    </w:p>
    <w:p w14:paraId="312AC41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②根据货物的质量状况以及甲方所遭受的损失，经过甲乙双方商定降低货物的价格。</w:t>
      </w:r>
    </w:p>
    <w:p w14:paraId="37DCCD2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17D5729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396C2799">
      <w:pPr>
        <w:autoSpaceDE w:val="0"/>
        <w:autoSpaceDN w:val="0"/>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15.2 迟延交货的违约责任</w:t>
      </w:r>
    </w:p>
    <w:p w14:paraId="69AF79D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7A09505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（2）除本合同</w:t>
      </w:r>
      <w:r>
        <w:rPr>
          <w:rFonts w:hint="eastAsia" w:ascii="宋体" w:hAnsi="宋体"/>
          <w:bCs/>
          <w:color w:val="auto"/>
          <w:szCs w:val="21"/>
        </w:rPr>
        <w:t>第20条</w:t>
      </w:r>
      <w:r>
        <w:rPr>
          <w:rFonts w:hint="eastAsia" w:ascii="宋体" w:hAnsi="宋体"/>
          <w:color w:val="auto"/>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5325E21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0FCDC6AB">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16.合同的变更</w:t>
      </w:r>
    </w:p>
    <w:p w14:paraId="5091963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16.1 在合同履行过程中，甲、乙双方可就合同履行的时间、地点和方式等协商进行变更。协商一致后，双方应签订书面的补充协议。</w:t>
      </w:r>
    </w:p>
    <w:p w14:paraId="3855D70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16.2 在不改变合同其他条款的前提下，甲方有权在合同价款百分之十的范围内追加与合同标的相同的货物或服务，并就此与乙方签订补充合同，乙方不得拒绝。</w:t>
      </w:r>
    </w:p>
    <w:p w14:paraId="7D2BA7D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16.3 除双方签署书面协议，并成为合同不可分割的一部分外，本合同条件不得有任何变更。</w:t>
      </w:r>
    </w:p>
    <w:p w14:paraId="2D0A5C33">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17.合同中止与终止</w:t>
      </w:r>
    </w:p>
    <w:p w14:paraId="5A641BCC">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17.1合同的中止</w:t>
      </w:r>
    </w:p>
    <w:p w14:paraId="7FADD2F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（1）合同在履行过程中，因采购计划调整，甲方可以要求中止履行，待计划确定后继续履行；</w:t>
      </w:r>
    </w:p>
    <w:p w14:paraId="67F4DB1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（2）合同履行过程中因供应商就采购过程或结果提起投诉的，甲方认为有必要或财政部门责令中止的，应当中止合同的履行。</w:t>
      </w:r>
    </w:p>
    <w:p w14:paraId="3BF0BF31">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17.2合同的终止</w:t>
      </w:r>
    </w:p>
    <w:p w14:paraId="2A1A385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（1）合同因有效期限届满而终止；</w:t>
      </w:r>
    </w:p>
    <w:p w14:paraId="5931C77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（2）乙方未能依照本合同约定条件履行合同，已构成根本性违约的，甲方有权终止本合同，并追究乙方的违约责任。</w:t>
      </w:r>
    </w:p>
    <w:p w14:paraId="4737F76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（3）如果乙方丧失履约能力或被宣告破产，甲方可在任何时候以书面形式通知乙方终止合同而不给乙方补偿。</w:t>
      </w:r>
    </w:p>
    <w:p w14:paraId="01F6459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（4）如果乙方在履行合同过程中有不正当竞争行为，甲方有权解除合同，并按《中华人民共和国反不正当竞争法》规定由有关部门追究其法律责任。</w:t>
      </w:r>
    </w:p>
    <w:p w14:paraId="08A8926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（5）如果合同的履行将损害国家利益或社会公共利益，甲方有权终止合同的履行，给乙方造成损失的予以相应补偿。</w:t>
      </w:r>
    </w:p>
    <w:p w14:paraId="1BC13F9E">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18.合同转让和分包</w:t>
      </w:r>
    </w:p>
    <w:p w14:paraId="13B57F8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18.1 乙方不得以任何形式将合同转包。</w:t>
      </w:r>
    </w:p>
    <w:p w14:paraId="417FB43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18.2 乙方未在投标文件中说明，不得将</w:t>
      </w:r>
      <w:r>
        <w:rPr>
          <w:rFonts w:hint="eastAsia" w:ascii="宋体" w:hAnsi="宋体"/>
          <w:bCs/>
          <w:color w:val="auto"/>
          <w:szCs w:val="21"/>
        </w:rPr>
        <w:t>合同</w:t>
      </w:r>
      <w:r>
        <w:rPr>
          <w:rFonts w:hint="eastAsia" w:ascii="宋体" w:hAnsi="宋体"/>
          <w:color w:val="auto"/>
          <w:szCs w:val="21"/>
        </w:rPr>
        <w:t>的非主体、非关键性工作分包给他人。</w:t>
      </w:r>
    </w:p>
    <w:p w14:paraId="3F5A5149">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19.不可抗力</w:t>
      </w:r>
    </w:p>
    <w:p w14:paraId="179CD7C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19.1 不可抗力是指合同双方不可预见、不可避免、不可克服的自然灾害和社会事件。</w:t>
      </w:r>
    </w:p>
    <w:p w14:paraId="26AF68E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19.2 任何一方对由于不可抗力造成的部分或全部不能履行合同不承担违约责任。但迟延履行后发生不可抗力的，不能免除责任。</w:t>
      </w:r>
    </w:p>
    <w:p w14:paraId="352067F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19.3 遇有不可抗力的一方，应在三日内将事件的情况以书面形式通知另一方，并在事件发生后十日内，向另一方提交合同不能履行或部分不能履行或需要延期履行理由的报告。</w:t>
      </w:r>
    </w:p>
    <w:p w14:paraId="67B5C294">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20.解决争议的方法</w:t>
      </w:r>
    </w:p>
    <w:p w14:paraId="208B121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20.1 合同各方应通过友好协商，解决在执行合同过程中所发生的或与合同有关的一切争端。如从协商开始后十日内仍不能解决，可以向财政部门提请调解。</w:t>
      </w:r>
    </w:p>
    <w:p w14:paraId="2A8641A4">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20.2 调解不成可以向甲方所在地人民法院提起诉讼。</w:t>
      </w:r>
    </w:p>
    <w:p w14:paraId="6D9FC786">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20.3 如仲裁或诉讼事项不影响合同其它部分的履行，则在仲裁或诉讼期间，除正在进行仲裁或诉讼的部分外，合同的其它部分应继续执行。</w:t>
      </w:r>
    </w:p>
    <w:p w14:paraId="7AE8A407">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21.法律适用</w:t>
      </w:r>
    </w:p>
    <w:p w14:paraId="243196F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21.1 本合同适用中华人民共和国现行法律、行政法规和规章，如合同条款与法律、行政法规和规章不一致的，按照法律、行政法规和规章修改本合同。</w:t>
      </w:r>
    </w:p>
    <w:p w14:paraId="512D45C6">
      <w:pPr>
        <w:autoSpaceDE w:val="0"/>
        <w:autoSpaceDN w:val="0"/>
        <w:adjustRightInd w:val="0"/>
        <w:snapToGrid w:val="0"/>
        <w:spacing w:before="50" w:line="360" w:lineRule="auto"/>
        <w:jc w:val="left"/>
        <w:rPr>
          <w:rFonts w:ascii="宋体" w:hAnsi="宋体"/>
          <w:b/>
          <w:color w:val="auto"/>
          <w:sz w:val="24"/>
        </w:rPr>
      </w:pPr>
      <w:r>
        <w:rPr>
          <w:rFonts w:hint="eastAsia" w:ascii="宋体" w:hAnsi="宋体"/>
          <w:b/>
          <w:bCs/>
          <w:color w:val="auto"/>
          <w:sz w:val="24"/>
        </w:rPr>
        <w:t>22.</w:t>
      </w:r>
      <w:r>
        <w:rPr>
          <w:rFonts w:hint="eastAsia" w:ascii="宋体" w:hAnsi="宋体"/>
          <w:b/>
          <w:color w:val="auto"/>
          <w:sz w:val="24"/>
        </w:rPr>
        <w:t>通知</w:t>
      </w:r>
    </w:p>
    <w:p w14:paraId="27EEB28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22.1本合同一方给另一方的通知均应采用书面形式，传真或快递送到本合同中规定的对方的地址和办理签收手续，</w:t>
      </w:r>
    </w:p>
    <w:p w14:paraId="4B12F75B">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22.2通知以送到之日或通知书中规定的生效之日起生效，两者中以较迟之日为准。</w:t>
      </w:r>
    </w:p>
    <w:p w14:paraId="159EB56B">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23. 合同未尽事项</w:t>
      </w:r>
    </w:p>
    <w:p w14:paraId="1EB75BA7">
      <w:pPr>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23.1合同未尽事项见</w:t>
      </w:r>
      <w:r>
        <w:rPr>
          <w:rFonts w:hint="eastAsia" w:ascii="宋体" w:hAnsi="宋体"/>
          <w:b/>
          <w:color w:val="auto"/>
          <w:szCs w:val="21"/>
        </w:rPr>
        <w:t>【政府采购合同专用条款】。</w:t>
      </w:r>
    </w:p>
    <w:p w14:paraId="4E177B7D">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24.合同生效</w:t>
      </w:r>
    </w:p>
    <w:p w14:paraId="5B4B41D0">
      <w:pPr>
        <w:tabs>
          <w:tab w:val="left" w:pos="8820"/>
          <w:tab w:val="left" w:pos="9345"/>
          <w:tab w:val="left" w:pos="976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24.1 本合同在合同双方签字盖章后生效。</w:t>
      </w:r>
    </w:p>
    <w:p w14:paraId="3DC538B5">
      <w:pPr>
        <w:tabs>
          <w:tab w:val="left" w:pos="8820"/>
          <w:tab w:val="left" w:pos="9345"/>
          <w:tab w:val="left" w:pos="9765"/>
        </w:tabs>
        <w:adjustRightInd w:val="0"/>
        <w:snapToGrid w:val="0"/>
        <w:spacing w:before="50" w:line="360" w:lineRule="auto"/>
        <w:jc w:val="left"/>
        <w:rPr>
          <w:rFonts w:ascii="宋体" w:hAnsi="宋体"/>
          <w:color w:val="auto"/>
          <w:szCs w:val="21"/>
        </w:rPr>
      </w:pPr>
    </w:p>
    <w:p w14:paraId="666740EB">
      <w:pPr>
        <w:autoSpaceDE w:val="0"/>
        <w:autoSpaceDN w:val="0"/>
        <w:adjustRightInd w:val="0"/>
        <w:snapToGrid w:val="0"/>
        <w:jc w:val="center"/>
        <w:rPr>
          <w:rFonts w:ascii="黑体" w:hAnsi="黑体" w:eastAsia="黑体"/>
          <w:b/>
          <w:bCs/>
          <w:color w:val="auto"/>
          <w:szCs w:val="21"/>
        </w:rPr>
      </w:pPr>
      <w:r>
        <w:rPr>
          <w:rFonts w:ascii="黑体" w:hAnsi="黑体" w:eastAsia="黑体"/>
          <w:b/>
          <w:bCs/>
          <w:color w:val="auto"/>
          <w:sz w:val="32"/>
        </w:rPr>
        <w:br w:type="page"/>
      </w:r>
      <w:bookmarkStart w:id="1239" w:name="_Toc15888525"/>
    </w:p>
    <w:p w14:paraId="07212B68">
      <w:pPr>
        <w:pStyle w:val="3"/>
        <w:jc w:val="center"/>
        <w:rPr>
          <w:rFonts w:ascii="黑体" w:hAnsi="华文中宋" w:eastAsia="黑体"/>
          <w:color w:val="auto"/>
          <w:sz w:val="28"/>
          <w:szCs w:val="28"/>
        </w:rPr>
      </w:pPr>
      <w:bookmarkStart w:id="1240" w:name="_Toc114036759"/>
      <w:bookmarkStart w:id="1241" w:name="_Toc12627"/>
      <w:bookmarkStart w:id="1242" w:name="_Toc192949647"/>
      <w:bookmarkStart w:id="1243" w:name="_Toc94367925"/>
      <w:bookmarkStart w:id="1244" w:name="_Toc78450002"/>
      <w:bookmarkStart w:id="1245" w:name="_Toc154428434"/>
      <w:bookmarkStart w:id="1246" w:name="_Toc78314309"/>
      <w:bookmarkStart w:id="1247" w:name="_Toc9414"/>
      <w:bookmarkStart w:id="1248" w:name="_Toc108341985"/>
      <w:bookmarkStart w:id="1249" w:name="_Toc192949746"/>
      <w:bookmarkStart w:id="1250" w:name="_Toc100670718"/>
      <w:bookmarkStart w:id="1251" w:name="_Toc6027"/>
      <w:bookmarkStart w:id="1252" w:name="_Toc171273716"/>
      <w:bookmarkStart w:id="1253" w:name="_Toc9512"/>
      <w:bookmarkStart w:id="1254" w:name="_Toc112704988"/>
      <w:bookmarkStart w:id="1255" w:name="_Toc192951257"/>
      <w:bookmarkStart w:id="1256" w:name="_Toc29224"/>
      <w:bookmarkStart w:id="1257" w:name="_Toc75289595"/>
      <w:bookmarkStart w:id="1258" w:name="_Toc15948"/>
      <w:bookmarkStart w:id="1259" w:name="_Toc77676513"/>
      <w:bookmarkStart w:id="1260" w:name="_Toc24010"/>
      <w:bookmarkStart w:id="1261" w:name="_Toc100670470"/>
      <w:bookmarkStart w:id="1262" w:name="_Toc75289277"/>
      <w:bookmarkStart w:id="1263" w:name="_Toc95601410"/>
      <w:bookmarkStart w:id="1264" w:name="_Toc77199449"/>
      <w:bookmarkStart w:id="1265" w:name="_Toc117192495"/>
      <w:bookmarkStart w:id="1266" w:name="_Toc85972975"/>
      <w:bookmarkStart w:id="1267" w:name="_Toc25357"/>
      <w:bookmarkStart w:id="1268" w:name="_Toc6614"/>
      <w:r>
        <w:rPr>
          <w:rFonts w:hint="eastAsia" w:ascii="黑体" w:hAnsi="华文中宋" w:eastAsia="黑体"/>
          <w:color w:val="auto"/>
          <w:sz w:val="28"/>
          <w:szCs w:val="28"/>
        </w:rPr>
        <w:t>第三节 政府采购合同专用条款</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14:paraId="1006159A">
      <w:pPr>
        <w:adjustRightInd w:val="0"/>
        <w:snapToGrid w:val="0"/>
        <w:jc w:val="center"/>
        <w:rPr>
          <w:rFonts w:ascii="宋体" w:hAnsi="宋体"/>
          <w:color w:val="auto"/>
          <w:sz w:val="24"/>
        </w:rPr>
      </w:pPr>
    </w:p>
    <w:tbl>
      <w:tblPr>
        <w:tblStyle w:val="47"/>
        <w:tblW w:w="871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171"/>
      </w:tblGrid>
      <w:tr w14:paraId="669699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2" w:hRule="atLeast"/>
          <w:jc w:val="center"/>
        </w:trPr>
        <w:tc>
          <w:tcPr>
            <w:tcW w:w="1701" w:type="dxa"/>
            <w:vAlign w:val="center"/>
          </w:tcPr>
          <w:p w14:paraId="18487AE7">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186FC277">
            <w:pPr>
              <w:adjustRightInd w:val="0"/>
              <w:snapToGrid w:val="0"/>
              <w:spacing w:line="360" w:lineRule="exact"/>
              <w:jc w:val="center"/>
              <w:rPr>
                <w:rFonts w:ascii="宋体" w:hAnsi="宋体"/>
                <w:color w:val="auto"/>
                <w:szCs w:val="21"/>
              </w:rPr>
            </w:pPr>
            <w:r>
              <w:rPr>
                <w:rFonts w:hint="eastAsia" w:ascii="宋体" w:hAnsi="宋体"/>
                <w:color w:val="auto"/>
                <w:szCs w:val="21"/>
              </w:rPr>
              <w:t>第1.1款</w:t>
            </w:r>
          </w:p>
        </w:tc>
        <w:tc>
          <w:tcPr>
            <w:tcW w:w="1843" w:type="dxa"/>
            <w:vAlign w:val="center"/>
          </w:tcPr>
          <w:p w14:paraId="7486F499">
            <w:pPr>
              <w:adjustRightInd w:val="0"/>
              <w:snapToGrid w:val="0"/>
              <w:spacing w:line="360" w:lineRule="exact"/>
              <w:jc w:val="center"/>
              <w:rPr>
                <w:rFonts w:ascii="宋体" w:hAnsi="宋体"/>
                <w:color w:val="auto"/>
                <w:szCs w:val="21"/>
              </w:rPr>
            </w:pPr>
            <w:r>
              <w:rPr>
                <w:rFonts w:hint="eastAsia" w:ascii="宋体" w:hAnsi="宋体"/>
                <w:color w:val="auto"/>
                <w:szCs w:val="21"/>
              </w:rPr>
              <w:t>甲方名称、地址</w:t>
            </w:r>
          </w:p>
        </w:tc>
        <w:tc>
          <w:tcPr>
            <w:tcW w:w="5171" w:type="dxa"/>
            <w:vAlign w:val="center"/>
          </w:tcPr>
          <w:p w14:paraId="2506A7DF">
            <w:pPr>
              <w:adjustRightInd w:val="0"/>
              <w:snapToGrid w:val="0"/>
              <w:spacing w:line="360" w:lineRule="exact"/>
              <w:jc w:val="both"/>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名称：</w:t>
            </w:r>
            <w:r>
              <w:rPr>
                <w:rFonts w:hint="eastAsia" w:ascii="宋体" w:hAnsi="宋体" w:cs="Times New Roman"/>
                <w:color w:val="auto"/>
                <w:szCs w:val="21"/>
                <w:lang w:val="en-US" w:eastAsia="zh-CN"/>
              </w:rPr>
              <w:t>新化县卫生健康局</w:t>
            </w:r>
          </w:p>
          <w:p w14:paraId="19F4075F">
            <w:pPr>
              <w:adjustRightInd w:val="0"/>
              <w:snapToGrid w:val="0"/>
              <w:spacing w:line="360" w:lineRule="exact"/>
              <w:jc w:val="both"/>
              <w:rPr>
                <w:rFonts w:hint="eastAsia" w:ascii="宋体" w:hAnsi="宋体" w:eastAsia="宋体" w:cs="Times New Roman"/>
                <w:color w:val="auto"/>
                <w:szCs w:val="21"/>
                <w:lang w:eastAsia="zh-CN"/>
              </w:rPr>
            </w:pPr>
            <w:r>
              <w:rPr>
                <w:rFonts w:hint="eastAsia" w:ascii="宋体" w:hAnsi="宋体" w:eastAsia="宋体" w:cs="Times New Roman"/>
                <w:color w:val="auto"/>
                <w:szCs w:val="21"/>
                <w:lang w:val="en-US" w:eastAsia="zh-CN"/>
              </w:rPr>
              <w:t>地址：</w:t>
            </w:r>
            <w:r>
              <w:rPr>
                <w:rFonts w:hint="eastAsia" w:ascii="宋体" w:hAnsi="宋体"/>
                <w:color w:val="auto"/>
                <w:szCs w:val="21"/>
                <w:lang w:val="en-US" w:eastAsia="zh-CN"/>
              </w:rPr>
              <w:t>新化县上渡街道办事处财卫路</w:t>
            </w:r>
            <w:r>
              <w:rPr>
                <w:rFonts w:hint="eastAsia" w:ascii="宋体" w:hAnsi="宋体" w:eastAsia="宋体" w:cs="Times New Roman"/>
                <w:color w:val="auto"/>
                <w:szCs w:val="21"/>
                <w:lang w:val="en-US" w:eastAsia="zh-CN"/>
              </w:rPr>
              <w:t xml:space="preserve"> </w:t>
            </w:r>
          </w:p>
        </w:tc>
      </w:tr>
      <w:tr w14:paraId="2AB6B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2" w:hRule="atLeast"/>
          <w:jc w:val="center"/>
        </w:trPr>
        <w:tc>
          <w:tcPr>
            <w:tcW w:w="1701" w:type="dxa"/>
            <w:vAlign w:val="center"/>
          </w:tcPr>
          <w:p w14:paraId="65D5F13B">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36757E0A">
            <w:pPr>
              <w:adjustRightInd w:val="0"/>
              <w:snapToGrid w:val="0"/>
              <w:spacing w:line="360" w:lineRule="exact"/>
              <w:jc w:val="center"/>
              <w:rPr>
                <w:rFonts w:ascii="宋体" w:hAnsi="宋体"/>
                <w:color w:val="auto"/>
                <w:szCs w:val="21"/>
              </w:rPr>
            </w:pPr>
            <w:r>
              <w:rPr>
                <w:rFonts w:hint="eastAsia" w:ascii="宋体" w:hAnsi="宋体"/>
                <w:color w:val="auto"/>
                <w:szCs w:val="21"/>
              </w:rPr>
              <w:t>第1.2（6）项</w:t>
            </w:r>
          </w:p>
        </w:tc>
        <w:tc>
          <w:tcPr>
            <w:tcW w:w="1843" w:type="dxa"/>
            <w:vAlign w:val="center"/>
          </w:tcPr>
          <w:p w14:paraId="37EDC7B0">
            <w:pPr>
              <w:adjustRightInd w:val="0"/>
              <w:snapToGrid w:val="0"/>
              <w:spacing w:line="360" w:lineRule="exact"/>
              <w:jc w:val="center"/>
              <w:rPr>
                <w:rFonts w:ascii="宋体" w:hAnsi="宋体"/>
                <w:color w:val="auto"/>
                <w:szCs w:val="21"/>
              </w:rPr>
            </w:pPr>
            <w:r>
              <w:rPr>
                <w:rFonts w:hint="eastAsia" w:ascii="宋体" w:hAnsi="宋体"/>
                <w:color w:val="auto"/>
                <w:szCs w:val="21"/>
              </w:rPr>
              <w:t>项目现场</w:t>
            </w:r>
          </w:p>
        </w:tc>
        <w:tc>
          <w:tcPr>
            <w:tcW w:w="5171" w:type="dxa"/>
            <w:vAlign w:val="center"/>
          </w:tcPr>
          <w:p w14:paraId="6F24AF7B">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采购人指定地点。 </w:t>
            </w:r>
          </w:p>
        </w:tc>
      </w:tr>
      <w:tr w14:paraId="350B72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9" w:hRule="atLeast"/>
          <w:jc w:val="center"/>
        </w:trPr>
        <w:tc>
          <w:tcPr>
            <w:tcW w:w="1701" w:type="dxa"/>
            <w:vAlign w:val="center"/>
          </w:tcPr>
          <w:p w14:paraId="21433A53">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0F7B4853">
            <w:pPr>
              <w:adjustRightInd w:val="0"/>
              <w:snapToGrid w:val="0"/>
              <w:spacing w:line="360" w:lineRule="exact"/>
              <w:jc w:val="center"/>
              <w:rPr>
                <w:rFonts w:ascii="宋体" w:hAnsi="宋体"/>
                <w:color w:val="auto"/>
                <w:szCs w:val="21"/>
              </w:rPr>
            </w:pPr>
            <w:r>
              <w:rPr>
                <w:rFonts w:hint="eastAsia" w:ascii="宋体" w:hAnsi="宋体"/>
                <w:color w:val="auto"/>
                <w:szCs w:val="21"/>
              </w:rPr>
              <w:t>第5.1款</w:t>
            </w:r>
          </w:p>
        </w:tc>
        <w:tc>
          <w:tcPr>
            <w:tcW w:w="1843" w:type="dxa"/>
            <w:vAlign w:val="center"/>
          </w:tcPr>
          <w:p w14:paraId="5F42489E">
            <w:pPr>
              <w:adjustRightInd w:val="0"/>
              <w:snapToGrid w:val="0"/>
              <w:spacing w:line="360" w:lineRule="exact"/>
              <w:jc w:val="center"/>
              <w:rPr>
                <w:rFonts w:ascii="宋体" w:hAnsi="宋体"/>
                <w:color w:val="auto"/>
                <w:szCs w:val="21"/>
              </w:rPr>
            </w:pPr>
            <w:r>
              <w:rPr>
                <w:rFonts w:hint="eastAsia" w:ascii="宋体" w:hAnsi="宋体"/>
                <w:color w:val="auto"/>
                <w:szCs w:val="21"/>
              </w:rPr>
              <w:t>履行合同的时间、地点及方式</w:t>
            </w:r>
          </w:p>
        </w:tc>
        <w:tc>
          <w:tcPr>
            <w:tcW w:w="5171" w:type="dxa"/>
            <w:vAlign w:val="center"/>
          </w:tcPr>
          <w:p w14:paraId="0CE92ECF">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rPr>
              <w:t>（1）交货时间：</w:t>
            </w:r>
            <w:r>
              <w:rPr>
                <w:rFonts w:hint="eastAsia" w:ascii="宋体" w:hAnsi="宋体" w:eastAsia="宋体" w:cs="宋体"/>
                <w:color w:val="auto"/>
                <w:kern w:val="2"/>
                <w:sz w:val="21"/>
                <w:szCs w:val="21"/>
                <w:lang w:val="en-US" w:eastAsia="zh-CN" w:bidi="ar-SA"/>
              </w:rPr>
              <w:t>：自合同签订后60日内完成供货、验收及安装调试并验收合格，具体期限由成交供应商按照采购人要求时间实施</w:t>
            </w:r>
            <w:r>
              <w:rPr>
                <w:rFonts w:hint="eastAsia" w:ascii="宋体" w:hAnsi="宋体" w:eastAsia="宋体" w:cs="Times New Roman"/>
                <w:color w:val="auto"/>
                <w:szCs w:val="21"/>
                <w:lang w:val="en-US" w:eastAsia="zh-CN"/>
              </w:rPr>
              <w:t xml:space="preserve"> 。</w:t>
            </w:r>
          </w:p>
          <w:p w14:paraId="76EDF8CA">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rPr>
              <w:t>（2）交货地点：</w:t>
            </w:r>
            <w:r>
              <w:rPr>
                <w:rFonts w:hint="eastAsia" w:ascii="宋体" w:hAnsi="宋体" w:eastAsia="宋体" w:cs="宋体"/>
                <w:color w:val="auto"/>
                <w:szCs w:val="21"/>
                <w:highlight w:val="none"/>
                <w:lang w:eastAsia="zh-CN"/>
              </w:rPr>
              <w:t>采购人指定地点</w:t>
            </w:r>
            <w:r>
              <w:rPr>
                <w:rFonts w:hint="eastAsia" w:ascii="宋体" w:hAnsi="宋体" w:eastAsia="宋体" w:cs="Times New Roman"/>
                <w:color w:val="auto"/>
                <w:szCs w:val="21"/>
              </w:rPr>
              <w:t>。</w:t>
            </w:r>
          </w:p>
          <w:p w14:paraId="72693A13">
            <w:pPr>
              <w:adjustRightInd w:val="0"/>
              <w:snapToGrid w:val="0"/>
              <w:spacing w:line="360" w:lineRule="exact"/>
              <w:jc w:val="both"/>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（3）交货方式：</w:t>
            </w:r>
            <w:r>
              <w:rPr>
                <w:rFonts w:hint="eastAsia" w:ascii="宋体" w:hAnsi="宋体" w:eastAsia="宋体" w:cs="宋体"/>
                <w:color w:val="auto"/>
                <w:kern w:val="2"/>
                <w:sz w:val="21"/>
                <w:szCs w:val="21"/>
                <w:lang w:val="en-US" w:eastAsia="zh-CN" w:bidi="ar-SA"/>
              </w:rPr>
              <w:t>项目安装完毕后须进行终验，中标方承担验收合格前的一切风险、责任和费用。所提供货物环保等级要求达到国家环保标准，项目相关产品应全部在指定地点安装并调试合格。</w:t>
            </w:r>
          </w:p>
        </w:tc>
      </w:tr>
      <w:tr w14:paraId="65729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jc w:val="center"/>
        </w:trPr>
        <w:tc>
          <w:tcPr>
            <w:tcW w:w="1701" w:type="dxa"/>
            <w:vAlign w:val="center"/>
          </w:tcPr>
          <w:p w14:paraId="7268E60A">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536DC321">
            <w:pPr>
              <w:adjustRightInd w:val="0"/>
              <w:snapToGrid w:val="0"/>
              <w:spacing w:line="360" w:lineRule="exact"/>
              <w:jc w:val="center"/>
              <w:rPr>
                <w:rFonts w:ascii="宋体" w:hAnsi="宋体"/>
                <w:color w:val="auto"/>
                <w:szCs w:val="21"/>
              </w:rPr>
            </w:pPr>
            <w:r>
              <w:rPr>
                <w:rFonts w:hint="eastAsia" w:ascii="宋体" w:hAnsi="宋体"/>
                <w:color w:val="auto"/>
                <w:szCs w:val="21"/>
              </w:rPr>
              <w:t>第9.2（1）项</w:t>
            </w:r>
          </w:p>
        </w:tc>
        <w:tc>
          <w:tcPr>
            <w:tcW w:w="1843" w:type="dxa"/>
            <w:vAlign w:val="center"/>
          </w:tcPr>
          <w:p w14:paraId="02A739EA">
            <w:pPr>
              <w:adjustRightInd w:val="0"/>
              <w:snapToGrid w:val="0"/>
              <w:spacing w:line="360" w:lineRule="exact"/>
              <w:jc w:val="center"/>
              <w:rPr>
                <w:rFonts w:ascii="宋体" w:hAnsi="宋体"/>
                <w:color w:val="auto"/>
                <w:szCs w:val="21"/>
              </w:rPr>
            </w:pPr>
            <w:r>
              <w:rPr>
                <w:rFonts w:hint="eastAsia" w:ascii="宋体" w:hAnsi="宋体"/>
                <w:color w:val="auto"/>
                <w:szCs w:val="21"/>
              </w:rPr>
              <w:t>质保期</w:t>
            </w:r>
          </w:p>
        </w:tc>
        <w:tc>
          <w:tcPr>
            <w:tcW w:w="5171" w:type="dxa"/>
            <w:vAlign w:val="center"/>
          </w:tcPr>
          <w:p w14:paraId="3BBD0652">
            <w:pPr>
              <w:pStyle w:val="192"/>
              <w:keepNext w:val="0"/>
              <w:keepLines w:val="0"/>
              <w:pageBreakBefore w:val="0"/>
              <w:widowControl w:val="0"/>
              <w:kinsoku/>
              <w:overflowPunct/>
              <w:topLinePunct w:val="0"/>
              <w:autoSpaceDE/>
              <w:autoSpaceDN/>
              <w:bidi w:val="0"/>
              <w:spacing w:line="240" w:lineRule="auto"/>
              <w:textAlignment w:val="auto"/>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w:t>
            </w:r>
          </w:p>
        </w:tc>
      </w:tr>
      <w:tr w14:paraId="3F884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5" w:hRule="atLeast"/>
          <w:jc w:val="center"/>
        </w:trPr>
        <w:tc>
          <w:tcPr>
            <w:tcW w:w="1701" w:type="dxa"/>
            <w:vAlign w:val="center"/>
          </w:tcPr>
          <w:p w14:paraId="700C8D83">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6DFE8A3C">
            <w:pPr>
              <w:adjustRightInd w:val="0"/>
              <w:snapToGrid w:val="0"/>
              <w:spacing w:line="360" w:lineRule="exact"/>
              <w:jc w:val="center"/>
              <w:rPr>
                <w:rFonts w:ascii="宋体" w:hAnsi="宋体"/>
                <w:color w:val="auto"/>
                <w:szCs w:val="21"/>
              </w:rPr>
            </w:pPr>
            <w:r>
              <w:rPr>
                <w:rFonts w:hint="eastAsia" w:ascii="宋体" w:hAnsi="宋体"/>
                <w:color w:val="auto"/>
                <w:szCs w:val="21"/>
              </w:rPr>
              <w:t>第9.2（3）项</w:t>
            </w:r>
          </w:p>
        </w:tc>
        <w:tc>
          <w:tcPr>
            <w:tcW w:w="1843" w:type="dxa"/>
            <w:vAlign w:val="center"/>
          </w:tcPr>
          <w:p w14:paraId="4ABB7E2A">
            <w:pPr>
              <w:adjustRightInd w:val="0"/>
              <w:snapToGrid w:val="0"/>
              <w:spacing w:line="360" w:lineRule="exact"/>
              <w:jc w:val="center"/>
              <w:rPr>
                <w:rFonts w:ascii="宋体" w:hAnsi="宋体"/>
                <w:color w:val="auto"/>
                <w:szCs w:val="21"/>
              </w:rPr>
            </w:pPr>
            <w:r>
              <w:rPr>
                <w:rFonts w:hint="eastAsia" w:ascii="宋体" w:hAnsi="宋体"/>
                <w:color w:val="auto"/>
                <w:szCs w:val="21"/>
              </w:rPr>
              <w:t>响应时间</w:t>
            </w:r>
          </w:p>
        </w:tc>
        <w:tc>
          <w:tcPr>
            <w:tcW w:w="5171" w:type="dxa"/>
            <w:vAlign w:val="center"/>
          </w:tcPr>
          <w:p w14:paraId="43868134">
            <w:pPr>
              <w:adjustRightInd w:val="0"/>
              <w:snapToGrid w:val="0"/>
              <w:spacing w:line="360" w:lineRule="exact"/>
              <w:jc w:val="both"/>
              <w:rPr>
                <w:rFonts w:hint="eastAsia"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w:t>
            </w:r>
          </w:p>
        </w:tc>
      </w:tr>
      <w:tr w14:paraId="614F3B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1701" w:type="dxa"/>
            <w:vAlign w:val="center"/>
          </w:tcPr>
          <w:p w14:paraId="5979E7DC">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385419F9">
            <w:pPr>
              <w:adjustRightInd w:val="0"/>
              <w:snapToGrid w:val="0"/>
              <w:spacing w:line="360" w:lineRule="exact"/>
              <w:jc w:val="center"/>
              <w:rPr>
                <w:rFonts w:ascii="宋体" w:hAnsi="宋体"/>
                <w:color w:val="auto"/>
                <w:szCs w:val="21"/>
              </w:rPr>
            </w:pPr>
            <w:r>
              <w:rPr>
                <w:rFonts w:hint="eastAsia" w:ascii="宋体" w:hAnsi="宋体"/>
                <w:color w:val="auto"/>
                <w:szCs w:val="21"/>
              </w:rPr>
              <w:t>第13.5款</w:t>
            </w:r>
          </w:p>
        </w:tc>
        <w:tc>
          <w:tcPr>
            <w:tcW w:w="1843" w:type="dxa"/>
            <w:vAlign w:val="center"/>
          </w:tcPr>
          <w:p w14:paraId="411722B7">
            <w:pPr>
              <w:adjustRightInd w:val="0"/>
              <w:snapToGrid w:val="0"/>
              <w:spacing w:line="360" w:lineRule="exact"/>
              <w:jc w:val="center"/>
              <w:rPr>
                <w:rFonts w:ascii="宋体" w:hAnsi="宋体"/>
                <w:color w:val="auto"/>
                <w:szCs w:val="21"/>
              </w:rPr>
            </w:pPr>
            <w:r>
              <w:rPr>
                <w:rFonts w:hint="eastAsia" w:ascii="宋体" w:hAnsi="宋体"/>
                <w:color w:val="auto"/>
                <w:szCs w:val="21"/>
              </w:rPr>
              <w:t>合同价款支付方式</w:t>
            </w:r>
            <w:r>
              <w:rPr>
                <w:rFonts w:hint="eastAsia" w:ascii="宋体" w:hAnsi="宋体"/>
                <w:bCs/>
                <w:color w:val="auto"/>
                <w:szCs w:val="21"/>
              </w:rPr>
              <w:t>和条件</w:t>
            </w:r>
          </w:p>
        </w:tc>
        <w:tc>
          <w:tcPr>
            <w:tcW w:w="5171" w:type="dxa"/>
            <w:vAlign w:val="center"/>
          </w:tcPr>
          <w:p w14:paraId="184758E9">
            <w:pPr>
              <w:pStyle w:val="192"/>
              <w:keepNext w:val="0"/>
              <w:keepLines w:val="0"/>
              <w:pageBreakBefore w:val="0"/>
              <w:widowControl w:val="0"/>
              <w:kinsoku/>
              <w:overflowPunct/>
              <w:topLinePunct w:val="0"/>
              <w:autoSpaceDE/>
              <w:autoSpaceDN/>
              <w:bidi w:val="0"/>
              <w:spacing w:line="240" w:lineRule="auto"/>
              <w:textAlignment w:val="auto"/>
              <w:rPr>
                <w:rFonts w:hint="eastAsia"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w:t>
            </w:r>
          </w:p>
        </w:tc>
      </w:tr>
      <w:tr w14:paraId="0BA311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71D0CE10">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50B86C63">
            <w:pPr>
              <w:adjustRightInd w:val="0"/>
              <w:snapToGrid w:val="0"/>
              <w:spacing w:line="360" w:lineRule="exact"/>
              <w:jc w:val="center"/>
              <w:rPr>
                <w:rFonts w:ascii="宋体" w:hAnsi="宋体"/>
                <w:color w:val="auto"/>
                <w:szCs w:val="21"/>
              </w:rPr>
            </w:pPr>
            <w:r>
              <w:rPr>
                <w:rFonts w:hint="eastAsia" w:ascii="宋体" w:hAnsi="宋体"/>
                <w:color w:val="auto"/>
                <w:szCs w:val="21"/>
              </w:rPr>
              <w:t>第14.2（5）项</w:t>
            </w:r>
          </w:p>
        </w:tc>
        <w:tc>
          <w:tcPr>
            <w:tcW w:w="1843" w:type="dxa"/>
            <w:vAlign w:val="center"/>
          </w:tcPr>
          <w:p w14:paraId="5B952363">
            <w:pPr>
              <w:adjustRightInd w:val="0"/>
              <w:snapToGrid w:val="0"/>
              <w:spacing w:line="360" w:lineRule="exact"/>
              <w:jc w:val="center"/>
              <w:rPr>
                <w:rFonts w:ascii="宋体" w:hAnsi="宋体"/>
                <w:color w:val="auto"/>
                <w:szCs w:val="21"/>
              </w:rPr>
            </w:pPr>
            <w:r>
              <w:rPr>
                <w:rFonts w:hint="eastAsia" w:ascii="宋体" w:hAnsi="宋体"/>
                <w:color w:val="auto"/>
                <w:szCs w:val="21"/>
              </w:rPr>
              <w:t>伴随服务</w:t>
            </w:r>
          </w:p>
        </w:tc>
        <w:tc>
          <w:tcPr>
            <w:tcW w:w="5171" w:type="dxa"/>
            <w:vAlign w:val="center"/>
          </w:tcPr>
          <w:p w14:paraId="32C6976D">
            <w:pPr>
              <w:adjustRightInd w:val="0"/>
              <w:snapToGrid w:val="0"/>
              <w:spacing w:line="360" w:lineRule="exact"/>
              <w:jc w:val="both"/>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第五章 采购需求</w:t>
            </w:r>
          </w:p>
        </w:tc>
      </w:tr>
      <w:tr w14:paraId="5DA577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54003DB0">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032B89C8">
            <w:pPr>
              <w:adjustRightInd w:val="0"/>
              <w:snapToGrid w:val="0"/>
              <w:spacing w:line="360" w:lineRule="exact"/>
              <w:jc w:val="center"/>
              <w:rPr>
                <w:rFonts w:ascii="宋体" w:hAnsi="宋体"/>
                <w:bCs/>
                <w:color w:val="auto"/>
                <w:szCs w:val="21"/>
              </w:rPr>
            </w:pPr>
            <w:r>
              <w:rPr>
                <w:rFonts w:hint="eastAsia" w:ascii="宋体" w:hAnsi="宋体"/>
                <w:color w:val="auto"/>
                <w:szCs w:val="21"/>
              </w:rPr>
              <w:t>第20.2款</w:t>
            </w:r>
          </w:p>
        </w:tc>
        <w:tc>
          <w:tcPr>
            <w:tcW w:w="1843" w:type="dxa"/>
            <w:vAlign w:val="center"/>
          </w:tcPr>
          <w:p w14:paraId="6C8DD0C8">
            <w:pPr>
              <w:adjustRightInd w:val="0"/>
              <w:snapToGrid w:val="0"/>
              <w:spacing w:line="360" w:lineRule="exact"/>
              <w:jc w:val="center"/>
              <w:rPr>
                <w:rFonts w:ascii="宋体" w:hAnsi="宋体"/>
                <w:bCs/>
                <w:color w:val="auto"/>
                <w:szCs w:val="21"/>
              </w:rPr>
            </w:pPr>
            <w:r>
              <w:rPr>
                <w:rFonts w:hint="eastAsia" w:ascii="宋体" w:hAnsi="宋体"/>
                <w:color w:val="auto"/>
                <w:szCs w:val="21"/>
              </w:rPr>
              <w:t>解决争议的方式</w:t>
            </w:r>
          </w:p>
        </w:tc>
        <w:tc>
          <w:tcPr>
            <w:tcW w:w="5171" w:type="dxa"/>
            <w:vAlign w:val="center"/>
          </w:tcPr>
          <w:p w14:paraId="196E233F">
            <w:pPr>
              <w:adjustRightInd w:val="0"/>
              <w:snapToGrid w:val="0"/>
              <w:spacing w:line="360" w:lineRule="exact"/>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诉讼</w:t>
            </w:r>
          </w:p>
        </w:tc>
      </w:tr>
      <w:tr w14:paraId="4D6951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45836F5D">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65D7AAA8">
            <w:pPr>
              <w:adjustRightInd w:val="0"/>
              <w:snapToGrid w:val="0"/>
              <w:spacing w:line="360" w:lineRule="exact"/>
              <w:jc w:val="center"/>
              <w:rPr>
                <w:rFonts w:ascii="宋体" w:hAnsi="宋体"/>
                <w:color w:val="auto"/>
                <w:szCs w:val="21"/>
              </w:rPr>
            </w:pPr>
            <w:r>
              <w:rPr>
                <w:rFonts w:hint="eastAsia" w:ascii="宋体" w:hAnsi="宋体"/>
                <w:color w:val="auto"/>
                <w:szCs w:val="21"/>
              </w:rPr>
              <w:t>第23.1款</w:t>
            </w:r>
          </w:p>
        </w:tc>
        <w:tc>
          <w:tcPr>
            <w:tcW w:w="1843" w:type="dxa"/>
            <w:vAlign w:val="center"/>
          </w:tcPr>
          <w:p w14:paraId="565DAAA4">
            <w:pPr>
              <w:adjustRightInd w:val="0"/>
              <w:snapToGrid w:val="0"/>
              <w:spacing w:line="360" w:lineRule="exact"/>
              <w:jc w:val="center"/>
              <w:rPr>
                <w:rFonts w:ascii="宋体" w:hAnsi="宋体"/>
                <w:color w:val="auto"/>
                <w:szCs w:val="21"/>
              </w:rPr>
            </w:pPr>
            <w:r>
              <w:rPr>
                <w:rFonts w:hint="eastAsia" w:ascii="宋体" w:hAnsi="宋体"/>
                <w:bCs/>
                <w:color w:val="auto"/>
                <w:szCs w:val="21"/>
              </w:rPr>
              <w:t>合同未尽事项</w:t>
            </w:r>
          </w:p>
        </w:tc>
        <w:tc>
          <w:tcPr>
            <w:tcW w:w="5171" w:type="dxa"/>
            <w:vAlign w:val="center"/>
          </w:tcPr>
          <w:p w14:paraId="0CC0A2BE">
            <w:pPr>
              <w:adjustRightInd w:val="0"/>
              <w:snapToGrid w:val="0"/>
              <w:spacing w:line="360" w:lineRule="exact"/>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协商解决</w:t>
            </w:r>
          </w:p>
        </w:tc>
      </w:tr>
    </w:tbl>
    <w:p w14:paraId="4235B701">
      <w:pPr>
        <w:pStyle w:val="22"/>
        <w:adjustRightInd w:val="0"/>
        <w:snapToGrid w:val="0"/>
        <w:spacing w:before="156" w:beforeLines="50" w:line="360" w:lineRule="auto"/>
        <w:jc w:val="center"/>
        <w:outlineLvl w:val="0"/>
        <w:rPr>
          <w:rFonts w:ascii="黑体" w:hAnsi="华文中宋" w:eastAsia="黑体"/>
          <w:b/>
          <w:color w:val="auto"/>
          <w:sz w:val="32"/>
          <w:szCs w:val="32"/>
        </w:rPr>
      </w:pPr>
      <w:r>
        <w:rPr>
          <w:rFonts w:hAnsi="宋体"/>
          <w:b/>
          <w:bCs/>
          <w:color w:val="auto"/>
          <w:sz w:val="52"/>
          <w:szCs w:val="30"/>
        </w:rPr>
        <w:br w:type="page"/>
      </w:r>
      <w:bookmarkStart w:id="1269" w:name="_Toc14155"/>
      <w:bookmarkStart w:id="1270" w:name="_Toc154428435"/>
      <w:bookmarkStart w:id="1271" w:name="_Toc117192496"/>
      <w:bookmarkStart w:id="1272" w:name="_Toc2174"/>
      <w:bookmarkStart w:id="1273" w:name="_Toc171273717"/>
      <w:bookmarkStart w:id="1274" w:name="_Toc22663"/>
      <w:bookmarkStart w:id="1275" w:name="_Toc23782"/>
      <w:bookmarkStart w:id="1276" w:name="_Toc100670471"/>
      <w:bookmarkStart w:id="1277" w:name="_Toc78314310"/>
      <w:bookmarkStart w:id="1278" w:name="_Toc75289278"/>
      <w:bookmarkStart w:id="1279" w:name="_Toc23728"/>
      <w:bookmarkStart w:id="1280" w:name="_Toc100670719"/>
      <w:bookmarkStart w:id="1281" w:name="_Toc85972976"/>
      <w:bookmarkStart w:id="1282" w:name="_Toc12984"/>
      <w:bookmarkStart w:id="1283" w:name="_Toc192949747"/>
      <w:bookmarkStart w:id="1284" w:name="_Toc77676514"/>
      <w:bookmarkStart w:id="1285" w:name="_Toc75289596"/>
      <w:bookmarkStart w:id="1286" w:name="_Toc31426"/>
      <w:bookmarkStart w:id="1287" w:name="_Toc94367926"/>
      <w:bookmarkStart w:id="1288" w:name="_Toc192951258"/>
      <w:bookmarkStart w:id="1289" w:name="_Toc77199450"/>
      <w:bookmarkStart w:id="1290" w:name="_Toc15888526"/>
      <w:bookmarkStart w:id="1291" w:name="_Toc108341986"/>
      <w:bookmarkStart w:id="1292" w:name="_Toc78450003"/>
      <w:bookmarkStart w:id="1293" w:name="_Toc95601411"/>
      <w:bookmarkStart w:id="1294" w:name="_Toc114036760"/>
      <w:bookmarkStart w:id="1295" w:name="_Toc20293"/>
      <w:bookmarkStart w:id="1296" w:name="_Toc112704989"/>
      <w:bookmarkStart w:id="1297" w:name="_Toc192949648"/>
      <w:bookmarkStart w:id="1298" w:name="_Toc7687"/>
      <w:r>
        <w:rPr>
          <w:rFonts w:hint="eastAsia" w:ascii="黑体" w:hAnsi="华文中宋" w:eastAsia="黑体"/>
          <w:b/>
          <w:color w:val="auto"/>
          <w:sz w:val="32"/>
          <w:szCs w:val="32"/>
        </w:rPr>
        <w:t>第七章 投标文件的组成</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68FE089F">
      <w:pPr>
        <w:adjustRightInd w:val="0"/>
        <w:snapToGrid w:val="0"/>
        <w:spacing w:line="360" w:lineRule="auto"/>
        <w:ind w:left="-88" w:leftChars="-42"/>
        <w:jc w:val="center"/>
        <w:rPr>
          <w:b/>
          <w:bCs/>
          <w:color w:val="auto"/>
          <w:szCs w:val="21"/>
        </w:rPr>
      </w:pPr>
    </w:p>
    <w:p w14:paraId="57C78EBA">
      <w:pPr>
        <w:adjustRightInd w:val="0"/>
        <w:snapToGrid w:val="0"/>
        <w:spacing w:before="156" w:beforeLines="50" w:line="360" w:lineRule="auto"/>
        <w:jc w:val="left"/>
        <w:rPr>
          <w:rFonts w:ascii="宋体" w:hAnsi="宋体"/>
          <w:b/>
          <w:color w:val="auto"/>
          <w:szCs w:val="21"/>
        </w:rPr>
      </w:pPr>
      <w:r>
        <w:rPr>
          <w:rFonts w:hint="eastAsia" w:ascii="宋体" w:hAnsi="宋体"/>
          <w:b/>
          <w:color w:val="auto"/>
          <w:szCs w:val="21"/>
        </w:rPr>
        <w:t>第一部分 资格证明文件</w:t>
      </w:r>
    </w:p>
    <w:p w14:paraId="5ED99488">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一、开标一览表</w:t>
      </w:r>
    </w:p>
    <w:p w14:paraId="781176DD">
      <w:pPr>
        <w:adjustRightInd w:val="0"/>
        <w:snapToGrid w:val="0"/>
        <w:spacing w:before="156" w:beforeLines="50" w:line="360" w:lineRule="auto"/>
        <w:ind w:firstLine="420" w:firstLineChars="200"/>
        <w:jc w:val="left"/>
        <w:rPr>
          <w:rFonts w:hint="eastAsia" w:ascii="宋体" w:hAnsi="宋体" w:eastAsia="宋体" w:cs="Times New Roman"/>
          <w:color w:val="auto"/>
          <w:szCs w:val="21"/>
        </w:rPr>
      </w:pPr>
      <w:r>
        <w:rPr>
          <w:rFonts w:hint="eastAsia" w:ascii="宋体" w:hAnsi="宋体" w:eastAsia="宋体" w:cs="Times New Roman"/>
          <w:color w:val="auto"/>
          <w:szCs w:val="21"/>
        </w:rPr>
        <w:t>二、投标保证金</w:t>
      </w:r>
    </w:p>
    <w:p w14:paraId="6A571D15">
      <w:pPr>
        <w:tabs>
          <w:tab w:val="left" w:pos="386"/>
        </w:tabs>
        <w:adjustRightInd w:val="0"/>
        <w:snapToGrid w:val="0"/>
        <w:spacing w:before="156" w:beforeLines="50" w:line="360" w:lineRule="auto"/>
        <w:ind w:firstLine="420" w:firstLineChars="200"/>
        <w:jc w:val="left"/>
        <w:rPr>
          <w:rFonts w:hint="default" w:ascii="宋体" w:hAnsi="宋体" w:eastAsia="宋体"/>
          <w:color w:val="auto"/>
          <w:szCs w:val="21"/>
          <w:lang w:val="en-US" w:eastAsia="zh-CN"/>
        </w:rPr>
      </w:pPr>
      <w:r>
        <w:rPr>
          <w:rFonts w:hint="eastAsia" w:ascii="宋体" w:hAnsi="宋体"/>
          <w:color w:val="auto"/>
          <w:szCs w:val="21"/>
          <w:lang w:val="en-US" w:eastAsia="zh-CN"/>
        </w:rPr>
        <w:t>三</w:t>
      </w:r>
      <w:r>
        <w:rPr>
          <w:rFonts w:hint="eastAsia" w:ascii="宋体" w:hAnsi="宋体"/>
          <w:color w:val="auto"/>
          <w:szCs w:val="21"/>
        </w:rPr>
        <w:t>、授权委托书</w:t>
      </w:r>
    </w:p>
    <w:p w14:paraId="2CCEF1B3">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四</w:t>
      </w:r>
      <w:r>
        <w:rPr>
          <w:rFonts w:hint="eastAsia" w:ascii="宋体" w:hAnsi="宋体"/>
          <w:color w:val="auto"/>
          <w:szCs w:val="21"/>
        </w:rPr>
        <w:t>、投标人提供的资格证明文件</w:t>
      </w:r>
    </w:p>
    <w:p w14:paraId="00C7C9EC">
      <w:pPr>
        <w:adjustRightInd w:val="0"/>
        <w:snapToGrid w:val="0"/>
        <w:spacing w:before="156" w:beforeLines="50" w:line="360" w:lineRule="auto"/>
        <w:jc w:val="left"/>
        <w:rPr>
          <w:rFonts w:ascii="宋体" w:hAnsi="宋体"/>
          <w:b/>
          <w:color w:val="auto"/>
          <w:szCs w:val="21"/>
        </w:rPr>
      </w:pPr>
      <w:r>
        <w:rPr>
          <w:rFonts w:hint="eastAsia" w:ascii="宋体" w:hAnsi="宋体"/>
          <w:b/>
          <w:color w:val="auto"/>
          <w:szCs w:val="21"/>
        </w:rPr>
        <w:t>第二部分 商务技术文件</w:t>
      </w:r>
    </w:p>
    <w:p w14:paraId="24208444">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五</w:t>
      </w:r>
      <w:r>
        <w:rPr>
          <w:rFonts w:hint="eastAsia" w:ascii="宋体" w:hAnsi="宋体"/>
          <w:color w:val="auto"/>
          <w:szCs w:val="21"/>
        </w:rPr>
        <w:t>、投标函</w:t>
      </w:r>
    </w:p>
    <w:p w14:paraId="09DFB2A5">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六</w:t>
      </w:r>
      <w:r>
        <w:rPr>
          <w:rFonts w:hint="eastAsia" w:ascii="宋体" w:hAnsi="宋体"/>
          <w:color w:val="auto"/>
          <w:szCs w:val="21"/>
        </w:rPr>
        <w:t>、分项报价</w:t>
      </w:r>
    </w:p>
    <w:p w14:paraId="1182D6DE">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七</w:t>
      </w:r>
      <w:r>
        <w:rPr>
          <w:rFonts w:hint="eastAsia" w:ascii="宋体" w:hAnsi="宋体"/>
          <w:color w:val="auto"/>
          <w:szCs w:val="21"/>
        </w:rPr>
        <w:t>、采购需求响应</w:t>
      </w:r>
    </w:p>
    <w:p w14:paraId="7EA73796">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八</w:t>
      </w:r>
      <w:r>
        <w:rPr>
          <w:rFonts w:hint="eastAsia" w:ascii="宋体" w:hAnsi="宋体"/>
          <w:color w:val="auto"/>
          <w:szCs w:val="21"/>
        </w:rPr>
        <w:t>、合同条款偏离表</w:t>
      </w:r>
    </w:p>
    <w:p w14:paraId="68412939">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九</w:t>
      </w:r>
      <w:r>
        <w:rPr>
          <w:rFonts w:hint="eastAsia" w:ascii="宋体" w:hAnsi="宋体"/>
          <w:color w:val="auto"/>
          <w:szCs w:val="21"/>
        </w:rPr>
        <w:t>、采购需求偏离表</w:t>
      </w:r>
    </w:p>
    <w:p w14:paraId="73E26FFD">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十</w:t>
      </w:r>
      <w:r>
        <w:rPr>
          <w:rFonts w:hint="eastAsia" w:ascii="宋体" w:hAnsi="宋体"/>
          <w:color w:val="auto"/>
          <w:szCs w:val="21"/>
        </w:rPr>
        <w:t>、享受政府采购政策优惠的证明资料和清单表</w:t>
      </w:r>
    </w:p>
    <w:p w14:paraId="64FD6366">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十一、投标货物符合招标文件规定的证明文件</w:t>
      </w:r>
    </w:p>
    <w:p w14:paraId="7EE2BBF2">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十二、投标人认为需提供的其他资料</w:t>
      </w:r>
    </w:p>
    <w:p w14:paraId="22B50D09">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注：投标人可编制资格审查索引表、符合性审查索引表、评审索引表，以便采购人及采购代理机构资格审查和评标委员会评审。</w:t>
      </w:r>
    </w:p>
    <w:p w14:paraId="69AF0522">
      <w:pPr>
        <w:adjustRightInd w:val="0"/>
        <w:snapToGrid w:val="0"/>
        <w:spacing w:line="360" w:lineRule="auto"/>
        <w:jc w:val="center"/>
        <w:rPr>
          <w:rFonts w:ascii="仿宋_GB2312" w:hAnsi="宋体" w:eastAsia="仿宋_GB2312"/>
          <w:color w:val="auto"/>
          <w:szCs w:val="21"/>
        </w:rPr>
      </w:pPr>
    </w:p>
    <w:p w14:paraId="00BBEAAF">
      <w:pPr>
        <w:adjustRightInd w:val="0"/>
        <w:snapToGrid w:val="0"/>
        <w:spacing w:line="360" w:lineRule="auto"/>
        <w:jc w:val="center"/>
        <w:rPr>
          <w:rFonts w:ascii="黑体" w:eastAsia="黑体"/>
          <w:color w:val="auto"/>
          <w:sz w:val="32"/>
          <w:szCs w:val="32"/>
        </w:rPr>
      </w:pPr>
      <w:r>
        <w:rPr>
          <w:rFonts w:ascii="仿宋_GB2312" w:hAnsi="宋体" w:eastAsia="仿宋_GB2312"/>
          <w:color w:val="auto"/>
          <w:szCs w:val="21"/>
        </w:rPr>
        <w:br w:type="page"/>
      </w:r>
    </w:p>
    <w:p w14:paraId="565E2B5E">
      <w:pPr>
        <w:adjustRightInd w:val="0"/>
        <w:snapToGrid w:val="0"/>
        <w:spacing w:line="360" w:lineRule="auto"/>
        <w:jc w:val="center"/>
        <w:rPr>
          <w:rFonts w:ascii="黑体" w:eastAsia="黑体"/>
          <w:color w:val="auto"/>
          <w:sz w:val="32"/>
          <w:szCs w:val="32"/>
        </w:rPr>
      </w:pPr>
    </w:p>
    <w:p w14:paraId="54D85394">
      <w:pPr>
        <w:adjustRightInd w:val="0"/>
        <w:snapToGrid w:val="0"/>
        <w:spacing w:line="360" w:lineRule="auto"/>
        <w:jc w:val="center"/>
        <w:rPr>
          <w:rFonts w:ascii="黑体" w:eastAsia="黑体"/>
          <w:color w:val="auto"/>
          <w:sz w:val="32"/>
          <w:szCs w:val="32"/>
        </w:rPr>
      </w:pPr>
    </w:p>
    <w:p w14:paraId="474553C4">
      <w:pPr>
        <w:pStyle w:val="22"/>
        <w:adjustRightInd w:val="0"/>
        <w:snapToGrid w:val="0"/>
        <w:spacing w:line="360" w:lineRule="auto"/>
        <w:jc w:val="center"/>
        <w:rPr>
          <w:rFonts w:hAnsi="宋体"/>
          <w:b/>
          <w:bCs/>
          <w:color w:val="auto"/>
          <w:sz w:val="72"/>
          <w:szCs w:val="72"/>
        </w:rPr>
      </w:pPr>
      <w:r>
        <w:rPr>
          <w:rFonts w:hint="eastAsia" w:hAnsi="宋体"/>
          <w:b/>
          <w:bCs/>
          <w:color w:val="auto"/>
          <w:sz w:val="72"/>
          <w:szCs w:val="72"/>
        </w:rPr>
        <w:t>政府采购</w:t>
      </w:r>
    </w:p>
    <w:p w14:paraId="44B272E0">
      <w:pPr>
        <w:adjustRightInd w:val="0"/>
        <w:snapToGrid w:val="0"/>
        <w:spacing w:line="360" w:lineRule="auto"/>
        <w:jc w:val="center"/>
        <w:rPr>
          <w:rFonts w:ascii="宋体" w:hAnsi="宋体"/>
          <w:b/>
          <w:bCs/>
          <w:color w:val="auto"/>
          <w:sz w:val="84"/>
          <w:szCs w:val="84"/>
        </w:rPr>
      </w:pPr>
      <w:r>
        <w:rPr>
          <w:rFonts w:hint="eastAsia" w:ascii="宋体" w:hAnsi="宋体"/>
          <w:b/>
          <w:bCs/>
          <w:color w:val="auto"/>
          <w:sz w:val="84"/>
          <w:szCs w:val="84"/>
        </w:rPr>
        <w:t>投 标 文 件</w:t>
      </w:r>
    </w:p>
    <w:p w14:paraId="0A04AC3D">
      <w:pPr>
        <w:pStyle w:val="3"/>
        <w:adjustRightInd w:val="0"/>
        <w:snapToGrid w:val="0"/>
        <w:jc w:val="center"/>
        <w:rPr>
          <w:rFonts w:ascii="黑体" w:hAnsi="黑体" w:eastAsia="黑体"/>
          <w:color w:val="auto"/>
          <w:sz w:val="44"/>
          <w:szCs w:val="44"/>
        </w:rPr>
      </w:pPr>
      <w:bookmarkStart w:id="1299" w:name="_Toc77676515"/>
      <w:bookmarkStart w:id="1300" w:name="_Toc12250"/>
      <w:bookmarkStart w:id="1301" w:name="_Toc100670472"/>
      <w:bookmarkStart w:id="1302" w:name="_Toc100670720"/>
      <w:bookmarkStart w:id="1303" w:name="_Toc171273718"/>
      <w:bookmarkStart w:id="1304" w:name="_Toc154428436"/>
      <w:bookmarkStart w:id="1305" w:name="_Toc192951259"/>
      <w:bookmarkStart w:id="1306" w:name="_Toc1282"/>
      <w:bookmarkStart w:id="1307" w:name="_Toc4447"/>
      <w:bookmarkStart w:id="1308" w:name="_Toc192949649"/>
      <w:bookmarkStart w:id="1309" w:name="_Toc94367927"/>
      <w:bookmarkStart w:id="1310" w:name="_Toc15888527"/>
      <w:bookmarkStart w:id="1311" w:name="_Toc1963"/>
      <w:bookmarkStart w:id="1312" w:name="_Toc108341987"/>
      <w:bookmarkStart w:id="1313" w:name="_Toc75289597"/>
      <w:bookmarkStart w:id="1314" w:name="_Toc77199451"/>
      <w:bookmarkStart w:id="1315" w:name="_Toc22370"/>
      <w:bookmarkStart w:id="1316" w:name="_Toc32025"/>
      <w:bookmarkStart w:id="1317" w:name="_Toc3255"/>
      <w:bookmarkStart w:id="1318" w:name="_Toc78314311"/>
      <w:bookmarkStart w:id="1319" w:name="_Toc27055"/>
      <w:bookmarkStart w:id="1320" w:name="_Toc112704990"/>
      <w:bookmarkStart w:id="1321" w:name="_Toc85972977"/>
      <w:bookmarkStart w:id="1322" w:name="_Toc75289279"/>
      <w:bookmarkStart w:id="1323" w:name="_Toc29425"/>
      <w:bookmarkStart w:id="1324" w:name="_Toc78450004"/>
      <w:bookmarkStart w:id="1325" w:name="_Toc192949748"/>
      <w:bookmarkStart w:id="1326" w:name="_Toc117192497"/>
      <w:bookmarkStart w:id="1327" w:name="_Toc114036761"/>
      <w:bookmarkStart w:id="1328" w:name="_Toc95601412"/>
      <w:r>
        <w:rPr>
          <w:rFonts w:hint="eastAsia" w:ascii="黑体" w:hAnsi="黑体" w:eastAsia="黑体"/>
          <w:color w:val="auto"/>
          <w:sz w:val="44"/>
          <w:szCs w:val="44"/>
        </w:rPr>
        <w:t>第一部分 资格证明文件</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14:paraId="3D90E3BF">
      <w:pPr>
        <w:adjustRightInd w:val="0"/>
        <w:snapToGrid w:val="0"/>
        <w:spacing w:line="360" w:lineRule="auto"/>
        <w:rPr>
          <w:rFonts w:ascii="黑体" w:hAnsi="黑体" w:eastAsia="黑体"/>
          <w:b/>
          <w:color w:val="auto"/>
          <w:sz w:val="32"/>
          <w:szCs w:val="32"/>
        </w:rPr>
      </w:pPr>
    </w:p>
    <w:p w14:paraId="4C7A469E">
      <w:pPr>
        <w:adjustRightInd w:val="0"/>
        <w:snapToGrid w:val="0"/>
        <w:spacing w:line="360" w:lineRule="auto"/>
        <w:rPr>
          <w:rFonts w:ascii="宋体" w:hAnsi="宋体"/>
          <w:b/>
          <w:color w:val="auto"/>
          <w:sz w:val="30"/>
          <w:szCs w:val="30"/>
        </w:rPr>
      </w:pPr>
    </w:p>
    <w:p w14:paraId="73DCF05C">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采购项目名称:</w:t>
      </w:r>
    </w:p>
    <w:p w14:paraId="5DCE4F00">
      <w:pPr>
        <w:pStyle w:val="22"/>
        <w:adjustRightInd w:val="0"/>
        <w:snapToGrid w:val="0"/>
        <w:spacing w:line="360" w:lineRule="auto"/>
        <w:ind w:firstLine="1988" w:firstLineChars="660"/>
        <w:rPr>
          <w:rFonts w:hAnsi="宋体"/>
          <w:b/>
          <w:bCs/>
          <w:color w:val="auto"/>
          <w:sz w:val="30"/>
          <w:szCs w:val="30"/>
        </w:rPr>
      </w:pPr>
      <w:r>
        <w:rPr>
          <w:rFonts w:hint="eastAsia" w:hAnsi="宋体"/>
          <w:b/>
          <w:bCs/>
          <w:color w:val="auto"/>
          <w:sz w:val="30"/>
          <w:szCs w:val="30"/>
        </w:rPr>
        <w:t>采   购   人：</w:t>
      </w:r>
    </w:p>
    <w:p w14:paraId="37B4330A">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政府采购计划编号:</w:t>
      </w:r>
    </w:p>
    <w:p w14:paraId="7122DBF1">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委托代理编号:</w:t>
      </w:r>
    </w:p>
    <w:p w14:paraId="20BDD7AB">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采购代理机构：</w:t>
      </w:r>
    </w:p>
    <w:p w14:paraId="03AC0A56">
      <w:pPr>
        <w:adjustRightInd w:val="0"/>
        <w:snapToGrid w:val="0"/>
        <w:spacing w:line="360" w:lineRule="auto"/>
        <w:rPr>
          <w:rFonts w:ascii="黑体" w:hAnsi="黑体" w:eastAsia="黑体"/>
          <w:color w:val="auto"/>
          <w:sz w:val="30"/>
          <w:szCs w:val="30"/>
        </w:rPr>
      </w:pPr>
    </w:p>
    <w:p w14:paraId="0A94CF87">
      <w:pPr>
        <w:adjustRightInd w:val="0"/>
        <w:snapToGrid w:val="0"/>
        <w:rPr>
          <w:rFonts w:ascii="黑体" w:hAnsi="宋体" w:eastAsia="黑体"/>
          <w:color w:val="auto"/>
          <w:sz w:val="30"/>
          <w:szCs w:val="30"/>
        </w:rPr>
      </w:pPr>
    </w:p>
    <w:p w14:paraId="63127607">
      <w:pPr>
        <w:adjustRightInd w:val="0"/>
        <w:snapToGrid w:val="0"/>
        <w:spacing w:line="360" w:lineRule="auto"/>
        <w:rPr>
          <w:rFonts w:ascii="黑体" w:hAnsi="宋体" w:eastAsia="黑体"/>
          <w:color w:val="auto"/>
          <w:sz w:val="30"/>
          <w:szCs w:val="30"/>
        </w:rPr>
      </w:pPr>
    </w:p>
    <w:p w14:paraId="3E0E1EF4">
      <w:pPr>
        <w:adjustRightInd w:val="0"/>
        <w:snapToGrid w:val="0"/>
        <w:spacing w:line="360" w:lineRule="auto"/>
        <w:rPr>
          <w:rFonts w:ascii="黑体" w:hAnsi="宋体" w:eastAsia="黑体"/>
          <w:color w:val="auto"/>
          <w:sz w:val="30"/>
          <w:szCs w:val="30"/>
        </w:rPr>
      </w:pPr>
    </w:p>
    <w:p w14:paraId="0A6DDD7E">
      <w:pPr>
        <w:adjustRightInd w:val="0"/>
        <w:snapToGrid w:val="0"/>
        <w:spacing w:line="360" w:lineRule="auto"/>
        <w:ind w:firstLine="2464" w:firstLineChars="770"/>
        <w:rPr>
          <w:rFonts w:ascii="黑体" w:hAnsi="宋体" w:eastAsia="黑体"/>
          <w:color w:val="auto"/>
          <w:sz w:val="32"/>
          <w:szCs w:val="32"/>
          <w:u w:val="single"/>
        </w:rPr>
      </w:pPr>
      <w:r>
        <w:rPr>
          <w:rFonts w:hint="eastAsia" w:ascii="黑体" w:hAnsi="宋体" w:eastAsia="黑体"/>
          <w:color w:val="auto"/>
          <w:sz w:val="32"/>
          <w:szCs w:val="32"/>
        </w:rPr>
        <w:t>投标人</w:t>
      </w:r>
    </w:p>
    <w:p w14:paraId="6FC67FE6">
      <w:pPr>
        <w:adjustRightInd w:val="0"/>
        <w:snapToGrid w:val="0"/>
        <w:jc w:val="center"/>
        <w:rPr>
          <w:rFonts w:ascii="黑体" w:hAnsi="宋体" w:eastAsia="黑体"/>
          <w:color w:val="auto"/>
          <w:sz w:val="32"/>
          <w:szCs w:val="32"/>
        </w:rPr>
      </w:pPr>
      <w:r>
        <w:rPr>
          <w:rFonts w:hint="eastAsia" w:ascii="黑体" w:hAnsi="宋体" w:eastAsia="黑体"/>
          <w:color w:val="auto"/>
          <w:sz w:val="32"/>
          <w:szCs w:val="32"/>
        </w:rPr>
        <w:t>年  月  日</w:t>
      </w:r>
    </w:p>
    <w:p w14:paraId="0B709416">
      <w:pPr>
        <w:adjustRightInd w:val="0"/>
        <w:snapToGrid w:val="0"/>
        <w:rPr>
          <w:rFonts w:ascii="黑体" w:hAnsi="宋体" w:eastAsia="黑体"/>
          <w:color w:val="auto"/>
          <w:szCs w:val="21"/>
        </w:rPr>
      </w:pPr>
      <w:r>
        <w:rPr>
          <w:rFonts w:ascii="黑体" w:eastAsia="黑体"/>
          <w:color w:val="auto"/>
          <w:sz w:val="28"/>
          <w:szCs w:val="28"/>
        </w:rPr>
        <w:br w:type="page"/>
      </w:r>
    </w:p>
    <w:p w14:paraId="204C424D">
      <w:pPr>
        <w:pStyle w:val="3"/>
        <w:jc w:val="center"/>
        <w:rPr>
          <w:rFonts w:ascii="黑体" w:hAnsi="宋体" w:eastAsia="黑体"/>
          <w:color w:val="auto"/>
          <w:sz w:val="28"/>
          <w:szCs w:val="28"/>
        </w:rPr>
      </w:pPr>
      <w:bookmarkStart w:id="1329" w:name="_Toc192951260"/>
      <w:bookmarkStart w:id="1330" w:name="_Toc117192498"/>
      <w:bookmarkStart w:id="1331" w:name="_Toc1834"/>
      <w:bookmarkStart w:id="1332" w:name="_Toc192949650"/>
      <w:bookmarkStart w:id="1333" w:name="_Toc6971"/>
      <w:bookmarkStart w:id="1334" w:name="_Toc14832"/>
      <w:bookmarkStart w:id="1335" w:name="_Toc30270"/>
      <w:bookmarkStart w:id="1336" w:name="_Toc171273719"/>
      <w:bookmarkStart w:id="1337" w:name="_Toc20651243"/>
      <w:bookmarkStart w:id="1338" w:name="_Toc78450006"/>
      <w:bookmarkStart w:id="1339" w:name="_Toc77676517"/>
      <w:bookmarkStart w:id="1340" w:name="_Toc108341989"/>
      <w:bookmarkStart w:id="1341" w:name="_Toc78314313"/>
      <w:bookmarkStart w:id="1342" w:name="_Toc95601414"/>
      <w:bookmarkStart w:id="1343" w:name="_Toc154428437"/>
      <w:bookmarkStart w:id="1344" w:name="_Toc94367929"/>
      <w:bookmarkStart w:id="1345" w:name="_Toc77199453"/>
      <w:bookmarkStart w:id="1346" w:name="_Toc1660"/>
      <w:bookmarkStart w:id="1347" w:name="_Toc19753"/>
      <w:bookmarkStart w:id="1348" w:name="_Toc75289599"/>
      <w:bookmarkStart w:id="1349" w:name="_Toc100670474"/>
      <w:bookmarkStart w:id="1350" w:name="_Toc21940"/>
      <w:bookmarkStart w:id="1351" w:name="_Toc114036762"/>
      <w:bookmarkStart w:id="1352" w:name="_Toc100670722"/>
      <w:bookmarkStart w:id="1353" w:name="_Toc112704991"/>
      <w:bookmarkStart w:id="1354" w:name="_Toc192949749"/>
      <w:bookmarkStart w:id="1355" w:name="_Toc85972979"/>
      <w:bookmarkStart w:id="1356" w:name="_Toc3062"/>
      <w:bookmarkStart w:id="1357" w:name="_Toc75289281"/>
      <w:bookmarkStart w:id="1358" w:name="_Toc19340"/>
      <w:r>
        <w:rPr>
          <w:rFonts w:hint="eastAsia" w:ascii="黑体" w:hAnsi="宋体" w:eastAsia="黑体"/>
          <w:color w:val="auto"/>
          <w:sz w:val="28"/>
          <w:szCs w:val="28"/>
        </w:rPr>
        <w:t>一、开标一览表</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14:paraId="49E484FE">
      <w:pPr>
        <w:adjustRightInd w:val="0"/>
        <w:snapToGrid w:val="0"/>
        <w:spacing w:line="360" w:lineRule="auto"/>
        <w:ind w:left="-88" w:leftChars="-42"/>
        <w:jc w:val="center"/>
        <w:rPr>
          <w:rFonts w:ascii="仿宋_GB2312" w:hAnsi="宋体" w:eastAsia="仿宋_GB2312"/>
          <w:color w:val="auto"/>
          <w:sz w:val="24"/>
        </w:rPr>
      </w:pPr>
    </w:p>
    <w:p w14:paraId="3D32D010">
      <w:pPr>
        <w:adjustRightInd w:val="0"/>
        <w:snapToGrid w:val="0"/>
        <w:spacing w:line="360" w:lineRule="auto"/>
        <w:rPr>
          <w:rFonts w:ascii="宋体" w:hAnsi="宋体"/>
          <w:color w:val="auto"/>
          <w:szCs w:val="21"/>
        </w:rPr>
      </w:pPr>
      <w:r>
        <w:rPr>
          <w:rFonts w:hint="eastAsia" w:ascii="宋体" w:hAnsi="宋体"/>
          <w:color w:val="auto"/>
          <w:szCs w:val="21"/>
        </w:rPr>
        <w:t>政府采购计划编号：                   项目名称：</w:t>
      </w:r>
    </w:p>
    <w:p w14:paraId="66637CB1">
      <w:pPr>
        <w:adjustRightInd w:val="0"/>
        <w:snapToGrid w:val="0"/>
        <w:spacing w:line="360" w:lineRule="auto"/>
        <w:rPr>
          <w:rFonts w:ascii="宋体" w:hAnsi="宋体"/>
          <w:b/>
          <w:color w:val="auto"/>
          <w:szCs w:val="21"/>
        </w:rPr>
      </w:pPr>
      <w:r>
        <w:rPr>
          <w:rFonts w:hint="eastAsia" w:ascii="宋体" w:hAnsi="宋体"/>
          <w:color w:val="auto"/>
          <w:szCs w:val="21"/>
        </w:rPr>
        <w:t>包号：                               包名称：</w:t>
      </w:r>
    </w:p>
    <w:tbl>
      <w:tblPr>
        <w:tblStyle w:val="47"/>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860A4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vAlign w:val="center"/>
          </w:tcPr>
          <w:p w14:paraId="2164B5A4">
            <w:pPr>
              <w:adjustRightInd w:val="0"/>
              <w:snapToGrid w:val="0"/>
              <w:spacing w:line="360" w:lineRule="auto"/>
              <w:jc w:val="center"/>
              <w:rPr>
                <w:rFonts w:ascii="宋体" w:hAnsi="宋体"/>
                <w:b/>
                <w:color w:val="auto"/>
                <w:kern w:val="0"/>
                <w:sz w:val="20"/>
                <w:szCs w:val="21"/>
              </w:rPr>
            </w:pPr>
            <w:r>
              <w:rPr>
                <w:rFonts w:hint="eastAsia" w:ascii="宋体" w:hAnsi="宋体"/>
                <w:b/>
                <w:color w:val="auto"/>
                <w:kern w:val="0"/>
                <w:szCs w:val="21"/>
              </w:rPr>
              <w:t>投标报价</w:t>
            </w:r>
          </w:p>
        </w:tc>
        <w:tc>
          <w:tcPr>
            <w:tcW w:w="3119" w:type="dxa"/>
            <w:vAlign w:val="center"/>
          </w:tcPr>
          <w:p w14:paraId="69727E15">
            <w:pPr>
              <w:adjustRightInd w:val="0"/>
              <w:snapToGrid w:val="0"/>
              <w:spacing w:line="360" w:lineRule="auto"/>
              <w:jc w:val="center"/>
              <w:rPr>
                <w:rFonts w:ascii="宋体" w:hAnsi="宋体"/>
                <w:b/>
                <w:color w:val="auto"/>
                <w:kern w:val="0"/>
                <w:szCs w:val="21"/>
              </w:rPr>
            </w:pPr>
            <w:r>
              <w:rPr>
                <w:rFonts w:hint="eastAsia" w:ascii="宋体" w:hAnsi="宋体"/>
                <w:b/>
                <w:color w:val="auto"/>
                <w:kern w:val="0"/>
                <w:szCs w:val="21"/>
              </w:rPr>
              <w:t>其他内容</w:t>
            </w:r>
          </w:p>
        </w:tc>
      </w:tr>
      <w:tr w14:paraId="7BF5EF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vAlign w:val="center"/>
          </w:tcPr>
          <w:p w14:paraId="17A47672">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小写金额：（</w:t>
            </w:r>
            <w:r>
              <w:rPr>
                <w:rFonts w:hint="eastAsia" w:ascii="宋体" w:hAnsi="宋体"/>
                <w:color w:val="auto"/>
                <w:kern w:val="0"/>
                <w:sz w:val="20"/>
                <w:szCs w:val="21"/>
              </w:rPr>
              <w:t>人民币元</w:t>
            </w:r>
            <w:r>
              <w:rPr>
                <w:rFonts w:hint="eastAsia" w:ascii="宋体" w:hAnsi="宋体"/>
                <w:color w:val="auto"/>
                <w:kern w:val="0"/>
                <w:szCs w:val="21"/>
              </w:rPr>
              <w:t>）</w:t>
            </w:r>
          </w:p>
          <w:p w14:paraId="43010B99">
            <w:pPr>
              <w:adjustRightInd w:val="0"/>
              <w:snapToGrid w:val="0"/>
              <w:spacing w:line="360" w:lineRule="auto"/>
              <w:jc w:val="center"/>
              <w:rPr>
                <w:rFonts w:ascii="宋体" w:hAnsi="宋体"/>
                <w:color w:val="auto"/>
                <w:kern w:val="0"/>
                <w:szCs w:val="21"/>
                <w:u w:val="single"/>
              </w:rPr>
            </w:pPr>
            <w:r>
              <w:rPr>
                <w:rFonts w:hint="eastAsia" w:ascii="宋体" w:hAnsi="宋体"/>
                <w:color w:val="auto"/>
                <w:kern w:val="0"/>
                <w:szCs w:val="21"/>
              </w:rPr>
              <w:t>大写金额：（</w:t>
            </w:r>
            <w:r>
              <w:rPr>
                <w:rFonts w:hint="eastAsia" w:ascii="宋体" w:hAnsi="宋体"/>
                <w:color w:val="auto"/>
                <w:kern w:val="0"/>
                <w:sz w:val="20"/>
                <w:szCs w:val="21"/>
              </w:rPr>
              <w:t>人民币元</w:t>
            </w:r>
            <w:r>
              <w:rPr>
                <w:rFonts w:hint="eastAsia" w:ascii="宋体" w:hAnsi="宋体"/>
                <w:color w:val="auto"/>
                <w:kern w:val="0"/>
                <w:szCs w:val="21"/>
              </w:rPr>
              <w:t>）</w:t>
            </w:r>
          </w:p>
          <w:p w14:paraId="6A27DF96">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（大写金额与小写金额不一致时，以大写金额为准）</w:t>
            </w:r>
          </w:p>
        </w:tc>
        <w:tc>
          <w:tcPr>
            <w:tcW w:w="3119" w:type="dxa"/>
            <w:vAlign w:val="center"/>
          </w:tcPr>
          <w:p w14:paraId="17F78DF0">
            <w:pPr>
              <w:adjustRightInd w:val="0"/>
              <w:snapToGrid w:val="0"/>
              <w:spacing w:line="360" w:lineRule="exact"/>
              <w:rPr>
                <w:rFonts w:ascii="宋体" w:hAnsi="宋体"/>
                <w:color w:val="auto"/>
                <w:kern w:val="0"/>
                <w:szCs w:val="21"/>
              </w:rPr>
            </w:pPr>
            <w:r>
              <w:rPr>
                <w:rFonts w:hint="eastAsia" w:ascii="宋体" w:hAnsi="宋体"/>
                <w:color w:val="auto"/>
                <w:kern w:val="0"/>
                <w:szCs w:val="21"/>
              </w:rPr>
              <w:t>交货期：</w:t>
            </w:r>
          </w:p>
          <w:p w14:paraId="5A1FB109">
            <w:pPr>
              <w:rPr>
                <w:color w:val="auto"/>
                <w:szCs w:val="21"/>
              </w:rPr>
            </w:pPr>
            <w:bookmarkStart w:id="1359" w:name="_Toc100670475"/>
            <w:bookmarkStart w:id="1360" w:name="_Toc112704992"/>
            <w:bookmarkStart w:id="1361" w:name="_Toc100670723"/>
            <w:bookmarkStart w:id="1362" w:name="_Toc117192499"/>
            <w:bookmarkStart w:id="1363" w:name="_Toc85972980"/>
            <w:bookmarkStart w:id="1364" w:name="_Toc27278"/>
            <w:bookmarkStart w:id="1365" w:name="_Toc14096"/>
            <w:bookmarkStart w:id="1366" w:name="_Toc7992"/>
            <w:bookmarkStart w:id="1367" w:name="_Toc78314314"/>
            <w:bookmarkStart w:id="1368" w:name="_Toc77676518"/>
            <w:bookmarkStart w:id="1369" w:name="_Toc13868"/>
            <w:bookmarkStart w:id="1370" w:name="_Toc94367930"/>
            <w:bookmarkStart w:id="1371" w:name="_Toc95601415"/>
            <w:bookmarkStart w:id="1372" w:name="_Toc78450007"/>
            <w:bookmarkStart w:id="1373" w:name="_Toc114036763"/>
            <w:bookmarkStart w:id="1374" w:name="_Toc24134"/>
            <w:bookmarkStart w:id="1375" w:name="_Toc108341990"/>
            <w:r>
              <w:rPr>
                <w:rFonts w:hint="eastAsia"/>
                <w:color w:val="auto"/>
                <w:szCs w:val="21"/>
              </w:rPr>
              <w:t>质保期：</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tc>
      </w:tr>
    </w:tbl>
    <w:p w14:paraId="7CE45EEE">
      <w:pPr>
        <w:adjustRightInd w:val="0"/>
        <w:snapToGrid w:val="0"/>
        <w:spacing w:line="360" w:lineRule="auto"/>
        <w:rPr>
          <w:rFonts w:ascii="宋体" w:hAnsi="宋体"/>
          <w:color w:val="auto"/>
          <w:szCs w:val="21"/>
        </w:rPr>
      </w:pPr>
      <w:r>
        <w:rPr>
          <w:rFonts w:hint="eastAsia" w:ascii="宋体" w:hAnsi="宋体"/>
          <w:b/>
          <w:color w:val="auto"/>
          <w:szCs w:val="21"/>
        </w:rPr>
        <w:t>备注：</w:t>
      </w:r>
      <w:r>
        <w:rPr>
          <w:rFonts w:hint="eastAsia" w:ascii="宋体" w:hAnsi="宋体"/>
          <w:color w:val="auto"/>
          <w:szCs w:val="21"/>
        </w:rPr>
        <w:t>1.本表须按包填写，一个“包号”一份。</w:t>
      </w:r>
    </w:p>
    <w:p w14:paraId="52E4CF55">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t>2.</w:t>
      </w:r>
      <w:r>
        <w:rPr>
          <w:rFonts w:hint="eastAsia" w:ascii="宋体" w:hAnsi="宋体"/>
          <w:color w:val="auto"/>
        </w:rPr>
        <w:t>投标人对采购项目内容只允许有一个投标报价，否则其</w:t>
      </w:r>
      <w:r>
        <w:rPr>
          <w:rFonts w:hint="eastAsia" w:ascii="宋体" w:hAnsi="宋体"/>
          <w:b/>
          <w:color w:val="auto"/>
        </w:rPr>
        <w:t>投标无效</w:t>
      </w:r>
      <w:r>
        <w:rPr>
          <w:rFonts w:hint="eastAsia" w:ascii="宋体" w:hAnsi="宋体"/>
          <w:color w:val="auto"/>
          <w:szCs w:val="21"/>
        </w:rPr>
        <w:t>。</w:t>
      </w:r>
    </w:p>
    <w:p w14:paraId="598B78A8">
      <w:pPr>
        <w:adjustRightInd w:val="0"/>
        <w:snapToGrid w:val="0"/>
        <w:spacing w:line="360" w:lineRule="auto"/>
        <w:ind w:firstLine="630" w:firstLineChars="300"/>
        <w:rPr>
          <w:rFonts w:ascii="宋体" w:hAnsi="宋体"/>
          <w:color w:val="auto"/>
        </w:rPr>
      </w:pPr>
      <w:r>
        <w:rPr>
          <w:rFonts w:hint="eastAsia" w:ascii="宋体" w:hAnsi="宋体"/>
          <w:color w:val="auto"/>
          <w:szCs w:val="21"/>
        </w:rPr>
        <w:t>3.</w:t>
      </w:r>
      <w:r>
        <w:rPr>
          <w:rFonts w:hint="eastAsia" w:ascii="宋体" w:hAnsi="宋体"/>
          <w:color w:val="auto"/>
        </w:rPr>
        <w:t>投标人在投标截止时间前修改“开标一览表”中的投标报价的，应同时修改投标文件“分项报价明细表”“享受政府采购政策优惠的证明资料”以及“联合体协议书”（如果影响）等相关内容。</w:t>
      </w:r>
    </w:p>
    <w:p w14:paraId="560DBC9F">
      <w:pPr>
        <w:adjustRightInd w:val="0"/>
        <w:snapToGrid w:val="0"/>
        <w:spacing w:line="360" w:lineRule="auto"/>
        <w:ind w:firstLine="420" w:firstLineChars="200"/>
        <w:rPr>
          <w:rFonts w:ascii="宋体" w:hAnsi="宋体"/>
          <w:color w:val="auto"/>
          <w:szCs w:val="21"/>
        </w:rPr>
      </w:pPr>
    </w:p>
    <w:p w14:paraId="134D11AA">
      <w:pPr>
        <w:adjustRightInd w:val="0"/>
        <w:snapToGrid w:val="0"/>
        <w:spacing w:line="360" w:lineRule="auto"/>
        <w:ind w:firstLine="420" w:firstLineChars="200"/>
        <w:rPr>
          <w:rFonts w:ascii="宋体" w:hAnsi="宋体"/>
          <w:color w:val="auto"/>
          <w:szCs w:val="21"/>
        </w:rPr>
      </w:pPr>
    </w:p>
    <w:p w14:paraId="79487BE6">
      <w:pPr>
        <w:adjustRightInd w:val="0"/>
        <w:snapToGrid w:val="0"/>
        <w:spacing w:line="360" w:lineRule="auto"/>
        <w:rPr>
          <w:rFonts w:ascii="宋体" w:hAnsi="宋体"/>
          <w:color w:val="auto"/>
          <w:szCs w:val="21"/>
        </w:rPr>
      </w:pPr>
    </w:p>
    <w:p w14:paraId="514AF8C0">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6E955B0F">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或其授权的代理人（签字或印章）：_</w:t>
      </w:r>
    </w:p>
    <w:p w14:paraId="22334085">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1BEE4E78">
      <w:pPr>
        <w:widowControl/>
        <w:jc w:val="left"/>
        <w:rPr>
          <w:rFonts w:ascii="宋体" w:hAnsi="宋体"/>
          <w:color w:val="auto"/>
          <w:szCs w:val="21"/>
        </w:rPr>
      </w:pPr>
      <w:r>
        <w:rPr>
          <w:rFonts w:ascii="宋体" w:hAnsi="宋体"/>
          <w:color w:val="auto"/>
          <w:szCs w:val="21"/>
        </w:rPr>
        <w:br w:type="page"/>
      </w:r>
    </w:p>
    <w:p w14:paraId="1BBD4D0B">
      <w:pPr>
        <w:pStyle w:val="3"/>
        <w:jc w:val="center"/>
        <w:rPr>
          <w:rFonts w:ascii="黑体" w:hAnsi="黑体" w:eastAsia="黑体"/>
          <w:color w:val="auto"/>
          <w:sz w:val="28"/>
          <w:szCs w:val="28"/>
        </w:rPr>
      </w:pPr>
      <w:bookmarkStart w:id="1376" w:name="_Toc7143"/>
      <w:bookmarkStart w:id="1377" w:name="_Toc154428438"/>
      <w:bookmarkStart w:id="1378" w:name="_Toc192951261"/>
      <w:bookmarkStart w:id="1379" w:name="_Toc171273720"/>
      <w:bookmarkStart w:id="1380" w:name="_Toc100670476"/>
      <w:bookmarkStart w:id="1381" w:name="_Toc32667"/>
      <w:bookmarkStart w:id="1382" w:name="_Toc94367932"/>
      <w:bookmarkStart w:id="1383" w:name="_Toc6715"/>
      <w:bookmarkStart w:id="1384" w:name="_Toc77199455"/>
      <w:bookmarkStart w:id="1385" w:name="_Toc117192500"/>
      <w:bookmarkStart w:id="1386" w:name="_Toc17876"/>
      <w:bookmarkStart w:id="1387" w:name="_Toc78450009"/>
      <w:bookmarkStart w:id="1388" w:name="_Toc100670724"/>
      <w:bookmarkStart w:id="1389" w:name="_Toc112704993"/>
      <w:bookmarkStart w:id="1390" w:name="_Toc27540"/>
      <w:bookmarkStart w:id="1391" w:name="_Toc75289283"/>
      <w:bookmarkStart w:id="1392" w:name="_Toc77676520"/>
      <w:bookmarkStart w:id="1393" w:name="_Toc95601417"/>
      <w:bookmarkStart w:id="1394" w:name="_Toc192949651"/>
      <w:bookmarkStart w:id="1395" w:name="_Toc4949"/>
      <w:bookmarkStart w:id="1396" w:name="_Toc75289601"/>
      <w:bookmarkStart w:id="1397" w:name="_Toc85972982"/>
      <w:bookmarkStart w:id="1398" w:name="_Toc5163"/>
      <w:bookmarkStart w:id="1399" w:name="_Toc108341991"/>
      <w:bookmarkStart w:id="1400" w:name="_Toc78314316"/>
      <w:bookmarkStart w:id="1401" w:name="_Toc192949750"/>
      <w:bookmarkStart w:id="1402" w:name="_Toc11374"/>
      <w:bookmarkStart w:id="1403" w:name="_Toc31855"/>
      <w:bookmarkStart w:id="1404" w:name="_Toc20651246"/>
      <w:bookmarkStart w:id="1405" w:name="_Toc114036764"/>
      <w:r>
        <w:rPr>
          <w:rFonts w:hint="eastAsia" w:ascii="黑体" w:hAnsi="黑体" w:eastAsia="黑体"/>
          <w:color w:val="auto"/>
          <w:sz w:val="28"/>
          <w:szCs w:val="28"/>
        </w:rPr>
        <w:t>二、投标保证金</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14:paraId="227D8914">
      <w:pPr>
        <w:tabs>
          <w:tab w:val="left" w:pos="3880"/>
        </w:tabs>
        <w:autoSpaceDE w:val="0"/>
        <w:autoSpaceDN w:val="0"/>
        <w:adjustRightInd w:val="0"/>
        <w:snapToGrid w:val="0"/>
        <w:spacing w:line="360" w:lineRule="auto"/>
        <w:ind w:left="100" w:right="-20"/>
        <w:jc w:val="left"/>
        <w:rPr>
          <w:rFonts w:ascii="宋体" w:hAnsi="宋体" w:cs="微软雅黑"/>
          <w:color w:val="auto"/>
          <w:kern w:val="0"/>
          <w:position w:val="-4"/>
          <w:szCs w:val="21"/>
        </w:rPr>
      </w:pPr>
    </w:p>
    <w:p w14:paraId="18F506AB">
      <w:pPr>
        <w:adjustRightInd w:val="0"/>
        <w:snapToGrid w:val="0"/>
        <w:spacing w:line="360" w:lineRule="auto"/>
        <w:ind w:right="420"/>
        <w:jc w:val="center"/>
        <w:rPr>
          <w:rFonts w:ascii="宋体" w:hAnsi="宋体" w:cs="微软雅黑"/>
          <w:color w:val="auto"/>
          <w:kern w:val="0"/>
          <w:position w:val="-4"/>
          <w:sz w:val="24"/>
        </w:rPr>
      </w:pPr>
      <w:r>
        <w:rPr>
          <w:rFonts w:hint="eastAsia" w:ascii="宋体" w:hAnsi="宋体" w:cs="微软雅黑"/>
          <w:color w:val="auto"/>
          <w:kern w:val="0"/>
          <w:position w:val="-4"/>
          <w:sz w:val="24"/>
        </w:rPr>
        <w:t>（不作要求）</w:t>
      </w:r>
    </w:p>
    <w:p w14:paraId="5D6D045D">
      <w:pPr>
        <w:pStyle w:val="17"/>
        <w:rPr>
          <w:color w:val="auto"/>
        </w:rPr>
      </w:pPr>
    </w:p>
    <w:p w14:paraId="43DF4F6D">
      <w:pPr>
        <w:keepNext/>
        <w:keepLines/>
        <w:adjustRightInd w:val="0"/>
        <w:snapToGrid w:val="0"/>
        <w:spacing w:line="360" w:lineRule="auto"/>
        <w:jc w:val="center"/>
        <w:outlineLvl w:val="2"/>
        <w:rPr>
          <w:rFonts w:ascii="黑体" w:hAnsi="宋体" w:eastAsia="黑体"/>
          <w:b/>
          <w:bCs/>
          <w:color w:val="auto"/>
          <w:sz w:val="28"/>
          <w:szCs w:val="28"/>
        </w:rPr>
      </w:pPr>
      <w:r>
        <w:rPr>
          <w:rFonts w:ascii="黑体" w:hAnsi="黑体" w:eastAsia="黑体"/>
          <w:color w:val="auto"/>
          <w:sz w:val="28"/>
          <w:szCs w:val="28"/>
        </w:rPr>
        <w:br w:type="page"/>
      </w:r>
      <w:bookmarkStart w:id="1406" w:name="_Toc75289284"/>
      <w:bookmarkStart w:id="1407" w:name="_Toc85972983"/>
      <w:bookmarkStart w:id="1408" w:name="_Toc95601418"/>
      <w:bookmarkStart w:id="1409" w:name="_Toc20651247"/>
      <w:bookmarkStart w:id="1410" w:name="_Toc75289602"/>
      <w:bookmarkStart w:id="1411" w:name="_Toc22219"/>
      <w:bookmarkStart w:id="1412" w:name="_Toc192949751"/>
      <w:bookmarkStart w:id="1413" w:name="_Toc192951262"/>
      <w:bookmarkStart w:id="1414" w:name="_Toc112704994"/>
      <w:bookmarkStart w:id="1415" w:name="_Toc171273721"/>
      <w:bookmarkStart w:id="1416" w:name="_Toc77199456"/>
      <w:bookmarkStart w:id="1417" w:name="_Toc117192501"/>
      <w:bookmarkStart w:id="1418" w:name="_Toc108341992"/>
      <w:bookmarkStart w:id="1419" w:name="_Toc94367933"/>
      <w:bookmarkStart w:id="1420" w:name="_Toc1470"/>
      <w:bookmarkStart w:id="1421" w:name="_Toc77676521"/>
      <w:bookmarkStart w:id="1422" w:name="_Toc192949652"/>
      <w:bookmarkStart w:id="1423" w:name="_Toc100670725"/>
      <w:bookmarkStart w:id="1424" w:name="_Toc456"/>
      <w:bookmarkStart w:id="1425" w:name="_Toc26273"/>
      <w:bookmarkStart w:id="1426" w:name="_Toc154428439"/>
      <w:bookmarkStart w:id="1427" w:name="_Toc19624"/>
      <w:bookmarkStart w:id="1428" w:name="_Toc78314317"/>
      <w:bookmarkStart w:id="1429" w:name="_Toc13500"/>
      <w:bookmarkStart w:id="1430" w:name="_Toc28122"/>
      <w:bookmarkStart w:id="1431" w:name="_Toc23313"/>
      <w:bookmarkStart w:id="1432" w:name="_Toc114036765"/>
      <w:bookmarkStart w:id="1433" w:name="_Toc78450010"/>
      <w:bookmarkStart w:id="1434" w:name="_Toc100670477"/>
      <w:bookmarkStart w:id="1435" w:name="_Toc11472"/>
      <w:r>
        <w:rPr>
          <w:rFonts w:hint="eastAsia" w:ascii="黑体" w:hAnsi="宋体" w:eastAsia="黑体"/>
          <w:color w:val="auto"/>
          <w:sz w:val="28"/>
          <w:szCs w:val="28"/>
        </w:rPr>
        <w:t>三、</w:t>
      </w:r>
      <w:r>
        <w:rPr>
          <w:rFonts w:hint="eastAsia" w:ascii="黑体" w:hAnsi="宋体" w:eastAsia="黑体"/>
          <w:b/>
          <w:bCs/>
          <w:color w:val="auto"/>
          <w:sz w:val="28"/>
          <w:szCs w:val="28"/>
        </w:rPr>
        <w:t>授权委托书</w:t>
      </w:r>
    </w:p>
    <w:p w14:paraId="2FB07460">
      <w:pPr>
        <w:autoSpaceDE w:val="0"/>
        <w:autoSpaceDN w:val="0"/>
        <w:adjustRightInd w:val="0"/>
        <w:snapToGrid w:val="0"/>
        <w:spacing w:line="360" w:lineRule="auto"/>
        <w:ind w:firstLine="446" w:firstLineChars="200"/>
        <w:jc w:val="left"/>
        <w:rPr>
          <w:rFonts w:ascii="宋体" w:hAnsi="宋体"/>
          <w:b/>
          <w:color w:val="auto"/>
          <w:spacing w:val="6"/>
          <w:szCs w:val="21"/>
        </w:rPr>
      </w:pPr>
    </w:p>
    <w:p w14:paraId="073F2241">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olor w:val="auto"/>
          <w:szCs w:val="21"/>
        </w:rPr>
        <w:t>投标人</w:t>
      </w:r>
      <w:r>
        <w:rPr>
          <w:rFonts w:hint="eastAsia" w:ascii="宋体" w:hAnsi="宋体" w:cs="宋体"/>
          <w:color w:val="auto"/>
          <w:kern w:val="0"/>
          <w:szCs w:val="21"/>
        </w:rPr>
        <w:t>名称）的法定代表人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宋体"/>
          <w:color w:val="auto"/>
          <w:kern w:val="0"/>
          <w:szCs w:val="21"/>
        </w:rPr>
        <w:t>，现授权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（姓名、职务）为我方代理人。代理人根据授权，以我方名义签署、澄清、说明、补正、递交、撤回、修改</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ascii="宋体" w:hAnsi="宋体" w:cs="宋体"/>
          <w:color w:val="auto"/>
          <w:kern w:val="0"/>
          <w:szCs w:val="21"/>
        </w:rPr>
        <w:t>）</w:t>
      </w:r>
      <w:r>
        <w:rPr>
          <w:rFonts w:hint="eastAsia" w:ascii="宋体" w:hAnsi="宋体" w:cs="宋体"/>
          <w:color w:val="auto"/>
          <w:kern w:val="0"/>
          <w:szCs w:val="21"/>
        </w:rPr>
        <w:t>（</w:t>
      </w:r>
      <w:r>
        <w:rPr>
          <w:rFonts w:hint="eastAsia" w:ascii="宋体" w:hAnsi="宋体"/>
          <w:color w:val="auto"/>
        </w:rPr>
        <w:t>政府采购计划编号</w:t>
      </w:r>
      <w:r>
        <w:rPr>
          <w:rFonts w:hint="eastAsia" w:ascii="宋体" w:hAnsi="宋体"/>
          <w:iCs/>
          <w:color w:val="auto"/>
        </w:rPr>
        <w:t>：</w:t>
      </w:r>
      <w:r>
        <w:rPr>
          <w:rFonts w:hint="eastAsia" w:ascii="宋体" w:hAnsi="宋体"/>
          <w:iCs/>
          <w:color w:val="auto"/>
          <w:u w:val="single"/>
        </w:rPr>
        <w:t xml:space="preserve">      </w:t>
      </w:r>
      <w:r>
        <w:rPr>
          <w:rFonts w:hint="eastAsia" w:ascii="宋体" w:hAnsi="宋体"/>
          <w:iCs/>
          <w:color w:val="auto"/>
        </w:rPr>
        <w:t xml:space="preserve"> ，</w:t>
      </w:r>
      <w:r>
        <w:rPr>
          <w:rFonts w:hint="eastAsia" w:ascii="宋体" w:hAnsi="宋体" w:cs="宋体"/>
          <w:color w:val="auto"/>
          <w:kern w:val="0"/>
          <w:szCs w:val="21"/>
        </w:rPr>
        <w:t>委托代理编号：</w:t>
      </w:r>
      <w:r>
        <w:rPr>
          <w:rFonts w:hint="eastAsia" w:ascii="宋体" w:hAnsi="宋体" w:cs="宋体"/>
          <w:color w:val="auto"/>
          <w:kern w:val="0"/>
          <w:szCs w:val="21"/>
          <w:u w:val="single"/>
        </w:rPr>
        <w:t xml:space="preserve">       </w:t>
      </w:r>
      <w:r>
        <w:rPr>
          <w:rFonts w:hint="eastAsia" w:ascii="宋体" w:hAnsi="宋体" w:cs="宋体"/>
          <w:color w:val="auto"/>
          <w:kern w:val="0"/>
          <w:szCs w:val="21"/>
        </w:rPr>
        <w:t>）投标文件、签订合同和处理有关事宜，其法律后果由我方承担。</w:t>
      </w:r>
    </w:p>
    <w:p w14:paraId="2FDB9643">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61CF38E9">
      <w:pPr>
        <w:adjustRightInd w:val="0"/>
        <w:snapToGrid w:val="0"/>
        <w:spacing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14:paraId="54F70E59">
      <w:pPr>
        <w:adjustRightInd w:val="0"/>
        <w:snapToGrid w:val="0"/>
        <w:spacing w:line="360" w:lineRule="auto"/>
        <w:ind w:firstLine="435"/>
        <w:rPr>
          <w:rFonts w:ascii="宋体" w:hAnsi="宋体" w:cs="微软雅黑"/>
          <w:color w:val="auto"/>
          <w:kern w:val="0"/>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tbl>
      <w:tblPr>
        <w:tblStyle w:val="47"/>
        <w:tblW w:w="6982"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3510"/>
      </w:tblGrid>
      <w:tr w14:paraId="72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trPr>
        <w:tc>
          <w:tcPr>
            <w:tcW w:w="3472" w:type="dxa"/>
            <w:tcBorders>
              <w:top w:val="single" w:color="auto" w:sz="4" w:space="0"/>
              <w:left w:val="single" w:color="auto" w:sz="4" w:space="0"/>
              <w:bottom w:val="single" w:color="auto" w:sz="4" w:space="0"/>
              <w:right w:val="single" w:color="auto" w:sz="4" w:space="0"/>
            </w:tcBorders>
            <w:shd w:val="clear" w:color="auto" w:fill="auto"/>
            <w:vAlign w:val="center"/>
          </w:tcPr>
          <w:p w14:paraId="1E55494B">
            <w:pPr>
              <w:adjustRightInd w:val="0"/>
              <w:snapToGrid w:val="0"/>
              <w:spacing w:line="360" w:lineRule="auto"/>
              <w:jc w:val="center"/>
              <w:rPr>
                <w:rFonts w:ascii="宋体" w:hAnsi="宋体"/>
                <w:color w:val="auto"/>
                <w:szCs w:val="21"/>
              </w:rPr>
            </w:pPr>
            <w:r>
              <w:rPr>
                <w:rFonts w:hint="eastAsia" w:ascii="宋体" w:hAnsi="宋体"/>
                <w:color w:val="auto"/>
                <w:szCs w:val="21"/>
              </w:rPr>
              <w:t>委托代理人身份证（正面）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14:paraId="7F62CC59">
            <w:pPr>
              <w:adjustRightInd w:val="0"/>
              <w:snapToGrid w:val="0"/>
              <w:spacing w:line="360" w:lineRule="auto"/>
              <w:jc w:val="center"/>
              <w:rPr>
                <w:rFonts w:ascii="宋体" w:hAnsi="宋体"/>
                <w:color w:val="auto"/>
                <w:szCs w:val="21"/>
              </w:rPr>
            </w:pPr>
            <w:r>
              <w:rPr>
                <w:rFonts w:hint="eastAsia" w:ascii="宋体" w:hAnsi="宋体"/>
                <w:color w:val="auto"/>
                <w:szCs w:val="21"/>
              </w:rPr>
              <w:t>委托代理人身份证（反面）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r w14:paraId="6AA8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5" w:hRule="atLeast"/>
        </w:trPr>
        <w:tc>
          <w:tcPr>
            <w:tcW w:w="3472" w:type="dxa"/>
            <w:tcBorders>
              <w:top w:val="single" w:color="auto" w:sz="4" w:space="0"/>
              <w:left w:val="single" w:color="auto" w:sz="4" w:space="0"/>
              <w:bottom w:val="single" w:color="auto" w:sz="4" w:space="0"/>
              <w:right w:val="single" w:color="auto" w:sz="4" w:space="0"/>
            </w:tcBorders>
            <w:shd w:val="clear" w:color="auto" w:fill="auto"/>
            <w:vAlign w:val="center"/>
          </w:tcPr>
          <w:p w14:paraId="57CF007E">
            <w:pPr>
              <w:adjustRightInd w:val="0"/>
              <w:snapToGrid w:val="0"/>
              <w:spacing w:line="360" w:lineRule="auto"/>
              <w:jc w:val="center"/>
              <w:rPr>
                <w:rFonts w:ascii="宋体" w:hAnsi="宋体"/>
                <w:color w:val="auto"/>
                <w:szCs w:val="21"/>
              </w:rPr>
            </w:pPr>
            <w:r>
              <w:rPr>
                <w:rFonts w:hint="eastAsia" w:ascii="宋体" w:hAnsi="宋体"/>
                <w:color w:val="auto"/>
                <w:szCs w:val="21"/>
              </w:rPr>
              <w:t>法定代表人身份证（正面）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14:paraId="0488A340">
            <w:pPr>
              <w:adjustRightInd w:val="0"/>
              <w:snapToGrid w:val="0"/>
              <w:spacing w:line="360" w:lineRule="auto"/>
              <w:jc w:val="center"/>
              <w:rPr>
                <w:rFonts w:ascii="宋体" w:hAnsi="宋体"/>
                <w:color w:val="auto"/>
                <w:szCs w:val="21"/>
              </w:rPr>
            </w:pPr>
            <w:r>
              <w:rPr>
                <w:rFonts w:hint="eastAsia" w:ascii="宋体" w:hAnsi="宋体"/>
                <w:color w:val="auto"/>
                <w:szCs w:val="21"/>
              </w:rPr>
              <w:t>法定代表人身份证（反面）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14:paraId="6C3A3356">
      <w:pPr>
        <w:adjustRightInd w:val="0"/>
        <w:snapToGrid w:val="0"/>
        <w:spacing w:line="360" w:lineRule="auto"/>
        <w:ind w:firstLine="420" w:firstLineChars="200"/>
        <w:rPr>
          <w:rFonts w:ascii="宋体" w:hAnsi="宋体"/>
          <w:color w:val="auto"/>
          <w:szCs w:val="21"/>
        </w:rPr>
      </w:pPr>
    </w:p>
    <w:p w14:paraId="35601606">
      <w:pPr>
        <w:adjustRightInd w:val="0"/>
        <w:snapToGrid w:val="0"/>
        <w:spacing w:line="360" w:lineRule="auto"/>
        <w:ind w:firstLine="420" w:firstLineChars="200"/>
        <w:rPr>
          <w:rFonts w:ascii="宋体" w:hAnsi="宋体"/>
          <w:color w:val="auto"/>
          <w:szCs w:val="21"/>
        </w:rPr>
      </w:pPr>
    </w:p>
    <w:p w14:paraId="61ECCD94">
      <w:pPr>
        <w:adjustRightInd w:val="0"/>
        <w:snapToGrid w:val="0"/>
        <w:spacing w:line="360" w:lineRule="auto"/>
        <w:rPr>
          <w:rFonts w:ascii="宋体" w:hAnsi="宋体"/>
          <w:color w:val="auto"/>
          <w:szCs w:val="21"/>
        </w:rPr>
      </w:pPr>
      <w:r>
        <w:rPr>
          <w:rFonts w:hint="eastAsia" w:ascii="宋体" w:hAnsi="宋体"/>
          <w:color w:val="auto"/>
          <w:szCs w:val="21"/>
        </w:rPr>
        <w:t>注：投标人代表不是投标人的法定代表人（单位负责人）的提供。</w:t>
      </w:r>
    </w:p>
    <w:p w14:paraId="366BAD28">
      <w:pPr>
        <w:adjustRightInd w:val="0"/>
        <w:snapToGrid w:val="0"/>
        <w:spacing w:line="360" w:lineRule="auto"/>
        <w:ind w:firstLine="420" w:firstLineChars="200"/>
        <w:rPr>
          <w:rFonts w:ascii="宋体" w:hAnsi="宋体"/>
          <w:color w:val="auto"/>
          <w:szCs w:val="21"/>
        </w:rPr>
      </w:pPr>
    </w:p>
    <w:p w14:paraId="472FDEB7">
      <w:pPr>
        <w:adjustRightInd w:val="0"/>
        <w:snapToGrid w:val="0"/>
        <w:spacing w:line="360" w:lineRule="auto"/>
        <w:ind w:firstLine="420" w:firstLineChars="200"/>
        <w:rPr>
          <w:rFonts w:ascii="宋体" w:hAnsi="宋体"/>
          <w:color w:val="auto"/>
          <w:szCs w:val="21"/>
        </w:rPr>
      </w:pPr>
    </w:p>
    <w:p w14:paraId="3B607828">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00916B2D">
      <w:pPr>
        <w:adjustRightInd w:val="0"/>
        <w:snapToGrid w:val="0"/>
        <w:spacing w:line="360" w:lineRule="auto"/>
        <w:ind w:right="420"/>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（签字或印章）：</w:t>
      </w:r>
      <w:r>
        <w:rPr>
          <w:rFonts w:hint="eastAsia" w:ascii="宋体" w:hAnsi="宋体"/>
          <w:color w:val="auto"/>
          <w:szCs w:val="21"/>
          <w:u w:val="single"/>
        </w:rPr>
        <w:t xml:space="preserve">                     </w:t>
      </w:r>
    </w:p>
    <w:p w14:paraId="3A0C3A24">
      <w:pPr>
        <w:adjustRightInd w:val="0"/>
        <w:snapToGrid w:val="0"/>
        <w:spacing w:line="360" w:lineRule="auto"/>
        <w:ind w:right="420"/>
        <w:rPr>
          <w:rFonts w:ascii="宋体" w:hAnsi="宋体"/>
          <w:color w:val="auto"/>
          <w:szCs w:val="21"/>
        </w:rPr>
      </w:pPr>
      <w:r>
        <w:rPr>
          <w:rFonts w:hint="eastAsia" w:ascii="宋体" w:hAnsi="宋体"/>
          <w:color w:val="auto"/>
          <w:szCs w:val="21"/>
        </w:rPr>
        <w:t>委托代理人（签字或印章）：</w:t>
      </w:r>
      <w:r>
        <w:rPr>
          <w:rFonts w:hint="eastAsia" w:ascii="宋体" w:hAnsi="宋体"/>
          <w:color w:val="auto"/>
          <w:szCs w:val="21"/>
          <w:u w:val="single"/>
        </w:rPr>
        <w:t xml:space="preserve">                     </w:t>
      </w:r>
    </w:p>
    <w:p w14:paraId="7A4E7E56">
      <w:pPr>
        <w:adjustRightInd w:val="0"/>
        <w:snapToGrid w:val="0"/>
        <w:spacing w:line="360" w:lineRule="auto"/>
        <w:ind w:right="420"/>
        <w:rPr>
          <w:rFonts w:ascii="宋体" w:hAnsi="宋体"/>
          <w:color w:val="auto"/>
          <w:szCs w:val="21"/>
        </w:rPr>
      </w:pPr>
      <w:r>
        <w:rPr>
          <w:rFonts w:hint="eastAsia" w:ascii="宋体" w:hAnsi="宋体" w:cs="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439A689">
      <w:pPr>
        <w:widowControl/>
        <w:ind w:firstLine="1968" w:firstLineChars="700"/>
        <w:jc w:val="both"/>
        <w:rPr>
          <w:rFonts w:ascii="黑体" w:hAnsi="宋体" w:eastAsia="黑体" w:cs="黑体"/>
          <w:b/>
          <w:bCs/>
          <w:color w:val="auto"/>
          <w:kern w:val="0"/>
          <w:sz w:val="28"/>
          <w:szCs w:val="28"/>
          <w:lang w:bidi="ar"/>
        </w:rPr>
      </w:pPr>
    </w:p>
    <w:p w14:paraId="26E935C3">
      <w:pPr>
        <w:widowControl/>
        <w:ind w:firstLine="1968" w:firstLineChars="700"/>
        <w:jc w:val="both"/>
        <w:rPr>
          <w:rFonts w:ascii="黑体" w:hAnsi="宋体" w:eastAsia="黑体" w:cs="黑体"/>
          <w:b/>
          <w:bCs/>
          <w:color w:val="auto"/>
          <w:kern w:val="0"/>
          <w:sz w:val="28"/>
          <w:szCs w:val="28"/>
          <w:lang w:bidi="ar"/>
        </w:rPr>
      </w:pPr>
    </w:p>
    <w:p w14:paraId="2758836B">
      <w:pPr>
        <w:widowControl/>
        <w:ind w:firstLine="1968" w:firstLineChars="700"/>
        <w:jc w:val="both"/>
        <w:rPr>
          <w:rFonts w:ascii="黑体" w:hAnsi="宋体" w:eastAsia="黑体" w:cs="黑体"/>
          <w:b/>
          <w:bCs/>
          <w:color w:val="auto"/>
          <w:kern w:val="0"/>
          <w:sz w:val="28"/>
          <w:szCs w:val="28"/>
          <w:lang w:bidi="ar"/>
        </w:rPr>
      </w:pPr>
    </w:p>
    <w:p w14:paraId="236C01B8">
      <w:pPr>
        <w:widowControl/>
        <w:ind w:firstLine="1968" w:firstLineChars="700"/>
        <w:jc w:val="both"/>
        <w:rPr>
          <w:rFonts w:ascii="黑体" w:hAnsi="宋体" w:eastAsia="黑体" w:cs="黑体"/>
          <w:b/>
          <w:bCs/>
          <w:color w:val="auto"/>
          <w:kern w:val="0"/>
          <w:sz w:val="28"/>
          <w:szCs w:val="28"/>
          <w:lang w:bidi="ar"/>
        </w:rPr>
      </w:pPr>
    </w:p>
    <w:p w14:paraId="323825FC">
      <w:pPr>
        <w:widowControl/>
        <w:ind w:firstLine="1968" w:firstLineChars="700"/>
        <w:jc w:val="both"/>
        <w:rPr>
          <w:color w:val="auto"/>
        </w:rPr>
      </w:pPr>
      <w:r>
        <w:rPr>
          <w:rFonts w:ascii="黑体" w:hAnsi="宋体" w:eastAsia="黑体" w:cs="黑体"/>
          <w:b/>
          <w:bCs/>
          <w:color w:val="auto"/>
          <w:kern w:val="0"/>
          <w:sz w:val="28"/>
          <w:szCs w:val="28"/>
          <w:lang w:bidi="ar"/>
        </w:rPr>
        <w:t xml:space="preserve">法定代表人（单位负责人）身份证明 </w:t>
      </w:r>
    </w:p>
    <w:p w14:paraId="104AED9C">
      <w:pPr>
        <w:autoSpaceDE w:val="0"/>
        <w:autoSpaceDN w:val="0"/>
        <w:adjustRightInd w:val="0"/>
        <w:snapToGrid w:val="0"/>
        <w:spacing w:line="360" w:lineRule="auto"/>
        <w:ind w:firstLine="420" w:firstLineChars="200"/>
        <w:jc w:val="left"/>
        <w:rPr>
          <w:rFonts w:ascii="宋体" w:hAnsi="宋体" w:cs="宋体"/>
          <w:color w:val="auto"/>
          <w:kern w:val="0"/>
          <w:szCs w:val="21"/>
        </w:rPr>
      </w:pPr>
    </w:p>
    <w:p w14:paraId="01241CFC">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投标人名称：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4F78A6B9">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统一社会信用代码：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0F74FC57">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29D6CE09">
      <w:pPr>
        <w:autoSpaceDE w:val="0"/>
        <w:autoSpaceDN w:val="0"/>
        <w:adjustRightInd w:val="0"/>
        <w:snapToGrid w:val="0"/>
        <w:spacing w:line="360" w:lineRule="auto"/>
        <w:ind w:firstLine="840" w:firstLineChars="400"/>
        <w:jc w:val="left"/>
        <w:rPr>
          <w:rFonts w:ascii="宋体" w:hAnsi="宋体" w:cs="宋体"/>
          <w:color w:val="auto"/>
          <w:kern w:val="0"/>
          <w:szCs w:val="21"/>
        </w:rPr>
      </w:pPr>
      <w:r>
        <w:rPr>
          <w:rFonts w:hint="eastAsia" w:ascii="宋体" w:hAnsi="宋体" w:cs="宋体"/>
          <w:color w:val="auto"/>
          <w:kern w:val="0"/>
          <w:szCs w:val="21"/>
        </w:rPr>
        <w:t xml:space="preserve">姓名： </w:t>
      </w:r>
      <w:r>
        <w:rPr>
          <w:rFonts w:hint="eastAsia" w:ascii="宋体" w:hAnsi="宋体" w:cs="宋体"/>
          <w:color w:val="auto"/>
          <w:kern w:val="0"/>
          <w:szCs w:val="21"/>
          <w:u w:val="single"/>
        </w:rPr>
        <w:t xml:space="preserve">        </w:t>
      </w:r>
      <w:r>
        <w:rPr>
          <w:rFonts w:hint="eastAsia" w:ascii="宋体" w:hAnsi="宋体" w:cs="宋体"/>
          <w:color w:val="auto"/>
          <w:kern w:val="0"/>
          <w:szCs w:val="21"/>
        </w:rPr>
        <w:t>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职务：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系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（投标人 </w:t>
      </w:r>
    </w:p>
    <w:p w14:paraId="3F84CEBF">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名称）的法定代表人（单位负责人）。 </w:t>
      </w:r>
    </w:p>
    <w:p w14:paraId="1A0BC563">
      <w:pPr>
        <w:autoSpaceDE w:val="0"/>
        <w:autoSpaceDN w:val="0"/>
        <w:adjustRightInd w:val="0"/>
        <w:snapToGrid w:val="0"/>
        <w:spacing w:line="360" w:lineRule="auto"/>
        <w:ind w:firstLine="840" w:firstLineChars="400"/>
        <w:jc w:val="left"/>
        <w:rPr>
          <w:rFonts w:ascii="宋体" w:hAnsi="宋体" w:cs="宋体"/>
          <w:color w:val="auto"/>
          <w:kern w:val="0"/>
          <w:szCs w:val="21"/>
        </w:rPr>
      </w:pPr>
      <w:r>
        <w:rPr>
          <w:rFonts w:hint="eastAsia" w:ascii="宋体" w:hAnsi="宋体" w:cs="宋体"/>
          <w:color w:val="auto"/>
          <w:kern w:val="0"/>
          <w:szCs w:val="21"/>
        </w:rPr>
        <w:t xml:space="preserve">特此证明。 </w:t>
      </w:r>
    </w:p>
    <w:p w14:paraId="30996315">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附：法定代表人（单位负责人）身份证复印件。 </w:t>
      </w:r>
    </w:p>
    <w:p w14:paraId="2AFB82D3">
      <w:pPr>
        <w:autoSpaceDE w:val="0"/>
        <w:autoSpaceDN w:val="0"/>
        <w:adjustRightInd w:val="0"/>
        <w:snapToGrid w:val="0"/>
        <w:spacing w:line="360" w:lineRule="auto"/>
        <w:ind w:firstLine="420" w:firstLineChars="200"/>
        <w:jc w:val="left"/>
        <w:rPr>
          <w:rFonts w:ascii="宋体" w:hAnsi="宋体" w:cs="宋体"/>
          <w:color w:val="auto"/>
          <w:kern w:val="0"/>
          <w:szCs w:val="21"/>
        </w:rPr>
      </w:pPr>
    </w:p>
    <w:tbl>
      <w:tblPr>
        <w:tblStyle w:val="47"/>
        <w:tblW w:w="7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06C8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3898" w:type="dxa"/>
            <w:vAlign w:val="center"/>
          </w:tcPr>
          <w:p w14:paraId="32F680F9">
            <w:pPr>
              <w:adjustRightInd w:val="0"/>
              <w:snapToGrid w:val="0"/>
              <w:spacing w:line="360" w:lineRule="auto"/>
              <w:jc w:val="center"/>
              <w:rPr>
                <w:rFonts w:ascii="宋体" w:hAnsi="宋体"/>
                <w:color w:val="auto"/>
                <w:szCs w:val="21"/>
              </w:rPr>
            </w:pPr>
            <w:r>
              <w:rPr>
                <w:rFonts w:hint="eastAsia" w:ascii="宋体" w:hAnsi="宋体"/>
                <w:color w:val="auto"/>
                <w:szCs w:val="21"/>
              </w:rPr>
              <w:t>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899" w:type="dxa"/>
            <w:vAlign w:val="center"/>
          </w:tcPr>
          <w:p w14:paraId="313CE7F6">
            <w:pPr>
              <w:adjustRightInd w:val="0"/>
              <w:snapToGrid w:val="0"/>
              <w:spacing w:line="360" w:lineRule="auto"/>
              <w:jc w:val="center"/>
              <w:rPr>
                <w:rFonts w:ascii="宋体" w:hAnsi="宋体"/>
                <w:color w:val="auto"/>
                <w:szCs w:val="21"/>
              </w:rPr>
            </w:pPr>
            <w:r>
              <w:rPr>
                <w:rFonts w:hint="eastAsia" w:ascii="宋体" w:hAnsi="宋体"/>
                <w:color w:val="auto"/>
                <w:szCs w:val="21"/>
              </w:rPr>
              <w:t>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14:paraId="0A30D6A1">
      <w:pPr>
        <w:autoSpaceDE w:val="0"/>
        <w:autoSpaceDN w:val="0"/>
        <w:adjustRightInd w:val="0"/>
        <w:snapToGrid w:val="0"/>
        <w:spacing w:line="360" w:lineRule="auto"/>
        <w:ind w:firstLine="420" w:firstLineChars="200"/>
        <w:jc w:val="left"/>
        <w:rPr>
          <w:rFonts w:ascii="宋体" w:hAnsi="宋体" w:cs="宋体"/>
          <w:color w:val="auto"/>
          <w:kern w:val="0"/>
          <w:szCs w:val="21"/>
        </w:rPr>
      </w:pPr>
    </w:p>
    <w:p w14:paraId="08E3A5BB">
      <w:pPr>
        <w:autoSpaceDE w:val="0"/>
        <w:autoSpaceDN w:val="0"/>
        <w:adjustRightInd w:val="0"/>
        <w:snapToGrid w:val="0"/>
        <w:spacing w:line="360" w:lineRule="auto"/>
        <w:ind w:firstLine="210" w:firstLineChars="100"/>
        <w:jc w:val="left"/>
        <w:rPr>
          <w:rFonts w:ascii="宋体" w:hAnsi="宋体" w:cs="宋体"/>
          <w:color w:val="auto"/>
          <w:kern w:val="0"/>
          <w:szCs w:val="21"/>
        </w:rPr>
      </w:pPr>
      <w:r>
        <w:rPr>
          <w:rFonts w:hint="eastAsia" w:ascii="宋体" w:hAnsi="宋体" w:cs="宋体"/>
          <w:color w:val="auto"/>
          <w:kern w:val="0"/>
          <w:szCs w:val="21"/>
        </w:rPr>
        <w:t xml:space="preserve">注：投标人为法定代表人（负责人）只需提供法定代表人（负责人）身份证明即可。 </w:t>
      </w:r>
    </w:p>
    <w:p w14:paraId="32F3356F">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投标人名称（盖单位公章）：</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15FC26FB">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法定代表人联系电话：</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329173F3">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日期：</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0C49ABF2">
      <w:pPr>
        <w:pStyle w:val="3"/>
        <w:jc w:val="center"/>
        <w:rPr>
          <w:rFonts w:ascii="黑体" w:hAnsi="宋体" w:eastAsia="黑体"/>
          <w:color w:val="auto"/>
          <w:sz w:val="28"/>
          <w:szCs w:val="28"/>
        </w:rPr>
      </w:pPr>
    </w:p>
    <w:p w14:paraId="5B26A7BC">
      <w:pPr>
        <w:rPr>
          <w:color w:val="auto"/>
        </w:rPr>
      </w:pPr>
    </w:p>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14:paraId="1BD89A31">
      <w:pPr>
        <w:widowControl/>
        <w:ind w:firstLine="1968" w:firstLineChars="700"/>
        <w:jc w:val="left"/>
        <w:rPr>
          <w:rFonts w:ascii="黑体" w:hAnsi="宋体" w:eastAsia="黑体" w:cs="黑体"/>
          <w:b/>
          <w:bCs/>
          <w:color w:val="auto"/>
          <w:kern w:val="0"/>
          <w:sz w:val="28"/>
          <w:szCs w:val="28"/>
          <w:lang w:bidi="ar"/>
        </w:rPr>
      </w:pPr>
      <w:bookmarkStart w:id="1436" w:name="_Toc100670726"/>
      <w:bookmarkStart w:id="1437" w:name="_Toc16899"/>
      <w:bookmarkStart w:id="1438" w:name="_Toc11546"/>
      <w:bookmarkStart w:id="1439" w:name="_Toc112704995"/>
      <w:bookmarkStart w:id="1440" w:name="_Toc7703"/>
      <w:bookmarkStart w:id="1441" w:name="_Toc192949752"/>
      <w:bookmarkStart w:id="1442" w:name="_Toc108341993"/>
      <w:bookmarkStart w:id="1443" w:name="_Toc7493"/>
      <w:bookmarkStart w:id="1444" w:name="_Toc192951263"/>
      <w:bookmarkStart w:id="1445" w:name="_Toc78450011"/>
      <w:bookmarkStart w:id="1446" w:name="_Toc171273722"/>
      <w:bookmarkStart w:id="1447" w:name="_Toc192949653"/>
      <w:bookmarkStart w:id="1448" w:name="_Toc94367934"/>
      <w:bookmarkStart w:id="1449" w:name="_Toc114036766"/>
      <w:bookmarkStart w:id="1450" w:name="_Toc100670478"/>
      <w:bookmarkStart w:id="1451" w:name="_Toc15888533"/>
      <w:bookmarkStart w:id="1452" w:name="_Toc8389"/>
      <w:bookmarkStart w:id="1453" w:name="_Toc1862"/>
      <w:bookmarkStart w:id="1454" w:name="_Toc117192502"/>
      <w:bookmarkStart w:id="1455" w:name="_Toc78314318"/>
      <w:bookmarkStart w:id="1456" w:name="_Toc154428440"/>
      <w:bookmarkStart w:id="1457" w:name="_Toc77676522"/>
      <w:bookmarkStart w:id="1458" w:name="_Toc75289603"/>
      <w:bookmarkStart w:id="1459" w:name="_Toc14968"/>
      <w:bookmarkStart w:id="1460" w:name="_Toc75289285"/>
      <w:bookmarkStart w:id="1461" w:name="_Toc95601419"/>
      <w:bookmarkStart w:id="1462" w:name="_Toc85972984"/>
      <w:bookmarkStart w:id="1463" w:name="_Toc77199457"/>
      <w:bookmarkStart w:id="1464" w:name="_Toc20934"/>
      <w:bookmarkStart w:id="1465" w:name="_Toc22590"/>
    </w:p>
    <w:p w14:paraId="642BD306">
      <w:pPr>
        <w:widowControl/>
        <w:ind w:firstLine="1968" w:firstLineChars="700"/>
        <w:jc w:val="left"/>
        <w:rPr>
          <w:rFonts w:ascii="黑体" w:hAnsi="宋体" w:eastAsia="黑体" w:cs="黑体"/>
          <w:b/>
          <w:bCs/>
          <w:color w:val="auto"/>
          <w:kern w:val="0"/>
          <w:sz w:val="28"/>
          <w:szCs w:val="28"/>
          <w:lang w:bidi="ar"/>
        </w:rPr>
      </w:pPr>
    </w:p>
    <w:p w14:paraId="2A77DA28">
      <w:pPr>
        <w:widowControl/>
        <w:ind w:firstLine="1968" w:firstLineChars="700"/>
        <w:jc w:val="left"/>
        <w:rPr>
          <w:rFonts w:ascii="黑体" w:hAnsi="宋体" w:eastAsia="黑体" w:cs="黑体"/>
          <w:b/>
          <w:bCs/>
          <w:color w:val="auto"/>
          <w:kern w:val="0"/>
          <w:sz w:val="28"/>
          <w:szCs w:val="28"/>
          <w:lang w:bidi="ar"/>
        </w:rPr>
      </w:pPr>
    </w:p>
    <w:p w14:paraId="19C81B29">
      <w:pPr>
        <w:widowControl/>
        <w:ind w:firstLine="1968" w:firstLineChars="700"/>
        <w:jc w:val="left"/>
        <w:rPr>
          <w:rFonts w:ascii="黑体" w:hAnsi="宋体" w:eastAsia="黑体" w:cs="黑体"/>
          <w:b/>
          <w:bCs/>
          <w:color w:val="auto"/>
          <w:kern w:val="0"/>
          <w:sz w:val="28"/>
          <w:szCs w:val="28"/>
          <w:lang w:bidi="ar"/>
        </w:rPr>
      </w:pPr>
    </w:p>
    <w:p w14:paraId="5878295D">
      <w:pPr>
        <w:pStyle w:val="3"/>
        <w:jc w:val="both"/>
        <w:rPr>
          <w:rFonts w:hint="eastAsia" w:ascii="黑体" w:hAnsi="宋体" w:eastAsia="黑体"/>
          <w:color w:val="auto"/>
          <w:sz w:val="28"/>
          <w:szCs w:val="28"/>
        </w:rPr>
      </w:pPr>
    </w:p>
    <w:p w14:paraId="71621F97">
      <w:pPr>
        <w:rPr>
          <w:rFonts w:hint="eastAsia"/>
          <w:color w:val="auto"/>
        </w:rPr>
      </w:pPr>
    </w:p>
    <w:p w14:paraId="64990BF0">
      <w:pPr>
        <w:pStyle w:val="3"/>
        <w:jc w:val="center"/>
        <w:rPr>
          <w:rFonts w:ascii="黑体" w:hAnsi="宋体" w:eastAsia="黑体"/>
          <w:color w:val="auto"/>
          <w:sz w:val="28"/>
          <w:szCs w:val="28"/>
        </w:rPr>
      </w:pPr>
      <w:r>
        <w:rPr>
          <w:rFonts w:hint="eastAsia" w:ascii="黑体" w:hAnsi="宋体" w:eastAsia="黑体"/>
          <w:color w:val="auto"/>
          <w:sz w:val="28"/>
          <w:szCs w:val="28"/>
        </w:rPr>
        <w:t>四、投标人提供的资格证明文件</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Start w:id="1466" w:name="_Toc294186060"/>
      <w:bookmarkStart w:id="1467" w:name="_Toc294206743"/>
    </w:p>
    <w:p w14:paraId="33644CCA">
      <w:pPr>
        <w:pStyle w:val="22"/>
        <w:adjustRightInd w:val="0"/>
        <w:snapToGrid w:val="0"/>
        <w:spacing w:line="360" w:lineRule="auto"/>
        <w:jc w:val="center"/>
        <w:rPr>
          <w:rFonts w:hAnsi="宋体"/>
          <w:b/>
          <w:bCs/>
          <w:color w:val="auto"/>
          <w:sz w:val="24"/>
          <w:szCs w:val="24"/>
        </w:rPr>
      </w:pPr>
    </w:p>
    <w:p w14:paraId="005AB868">
      <w:pPr>
        <w:pStyle w:val="22"/>
        <w:adjustRightInd w:val="0"/>
        <w:snapToGrid w:val="0"/>
        <w:spacing w:line="360" w:lineRule="auto"/>
        <w:jc w:val="center"/>
        <w:rPr>
          <w:rFonts w:ascii="黑体" w:hAnsi="黑体" w:eastAsia="黑体"/>
          <w:b/>
          <w:bCs/>
          <w:color w:val="auto"/>
          <w:sz w:val="28"/>
          <w:szCs w:val="28"/>
        </w:rPr>
      </w:pPr>
      <w:r>
        <w:rPr>
          <w:rFonts w:hint="eastAsia" w:ascii="黑体" w:hAnsi="黑体" w:eastAsia="黑体"/>
          <w:b/>
          <w:bCs/>
          <w:color w:val="auto"/>
          <w:sz w:val="28"/>
          <w:szCs w:val="28"/>
        </w:rPr>
        <w:t>须  知</w:t>
      </w:r>
    </w:p>
    <w:p w14:paraId="3C03E699">
      <w:pPr>
        <w:numPr>
          <w:ilvl w:val="0"/>
          <w:numId w:val="7"/>
        </w:numPr>
        <w:tabs>
          <w:tab w:val="left" w:pos="4725"/>
        </w:tabs>
        <w:adjustRightInd w:val="0"/>
        <w:snapToGrid w:val="0"/>
        <w:spacing w:before="156" w:beforeLines="50" w:line="360" w:lineRule="auto"/>
        <w:ind w:firstLine="422" w:firstLineChars="200"/>
        <w:rPr>
          <w:rFonts w:ascii="宋体" w:hAnsi="宋体"/>
          <w:b/>
          <w:bCs/>
          <w:color w:val="auto"/>
          <w:szCs w:val="21"/>
        </w:rPr>
      </w:pPr>
      <w:r>
        <w:rPr>
          <w:rFonts w:hint="eastAsia" w:ascii="宋体" w:hAnsi="宋体"/>
          <w:b/>
          <w:color w:val="auto"/>
          <w:szCs w:val="21"/>
        </w:rPr>
        <w:t>投标人</w:t>
      </w:r>
      <w:r>
        <w:rPr>
          <w:rFonts w:hint="eastAsia" w:ascii="宋体" w:hAnsi="宋体"/>
          <w:b/>
          <w:bCs/>
          <w:color w:val="auto"/>
          <w:szCs w:val="21"/>
        </w:rPr>
        <w:t>应按第二章第14.1款要求提供下列的证明材料</w:t>
      </w:r>
    </w:p>
    <w:p w14:paraId="4BD60DC2">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附件4-1 法人或者其他组织的营业执照等主体资格证明文件，自然人的身份证明</w:t>
      </w:r>
    </w:p>
    <w:p w14:paraId="41AFE8B3">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附件4-2 湖南省政府采购供应商资格承诺函(格式)</w:t>
      </w:r>
    </w:p>
    <w:p w14:paraId="132AF017">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附件4-3 符合特定资格条件证明材料复印件或者情况说明</w:t>
      </w:r>
    </w:p>
    <w:p w14:paraId="679C34C4">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附件4-4 联合体协议书（格式）（联合体形式投标的提供）</w:t>
      </w:r>
    </w:p>
    <w:p w14:paraId="081C0AE4">
      <w:pPr>
        <w:pStyle w:val="102"/>
        <w:spacing w:line="360" w:lineRule="auto"/>
        <w:ind w:firstLine="400"/>
        <w:rPr>
          <w:rFonts w:ascii="宋体" w:hAnsi="宋体" w:cs="宋体"/>
          <w:color w:val="auto"/>
          <w:szCs w:val="21"/>
        </w:rPr>
      </w:pPr>
      <w:r>
        <w:rPr>
          <w:rFonts w:hint="eastAsia" w:ascii="宋体" w:hAnsi="宋体"/>
          <w:color w:val="auto"/>
          <w:szCs w:val="21"/>
        </w:rPr>
        <w:t>2、</w:t>
      </w:r>
      <w:r>
        <w:rPr>
          <w:rFonts w:hint="eastAsia" w:ascii="宋体" w:hAnsi="宋体" w:cs="宋体"/>
          <w:color w:val="auto"/>
          <w:szCs w:val="21"/>
        </w:rPr>
        <w:t>投标人以联合体形式投标的，除应提交联合协议书(本节附4-4)外，参加联合体的各方均应提交上款资格证明材料。</w:t>
      </w:r>
    </w:p>
    <w:p w14:paraId="22DAAC1A">
      <w:pPr>
        <w:tabs>
          <w:tab w:val="left" w:pos="4725"/>
        </w:tabs>
        <w:adjustRightInd w:val="0"/>
        <w:snapToGrid w:val="0"/>
        <w:spacing w:before="156" w:beforeLines="50" w:line="360" w:lineRule="auto"/>
        <w:ind w:firstLine="420" w:firstLineChars="200"/>
        <w:rPr>
          <w:rFonts w:ascii="宋体" w:hAnsi="宋体" w:cs="宋体"/>
          <w:color w:val="auto"/>
          <w:szCs w:val="21"/>
        </w:rPr>
      </w:pPr>
      <w:r>
        <w:rPr>
          <w:rFonts w:hint="eastAsia" w:ascii="宋体" w:hAnsi="宋体"/>
          <w:color w:val="auto"/>
          <w:szCs w:val="21"/>
        </w:rPr>
        <w:t>3、附件4-5 分包承诺（执行强制分包的提供）</w:t>
      </w:r>
    </w:p>
    <w:p w14:paraId="7993F4DC">
      <w:pPr>
        <w:tabs>
          <w:tab w:val="left" w:pos="4725"/>
        </w:tabs>
        <w:adjustRightInd w:val="0"/>
        <w:snapToGrid w:val="0"/>
        <w:spacing w:line="360" w:lineRule="auto"/>
        <w:rPr>
          <w:rFonts w:ascii="宋体" w:hAnsi="宋体" w:cs="宋体"/>
          <w:color w:val="auto"/>
          <w:szCs w:val="21"/>
        </w:rPr>
      </w:pPr>
    </w:p>
    <w:p w14:paraId="76709437">
      <w:pPr>
        <w:widowControl/>
        <w:adjustRightInd w:val="0"/>
        <w:snapToGrid w:val="0"/>
        <w:jc w:val="left"/>
        <w:rPr>
          <w:rFonts w:ascii="黑体" w:hAnsi="仿宋" w:eastAsia="黑体" w:cs="宋体"/>
          <w:color w:val="auto"/>
          <w:szCs w:val="21"/>
        </w:rPr>
      </w:pPr>
      <w:r>
        <w:rPr>
          <w:rFonts w:ascii="黑体" w:hAnsi="仿宋" w:eastAsia="黑体" w:cs="宋体"/>
          <w:color w:val="auto"/>
          <w:szCs w:val="21"/>
        </w:rPr>
        <w:br w:type="page"/>
      </w:r>
    </w:p>
    <w:p w14:paraId="5EB65AE6">
      <w:pPr>
        <w:pStyle w:val="5"/>
        <w:adjustRightInd w:val="0"/>
        <w:snapToGrid w:val="0"/>
        <w:spacing w:before="156" w:beforeLines="50" w:after="0" w:line="360" w:lineRule="auto"/>
        <w:rPr>
          <w:rFonts w:ascii="黑体" w:hAnsi="仿宋" w:cs="宋体"/>
          <w:b w:val="0"/>
          <w:color w:val="auto"/>
          <w:sz w:val="21"/>
          <w:szCs w:val="21"/>
        </w:rPr>
      </w:pPr>
      <w:bookmarkStart w:id="1468" w:name="_Toc75289286"/>
      <w:bookmarkStart w:id="1469" w:name="_Toc15888534"/>
      <w:r>
        <w:rPr>
          <w:rFonts w:hint="eastAsia" w:ascii="黑体" w:hAnsi="仿宋" w:cs="宋体"/>
          <w:b w:val="0"/>
          <w:color w:val="auto"/>
          <w:sz w:val="21"/>
          <w:szCs w:val="21"/>
        </w:rPr>
        <w:t>附件4-1</w:t>
      </w:r>
      <w:bookmarkEnd w:id="1468"/>
      <w:bookmarkEnd w:id="1469"/>
      <w:r>
        <w:rPr>
          <w:rFonts w:hint="eastAsia" w:ascii="黑体" w:hAnsi="仿宋" w:cs="宋体"/>
          <w:b w:val="0"/>
          <w:color w:val="auto"/>
          <w:sz w:val="21"/>
          <w:szCs w:val="21"/>
        </w:rPr>
        <w:t>法人或者其他组织的营业执照等主体资格证明文件，自然人的身份证明</w:t>
      </w:r>
    </w:p>
    <w:p w14:paraId="0132CBDA">
      <w:pPr>
        <w:pStyle w:val="4"/>
        <w:jc w:val="center"/>
        <w:rPr>
          <w:rFonts w:ascii="黑体" w:hAnsi="黑体" w:eastAsia="黑体" w:cs="宋体"/>
          <w:color w:val="auto"/>
          <w:sz w:val="28"/>
          <w:szCs w:val="28"/>
        </w:rPr>
      </w:pPr>
      <w:bookmarkStart w:id="1470" w:name="_Toc32218"/>
      <w:bookmarkStart w:id="1471" w:name="_Toc31507"/>
      <w:bookmarkStart w:id="1472" w:name="_Toc117192503"/>
      <w:bookmarkStart w:id="1473" w:name="_Toc15352"/>
      <w:bookmarkStart w:id="1474" w:name="_Toc192951264"/>
      <w:bookmarkStart w:id="1475" w:name="_Toc192949753"/>
      <w:bookmarkStart w:id="1476" w:name="_Toc154428441"/>
      <w:bookmarkStart w:id="1477" w:name="_Toc17665"/>
      <w:bookmarkStart w:id="1478" w:name="_Toc192949654"/>
      <w:bookmarkStart w:id="1479" w:name="_Toc19525"/>
      <w:bookmarkStart w:id="1480" w:name="_Toc6602"/>
      <w:bookmarkStart w:id="1481" w:name="_Toc111543599"/>
      <w:bookmarkStart w:id="1482" w:name="_Toc112704996"/>
      <w:bookmarkStart w:id="1483" w:name="_Toc114036767"/>
      <w:bookmarkStart w:id="1484" w:name="_Toc5718"/>
      <w:bookmarkStart w:id="1485" w:name="_Toc171273723"/>
      <w:bookmarkStart w:id="1486" w:name="_Toc28492"/>
      <w:r>
        <w:rPr>
          <w:rFonts w:hint="eastAsia" w:ascii="黑体" w:hAnsi="仿宋" w:eastAsia="黑体" w:cs="宋体"/>
          <w:b w:val="0"/>
          <w:color w:val="auto"/>
          <w:sz w:val="28"/>
          <w:szCs w:val="28"/>
        </w:rPr>
        <w:t>法人或者其他组织的营业执照等主体资格证明文件，自然人的身份证明</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14:paraId="3A639CBD">
      <w:pPr>
        <w:adjustRightInd w:val="0"/>
        <w:snapToGrid w:val="0"/>
        <w:spacing w:before="156" w:beforeLines="50" w:line="360" w:lineRule="auto"/>
        <w:ind w:firstLine="420" w:firstLineChars="200"/>
        <w:rPr>
          <w:rFonts w:ascii="宋体" w:hAnsi="宋体" w:cs="宋体"/>
          <w:color w:val="auto"/>
          <w:szCs w:val="21"/>
        </w:rPr>
      </w:pPr>
      <w:r>
        <w:rPr>
          <w:rFonts w:hint="eastAsia" w:ascii="宋体" w:hAnsi="宋体" w:cs="宋体"/>
          <w:color w:val="auto"/>
          <w:szCs w:val="21"/>
        </w:rPr>
        <w:t>注：按第二章第</w:t>
      </w:r>
      <w:r>
        <w:rPr>
          <w:rFonts w:ascii="宋体" w:hAnsi="宋体" w:cs="宋体"/>
          <w:color w:val="auto"/>
          <w:szCs w:val="21"/>
        </w:rPr>
        <w:t>1</w:t>
      </w:r>
      <w:r>
        <w:rPr>
          <w:rFonts w:hint="eastAsia" w:ascii="宋体" w:hAnsi="宋体" w:cs="宋体"/>
          <w:color w:val="auto"/>
          <w:szCs w:val="21"/>
        </w:rPr>
        <w:t>4</w:t>
      </w:r>
      <w:r>
        <w:rPr>
          <w:rFonts w:ascii="宋体" w:hAnsi="宋体" w:cs="宋体"/>
          <w:color w:val="auto"/>
          <w:szCs w:val="21"/>
        </w:rPr>
        <w:t>.1</w:t>
      </w:r>
      <w:r>
        <w:rPr>
          <w:rFonts w:hint="eastAsia" w:ascii="宋体" w:hAnsi="宋体" w:cs="宋体"/>
          <w:color w:val="auto"/>
          <w:szCs w:val="21"/>
        </w:rPr>
        <w:t>（1）项要求提供。</w:t>
      </w:r>
    </w:p>
    <w:p w14:paraId="77FF9272">
      <w:pPr>
        <w:adjustRightInd w:val="0"/>
        <w:snapToGrid w:val="0"/>
        <w:spacing w:before="156" w:beforeLines="50" w:line="360" w:lineRule="auto"/>
        <w:ind w:firstLine="420" w:firstLineChars="200"/>
        <w:rPr>
          <w:rFonts w:ascii="宋体" w:hAnsi="宋体"/>
          <w:color w:val="auto"/>
        </w:rPr>
      </w:pPr>
      <w:r>
        <w:rPr>
          <w:rFonts w:hint="eastAsia" w:ascii="宋体" w:hAnsi="宋体" w:cs="宋体"/>
          <w:color w:val="auto"/>
          <w:szCs w:val="21"/>
        </w:rPr>
        <w:t>（1）</w:t>
      </w:r>
      <w:r>
        <w:rPr>
          <w:rFonts w:hint="eastAsia" w:ascii="宋体" w:hAnsi="宋体"/>
          <w:color w:val="auto"/>
        </w:rPr>
        <w:t>投标人为法人的，应提交营业执照或法人登记证书的复印件；</w:t>
      </w:r>
    </w:p>
    <w:p w14:paraId="2B3587B1">
      <w:pPr>
        <w:adjustRightInd w:val="0"/>
        <w:snapToGrid w:val="0"/>
        <w:spacing w:before="156" w:beforeLines="50" w:line="360" w:lineRule="auto"/>
        <w:ind w:firstLine="420" w:firstLineChars="200"/>
        <w:rPr>
          <w:rFonts w:ascii="宋体" w:hAnsi="宋体"/>
          <w:color w:val="auto"/>
        </w:rPr>
      </w:pPr>
      <w:r>
        <w:rPr>
          <w:rFonts w:hint="eastAsia" w:ascii="宋体" w:hAnsi="宋体" w:cs="宋体"/>
          <w:color w:val="auto"/>
          <w:szCs w:val="21"/>
        </w:rPr>
        <w:t>（2）</w:t>
      </w:r>
      <w:r>
        <w:rPr>
          <w:rFonts w:hint="eastAsia" w:ascii="宋体" w:hAnsi="宋体"/>
          <w:color w:val="auto"/>
        </w:rPr>
        <w:t>投标人为非法人组织的，应提交依法登记证书复印件；</w:t>
      </w:r>
    </w:p>
    <w:p w14:paraId="5F90F4AB">
      <w:pPr>
        <w:adjustRightInd w:val="0"/>
        <w:snapToGrid w:val="0"/>
        <w:spacing w:before="156" w:beforeLines="50" w:line="360" w:lineRule="auto"/>
        <w:ind w:firstLine="420" w:firstLineChars="200"/>
        <w:rPr>
          <w:rFonts w:ascii="宋体" w:hAnsi="宋体"/>
          <w:color w:val="auto"/>
        </w:rPr>
      </w:pPr>
      <w:r>
        <w:rPr>
          <w:rFonts w:hint="eastAsia" w:ascii="宋体" w:hAnsi="宋体" w:cs="宋体"/>
          <w:color w:val="auto"/>
          <w:szCs w:val="21"/>
        </w:rPr>
        <w:t>（3）</w:t>
      </w:r>
      <w:r>
        <w:rPr>
          <w:rFonts w:hint="eastAsia" w:ascii="宋体" w:hAnsi="宋体"/>
          <w:color w:val="auto"/>
        </w:rPr>
        <w:t>投标人为个体工商户的，应提交个体工商户营业执照复印件；</w:t>
      </w:r>
    </w:p>
    <w:p w14:paraId="2C466CFB">
      <w:pPr>
        <w:pStyle w:val="102"/>
        <w:ind w:firstLine="400"/>
        <w:rPr>
          <w:rFonts w:ascii="宋体" w:hAnsi="宋体" w:cs="宋体"/>
          <w:b/>
          <w:color w:val="auto"/>
          <w:sz w:val="21"/>
          <w:szCs w:val="21"/>
        </w:rPr>
      </w:pPr>
      <w:r>
        <w:rPr>
          <w:rFonts w:hint="eastAsia" w:ascii="宋体" w:hAnsi="宋体" w:cs="宋体"/>
          <w:color w:val="auto"/>
          <w:szCs w:val="21"/>
        </w:rPr>
        <w:t>（4）</w:t>
      </w:r>
      <w:r>
        <w:rPr>
          <w:rFonts w:hint="eastAsia" w:ascii="宋体" w:hAnsi="宋体"/>
          <w:color w:val="auto"/>
        </w:rPr>
        <w:t>投标人为自然人的，应提交自然人的身份证明复印件。</w:t>
      </w:r>
    </w:p>
    <w:p w14:paraId="399B1126">
      <w:pPr>
        <w:jc w:val="center"/>
        <w:rPr>
          <w:rFonts w:ascii="黑体" w:hAnsi="仿宋" w:eastAsia="黑体" w:cs="宋体"/>
          <w:bCs/>
          <w:color w:val="auto"/>
          <w:szCs w:val="21"/>
        </w:rPr>
      </w:pPr>
      <w:r>
        <w:rPr>
          <w:rFonts w:ascii="黑体" w:hAnsi="仿宋" w:cs="宋体"/>
          <w:b/>
          <w:color w:val="auto"/>
          <w:szCs w:val="21"/>
        </w:rPr>
        <w:br w:type="page"/>
      </w:r>
    </w:p>
    <w:p w14:paraId="24985C58">
      <w:pPr>
        <w:pStyle w:val="5"/>
        <w:spacing w:before="0" w:line="240" w:lineRule="auto"/>
        <w:rPr>
          <w:rFonts w:ascii="黑体" w:hAnsi="仿宋" w:cs="宋体"/>
          <w:b w:val="0"/>
          <w:color w:val="auto"/>
          <w:sz w:val="21"/>
          <w:szCs w:val="21"/>
        </w:rPr>
      </w:pPr>
      <w:r>
        <w:rPr>
          <w:rFonts w:hint="eastAsia" w:ascii="黑体" w:hAnsi="仿宋" w:cs="宋体"/>
          <w:b w:val="0"/>
          <w:color w:val="auto"/>
          <w:sz w:val="21"/>
          <w:szCs w:val="21"/>
        </w:rPr>
        <w:t>附件4-2 湖南省政府采购供应商资格承诺函(格式)</w:t>
      </w:r>
    </w:p>
    <w:p w14:paraId="7CF34A3F">
      <w:pPr>
        <w:pStyle w:val="4"/>
        <w:jc w:val="center"/>
        <w:rPr>
          <w:rFonts w:ascii="宋体" w:hAnsi="宋体" w:cs="宋体"/>
          <w:color w:val="auto"/>
          <w:szCs w:val="21"/>
        </w:rPr>
      </w:pPr>
      <w:bookmarkStart w:id="1487" w:name="_Toc21235"/>
      <w:bookmarkStart w:id="1488" w:name="_Toc112704997"/>
      <w:bookmarkStart w:id="1489" w:name="_Toc154428442"/>
      <w:bookmarkStart w:id="1490" w:name="_Toc23091"/>
      <w:bookmarkStart w:id="1491" w:name="_Toc171273724"/>
      <w:bookmarkStart w:id="1492" w:name="_Toc117192504"/>
      <w:bookmarkStart w:id="1493" w:name="_Toc22144"/>
      <w:bookmarkStart w:id="1494" w:name="_Toc192949655"/>
      <w:bookmarkStart w:id="1495" w:name="_Toc27517"/>
      <w:bookmarkStart w:id="1496" w:name="_Toc192951265"/>
      <w:bookmarkStart w:id="1497" w:name="_Toc30961"/>
      <w:bookmarkStart w:id="1498" w:name="_Toc114036768"/>
      <w:bookmarkStart w:id="1499" w:name="_Toc25620"/>
      <w:bookmarkStart w:id="1500" w:name="_Toc111543600"/>
      <w:bookmarkStart w:id="1501" w:name="_Toc20448"/>
      <w:bookmarkStart w:id="1502" w:name="_Toc2794"/>
      <w:bookmarkStart w:id="1503" w:name="_Toc192949754"/>
      <w:r>
        <w:rPr>
          <w:rFonts w:hint="eastAsia" w:ascii="黑体" w:hAnsi="仿宋" w:eastAsia="黑体" w:cs="宋体"/>
          <w:b w:val="0"/>
          <w:color w:val="auto"/>
          <w:sz w:val="28"/>
          <w:szCs w:val="28"/>
        </w:rPr>
        <w:t>湖南省政府采购供应商资格承诺函(格式)</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14:paraId="48E5951F">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AEF0385">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按照《政府采购促进中小企业发展管理办法》(财库〔2020〕46号),本公司企业规模为: 大型口中型口小型□微型□。</w:t>
      </w:r>
    </w:p>
    <w:p w14:paraId="389F8305">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□本公司自愿入驻湖南省政府采购电子卖场,遵守《湖南省政府采购电子卖场管理办法》(湘财购〔2019〕27号),如违反承诺,同意金融机构将增信保证划缴国库(非电子卖场采购活动项目不需勾选)。</w:t>
      </w:r>
    </w:p>
    <w:p w14:paraId="6A52A96B">
      <w:pPr>
        <w:widowControl/>
        <w:spacing w:before="156" w:beforeLines="50" w:line="360" w:lineRule="auto"/>
        <w:ind w:firstLine="420" w:firstLineChars="200"/>
        <w:jc w:val="left"/>
        <w:rPr>
          <w:rFonts w:ascii="宋体" w:hAnsi="宋体" w:cs="宋体"/>
          <w:color w:val="auto"/>
          <w:szCs w:val="21"/>
        </w:rPr>
      </w:pPr>
    </w:p>
    <w:p w14:paraId="27BB0E1C">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公司(单位)名称(盖章)：</w:t>
      </w:r>
    </w:p>
    <w:p w14:paraId="6AB67BC2">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机构代码、注册登记机构、日期、有效期、注册资本、地 址、经济行业、经济性质</w:t>
      </w:r>
    </w:p>
    <w:p w14:paraId="50FB1B01">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法定代表人(负责人)姓名(签字)、身份证号、手机号:</w:t>
      </w:r>
    </w:p>
    <w:p w14:paraId="7A300C1C">
      <w:pPr>
        <w:adjustRightInd w:val="0"/>
        <w:snapToGrid w:val="0"/>
        <w:spacing w:line="360" w:lineRule="auto"/>
        <w:ind w:firstLine="420" w:firstLineChars="200"/>
        <w:rPr>
          <w:rFonts w:ascii="宋体" w:hAnsi="宋体"/>
          <w:color w:val="auto"/>
        </w:rPr>
      </w:pPr>
      <w:r>
        <w:rPr>
          <w:rFonts w:hint="eastAsia" w:ascii="宋体" w:hAnsi="宋体" w:cs="宋体"/>
          <w:color w:val="auto"/>
          <w:szCs w:val="21"/>
        </w:rPr>
        <w:t>授权代表人姓名(签字)、身份证号、手机号:</w:t>
      </w:r>
    </w:p>
    <w:p w14:paraId="2ADDAF18">
      <w:pPr>
        <w:widowControl/>
        <w:adjustRightInd w:val="0"/>
        <w:snapToGrid w:val="0"/>
        <w:spacing w:before="156" w:beforeLines="50" w:line="360" w:lineRule="auto"/>
        <w:ind w:firstLine="422" w:firstLineChars="200"/>
        <w:jc w:val="left"/>
        <w:rPr>
          <w:rFonts w:ascii="宋体" w:hAnsi="宋体"/>
          <w:b/>
          <w:color w:val="auto"/>
        </w:rPr>
      </w:pPr>
    </w:p>
    <w:p w14:paraId="59744ADA">
      <w:pPr>
        <w:widowControl/>
        <w:adjustRightInd w:val="0"/>
        <w:snapToGrid w:val="0"/>
        <w:spacing w:before="156" w:beforeLines="50" w:line="360" w:lineRule="auto"/>
        <w:ind w:firstLine="420" w:firstLineChars="200"/>
        <w:jc w:val="left"/>
        <w:rPr>
          <w:rFonts w:ascii="宋体" w:hAnsi="宋体" w:cs="宋体"/>
          <w:color w:val="auto"/>
          <w:szCs w:val="21"/>
        </w:rPr>
      </w:pPr>
    </w:p>
    <w:p w14:paraId="3F698664">
      <w:pPr>
        <w:widowControl/>
        <w:jc w:val="left"/>
        <w:rPr>
          <w:rFonts w:ascii="黑体" w:hAnsi="仿宋" w:eastAsia="黑体" w:cs="宋体"/>
          <w:color w:val="auto"/>
          <w:szCs w:val="21"/>
        </w:rPr>
      </w:pPr>
      <w:r>
        <w:rPr>
          <w:rFonts w:ascii="黑体" w:hAnsi="仿宋" w:eastAsia="黑体" w:cs="宋体"/>
          <w:color w:val="auto"/>
          <w:szCs w:val="21"/>
        </w:rPr>
        <w:br w:type="page"/>
      </w:r>
    </w:p>
    <w:p w14:paraId="396BE809">
      <w:pPr>
        <w:pStyle w:val="5"/>
        <w:spacing w:before="0" w:line="240" w:lineRule="auto"/>
        <w:rPr>
          <w:rFonts w:ascii="黑体" w:hAnsi="仿宋" w:cs="宋体"/>
          <w:b w:val="0"/>
          <w:color w:val="auto"/>
          <w:sz w:val="21"/>
          <w:szCs w:val="21"/>
        </w:rPr>
      </w:pPr>
      <w:bookmarkStart w:id="1504" w:name="_Toc13891"/>
      <w:r>
        <w:rPr>
          <w:rFonts w:hint="eastAsia" w:ascii="黑体" w:hAnsi="仿宋" w:cs="宋体"/>
          <w:b w:val="0"/>
          <w:color w:val="auto"/>
          <w:sz w:val="21"/>
          <w:szCs w:val="21"/>
        </w:rPr>
        <w:t>附件4-3 符合特定资格条件证明材料复印件或者情况说明</w:t>
      </w:r>
      <w:bookmarkEnd w:id="1504"/>
    </w:p>
    <w:p w14:paraId="3568990A">
      <w:pPr>
        <w:pStyle w:val="4"/>
        <w:jc w:val="center"/>
        <w:rPr>
          <w:rFonts w:ascii="黑体" w:hAnsi="仿宋" w:eastAsia="黑体" w:cs="宋体"/>
          <w:b w:val="0"/>
          <w:color w:val="auto"/>
          <w:sz w:val="28"/>
          <w:szCs w:val="28"/>
        </w:rPr>
      </w:pPr>
      <w:bookmarkStart w:id="1505" w:name="_Toc117192505"/>
      <w:bookmarkStart w:id="1506" w:name="_Toc552"/>
      <w:bookmarkStart w:id="1507" w:name="_Toc25824"/>
      <w:bookmarkStart w:id="1508" w:name="_Toc111543601"/>
      <w:bookmarkStart w:id="1509" w:name="_Toc5195"/>
      <w:bookmarkStart w:id="1510" w:name="_Toc171273725"/>
      <w:bookmarkStart w:id="1511" w:name="_Toc13604"/>
      <w:bookmarkStart w:id="1512" w:name="_Toc2108"/>
      <w:bookmarkStart w:id="1513" w:name="_Toc154428443"/>
      <w:bookmarkStart w:id="1514" w:name="_Toc192951266"/>
      <w:bookmarkStart w:id="1515" w:name="_Toc114036769"/>
      <w:bookmarkStart w:id="1516" w:name="_Toc192949656"/>
      <w:bookmarkStart w:id="1517" w:name="_Toc112704998"/>
      <w:bookmarkStart w:id="1518" w:name="_Toc9311"/>
      <w:bookmarkStart w:id="1519" w:name="_Toc192949755"/>
      <w:bookmarkStart w:id="1520" w:name="_Toc18554"/>
      <w:bookmarkStart w:id="1521" w:name="_Toc14588"/>
      <w:r>
        <w:rPr>
          <w:rFonts w:hint="eastAsia" w:ascii="黑体" w:hAnsi="仿宋" w:eastAsia="黑体" w:cs="宋体"/>
          <w:b w:val="0"/>
          <w:color w:val="auto"/>
          <w:sz w:val="28"/>
          <w:szCs w:val="28"/>
        </w:rPr>
        <w:t>符合特定资格条件证明材料复印件或者情况说明</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14:paraId="2C040485">
      <w:pPr>
        <w:widowControl/>
        <w:adjustRightInd w:val="0"/>
        <w:snapToGrid w:val="0"/>
        <w:spacing w:line="360" w:lineRule="auto"/>
        <w:ind w:firstLine="420" w:firstLineChars="200"/>
        <w:jc w:val="left"/>
        <w:rPr>
          <w:rFonts w:ascii="宋体" w:hAnsi="宋体" w:cs="宋体"/>
          <w:color w:val="auto"/>
          <w:szCs w:val="21"/>
        </w:rPr>
      </w:pPr>
    </w:p>
    <w:p w14:paraId="7DEE394E">
      <w:pPr>
        <w:widowControl/>
        <w:adjustRightInd w:val="0"/>
        <w:snapToGrid w:val="0"/>
        <w:spacing w:line="360" w:lineRule="auto"/>
        <w:ind w:firstLine="420" w:firstLineChars="200"/>
        <w:jc w:val="left"/>
        <w:rPr>
          <w:rFonts w:ascii="宋体" w:hAnsi="宋体" w:cs="宋体"/>
          <w:color w:val="auto"/>
          <w:szCs w:val="21"/>
        </w:rPr>
      </w:pPr>
      <w:r>
        <w:rPr>
          <w:rFonts w:hint="eastAsia" w:ascii="宋体" w:hAnsi="宋体" w:cs="宋体"/>
          <w:color w:val="auto"/>
          <w:szCs w:val="21"/>
        </w:rPr>
        <w:t>注：按第二章第</w:t>
      </w:r>
      <w:r>
        <w:rPr>
          <w:rFonts w:ascii="宋体" w:hAnsi="宋体" w:cs="宋体"/>
          <w:color w:val="auto"/>
          <w:szCs w:val="21"/>
        </w:rPr>
        <w:t>14.1</w:t>
      </w:r>
      <w:r>
        <w:rPr>
          <w:rFonts w:hint="eastAsia" w:ascii="宋体" w:hAnsi="宋体" w:cs="宋体"/>
          <w:color w:val="auto"/>
          <w:szCs w:val="21"/>
        </w:rPr>
        <w:t>项要求提供。</w:t>
      </w:r>
    </w:p>
    <w:p w14:paraId="649F2953">
      <w:pPr>
        <w:widowControl/>
        <w:jc w:val="left"/>
        <w:rPr>
          <w:rFonts w:ascii="黑体" w:hAnsi="仿宋" w:eastAsia="黑体" w:cs="宋体"/>
          <w:color w:val="auto"/>
          <w:szCs w:val="21"/>
        </w:rPr>
      </w:pPr>
      <w:r>
        <w:rPr>
          <w:rFonts w:ascii="黑体" w:hAnsi="仿宋" w:eastAsia="黑体" w:cs="宋体"/>
          <w:color w:val="auto"/>
          <w:szCs w:val="21"/>
        </w:rPr>
        <w:br w:type="page"/>
      </w:r>
    </w:p>
    <w:p w14:paraId="6C99D781">
      <w:pPr>
        <w:pStyle w:val="5"/>
        <w:spacing w:before="0" w:line="240" w:lineRule="auto"/>
        <w:rPr>
          <w:rFonts w:ascii="黑体" w:hAnsi="宋体" w:cs="宋体"/>
          <w:b w:val="0"/>
          <w:color w:val="auto"/>
          <w:sz w:val="21"/>
          <w:szCs w:val="21"/>
        </w:rPr>
      </w:pPr>
      <w:bookmarkStart w:id="1522" w:name="_Toc15888537"/>
      <w:bookmarkStart w:id="1523" w:name="_Toc75289289"/>
      <w:r>
        <w:rPr>
          <w:rFonts w:hint="eastAsia" w:ascii="黑体" w:hAnsi="仿宋" w:cs="宋体"/>
          <w:b w:val="0"/>
          <w:color w:val="auto"/>
          <w:sz w:val="21"/>
          <w:szCs w:val="21"/>
        </w:rPr>
        <w:t>附件4-4 联合体协议书（格式）</w:t>
      </w:r>
      <w:bookmarkEnd w:id="1522"/>
      <w:bookmarkEnd w:id="1523"/>
    </w:p>
    <w:p w14:paraId="2D34F8AD">
      <w:pPr>
        <w:pStyle w:val="4"/>
        <w:jc w:val="center"/>
        <w:rPr>
          <w:rFonts w:ascii="宋体" w:hAnsi="宋体"/>
          <w:b w:val="0"/>
          <w:color w:val="auto"/>
          <w:szCs w:val="21"/>
        </w:rPr>
      </w:pPr>
      <w:bookmarkStart w:id="1524" w:name="_Toc78450015"/>
      <w:bookmarkStart w:id="1525" w:name="_Toc21488"/>
      <w:bookmarkStart w:id="1526" w:name="_Toc5843"/>
      <w:bookmarkStart w:id="1527" w:name="_Toc112704999"/>
      <w:bookmarkStart w:id="1528" w:name="_Toc192949657"/>
      <w:bookmarkStart w:id="1529" w:name="_Toc77676526"/>
      <w:bookmarkStart w:id="1530" w:name="_Toc7983"/>
      <w:bookmarkStart w:id="1531" w:name="_Toc192951267"/>
      <w:bookmarkStart w:id="1532" w:name="_Toc85972988"/>
      <w:bookmarkStart w:id="1533" w:name="_Toc95601423"/>
      <w:bookmarkStart w:id="1534" w:name="_Toc78314322"/>
      <w:bookmarkStart w:id="1535" w:name="_Toc32126"/>
      <w:bookmarkStart w:id="1536" w:name="_Toc154428444"/>
      <w:bookmarkStart w:id="1537" w:name="_Toc94367938"/>
      <w:bookmarkStart w:id="1538" w:name="_Toc192949756"/>
      <w:bookmarkStart w:id="1539" w:name="_Toc22365"/>
      <w:bookmarkStart w:id="1540" w:name="_Toc16534"/>
      <w:bookmarkStart w:id="1541" w:name="_Toc19945"/>
      <w:bookmarkStart w:id="1542" w:name="_Toc21873"/>
      <w:bookmarkStart w:id="1543" w:name="_Toc100670730"/>
      <w:bookmarkStart w:id="1544" w:name="_Toc77199461"/>
      <w:bookmarkStart w:id="1545" w:name="_Toc114036770"/>
      <w:bookmarkStart w:id="1546" w:name="_Toc25012"/>
      <w:bookmarkStart w:id="1547" w:name="_Toc171273726"/>
      <w:bookmarkStart w:id="1548" w:name="_Toc100670482"/>
      <w:bookmarkStart w:id="1549" w:name="_Toc108341997"/>
      <w:bookmarkStart w:id="1550" w:name="_Toc117192506"/>
      <w:bookmarkStart w:id="1551" w:name="_Toc75289607"/>
      <w:r>
        <w:rPr>
          <w:rFonts w:hint="eastAsia" w:ascii="黑体" w:hAnsi="仿宋" w:eastAsia="黑体" w:cs="宋体"/>
          <w:b w:val="0"/>
          <w:color w:val="auto"/>
          <w:sz w:val="28"/>
          <w:szCs w:val="28"/>
        </w:rPr>
        <w:t>联合体协议书</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14:paraId="5D7AC0FA">
      <w:pPr>
        <w:adjustRightInd w:val="0"/>
        <w:snapToGrid w:val="0"/>
        <w:spacing w:line="360" w:lineRule="auto"/>
        <w:rPr>
          <w:rFonts w:ascii="宋体" w:hAnsi="宋体"/>
          <w:color w:val="auto"/>
          <w:szCs w:val="21"/>
        </w:rPr>
      </w:pPr>
    </w:p>
    <w:bookmarkEnd w:id="1466"/>
    <w:bookmarkEnd w:id="1467"/>
    <w:p w14:paraId="2FD45E1A">
      <w:pPr>
        <w:adjustRightInd w:val="0"/>
        <w:snapToGrid w:val="0"/>
        <w:spacing w:line="360" w:lineRule="auto"/>
        <w:rPr>
          <w:rFonts w:ascii="宋体" w:hAnsi="宋体"/>
          <w:color w:val="auto"/>
          <w:szCs w:val="21"/>
        </w:rPr>
      </w:pPr>
      <w:r>
        <w:rPr>
          <w:rFonts w:hint="eastAsia" w:ascii="宋体" w:hAnsi="宋体"/>
          <w:color w:val="auto"/>
          <w:szCs w:val="21"/>
        </w:rPr>
        <w:t>致（采购人、采购代理机构）：</w:t>
      </w:r>
    </w:p>
    <w:p w14:paraId="1EFB580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经研究，我们决定自愿组成联合体共同参加（项目名称</w:t>
      </w:r>
      <w:r>
        <w:rPr>
          <w:rFonts w:ascii="宋体" w:hAnsi="宋体"/>
          <w:color w:val="auto"/>
          <w:szCs w:val="21"/>
        </w:rPr>
        <w:t>）</w:t>
      </w:r>
      <w:r>
        <w:rPr>
          <w:rFonts w:hint="eastAsia" w:ascii="宋体" w:hAnsi="宋体"/>
          <w:color w:val="auto"/>
          <w:szCs w:val="21"/>
        </w:rPr>
        <w:t>（政府采购计划编号： ）项目的投标。现就联合体投标事宜订立如下协议：</w:t>
      </w:r>
    </w:p>
    <w:p w14:paraId="78D75FE6">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一、联合体基本信息：（各方公司名称、地址、注册资金、营业执照、</w:t>
      </w: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姓名）</w:t>
      </w:r>
    </w:p>
    <w:p w14:paraId="23540E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二、（某成员单位名称）为（联合体名称）牵头人。</w:t>
      </w:r>
    </w:p>
    <w:p w14:paraId="0020D88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7AF493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四．联合体将严格按照招标文件的各项要求，递交投标文件，参加投标，履行中标义务和中标后的合同，并向采购人承担连带责任。</w:t>
      </w:r>
    </w:p>
    <w:p w14:paraId="2528BD54">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五、联合体各成员单位内部的职责分工如下：。按照本条上述分工，联合体各成员的协议合同金额占联合体协议合同总金额比例如下：。</w:t>
      </w:r>
    </w:p>
    <w:p w14:paraId="0F7309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六、本协议书自签署之日起生效，合同履行完毕后自动失效。</w:t>
      </w:r>
    </w:p>
    <w:p w14:paraId="2E19B1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七、本协议书一式份，联合体成员和采购人各执一份。</w:t>
      </w:r>
    </w:p>
    <w:p w14:paraId="4C5740EF">
      <w:pPr>
        <w:adjustRightInd w:val="0"/>
        <w:snapToGrid w:val="0"/>
        <w:spacing w:line="360" w:lineRule="auto"/>
        <w:rPr>
          <w:rFonts w:ascii="宋体" w:hAnsi="宋体"/>
          <w:color w:val="auto"/>
          <w:szCs w:val="21"/>
        </w:rPr>
      </w:pPr>
    </w:p>
    <w:p w14:paraId="782C1B90">
      <w:pPr>
        <w:adjustRightInd w:val="0"/>
        <w:snapToGrid w:val="0"/>
        <w:spacing w:line="360" w:lineRule="auto"/>
        <w:rPr>
          <w:rFonts w:ascii="宋体" w:hAnsi="宋体"/>
          <w:color w:val="auto"/>
          <w:szCs w:val="21"/>
        </w:rPr>
      </w:pPr>
      <w:r>
        <w:rPr>
          <w:rFonts w:hint="eastAsia" w:ascii="宋体" w:hAnsi="宋体"/>
          <w:color w:val="auto"/>
          <w:szCs w:val="21"/>
        </w:rPr>
        <w:t>牵头人名称（盖单位章）：</w:t>
      </w:r>
    </w:p>
    <w:p w14:paraId="6E82C844">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3E998758">
      <w:pPr>
        <w:adjustRightInd w:val="0"/>
        <w:snapToGrid w:val="0"/>
        <w:spacing w:line="360" w:lineRule="auto"/>
        <w:rPr>
          <w:rFonts w:ascii="宋体" w:hAnsi="宋体"/>
          <w:color w:val="auto"/>
          <w:szCs w:val="21"/>
        </w:rPr>
      </w:pPr>
    </w:p>
    <w:p w14:paraId="634EBA06">
      <w:pPr>
        <w:adjustRightInd w:val="0"/>
        <w:snapToGrid w:val="0"/>
        <w:spacing w:line="360" w:lineRule="auto"/>
        <w:rPr>
          <w:rFonts w:ascii="宋体" w:hAnsi="宋体"/>
          <w:color w:val="auto"/>
          <w:szCs w:val="21"/>
        </w:rPr>
      </w:pPr>
      <w:r>
        <w:rPr>
          <w:rFonts w:hint="eastAsia" w:ascii="宋体" w:hAnsi="宋体"/>
          <w:color w:val="auto"/>
          <w:szCs w:val="21"/>
        </w:rPr>
        <w:t>成员1名称（盖单位章）：</w:t>
      </w:r>
    </w:p>
    <w:p w14:paraId="6CB978D5">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224BDF77">
      <w:pPr>
        <w:adjustRightInd w:val="0"/>
        <w:snapToGrid w:val="0"/>
        <w:spacing w:line="360" w:lineRule="auto"/>
        <w:rPr>
          <w:rFonts w:ascii="宋体" w:hAnsi="宋体"/>
          <w:color w:val="auto"/>
          <w:szCs w:val="21"/>
        </w:rPr>
      </w:pPr>
      <w:r>
        <w:rPr>
          <w:rFonts w:hint="eastAsia" w:ascii="宋体" w:hAnsi="宋体"/>
          <w:color w:val="auto"/>
          <w:szCs w:val="21"/>
        </w:rPr>
        <w:t>成员2名称（盖单位章）：</w:t>
      </w:r>
    </w:p>
    <w:p w14:paraId="07D66F42">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019ED08B">
      <w:pPr>
        <w:adjustRightInd w:val="0"/>
        <w:snapToGrid w:val="0"/>
        <w:spacing w:line="360" w:lineRule="auto"/>
        <w:rPr>
          <w:rFonts w:ascii="宋体" w:hAnsi="宋体"/>
          <w:color w:val="auto"/>
          <w:szCs w:val="21"/>
        </w:rPr>
      </w:pPr>
      <w:r>
        <w:rPr>
          <w:rFonts w:ascii="宋体" w:hAnsi="宋体"/>
          <w:color w:val="auto"/>
          <w:szCs w:val="21"/>
        </w:rPr>
        <w:t>…</w:t>
      </w:r>
    </w:p>
    <w:p w14:paraId="6DB06E70">
      <w:pPr>
        <w:adjustRightInd w:val="0"/>
        <w:snapToGrid w:val="0"/>
        <w:spacing w:line="360" w:lineRule="auto"/>
        <w:rPr>
          <w:rFonts w:ascii="宋体" w:hAnsi="宋体"/>
          <w:color w:val="auto"/>
          <w:szCs w:val="21"/>
        </w:rPr>
      </w:pPr>
      <w:r>
        <w:rPr>
          <w:rFonts w:hint="eastAsia" w:ascii="宋体" w:hAnsi="宋体"/>
          <w:color w:val="auto"/>
          <w:szCs w:val="21"/>
        </w:rPr>
        <w:t xml:space="preserve">日期：年月日  </w:t>
      </w:r>
    </w:p>
    <w:p w14:paraId="78981F20">
      <w:pPr>
        <w:widowControl/>
        <w:adjustRightInd w:val="0"/>
        <w:snapToGrid w:val="0"/>
        <w:spacing w:line="360" w:lineRule="auto"/>
        <w:ind w:firstLine="420" w:firstLineChars="200"/>
        <w:jc w:val="left"/>
        <w:rPr>
          <w:rFonts w:ascii="宋体" w:hAnsi="宋体"/>
          <w:color w:val="auto"/>
          <w:szCs w:val="21"/>
        </w:rPr>
      </w:pPr>
      <w:r>
        <w:rPr>
          <w:rFonts w:hint="eastAsia" w:ascii="宋体" w:hAnsi="宋体"/>
          <w:bCs/>
          <w:color w:val="auto"/>
          <w:szCs w:val="21"/>
        </w:rPr>
        <w:t>注：1.</w:t>
      </w:r>
      <w:r>
        <w:rPr>
          <w:rFonts w:hint="eastAsia" w:ascii="宋体" w:hAnsi="宋体"/>
          <w:color w:val="auto"/>
          <w:szCs w:val="21"/>
        </w:rPr>
        <w:t>本协议书由委托代理人签字的，应附授权委托书。</w:t>
      </w:r>
    </w:p>
    <w:p w14:paraId="4097DFDA">
      <w:pPr>
        <w:widowControl/>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2.投标人在提交投标文件的截止时间前修改“开标一览表”中的投标报价，影响本协议书第五条的，应同时修改本协议书第五条。否则，评审时价格评审优惠不予以考虑。</w:t>
      </w:r>
    </w:p>
    <w:p w14:paraId="01D202C7">
      <w:pPr>
        <w:pStyle w:val="3"/>
        <w:rPr>
          <w:color w:val="auto"/>
        </w:rPr>
      </w:pPr>
      <w:r>
        <w:rPr>
          <w:color w:val="auto"/>
        </w:rPr>
        <w:br w:type="page"/>
      </w:r>
    </w:p>
    <w:p w14:paraId="12BE131B">
      <w:pPr>
        <w:pStyle w:val="102"/>
        <w:rPr>
          <w:rFonts w:ascii="黑体" w:hAnsi="仿宋" w:eastAsia="黑体" w:cs="宋体"/>
          <w:bCs/>
          <w:color w:val="auto"/>
          <w:sz w:val="21"/>
          <w:szCs w:val="21"/>
        </w:rPr>
      </w:pPr>
    </w:p>
    <w:p w14:paraId="2E1D42DA">
      <w:pPr>
        <w:pStyle w:val="102"/>
        <w:ind w:firstLine="0" w:firstLineChars="0"/>
        <w:rPr>
          <w:rFonts w:ascii="黑体" w:hAnsi="仿宋" w:eastAsia="黑体" w:cs="宋体"/>
          <w:bCs/>
          <w:color w:val="auto"/>
          <w:sz w:val="21"/>
          <w:szCs w:val="21"/>
        </w:rPr>
      </w:pPr>
      <w:r>
        <w:rPr>
          <w:rFonts w:hint="eastAsia" w:ascii="黑体" w:hAnsi="仿宋" w:eastAsia="黑体" w:cs="宋体"/>
          <w:bCs/>
          <w:color w:val="auto"/>
          <w:sz w:val="21"/>
          <w:szCs w:val="21"/>
        </w:rPr>
        <w:t>附件4-5 分包承诺（本项目不适用）</w:t>
      </w:r>
    </w:p>
    <w:p w14:paraId="24ED3D3A">
      <w:pPr>
        <w:pStyle w:val="102"/>
        <w:rPr>
          <w:rFonts w:ascii="黑体" w:hAnsi="仿宋" w:cs="宋体"/>
          <w:color w:val="auto"/>
          <w:sz w:val="21"/>
          <w:szCs w:val="21"/>
        </w:rPr>
      </w:pPr>
    </w:p>
    <w:p w14:paraId="35DC9B06">
      <w:pPr>
        <w:widowControl/>
        <w:adjustRightInd w:val="0"/>
        <w:snapToGrid w:val="0"/>
        <w:spacing w:line="360" w:lineRule="auto"/>
        <w:ind w:firstLine="420" w:firstLineChars="200"/>
        <w:jc w:val="left"/>
        <w:rPr>
          <w:rFonts w:ascii="黑体" w:eastAsia="黑体"/>
          <w:color w:val="auto"/>
          <w:sz w:val="32"/>
          <w:szCs w:val="32"/>
        </w:rPr>
      </w:pPr>
      <w:r>
        <w:rPr>
          <w:rFonts w:hint="eastAsia"/>
          <w:color w:val="auto"/>
        </w:rPr>
        <w:t>注：采购项目或者采购包属于“预留采购份额”，且要求合同分包的，投标人应当按照招标文件第一章第三条第2款规定提供《分包承诺》，格式自拟。</w:t>
      </w:r>
      <w:r>
        <w:rPr>
          <w:rFonts w:ascii="宋体" w:hAnsi="宋体"/>
          <w:color w:val="auto"/>
          <w:szCs w:val="21"/>
        </w:rPr>
        <w:br w:type="page"/>
      </w:r>
    </w:p>
    <w:p w14:paraId="6EA28563">
      <w:pPr>
        <w:adjustRightInd w:val="0"/>
        <w:snapToGrid w:val="0"/>
        <w:spacing w:line="360" w:lineRule="auto"/>
        <w:jc w:val="center"/>
        <w:rPr>
          <w:rFonts w:ascii="黑体" w:eastAsia="黑体"/>
          <w:color w:val="auto"/>
          <w:sz w:val="32"/>
          <w:szCs w:val="32"/>
        </w:rPr>
      </w:pPr>
    </w:p>
    <w:p w14:paraId="36157D0F">
      <w:pPr>
        <w:pStyle w:val="22"/>
        <w:adjustRightInd w:val="0"/>
        <w:snapToGrid w:val="0"/>
        <w:spacing w:line="360" w:lineRule="auto"/>
        <w:jc w:val="center"/>
        <w:rPr>
          <w:rFonts w:ascii="华文中宋" w:hAnsi="华文中宋" w:eastAsia="华文中宋"/>
          <w:bCs/>
          <w:color w:val="auto"/>
          <w:sz w:val="72"/>
          <w:szCs w:val="72"/>
        </w:rPr>
      </w:pPr>
      <w:r>
        <w:rPr>
          <w:rFonts w:hint="eastAsia" w:ascii="华文中宋" w:hAnsi="华文中宋" w:eastAsia="华文中宋"/>
          <w:bCs/>
          <w:color w:val="auto"/>
          <w:sz w:val="72"/>
          <w:szCs w:val="72"/>
        </w:rPr>
        <w:t>政府采购</w:t>
      </w:r>
    </w:p>
    <w:p w14:paraId="432614ED">
      <w:pPr>
        <w:adjustRightInd w:val="0"/>
        <w:snapToGrid w:val="0"/>
        <w:spacing w:line="360" w:lineRule="auto"/>
        <w:jc w:val="center"/>
        <w:rPr>
          <w:rFonts w:ascii="宋体" w:hAnsi="宋体"/>
          <w:b/>
          <w:bCs/>
          <w:color w:val="auto"/>
          <w:sz w:val="84"/>
          <w:szCs w:val="84"/>
        </w:rPr>
      </w:pPr>
      <w:r>
        <w:rPr>
          <w:rFonts w:hint="eastAsia" w:ascii="宋体" w:hAnsi="宋体"/>
          <w:b/>
          <w:bCs/>
          <w:color w:val="auto"/>
          <w:sz w:val="84"/>
          <w:szCs w:val="84"/>
        </w:rPr>
        <w:t>投 标 文 件</w:t>
      </w:r>
    </w:p>
    <w:p w14:paraId="087AA50A">
      <w:pPr>
        <w:pStyle w:val="3"/>
        <w:adjustRightInd w:val="0"/>
        <w:snapToGrid w:val="0"/>
        <w:jc w:val="center"/>
        <w:rPr>
          <w:rFonts w:ascii="黑体" w:hAnsi="黑体" w:eastAsia="黑体"/>
          <w:color w:val="auto"/>
          <w:sz w:val="44"/>
          <w:szCs w:val="44"/>
        </w:rPr>
      </w:pPr>
      <w:bookmarkStart w:id="1552" w:name="_Toc4837"/>
      <w:bookmarkStart w:id="1553" w:name="_Toc192949658"/>
      <w:bookmarkStart w:id="1554" w:name="_Toc78314323"/>
      <w:bookmarkStart w:id="1555" w:name="_Toc108341998"/>
      <w:bookmarkStart w:id="1556" w:name="_Toc77199462"/>
      <w:bookmarkStart w:id="1557" w:name="_Toc192951268"/>
      <w:bookmarkStart w:id="1558" w:name="_Toc154428445"/>
      <w:bookmarkStart w:id="1559" w:name="_Toc19172"/>
      <w:bookmarkStart w:id="1560" w:name="_Toc78450016"/>
      <w:bookmarkStart w:id="1561" w:name="_Toc75289290"/>
      <w:bookmarkStart w:id="1562" w:name="_Toc30858"/>
      <w:bookmarkStart w:id="1563" w:name="_Toc2817"/>
      <w:bookmarkStart w:id="1564" w:name="_Toc117192507"/>
      <w:bookmarkStart w:id="1565" w:name="_Toc100670731"/>
      <w:bookmarkStart w:id="1566" w:name="_Toc95601424"/>
      <w:bookmarkStart w:id="1567" w:name="_Toc15888538"/>
      <w:bookmarkStart w:id="1568" w:name="_Toc26261"/>
      <w:bookmarkStart w:id="1569" w:name="_Toc24192"/>
      <w:bookmarkStart w:id="1570" w:name="_Toc18258"/>
      <w:bookmarkStart w:id="1571" w:name="_Toc112705000"/>
      <w:bookmarkStart w:id="1572" w:name="_Toc85972989"/>
      <w:bookmarkStart w:id="1573" w:name="_Toc17619"/>
      <w:bookmarkStart w:id="1574" w:name="_Toc75289608"/>
      <w:bookmarkStart w:id="1575" w:name="_Toc100670483"/>
      <w:bookmarkStart w:id="1576" w:name="_Toc171273727"/>
      <w:bookmarkStart w:id="1577" w:name="_Toc114036771"/>
      <w:bookmarkStart w:id="1578" w:name="_Toc77676527"/>
      <w:bookmarkStart w:id="1579" w:name="_Toc192949757"/>
      <w:bookmarkStart w:id="1580" w:name="_Toc94367939"/>
      <w:bookmarkStart w:id="1581" w:name="_Toc16661"/>
      <w:r>
        <w:rPr>
          <w:rFonts w:hint="eastAsia" w:ascii="黑体" w:hAnsi="黑体" w:eastAsia="黑体"/>
          <w:color w:val="auto"/>
          <w:sz w:val="44"/>
          <w:szCs w:val="44"/>
        </w:rPr>
        <w:t>第二部分 商务技术文件</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14:paraId="1034BF70">
      <w:pPr>
        <w:adjustRightInd w:val="0"/>
        <w:snapToGrid w:val="0"/>
        <w:spacing w:line="360" w:lineRule="auto"/>
        <w:rPr>
          <w:rFonts w:ascii="宋体" w:hAnsi="宋体"/>
          <w:color w:val="auto"/>
          <w:sz w:val="32"/>
          <w:szCs w:val="32"/>
        </w:rPr>
      </w:pPr>
    </w:p>
    <w:p w14:paraId="2695B95B">
      <w:pPr>
        <w:pStyle w:val="22"/>
        <w:adjustRightInd w:val="0"/>
        <w:snapToGrid w:val="0"/>
        <w:spacing w:line="360" w:lineRule="auto"/>
        <w:ind w:firstLine="1988" w:firstLineChars="660"/>
        <w:rPr>
          <w:rFonts w:hAnsi="宋体"/>
          <w:b/>
          <w:bCs/>
          <w:color w:val="auto"/>
          <w:sz w:val="30"/>
          <w:szCs w:val="30"/>
        </w:rPr>
      </w:pPr>
    </w:p>
    <w:p w14:paraId="0F5DE0BF">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采购项目名称:</w:t>
      </w:r>
    </w:p>
    <w:p w14:paraId="2713871F">
      <w:pPr>
        <w:pStyle w:val="22"/>
        <w:adjustRightInd w:val="0"/>
        <w:snapToGrid w:val="0"/>
        <w:spacing w:line="360" w:lineRule="auto"/>
        <w:ind w:firstLine="1988" w:firstLineChars="660"/>
        <w:rPr>
          <w:rFonts w:hAnsi="宋体"/>
          <w:b/>
          <w:bCs/>
          <w:color w:val="auto"/>
          <w:sz w:val="30"/>
          <w:szCs w:val="30"/>
        </w:rPr>
      </w:pPr>
      <w:r>
        <w:rPr>
          <w:rFonts w:hint="eastAsia" w:hAnsi="宋体"/>
          <w:b/>
          <w:bCs/>
          <w:color w:val="auto"/>
          <w:sz w:val="30"/>
          <w:szCs w:val="30"/>
        </w:rPr>
        <w:t>采   购   人：</w:t>
      </w:r>
    </w:p>
    <w:p w14:paraId="1DD634F6">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政府采购计划编号:</w:t>
      </w:r>
    </w:p>
    <w:p w14:paraId="017AFBC2">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委托代理编号:</w:t>
      </w:r>
    </w:p>
    <w:p w14:paraId="76003D1F">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采购代理机构：</w:t>
      </w:r>
    </w:p>
    <w:p w14:paraId="2D0F7981">
      <w:pPr>
        <w:adjustRightInd w:val="0"/>
        <w:snapToGrid w:val="0"/>
        <w:spacing w:line="360" w:lineRule="auto"/>
        <w:rPr>
          <w:rFonts w:ascii="宋体" w:hAnsi="宋体"/>
          <w:color w:val="auto"/>
          <w:sz w:val="30"/>
          <w:szCs w:val="30"/>
        </w:rPr>
      </w:pPr>
    </w:p>
    <w:p w14:paraId="2660EF15">
      <w:pPr>
        <w:adjustRightInd w:val="0"/>
        <w:snapToGrid w:val="0"/>
        <w:spacing w:line="360" w:lineRule="auto"/>
        <w:rPr>
          <w:rFonts w:ascii="宋体" w:hAnsi="宋体"/>
          <w:color w:val="auto"/>
          <w:sz w:val="30"/>
          <w:szCs w:val="30"/>
        </w:rPr>
      </w:pPr>
    </w:p>
    <w:p w14:paraId="0952743D">
      <w:pPr>
        <w:adjustRightInd w:val="0"/>
        <w:snapToGrid w:val="0"/>
        <w:spacing w:line="360" w:lineRule="auto"/>
        <w:rPr>
          <w:rFonts w:ascii="宋体" w:hAnsi="宋体"/>
          <w:color w:val="auto"/>
          <w:sz w:val="30"/>
          <w:szCs w:val="30"/>
        </w:rPr>
      </w:pPr>
    </w:p>
    <w:p w14:paraId="0A6591B7">
      <w:pPr>
        <w:adjustRightInd w:val="0"/>
        <w:snapToGrid w:val="0"/>
        <w:spacing w:line="360" w:lineRule="auto"/>
        <w:rPr>
          <w:rFonts w:ascii="宋体" w:hAnsi="宋体"/>
          <w:color w:val="auto"/>
          <w:sz w:val="30"/>
          <w:szCs w:val="30"/>
        </w:rPr>
      </w:pPr>
    </w:p>
    <w:p w14:paraId="2130F8B5">
      <w:pPr>
        <w:adjustRightInd w:val="0"/>
        <w:snapToGrid w:val="0"/>
        <w:spacing w:line="360" w:lineRule="auto"/>
        <w:ind w:left="1273" w:leftChars="606" w:firstLine="2"/>
        <w:rPr>
          <w:rFonts w:ascii="宋体" w:hAnsi="宋体"/>
          <w:color w:val="auto"/>
          <w:sz w:val="32"/>
          <w:szCs w:val="32"/>
          <w:u w:val="single"/>
        </w:rPr>
      </w:pPr>
      <w:r>
        <w:rPr>
          <w:rFonts w:hint="eastAsia" w:ascii="宋体" w:hAnsi="宋体"/>
          <w:color w:val="auto"/>
          <w:sz w:val="32"/>
          <w:szCs w:val="32"/>
        </w:rPr>
        <w:t>投标人</w:t>
      </w:r>
    </w:p>
    <w:p w14:paraId="6ED13517">
      <w:pPr>
        <w:adjustRightInd w:val="0"/>
        <w:snapToGrid w:val="0"/>
        <w:spacing w:line="360" w:lineRule="auto"/>
        <w:jc w:val="center"/>
        <w:rPr>
          <w:rFonts w:ascii="宋体" w:hAnsi="宋体"/>
          <w:color w:val="auto"/>
          <w:sz w:val="32"/>
          <w:szCs w:val="32"/>
        </w:rPr>
      </w:pPr>
      <w:r>
        <w:rPr>
          <w:rFonts w:hint="eastAsia" w:ascii="宋体" w:hAnsi="宋体"/>
          <w:color w:val="auto"/>
          <w:sz w:val="32"/>
          <w:szCs w:val="32"/>
        </w:rPr>
        <w:t>年  月  日</w:t>
      </w:r>
    </w:p>
    <w:p w14:paraId="500A5BE5">
      <w:pPr>
        <w:pStyle w:val="5"/>
        <w:adjustRightInd w:val="0"/>
        <w:spacing w:before="156" w:beforeLines="50" w:after="0" w:line="360" w:lineRule="auto"/>
        <w:jc w:val="left"/>
        <w:rPr>
          <w:rFonts w:ascii="黑体" w:hAnsi="宋体"/>
          <w:b w:val="0"/>
          <w:bCs w:val="0"/>
          <w:color w:val="auto"/>
          <w:szCs w:val="21"/>
        </w:rPr>
      </w:pPr>
      <w:r>
        <w:rPr>
          <w:rFonts w:ascii="宋体" w:hAnsi="宋体" w:eastAsia="宋体"/>
          <w:color w:val="auto"/>
        </w:rPr>
        <w:br w:type="page"/>
      </w:r>
    </w:p>
    <w:p w14:paraId="4CB80022">
      <w:pPr>
        <w:pStyle w:val="3"/>
        <w:jc w:val="center"/>
        <w:rPr>
          <w:rFonts w:ascii="黑体" w:hAnsi="宋体" w:eastAsia="黑体"/>
          <w:color w:val="auto"/>
          <w:sz w:val="28"/>
          <w:szCs w:val="28"/>
        </w:rPr>
      </w:pPr>
      <w:bookmarkStart w:id="1582" w:name="_Toc15888541"/>
      <w:bookmarkStart w:id="1583" w:name="_Toc24217"/>
      <w:bookmarkStart w:id="1584" w:name="_Toc94367942"/>
      <w:bookmarkStart w:id="1585" w:name="_Toc20564"/>
      <w:bookmarkStart w:id="1586" w:name="_Toc85972992"/>
      <w:bookmarkStart w:id="1587" w:name="_Toc100670486"/>
      <w:bookmarkStart w:id="1588" w:name="_Toc9017"/>
      <w:bookmarkStart w:id="1589" w:name="_Toc4446"/>
      <w:bookmarkStart w:id="1590" w:name="_Toc192949758"/>
      <w:bookmarkStart w:id="1591" w:name="_Toc75289293"/>
      <w:bookmarkStart w:id="1592" w:name="_Toc192949659"/>
      <w:bookmarkStart w:id="1593" w:name="_Toc171273728"/>
      <w:bookmarkStart w:id="1594" w:name="_Toc78314326"/>
      <w:bookmarkStart w:id="1595" w:name="_Toc18505"/>
      <w:bookmarkStart w:id="1596" w:name="_Toc17186"/>
      <w:bookmarkStart w:id="1597" w:name="_Toc108342001"/>
      <w:bookmarkStart w:id="1598" w:name="_Toc77676530"/>
      <w:bookmarkStart w:id="1599" w:name="_Toc95601427"/>
      <w:bookmarkStart w:id="1600" w:name="_Toc75289611"/>
      <w:bookmarkStart w:id="1601" w:name="_Toc192951269"/>
      <w:bookmarkStart w:id="1602" w:name="_Toc100670734"/>
      <w:bookmarkStart w:id="1603" w:name="_Toc112705001"/>
      <w:bookmarkStart w:id="1604" w:name="_Toc30810"/>
      <w:bookmarkStart w:id="1605" w:name="_Toc719"/>
      <w:bookmarkStart w:id="1606" w:name="_Toc78450019"/>
      <w:bookmarkStart w:id="1607" w:name="_Toc117192508"/>
      <w:bookmarkStart w:id="1608" w:name="_Toc114036772"/>
      <w:bookmarkStart w:id="1609" w:name="_Toc4451"/>
      <w:bookmarkStart w:id="1610" w:name="_Toc154428446"/>
      <w:bookmarkStart w:id="1611" w:name="_Toc77199465"/>
      <w:r>
        <w:rPr>
          <w:rFonts w:hint="eastAsia" w:ascii="黑体" w:hAnsi="宋体" w:eastAsia="黑体"/>
          <w:color w:val="auto"/>
          <w:sz w:val="28"/>
          <w:szCs w:val="28"/>
        </w:rPr>
        <w:t>五</w:t>
      </w:r>
      <w:r>
        <w:rPr>
          <w:rFonts w:ascii="黑体" w:hAnsi="宋体" w:eastAsia="黑体"/>
          <w:color w:val="auto"/>
          <w:sz w:val="28"/>
          <w:szCs w:val="28"/>
        </w:rPr>
        <w:t>、</w:t>
      </w:r>
      <w:r>
        <w:rPr>
          <w:rFonts w:hint="eastAsia" w:ascii="黑体" w:hAnsi="宋体" w:eastAsia="黑体"/>
          <w:color w:val="auto"/>
          <w:sz w:val="28"/>
          <w:szCs w:val="28"/>
        </w:rPr>
        <w:t>投标函</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14:paraId="6179E8D2">
      <w:pPr>
        <w:adjustRightInd w:val="0"/>
        <w:snapToGrid w:val="0"/>
        <w:spacing w:before="156" w:beforeLines="50" w:line="360" w:lineRule="auto"/>
        <w:rPr>
          <w:rFonts w:ascii="宋体" w:hAnsi="宋体"/>
          <w:color w:val="auto"/>
          <w:szCs w:val="21"/>
        </w:rPr>
      </w:pPr>
      <w:r>
        <w:rPr>
          <w:rFonts w:hint="eastAsia" w:ascii="宋体" w:hAnsi="宋体"/>
          <w:color w:val="auto"/>
          <w:szCs w:val="21"/>
        </w:rPr>
        <w:t>致：（采购人、采购代理机构）：</w:t>
      </w:r>
    </w:p>
    <w:p w14:paraId="2C81055C">
      <w:pPr>
        <w:adjustRightInd w:val="0"/>
        <w:snapToGrid w:val="0"/>
        <w:spacing w:before="156" w:beforeLines="50" w:line="360" w:lineRule="auto"/>
        <w:ind w:firstLine="435"/>
        <w:rPr>
          <w:rFonts w:ascii="宋体" w:hAnsi="宋体"/>
          <w:color w:val="auto"/>
          <w:szCs w:val="21"/>
        </w:rPr>
      </w:pPr>
      <w:r>
        <w:rPr>
          <w:rFonts w:hint="eastAsia" w:ascii="宋体" w:hAnsi="宋体"/>
          <w:color w:val="auto"/>
          <w:szCs w:val="21"/>
        </w:rPr>
        <w:t>根据贵方为（项目名称）的投标邀请（</w:t>
      </w:r>
      <w:r>
        <w:rPr>
          <w:rFonts w:hint="eastAsia" w:ascii="宋体" w:hAnsi="宋体"/>
          <w:color w:val="auto"/>
        </w:rPr>
        <w:t>政府采购计划编号</w:t>
      </w:r>
      <w:r>
        <w:rPr>
          <w:rFonts w:hint="eastAsia" w:ascii="宋体" w:hAnsi="宋体"/>
          <w:iCs/>
          <w:color w:val="auto"/>
        </w:rPr>
        <w:t>： ，</w:t>
      </w:r>
      <w:r>
        <w:rPr>
          <w:rFonts w:hint="eastAsia" w:ascii="宋体" w:hAnsi="宋体"/>
          <w:color w:val="auto"/>
          <w:szCs w:val="21"/>
        </w:rPr>
        <w:t>委托代理编号：），签字代表 （姓名、职务）经正式授权并代表投标人 （投标人名称）提交下述投标文件电子文档一份，参加采购项目第包投标，并在此声明，所递交的投标文件内容完整、真实。</w:t>
      </w:r>
    </w:p>
    <w:p w14:paraId="4333A191">
      <w:pPr>
        <w:adjustRightInd w:val="0"/>
        <w:snapToGrid w:val="0"/>
        <w:spacing w:before="156" w:beforeLines="50" w:line="360" w:lineRule="auto"/>
        <w:ind w:firstLine="422" w:firstLineChars="200"/>
        <w:rPr>
          <w:rFonts w:ascii="宋体" w:hAnsi="宋体"/>
          <w:b/>
          <w:color w:val="auto"/>
          <w:szCs w:val="21"/>
        </w:rPr>
      </w:pPr>
      <w:r>
        <w:rPr>
          <w:rFonts w:hint="eastAsia" w:ascii="宋体" w:hAnsi="宋体"/>
          <w:b/>
          <w:color w:val="auto"/>
          <w:szCs w:val="21"/>
        </w:rPr>
        <w:t>第一部分 资格证明文件</w:t>
      </w:r>
    </w:p>
    <w:p w14:paraId="7CEDEF5C">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一、开标一览表</w:t>
      </w:r>
    </w:p>
    <w:p w14:paraId="6ABF6902">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二、投标保证金</w:t>
      </w:r>
    </w:p>
    <w:p w14:paraId="1863114C">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三、授权委托书</w:t>
      </w:r>
    </w:p>
    <w:p w14:paraId="05A31151">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四、投标人提供的资格证明文件</w:t>
      </w:r>
    </w:p>
    <w:p w14:paraId="5E421422">
      <w:pPr>
        <w:adjustRightInd w:val="0"/>
        <w:snapToGrid w:val="0"/>
        <w:spacing w:before="156" w:beforeLines="50" w:line="360" w:lineRule="auto"/>
        <w:ind w:firstLine="422" w:firstLineChars="200"/>
        <w:rPr>
          <w:rFonts w:ascii="宋体" w:hAnsi="宋体"/>
          <w:b/>
          <w:color w:val="auto"/>
          <w:szCs w:val="21"/>
        </w:rPr>
      </w:pPr>
      <w:r>
        <w:rPr>
          <w:rFonts w:hint="eastAsia" w:ascii="宋体" w:hAnsi="宋体"/>
          <w:b/>
          <w:color w:val="auto"/>
          <w:szCs w:val="21"/>
        </w:rPr>
        <w:t>第二部分 商务技术文件</w:t>
      </w:r>
    </w:p>
    <w:p w14:paraId="5627F4B0">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五、投标函</w:t>
      </w:r>
    </w:p>
    <w:p w14:paraId="6CCA7CEB">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六、分项报价</w:t>
      </w:r>
    </w:p>
    <w:p w14:paraId="3BB33B29">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七、采购需求响应</w:t>
      </w:r>
    </w:p>
    <w:p w14:paraId="77EA0092">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八、合同条款偏离表</w:t>
      </w:r>
    </w:p>
    <w:p w14:paraId="1F8AFFE5">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九、采购需求偏离表</w:t>
      </w:r>
    </w:p>
    <w:p w14:paraId="173D014B">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十、享受政府采购政策优惠的证明资料</w:t>
      </w:r>
    </w:p>
    <w:p w14:paraId="4E127BB9">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十一、投标货物符合招标文件规定的证明文件</w:t>
      </w:r>
    </w:p>
    <w:p w14:paraId="4EDD0360">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十二、投标人认为需提供的其他资料</w:t>
      </w:r>
    </w:p>
    <w:p w14:paraId="3190EEA7">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在此，签字代表宣布同意如下：</w:t>
      </w:r>
    </w:p>
    <w:p w14:paraId="058CD2B0">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1、投标人严格按照招标文件的规定报价，见《开标一览表》。</w:t>
      </w:r>
    </w:p>
    <w:p w14:paraId="769629F0">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2、投标人将按招标文件的规定履行合同责任和义务。</w:t>
      </w:r>
    </w:p>
    <w:p w14:paraId="78B66DDE">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3、投标人已详细审查招标文件。我们完全理解并同意放弃对这方面有不明及误解的权力。</w:t>
      </w:r>
    </w:p>
    <w:p w14:paraId="3427AEF6">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szCs w:val="21"/>
        </w:rPr>
        <w:t>4、本投标有效期为自招标文件规定的提交投标文件截止之日起</w:t>
      </w:r>
      <w:r>
        <w:rPr>
          <w:rFonts w:hint="eastAsia" w:ascii="宋体" w:hAnsi="宋体"/>
          <w:color w:val="auto"/>
          <w:szCs w:val="21"/>
          <w:u w:val="single"/>
        </w:rPr>
        <w:t xml:space="preserve">  90  </w:t>
      </w:r>
      <w:r>
        <w:rPr>
          <w:rFonts w:hint="eastAsia" w:ascii="宋体" w:hAnsi="宋体"/>
          <w:color w:val="auto"/>
          <w:szCs w:val="21"/>
        </w:rPr>
        <w:t>个日历日。在投标有效期内，</w:t>
      </w:r>
      <w:r>
        <w:rPr>
          <w:rFonts w:hint="eastAsia" w:ascii="宋体" w:hAnsi="宋体"/>
          <w:color w:val="auto"/>
        </w:rPr>
        <w:t>投标人同意遵守本</w:t>
      </w:r>
      <w:r>
        <w:rPr>
          <w:rFonts w:hint="eastAsia" w:ascii="宋体" w:hAnsi="宋体"/>
          <w:color w:val="auto"/>
          <w:szCs w:val="21"/>
        </w:rPr>
        <w:t>投标</w:t>
      </w:r>
      <w:r>
        <w:rPr>
          <w:rFonts w:hint="eastAsia" w:ascii="宋体" w:hAnsi="宋体"/>
          <w:color w:val="auto"/>
        </w:rPr>
        <w:t>文件中的承诺且在此期限期满之前</w:t>
      </w:r>
      <w:r>
        <w:rPr>
          <w:rFonts w:hint="eastAsia" w:ascii="宋体" w:hAnsi="宋体"/>
          <w:color w:val="auto"/>
          <w:szCs w:val="21"/>
        </w:rPr>
        <w:t>投标</w:t>
      </w:r>
      <w:r>
        <w:rPr>
          <w:rFonts w:hint="eastAsia" w:ascii="宋体" w:hAnsi="宋体"/>
          <w:color w:val="auto"/>
        </w:rPr>
        <w:t>文件</w:t>
      </w:r>
      <w:r>
        <w:rPr>
          <w:rFonts w:hint="eastAsia" w:ascii="宋体" w:hAnsi="宋体"/>
          <w:color w:val="auto"/>
          <w:szCs w:val="21"/>
        </w:rPr>
        <w:t>对我方具有法律约束力</w:t>
      </w:r>
      <w:r>
        <w:rPr>
          <w:rFonts w:hint="eastAsia" w:ascii="宋体" w:hAnsi="宋体"/>
          <w:color w:val="auto"/>
        </w:rPr>
        <w:t>。</w:t>
      </w:r>
    </w:p>
    <w:p w14:paraId="2C2A8884">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5、</w:t>
      </w:r>
      <w:r>
        <w:rPr>
          <w:rFonts w:hint="eastAsia" w:ascii="宋体" w:hAnsi="宋体"/>
          <w:color w:val="auto"/>
          <w:szCs w:val="21"/>
        </w:rPr>
        <w:t>同意提供贵方可能要求的与其投标有关的一切数据或资料。</w:t>
      </w:r>
    </w:p>
    <w:p w14:paraId="10A2EDD8">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6、与本投标有关的一切正式往来信函请寄：</w:t>
      </w:r>
    </w:p>
    <w:p w14:paraId="2A72B5E1">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地址：；邮编： ；电话：；电子邮箱： 。</w:t>
      </w:r>
    </w:p>
    <w:p w14:paraId="58EE86A7">
      <w:pPr>
        <w:adjustRightInd w:val="0"/>
        <w:snapToGrid w:val="0"/>
        <w:spacing w:before="156" w:beforeLines="50" w:line="360" w:lineRule="auto"/>
        <w:ind w:firstLine="420" w:firstLineChars="200"/>
        <w:rPr>
          <w:rFonts w:ascii="宋体" w:hAnsi="宋体"/>
          <w:color w:val="auto"/>
          <w:szCs w:val="21"/>
        </w:rPr>
      </w:pPr>
    </w:p>
    <w:p w14:paraId="415ABC39">
      <w:pPr>
        <w:pStyle w:val="22"/>
        <w:adjustRightInd w:val="0"/>
        <w:snapToGrid w:val="0"/>
        <w:spacing w:before="156" w:beforeLines="50" w:line="360" w:lineRule="auto"/>
        <w:rPr>
          <w:rFonts w:hAnsi="宋体"/>
          <w:color w:val="auto"/>
        </w:rPr>
      </w:pPr>
    </w:p>
    <w:p w14:paraId="2F69ED6E">
      <w:pPr>
        <w:pStyle w:val="22"/>
        <w:adjustRightInd w:val="0"/>
        <w:snapToGrid w:val="0"/>
        <w:spacing w:before="156" w:beforeLines="50" w:line="360" w:lineRule="auto"/>
        <w:rPr>
          <w:rFonts w:hAnsi="宋体"/>
          <w:color w:val="auto"/>
          <w:sz w:val="21"/>
        </w:rPr>
      </w:pPr>
      <w:r>
        <w:rPr>
          <w:rFonts w:hint="eastAsia" w:hAnsi="宋体"/>
          <w:color w:val="auto"/>
          <w:sz w:val="21"/>
        </w:rPr>
        <w:t xml:space="preserve">投标人名称（盖单位章）：                       </w:t>
      </w:r>
    </w:p>
    <w:p w14:paraId="789708D2">
      <w:pPr>
        <w:adjustRightInd w:val="0"/>
        <w:snapToGrid w:val="0"/>
        <w:spacing w:before="156" w:beforeLines="50" w:line="360" w:lineRule="auto"/>
        <w:rPr>
          <w:rFonts w:ascii="宋体" w:hAnsi="宋体"/>
          <w:color w:val="auto"/>
          <w:szCs w:val="21"/>
          <w:u w:val="single"/>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234AD768">
      <w:pPr>
        <w:rPr>
          <w:rFonts w:ascii="宋体" w:hAnsi="宋体"/>
          <w:color w:val="auto"/>
          <w:szCs w:val="21"/>
        </w:rPr>
      </w:pPr>
      <w:bookmarkStart w:id="1612" w:name="_Toc78450020"/>
      <w:bookmarkStart w:id="1613" w:name="_Toc75289612"/>
      <w:bookmarkStart w:id="1614" w:name="_Toc13885"/>
      <w:bookmarkStart w:id="1615" w:name="_Toc77199466"/>
      <w:bookmarkStart w:id="1616" w:name="_Toc112705002"/>
      <w:bookmarkStart w:id="1617" w:name="_Toc25498"/>
      <w:bookmarkStart w:id="1618" w:name="_Toc108342002"/>
      <w:bookmarkStart w:id="1619" w:name="_Toc340"/>
      <w:bookmarkStart w:id="1620" w:name="_Toc78314327"/>
      <w:bookmarkStart w:id="1621" w:name="_Toc95601428"/>
      <w:bookmarkStart w:id="1622" w:name="_Toc100670735"/>
      <w:bookmarkStart w:id="1623" w:name="_Toc85972993"/>
      <w:bookmarkStart w:id="1624" w:name="_Toc94367943"/>
      <w:bookmarkStart w:id="1625" w:name="_Toc8982"/>
      <w:bookmarkStart w:id="1626" w:name="_Toc117192509"/>
      <w:bookmarkStart w:id="1627" w:name="_Toc100670487"/>
      <w:bookmarkStart w:id="1628" w:name="_Toc114036773"/>
      <w:bookmarkStart w:id="1629" w:name="_Toc10455"/>
      <w:bookmarkStart w:id="1630" w:name="_Toc77676531"/>
      <w:r>
        <w:rPr>
          <w:rFonts w:hint="eastAsia" w:ascii="宋体" w:hAnsi="宋体"/>
          <w:color w:val="auto"/>
          <w:szCs w:val="21"/>
        </w:rPr>
        <w:t>日期：年月日</w:t>
      </w:r>
    </w:p>
    <w:p w14:paraId="15EA547C">
      <w:pPr>
        <w:pStyle w:val="3"/>
        <w:jc w:val="center"/>
        <w:rPr>
          <w:rFonts w:ascii="黑体" w:hAnsi="宋体" w:eastAsia="黑体"/>
          <w:color w:val="auto"/>
          <w:sz w:val="28"/>
          <w:szCs w:val="28"/>
        </w:rPr>
      </w:pPr>
      <w:r>
        <w:rPr>
          <w:rFonts w:ascii="黑体" w:hAnsi="宋体" w:eastAsia="黑体"/>
          <w:color w:val="auto"/>
          <w:sz w:val="28"/>
          <w:szCs w:val="28"/>
        </w:rPr>
        <w:br w:type="page"/>
      </w:r>
      <w:bookmarkStart w:id="1631" w:name="_Toc108342003"/>
      <w:bookmarkStart w:id="1632" w:name="_Toc100670736"/>
      <w:bookmarkStart w:id="1633" w:name="_Toc192949759"/>
      <w:bookmarkStart w:id="1634" w:name="_Toc391"/>
      <w:bookmarkStart w:id="1635" w:name="_Toc114036774"/>
      <w:bookmarkStart w:id="1636" w:name="_Toc112705003"/>
      <w:bookmarkStart w:id="1637" w:name="_Toc95601429"/>
      <w:bookmarkStart w:id="1638" w:name="_Toc85972994"/>
      <w:bookmarkStart w:id="1639" w:name="_Toc77676532"/>
      <w:bookmarkStart w:id="1640" w:name="_Toc117192510"/>
      <w:bookmarkStart w:id="1641" w:name="_Toc77199467"/>
      <w:bookmarkStart w:id="1642" w:name="_Toc171273729"/>
      <w:bookmarkStart w:id="1643" w:name="_Toc78450021"/>
      <w:bookmarkStart w:id="1644" w:name="_Toc100670488"/>
      <w:bookmarkStart w:id="1645" w:name="_Toc78314328"/>
      <w:bookmarkStart w:id="1646" w:name="_Toc75289613"/>
      <w:bookmarkStart w:id="1647" w:name="_Toc192951270"/>
      <w:bookmarkStart w:id="1648" w:name="_Toc192949660"/>
      <w:bookmarkStart w:id="1649" w:name="_Toc23396"/>
      <w:bookmarkStart w:id="1650" w:name="_Toc15888542"/>
      <w:bookmarkStart w:id="1651" w:name="_Toc94367944"/>
      <w:r>
        <w:rPr>
          <w:rFonts w:hint="eastAsia" w:ascii="黑体" w:hAnsi="宋体" w:eastAsia="黑体"/>
          <w:color w:val="auto"/>
          <w:sz w:val="28"/>
          <w:szCs w:val="28"/>
        </w:rPr>
        <w:t>六、分项报价</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14:paraId="7692CF38">
      <w:pPr>
        <w:pStyle w:val="5"/>
        <w:spacing w:before="120" w:line="377" w:lineRule="auto"/>
        <w:jc w:val="left"/>
        <w:rPr>
          <w:rFonts w:ascii="黑体" w:hAnsi="宋体" w:cs="微软雅黑"/>
          <w:b w:val="0"/>
          <w:color w:val="auto"/>
          <w:sz w:val="21"/>
          <w:szCs w:val="21"/>
        </w:rPr>
      </w:pPr>
      <w:bookmarkStart w:id="1652" w:name="_Toc75289294"/>
      <w:bookmarkStart w:id="1653" w:name="_Toc15888543"/>
      <w:r>
        <w:rPr>
          <w:rFonts w:hint="eastAsia" w:ascii="黑体" w:hAnsi="华文中宋" w:cs="宋体"/>
          <w:b w:val="0"/>
          <w:bCs w:val="0"/>
          <w:color w:val="auto"/>
          <w:spacing w:val="6"/>
          <w:sz w:val="21"/>
          <w:szCs w:val="21"/>
        </w:rPr>
        <w:t xml:space="preserve">附件6-1 </w:t>
      </w:r>
      <w:r>
        <w:rPr>
          <w:rFonts w:hint="eastAsia" w:ascii="黑体" w:hAnsi="宋体" w:cs="微软雅黑"/>
          <w:b w:val="0"/>
          <w:color w:val="auto"/>
          <w:spacing w:val="-2"/>
          <w:sz w:val="21"/>
          <w:szCs w:val="21"/>
        </w:rPr>
        <w:t>分</w:t>
      </w:r>
      <w:r>
        <w:rPr>
          <w:rFonts w:hint="eastAsia" w:ascii="黑体" w:hAnsi="宋体" w:cs="微软雅黑"/>
          <w:b w:val="0"/>
          <w:color w:val="auto"/>
          <w:sz w:val="21"/>
          <w:szCs w:val="21"/>
        </w:rPr>
        <w:t>项</w:t>
      </w:r>
      <w:r>
        <w:rPr>
          <w:rFonts w:hint="eastAsia" w:ascii="黑体" w:hAnsi="宋体" w:cs="微软雅黑"/>
          <w:b w:val="0"/>
          <w:color w:val="auto"/>
          <w:spacing w:val="-2"/>
          <w:sz w:val="21"/>
          <w:szCs w:val="21"/>
        </w:rPr>
        <w:t>报</w:t>
      </w:r>
      <w:r>
        <w:rPr>
          <w:rFonts w:hint="eastAsia" w:ascii="黑体" w:hAnsi="宋体" w:cs="微软雅黑"/>
          <w:b w:val="0"/>
          <w:color w:val="auto"/>
          <w:sz w:val="21"/>
          <w:szCs w:val="21"/>
        </w:rPr>
        <w:t>价说明</w:t>
      </w:r>
      <w:bookmarkEnd w:id="1652"/>
      <w:bookmarkEnd w:id="1653"/>
    </w:p>
    <w:p w14:paraId="52DE73A3">
      <w:pPr>
        <w:pStyle w:val="4"/>
        <w:jc w:val="center"/>
        <w:rPr>
          <w:rFonts w:ascii="黑体" w:hAnsi="宋体" w:eastAsia="黑体" w:cs="微软雅黑"/>
          <w:b w:val="0"/>
          <w:color w:val="auto"/>
          <w:sz w:val="28"/>
          <w:szCs w:val="28"/>
        </w:rPr>
      </w:pPr>
      <w:bookmarkStart w:id="1654" w:name="_Toc31773"/>
      <w:bookmarkStart w:id="1655" w:name="_Toc11581"/>
      <w:bookmarkStart w:id="1656" w:name="_Toc112705004"/>
      <w:bookmarkStart w:id="1657" w:name="_Toc77199468"/>
      <w:bookmarkStart w:id="1658" w:name="_Toc78450022"/>
      <w:bookmarkStart w:id="1659" w:name="_Toc24377"/>
      <w:bookmarkStart w:id="1660" w:name="_Toc154428447"/>
      <w:bookmarkStart w:id="1661" w:name="_Toc192951271"/>
      <w:bookmarkStart w:id="1662" w:name="_Toc8317"/>
      <w:bookmarkStart w:id="1663" w:name="_Toc24903"/>
      <w:bookmarkStart w:id="1664" w:name="_Toc94367945"/>
      <w:bookmarkStart w:id="1665" w:name="_Toc100670737"/>
      <w:bookmarkStart w:id="1666" w:name="_Toc192949760"/>
      <w:bookmarkStart w:id="1667" w:name="_Toc77676533"/>
      <w:bookmarkStart w:id="1668" w:name="_Toc85972995"/>
      <w:bookmarkStart w:id="1669" w:name="_Toc171273730"/>
      <w:bookmarkStart w:id="1670" w:name="_Toc21216"/>
      <w:bookmarkStart w:id="1671" w:name="_Toc75289614"/>
      <w:bookmarkStart w:id="1672" w:name="_Toc6257"/>
      <w:bookmarkStart w:id="1673" w:name="_Toc95601430"/>
      <w:bookmarkStart w:id="1674" w:name="_Toc117192511"/>
      <w:bookmarkStart w:id="1675" w:name="_Toc32330"/>
      <w:bookmarkStart w:id="1676" w:name="_Toc78314329"/>
      <w:bookmarkStart w:id="1677" w:name="_Toc192949661"/>
      <w:bookmarkStart w:id="1678" w:name="_Toc100670489"/>
      <w:bookmarkStart w:id="1679" w:name="_Toc114036775"/>
      <w:bookmarkStart w:id="1680" w:name="_Toc108342004"/>
      <w:bookmarkStart w:id="1681" w:name="_Toc24093"/>
      <w:r>
        <w:rPr>
          <w:rFonts w:hint="eastAsia" w:ascii="黑体" w:hAnsi="宋体" w:eastAsia="黑体" w:cs="微软雅黑"/>
          <w:b w:val="0"/>
          <w:color w:val="auto"/>
          <w:spacing w:val="-2"/>
          <w:sz w:val="28"/>
          <w:szCs w:val="28"/>
        </w:rPr>
        <w:t>分</w:t>
      </w:r>
      <w:r>
        <w:rPr>
          <w:rFonts w:hint="eastAsia" w:ascii="黑体" w:hAnsi="宋体" w:eastAsia="黑体" w:cs="微软雅黑"/>
          <w:b w:val="0"/>
          <w:color w:val="auto"/>
          <w:sz w:val="28"/>
          <w:szCs w:val="28"/>
        </w:rPr>
        <w:t>项</w:t>
      </w:r>
      <w:r>
        <w:rPr>
          <w:rFonts w:hint="eastAsia" w:ascii="黑体" w:hAnsi="宋体" w:eastAsia="黑体" w:cs="微软雅黑"/>
          <w:b w:val="0"/>
          <w:color w:val="auto"/>
          <w:spacing w:val="-2"/>
          <w:sz w:val="28"/>
          <w:szCs w:val="28"/>
        </w:rPr>
        <w:t>报</w:t>
      </w:r>
      <w:r>
        <w:rPr>
          <w:rFonts w:hint="eastAsia" w:ascii="黑体" w:hAnsi="宋体" w:eastAsia="黑体" w:cs="微软雅黑"/>
          <w:b w:val="0"/>
          <w:color w:val="auto"/>
          <w:sz w:val="28"/>
          <w:szCs w:val="28"/>
        </w:rPr>
        <w:t>价说明</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14:paraId="0F193AB1">
      <w:pPr>
        <w:autoSpaceDE w:val="0"/>
        <w:autoSpaceDN w:val="0"/>
        <w:adjustRightInd w:val="0"/>
        <w:snapToGrid w:val="0"/>
        <w:spacing w:line="360" w:lineRule="auto"/>
        <w:jc w:val="left"/>
        <w:rPr>
          <w:rFonts w:ascii="宋体" w:hAnsi="宋体" w:cs="微软雅黑"/>
          <w:color w:val="auto"/>
          <w:kern w:val="0"/>
          <w:szCs w:val="21"/>
        </w:rPr>
      </w:pPr>
      <w:r>
        <w:rPr>
          <w:rFonts w:hint="eastAsia" w:ascii="宋体" w:hAnsi="宋体" w:cs="微软雅黑"/>
          <w:color w:val="auto"/>
          <w:kern w:val="0"/>
          <w:szCs w:val="21"/>
        </w:rPr>
        <w:t>备注：投标人应按招标文件第二章相关要求，对本节</w:t>
      </w:r>
      <w:r>
        <w:rPr>
          <w:rFonts w:hint="eastAsia" w:ascii="宋体" w:hAnsi="宋体"/>
          <w:bCs/>
          <w:color w:val="auto"/>
          <w:szCs w:val="21"/>
        </w:rPr>
        <w:t>“</w:t>
      </w:r>
      <w:r>
        <w:rPr>
          <w:rFonts w:hint="eastAsia" w:ascii="宋体" w:hAnsi="宋体" w:cs="微软雅黑"/>
          <w:color w:val="auto"/>
          <w:kern w:val="0"/>
          <w:szCs w:val="21"/>
        </w:rPr>
        <w:t>分项报价明细表</w:t>
      </w:r>
      <w:r>
        <w:rPr>
          <w:rFonts w:hint="eastAsia" w:ascii="宋体" w:hAnsi="宋体"/>
          <w:bCs/>
          <w:color w:val="auto"/>
          <w:szCs w:val="21"/>
        </w:rPr>
        <w:t>”进行</w:t>
      </w:r>
      <w:r>
        <w:rPr>
          <w:rFonts w:hint="eastAsia" w:ascii="宋体" w:hAnsi="宋体" w:cs="微软雅黑"/>
          <w:color w:val="auto"/>
          <w:kern w:val="0"/>
          <w:szCs w:val="21"/>
        </w:rPr>
        <w:t>编制，按附件资料配置清单进行报价并说明。</w:t>
      </w:r>
    </w:p>
    <w:p w14:paraId="7F6EBC51">
      <w:pPr>
        <w:rPr>
          <w:color w:val="auto"/>
        </w:rPr>
      </w:pPr>
    </w:p>
    <w:p w14:paraId="688F3472">
      <w:pPr>
        <w:pStyle w:val="5"/>
        <w:spacing w:before="120" w:line="377" w:lineRule="auto"/>
        <w:jc w:val="left"/>
        <w:rPr>
          <w:rFonts w:ascii="黑体" w:hAnsi="宋体" w:cs="微软雅黑"/>
          <w:b w:val="0"/>
          <w:color w:val="auto"/>
          <w:sz w:val="21"/>
          <w:szCs w:val="21"/>
        </w:rPr>
      </w:pPr>
      <w:bookmarkStart w:id="1682" w:name="_Toc15888544"/>
      <w:bookmarkStart w:id="1683" w:name="_Toc75289295"/>
      <w:r>
        <w:rPr>
          <w:rFonts w:hint="eastAsia" w:ascii="黑体" w:hAnsi="华文中宋" w:cs="宋体"/>
          <w:b w:val="0"/>
          <w:bCs w:val="0"/>
          <w:color w:val="auto"/>
          <w:spacing w:val="6"/>
          <w:sz w:val="21"/>
          <w:szCs w:val="21"/>
        </w:rPr>
        <w:t xml:space="preserve">附件6-2 </w:t>
      </w:r>
      <w:r>
        <w:rPr>
          <w:rFonts w:hint="eastAsia" w:ascii="黑体" w:hAnsi="宋体" w:cs="微软雅黑"/>
          <w:b w:val="0"/>
          <w:color w:val="auto"/>
          <w:spacing w:val="-2"/>
          <w:position w:val="-3"/>
          <w:sz w:val="21"/>
          <w:szCs w:val="21"/>
        </w:rPr>
        <w:t>分</w:t>
      </w:r>
      <w:r>
        <w:rPr>
          <w:rFonts w:hint="eastAsia" w:ascii="黑体" w:hAnsi="宋体" w:cs="微软雅黑"/>
          <w:b w:val="0"/>
          <w:color w:val="auto"/>
          <w:position w:val="-3"/>
          <w:sz w:val="21"/>
          <w:szCs w:val="21"/>
        </w:rPr>
        <w:t>项</w:t>
      </w:r>
      <w:r>
        <w:rPr>
          <w:rFonts w:hint="eastAsia" w:ascii="黑体" w:hAnsi="宋体" w:cs="微软雅黑"/>
          <w:b w:val="0"/>
          <w:color w:val="auto"/>
          <w:spacing w:val="-2"/>
          <w:position w:val="-3"/>
          <w:sz w:val="21"/>
          <w:szCs w:val="21"/>
        </w:rPr>
        <w:t>报</w:t>
      </w:r>
      <w:r>
        <w:rPr>
          <w:rFonts w:hint="eastAsia" w:ascii="黑体" w:hAnsi="宋体" w:cs="微软雅黑"/>
          <w:b w:val="0"/>
          <w:color w:val="auto"/>
          <w:position w:val="-3"/>
          <w:sz w:val="21"/>
          <w:szCs w:val="21"/>
        </w:rPr>
        <w:t>价明细表</w:t>
      </w:r>
      <w:bookmarkEnd w:id="1682"/>
      <w:bookmarkEnd w:id="1683"/>
    </w:p>
    <w:p w14:paraId="66104356">
      <w:pPr>
        <w:pStyle w:val="4"/>
        <w:spacing w:after="0" w:line="415" w:lineRule="auto"/>
        <w:jc w:val="center"/>
        <w:rPr>
          <w:rFonts w:ascii="黑体" w:hAnsi="宋体" w:eastAsia="黑体" w:cs="微软雅黑"/>
          <w:b w:val="0"/>
          <w:color w:val="auto"/>
          <w:position w:val="-3"/>
          <w:sz w:val="28"/>
          <w:szCs w:val="28"/>
        </w:rPr>
      </w:pPr>
      <w:bookmarkStart w:id="1684" w:name="_Toc192951272"/>
      <w:bookmarkStart w:id="1685" w:name="_Toc192949662"/>
      <w:bookmarkStart w:id="1686" w:name="_Toc192949761"/>
      <w:bookmarkStart w:id="1687" w:name="_Toc10219"/>
      <w:bookmarkStart w:id="1688" w:name="_Toc14299"/>
      <w:bookmarkStart w:id="1689" w:name="_Toc117192512"/>
      <w:bookmarkStart w:id="1690" w:name="_Toc5001"/>
      <w:bookmarkStart w:id="1691" w:name="_Toc78450023"/>
      <w:bookmarkStart w:id="1692" w:name="_Toc29197"/>
      <w:bookmarkStart w:id="1693" w:name="_Toc85972996"/>
      <w:bookmarkStart w:id="1694" w:name="_Toc77676534"/>
      <w:bookmarkStart w:id="1695" w:name="_Toc100670490"/>
      <w:bookmarkStart w:id="1696" w:name="_Toc94367946"/>
      <w:bookmarkStart w:id="1697" w:name="_Toc108342005"/>
      <w:bookmarkStart w:id="1698" w:name="_Toc171273731"/>
      <w:bookmarkStart w:id="1699" w:name="_Toc9805"/>
      <w:bookmarkStart w:id="1700" w:name="_Toc100670738"/>
      <w:bookmarkStart w:id="1701" w:name="_Toc95601431"/>
      <w:bookmarkStart w:id="1702" w:name="_Toc29072"/>
      <w:bookmarkStart w:id="1703" w:name="_Toc114036776"/>
      <w:bookmarkStart w:id="1704" w:name="_Toc75289615"/>
      <w:bookmarkStart w:id="1705" w:name="_Toc112705005"/>
      <w:bookmarkStart w:id="1706" w:name="_Toc78314330"/>
      <w:bookmarkStart w:id="1707" w:name="_Toc154428448"/>
      <w:bookmarkStart w:id="1708" w:name="_Toc77199469"/>
      <w:bookmarkStart w:id="1709" w:name="_Toc8271"/>
      <w:bookmarkStart w:id="1710" w:name="_Toc27824"/>
      <w:bookmarkStart w:id="1711" w:name="_Toc28816"/>
      <w:r>
        <w:rPr>
          <w:rFonts w:hint="eastAsia" w:ascii="黑体" w:hAnsi="宋体" w:eastAsia="黑体" w:cs="微软雅黑"/>
          <w:b w:val="0"/>
          <w:color w:val="auto"/>
          <w:spacing w:val="-2"/>
          <w:position w:val="-3"/>
          <w:sz w:val="28"/>
          <w:szCs w:val="28"/>
        </w:rPr>
        <w:t>分</w:t>
      </w:r>
      <w:r>
        <w:rPr>
          <w:rFonts w:hint="eastAsia" w:ascii="黑体" w:hAnsi="宋体" w:eastAsia="黑体" w:cs="微软雅黑"/>
          <w:b w:val="0"/>
          <w:color w:val="auto"/>
          <w:position w:val="-3"/>
          <w:sz w:val="28"/>
          <w:szCs w:val="28"/>
        </w:rPr>
        <w:t>项</w:t>
      </w:r>
      <w:r>
        <w:rPr>
          <w:rFonts w:hint="eastAsia" w:ascii="黑体" w:hAnsi="宋体" w:eastAsia="黑体" w:cs="微软雅黑"/>
          <w:b w:val="0"/>
          <w:color w:val="auto"/>
          <w:spacing w:val="-2"/>
          <w:position w:val="-3"/>
          <w:sz w:val="28"/>
          <w:szCs w:val="28"/>
        </w:rPr>
        <w:t>报</w:t>
      </w:r>
      <w:r>
        <w:rPr>
          <w:rFonts w:hint="eastAsia" w:ascii="黑体" w:hAnsi="宋体" w:eastAsia="黑体" w:cs="微软雅黑"/>
          <w:b w:val="0"/>
          <w:color w:val="auto"/>
          <w:position w:val="-3"/>
          <w:sz w:val="28"/>
          <w:szCs w:val="28"/>
        </w:rPr>
        <w:t>价明细表</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14:paraId="22C7ACB3">
      <w:pPr>
        <w:adjustRightInd w:val="0"/>
        <w:snapToGrid w:val="0"/>
        <w:spacing w:line="360" w:lineRule="auto"/>
        <w:rPr>
          <w:rFonts w:ascii="宋体" w:hAnsi="宋体"/>
          <w:color w:val="auto"/>
          <w:szCs w:val="21"/>
        </w:rPr>
      </w:pPr>
    </w:p>
    <w:p w14:paraId="4AD19912">
      <w:pPr>
        <w:adjustRightInd w:val="0"/>
        <w:snapToGrid w:val="0"/>
        <w:spacing w:line="360" w:lineRule="auto"/>
        <w:rPr>
          <w:rFonts w:ascii="宋体" w:hAnsi="宋体"/>
          <w:color w:val="auto"/>
          <w:szCs w:val="21"/>
        </w:rPr>
      </w:pPr>
      <w:r>
        <w:rPr>
          <w:rFonts w:hint="eastAsia" w:ascii="宋体" w:hAnsi="宋体"/>
          <w:color w:val="auto"/>
          <w:szCs w:val="21"/>
        </w:rPr>
        <w:t>政府采购计划编号：                项目名称：</w:t>
      </w:r>
    </w:p>
    <w:p w14:paraId="378EC959">
      <w:pPr>
        <w:adjustRightInd w:val="0"/>
        <w:snapToGrid w:val="0"/>
        <w:spacing w:line="360" w:lineRule="auto"/>
        <w:rPr>
          <w:rFonts w:ascii="宋体" w:hAnsi="宋体"/>
          <w:color w:val="auto"/>
          <w:szCs w:val="21"/>
        </w:rPr>
      </w:pPr>
      <w:r>
        <w:rPr>
          <w:rFonts w:hint="eastAsia" w:ascii="宋体" w:hAnsi="宋体"/>
          <w:color w:val="auto"/>
          <w:szCs w:val="21"/>
        </w:rPr>
        <w:t>包号：                            包名称：</w:t>
      </w:r>
    </w:p>
    <w:tbl>
      <w:tblPr>
        <w:tblStyle w:val="47"/>
        <w:tblW w:w="8506" w:type="dxa"/>
        <w:jc w:val="center"/>
        <w:tblLayout w:type="fixed"/>
        <w:tblCellMar>
          <w:top w:w="0" w:type="dxa"/>
          <w:left w:w="0" w:type="dxa"/>
          <w:bottom w:w="0" w:type="dxa"/>
          <w:right w:w="0" w:type="dxa"/>
        </w:tblCellMar>
      </w:tblPr>
      <w:tblGrid>
        <w:gridCol w:w="426"/>
        <w:gridCol w:w="1134"/>
        <w:gridCol w:w="1998"/>
        <w:gridCol w:w="1200"/>
        <w:gridCol w:w="1092"/>
        <w:gridCol w:w="910"/>
        <w:gridCol w:w="916"/>
        <w:gridCol w:w="830"/>
      </w:tblGrid>
      <w:tr w14:paraId="189F36C1">
        <w:tblPrEx>
          <w:tblCellMar>
            <w:top w:w="0" w:type="dxa"/>
            <w:left w:w="0" w:type="dxa"/>
            <w:bottom w:w="0" w:type="dxa"/>
            <w:right w:w="0" w:type="dxa"/>
          </w:tblCellMar>
        </w:tblPrEx>
        <w:trPr>
          <w:trHeight w:val="415" w:hRule="exact"/>
          <w:jc w:val="center"/>
        </w:trPr>
        <w:tc>
          <w:tcPr>
            <w:tcW w:w="1560" w:type="dxa"/>
            <w:gridSpan w:val="2"/>
            <w:vMerge w:val="restart"/>
            <w:tcBorders>
              <w:top w:val="double" w:color="auto" w:sz="4" w:space="0"/>
              <w:left w:val="double" w:color="auto" w:sz="4" w:space="0"/>
              <w:right w:val="single" w:color="auto" w:sz="6" w:space="0"/>
            </w:tcBorders>
            <w:vAlign w:val="center"/>
          </w:tcPr>
          <w:p w14:paraId="269E9D72">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分项项目名称</w:t>
            </w:r>
          </w:p>
        </w:tc>
        <w:tc>
          <w:tcPr>
            <w:tcW w:w="1998" w:type="dxa"/>
            <w:vMerge w:val="restart"/>
            <w:tcBorders>
              <w:top w:val="double" w:color="auto" w:sz="4" w:space="0"/>
              <w:left w:val="single" w:color="auto" w:sz="6" w:space="0"/>
              <w:bottom w:val="single" w:color="auto" w:sz="6" w:space="0"/>
              <w:right w:val="single" w:color="auto" w:sz="4" w:space="0"/>
            </w:tcBorders>
            <w:vAlign w:val="center"/>
          </w:tcPr>
          <w:p w14:paraId="6C70914C">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品牌/产地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05A4C0D6">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型号规格</w:t>
            </w:r>
          </w:p>
        </w:tc>
        <w:tc>
          <w:tcPr>
            <w:tcW w:w="1092" w:type="dxa"/>
            <w:vMerge w:val="restart"/>
            <w:tcBorders>
              <w:top w:val="double" w:color="auto" w:sz="4" w:space="0"/>
              <w:left w:val="single" w:color="auto" w:sz="6" w:space="0"/>
              <w:right w:val="single" w:color="auto" w:sz="4" w:space="0"/>
            </w:tcBorders>
            <w:vAlign w:val="center"/>
          </w:tcPr>
          <w:p w14:paraId="5BD9BFE4">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olor w:val="auto"/>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07503E5A">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金额（元）</w:t>
            </w:r>
          </w:p>
        </w:tc>
        <w:tc>
          <w:tcPr>
            <w:tcW w:w="830" w:type="dxa"/>
            <w:vMerge w:val="restart"/>
            <w:tcBorders>
              <w:top w:val="double" w:color="auto" w:sz="4" w:space="0"/>
              <w:left w:val="single" w:color="auto" w:sz="6" w:space="0"/>
              <w:bottom w:val="single" w:color="auto" w:sz="6" w:space="0"/>
              <w:right w:val="double" w:color="auto" w:sz="4" w:space="0"/>
            </w:tcBorders>
            <w:vAlign w:val="center"/>
          </w:tcPr>
          <w:p w14:paraId="3B53858A">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备注</w:t>
            </w:r>
          </w:p>
        </w:tc>
      </w:tr>
      <w:tr w14:paraId="0A3DFBA6">
        <w:tblPrEx>
          <w:tblCellMar>
            <w:top w:w="0" w:type="dxa"/>
            <w:left w:w="0" w:type="dxa"/>
            <w:bottom w:w="0" w:type="dxa"/>
            <w:right w:w="0" w:type="dxa"/>
          </w:tblCellMar>
        </w:tblPrEx>
        <w:trPr>
          <w:trHeight w:val="415" w:hRule="exact"/>
          <w:jc w:val="center"/>
        </w:trPr>
        <w:tc>
          <w:tcPr>
            <w:tcW w:w="1560" w:type="dxa"/>
            <w:gridSpan w:val="2"/>
            <w:vMerge w:val="continue"/>
            <w:tcBorders>
              <w:left w:val="double" w:color="auto" w:sz="4" w:space="0"/>
              <w:bottom w:val="single" w:color="auto" w:sz="6" w:space="0"/>
              <w:right w:val="single" w:color="auto" w:sz="6" w:space="0"/>
            </w:tcBorders>
          </w:tcPr>
          <w:p w14:paraId="19F6E3FC">
            <w:pPr>
              <w:autoSpaceDE w:val="0"/>
              <w:autoSpaceDN w:val="0"/>
              <w:adjustRightInd w:val="0"/>
              <w:snapToGrid w:val="0"/>
              <w:spacing w:line="360" w:lineRule="auto"/>
              <w:ind w:left="352" w:right="-20"/>
              <w:jc w:val="left"/>
              <w:rPr>
                <w:rFonts w:ascii="宋体" w:hAnsi="宋体"/>
                <w:color w:val="auto"/>
                <w:kern w:val="0"/>
                <w:szCs w:val="21"/>
              </w:rPr>
            </w:pPr>
          </w:p>
        </w:tc>
        <w:tc>
          <w:tcPr>
            <w:tcW w:w="1998" w:type="dxa"/>
            <w:vMerge w:val="continue"/>
            <w:tcBorders>
              <w:top w:val="single" w:color="auto" w:sz="6" w:space="0"/>
              <w:left w:val="single" w:color="auto" w:sz="6" w:space="0"/>
              <w:bottom w:val="single" w:color="auto" w:sz="6" w:space="0"/>
              <w:right w:val="single" w:color="auto" w:sz="4" w:space="0"/>
            </w:tcBorders>
            <w:vAlign w:val="center"/>
          </w:tcPr>
          <w:p w14:paraId="3C40A25F">
            <w:pPr>
              <w:autoSpaceDE w:val="0"/>
              <w:autoSpaceDN w:val="0"/>
              <w:adjustRightInd w:val="0"/>
              <w:snapToGrid w:val="0"/>
              <w:spacing w:line="360" w:lineRule="auto"/>
              <w:ind w:right="-20"/>
              <w:jc w:val="center"/>
              <w:rPr>
                <w:rFonts w:ascii="宋体" w:hAnsi="宋体"/>
                <w:color w:val="auto"/>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5465B6B3">
            <w:pPr>
              <w:autoSpaceDE w:val="0"/>
              <w:autoSpaceDN w:val="0"/>
              <w:adjustRightInd w:val="0"/>
              <w:snapToGrid w:val="0"/>
              <w:spacing w:line="360" w:lineRule="auto"/>
              <w:ind w:right="-20"/>
              <w:jc w:val="center"/>
              <w:rPr>
                <w:rFonts w:ascii="宋体" w:hAnsi="宋体"/>
                <w:color w:val="auto"/>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09D70AC2">
            <w:pPr>
              <w:autoSpaceDE w:val="0"/>
              <w:autoSpaceDN w:val="0"/>
              <w:adjustRightInd w:val="0"/>
              <w:snapToGrid w:val="0"/>
              <w:spacing w:line="360" w:lineRule="auto"/>
              <w:ind w:right="-20"/>
              <w:jc w:val="center"/>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7555DFFA">
            <w:pPr>
              <w:autoSpaceDE w:val="0"/>
              <w:autoSpaceDN w:val="0"/>
              <w:adjustRightInd w:val="0"/>
              <w:snapToGrid w:val="0"/>
              <w:spacing w:line="360" w:lineRule="auto"/>
              <w:ind w:right="-20"/>
              <w:jc w:val="center"/>
              <w:rPr>
                <w:rFonts w:ascii="宋体" w:hAnsi="宋体"/>
                <w:color w:val="auto"/>
                <w:kern w:val="0"/>
                <w:szCs w:val="21"/>
              </w:rPr>
            </w:pPr>
            <w:r>
              <w:rPr>
                <w:rFonts w:hint="eastAsia" w:ascii="宋体" w:hAnsi="宋体" w:cs="微软雅黑"/>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5D77A8E4">
            <w:pPr>
              <w:autoSpaceDE w:val="0"/>
              <w:autoSpaceDN w:val="0"/>
              <w:adjustRightInd w:val="0"/>
              <w:snapToGrid w:val="0"/>
              <w:spacing w:line="360" w:lineRule="auto"/>
              <w:ind w:left="70" w:right="-20"/>
              <w:jc w:val="center"/>
              <w:rPr>
                <w:rFonts w:ascii="宋体" w:hAnsi="宋体"/>
                <w:color w:val="auto"/>
                <w:kern w:val="0"/>
                <w:szCs w:val="21"/>
              </w:rPr>
            </w:pPr>
            <w:r>
              <w:rPr>
                <w:rFonts w:hint="eastAsia" w:ascii="宋体" w:hAnsi="宋体"/>
                <w:color w:val="auto"/>
                <w:kern w:val="0"/>
                <w:szCs w:val="21"/>
              </w:rPr>
              <w:t>小计</w:t>
            </w:r>
          </w:p>
        </w:tc>
        <w:tc>
          <w:tcPr>
            <w:tcW w:w="830" w:type="dxa"/>
            <w:vMerge w:val="continue"/>
            <w:tcBorders>
              <w:top w:val="single" w:color="auto" w:sz="6" w:space="0"/>
              <w:left w:val="single" w:color="auto" w:sz="6" w:space="0"/>
              <w:bottom w:val="single" w:color="auto" w:sz="6" w:space="0"/>
              <w:right w:val="double" w:color="auto" w:sz="4" w:space="0"/>
            </w:tcBorders>
          </w:tcPr>
          <w:p w14:paraId="3A7FFF2C">
            <w:pPr>
              <w:autoSpaceDE w:val="0"/>
              <w:autoSpaceDN w:val="0"/>
              <w:adjustRightInd w:val="0"/>
              <w:snapToGrid w:val="0"/>
              <w:spacing w:line="360" w:lineRule="auto"/>
              <w:ind w:left="422" w:right="-20"/>
              <w:jc w:val="left"/>
              <w:rPr>
                <w:rFonts w:ascii="宋体" w:hAnsi="宋体"/>
                <w:color w:val="auto"/>
                <w:kern w:val="0"/>
                <w:szCs w:val="21"/>
              </w:rPr>
            </w:pPr>
          </w:p>
        </w:tc>
      </w:tr>
      <w:tr w14:paraId="3F7613CD">
        <w:tblPrEx>
          <w:tblCellMar>
            <w:top w:w="0" w:type="dxa"/>
            <w:left w:w="0" w:type="dxa"/>
            <w:bottom w:w="0" w:type="dxa"/>
            <w:right w:w="0" w:type="dxa"/>
          </w:tblCellMar>
        </w:tblPrEx>
        <w:trPr>
          <w:trHeight w:val="378"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02D1AEF3">
            <w:pPr>
              <w:jc w:val="center"/>
              <w:rPr>
                <w:rFonts w:ascii="宋体" w:hAnsi="宋体" w:cs="宋体"/>
                <w:color w:val="auto"/>
              </w:rPr>
            </w:pPr>
            <w:r>
              <w:rPr>
                <w:rFonts w:hint="eastAsia" w:ascii="宋体" w:hAnsi="宋体" w:cs="宋体"/>
                <w:color w:val="auto"/>
              </w:rPr>
              <w:t>1</w:t>
            </w:r>
          </w:p>
        </w:tc>
        <w:tc>
          <w:tcPr>
            <w:tcW w:w="1134" w:type="dxa"/>
            <w:tcBorders>
              <w:top w:val="single" w:color="auto" w:sz="6" w:space="0"/>
              <w:left w:val="single" w:color="auto" w:sz="6" w:space="0"/>
              <w:bottom w:val="single" w:color="auto" w:sz="6" w:space="0"/>
              <w:right w:val="single" w:color="auto" w:sz="6" w:space="0"/>
            </w:tcBorders>
            <w:vAlign w:val="center"/>
          </w:tcPr>
          <w:p w14:paraId="5014B08D">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C6A90FF">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05C61CFE">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5CF06C32">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57AE154E">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7FCA1F4">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6036B9FC">
            <w:pPr>
              <w:autoSpaceDE w:val="0"/>
              <w:autoSpaceDN w:val="0"/>
              <w:adjustRightInd w:val="0"/>
              <w:snapToGrid w:val="0"/>
              <w:spacing w:line="360" w:lineRule="auto"/>
              <w:jc w:val="left"/>
              <w:rPr>
                <w:rFonts w:ascii="宋体" w:hAnsi="宋体"/>
                <w:color w:val="auto"/>
                <w:kern w:val="0"/>
                <w:szCs w:val="21"/>
              </w:rPr>
            </w:pPr>
          </w:p>
        </w:tc>
      </w:tr>
      <w:tr w14:paraId="66F61CAA">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183FBEBE">
            <w:pPr>
              <w:jc w:val="center"/>
              <w:rPr>
                <w:rFonts w:ascii="宋体" w:hAnsi="宋体" w:cs="宋体"/>
                <w:color w:val="auto"/>
              </w:rPr>
            </w:pPr>
            <w:r>
              <w:rPr>
                <w:rFonts w:hint="eastAsia" w:ascii="宋体" w:hAnsi="宋体" w:cs="宋体"/>
                <w:color w:val="auto"/>
              </w:rPr>
              <w:t>2</w:t>
            </w:r>
          </w:p>
        </w:tc>
        <w:tc>
          <w:tcPr>
            <w:tcW w:w="1134" w:type="dxa"/>
            <w:tcBorders>
              <w:top w:val="single" w:color="auto" w:sz="6" w:space="0"/>
              <w:left w:val="single" w:color="auto" w:sz="6" w:space="0"/>
              <w:bottom w:val="single" w:color="auto" w:sz="6" w:space="0"/>
              <w:right w:val="single" w:color="auto" w:sz="6" w:space="0"/>
            </w:tcBorders>
            <w:vAlign w:val="center"/>
          </w:tcPr>
          <w:p w14:paraId="60EA3CD0">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9A115FF">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585B535B">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2643CE36">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26581575">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726D7C3">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6ADC2226">
            <w:pPr>
              <w:autoSpaceDE w:val="0"/>
              <w:autoSpaceDN w:val="0"/>
              <w:adjustRightInd w:val="0"/>
              <w:snapToGrid w:val="0"/>
              <w:spacing w:line="360" w:lineRule="auto"/>
              <w:jc w:val="left"/>
              <w:rPr>
                <w:rFonts w:ascii="宋体" w:hAnsi="宋体"/>
                <w:color w:val="auto"/>
                <w:kern w:val="0"/>
                <w:szCs w:val="21"/>
              </w:rPr>
            </w:pPr>
          </w:p>
        </w:tc>
      </w:tr>
      <w:tr w14:paraId="675AD796">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318450C8">
            <w:pPr>
              <w:jc w:val="center"/>
              <w:rPr>
                <w:rFonts w:ascii="宋体" w:hAnsi="宋体" w:cs="宋体"/>
                <w:color w:val="auto"/>
              </w:rPr>
            </w:pPr>
            <w:r>
              <w:rPr>
                <w:rFonts w:hint="eastAsia" w:ascii="宋体" w:hAnsi="宋体" w:cs="宋体"/>
                <w:color w:val="auto"/>
              </w:rPr>
              <w:t>3</w:t>
            </w:r>
          </w:p>
        </w:tc>
        <w:tc>
          <w:tcPr>
            <w:tcW w:w="1134" w:type="dxa"/>
            <w:tcBorders>
              <w:top w:val="single" w:color="auto" w:sz="6" w:space="0"/>
              <w:left w:val="single" w:color="auto" w:sz="6" w:space="0"/>
              <w:bottom w:val="single" w:color="auto" w:sz="6" w:space="0"/>
              <w:right w:val="single" w:color="auto" w:sz="6" w:space="0"/>
            </w:tcBorders>
            <w:vAlign w:val="center"/>
          </w:tcPr>
          <w:p w14:paraId="36271D74">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76590A9A">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43809161">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0FB35229">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2D122F4E">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06729323">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202B25CD">
            <w:pPr>
              <w:autoSpaceDE w:val="0"/>
              <w:autoSpaceDN w:val="0"/>
              <w:adjustRightInd w:val="0"/>
              <w:snapToGrid w:val="0"/>
              <w:spacing w:line="360" w:lineRule="auto"/>
              <w:jc w:val="left"/>
              <w:rPr>
                <w:rFonts w:ascii="宋体" w:hAnsi="宋体"/>
                <w:color w:val="auto"/>
                <w:kern w:val="0"/>
                <w:szCs w:val="21"/>
              </w:rPr>
            </w:pPr>
          </w:p>
        </w:tc>
      </w:tr>
      <w:tr w14:paraId="68B87F07">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6DC17F4C">
            <w:pPr>
              <w:jc w:val="center"/>
              <w:rPr>
                <w:rFonts w:ascii="宋体" w:hAnsi="宋体" w:cs="宋体"/>
                <w:color w:val="auto"/>
              </w:rPr>
            </w:pPr>
            <w:r>
              <w:rPr>
                <w:rFonts w:hint="eastAsia" w:ascii="宋体" w:hAnsi="宋体" w:cs="宋体"/>
                <w:color w:val="auto"/>
              </w:rPr>
              <w:t>4</w:t>
            </w:r>
          </w:p>
        </w:tc>
        <w:tc>
          <w:tcPr>
            <w:tcW w:w="1134" w:type="dxa"/>
            <w:tcBorders>
              <w:top w:val="single" w:color="auto" w:sz="6" w:space="0"/>
              <w:left w:val="single" w:color="auto" w:sz="6" w:space="0"/>
              <w:bottom w:val="single" w:color="auto" w:sz="6" w:space="0"/>
              <w:right w:val="single" w:color="auto" w:sz="6" w:space="0"/>
            </w:tcBorders>
            <w:vAlign w:val="center"/>
          </w:tcPr>
          <w:p w14:paraId="19DAA319">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39CB7940">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5A9E03E">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BBAA045">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7AB47FB3">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BB8931B">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711DFB76">
            <w:pPr>
              <w:autoSpaceDE w:val="0"/>
              <w:autoSpaceDN w:val="0"/>
              <w:adjustRightInd w:val="0"/>
              <w:snapToGrid w:val="0"/>
              <w:spacing w:line="360" w:lineRule="auto"/>
              <w:jc w:val="left"/>
              <w:rPr>
                <w:rFonts w:ascii="宋体" w:hAnsi="宋体"/>
                <w:color w:val="auto"/>
                <w:kern w:val="0"/>
                <w:szCs w:val="21"/>
              </w:rPr>
            </w:pPr>
          </w:p>
        </w:tc>
      </w:tr>
      <w:tr w14:paraId="76211AC7">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251EE9F6">
            <w:pPr>
              <w:jc w:val="center"/>
              <w:rPr>
                <w:rFonts w:ascii="宋体" w:hAnsi="宋体" w:cs="宋体"/>
                <w:color w:val="auto"/>
              </w:rPr>
            </w:pPr>
            <w:r>
              <w:rPr>
                <w:rFonts w:hint="eastAsia" w:ascii="宋体" w:hAnsi="宋体" w:cs="宋体"/>
                <w:color w:val="auto"/>
              </w:rPr>
              <w:t>5</w:t>
            </w:r>
          </w:p>
        </w:tc>
        <w:tc>
          <w:tcPr>
            <w:tcW w:w="1134" w:type="dxa"/>
            <w:tcBorders>
              <w:top w:val="single" w:color="auto" w:sz="6" w:space="0"/>
              <w:left w:val="single" w:color="auto" w:sz="6" w:space="0"/>
              <w:bottom w:val="single" w:color="auto" w:sz="6" w:space="0"/>
              <w:right w:val="single" w:color="auto" w:sz="6" w:space="0"/>
            </w:tcBorders>
            <w:vAlign w:val="center"/>
          </w:tcPr>
          <w:p w14:paraId="49F60B75">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271CEAC">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4FA04DD0">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153B4486">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6871BAD0">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9A3E104">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4FB4280D">
            <w:pPr>
              <w:autoSpaceDE w:val="0"/>
              <w:autoSpaceDN w:val="0"/>
              <w:adjustRightInd w:val="0"/>
              <w:snapToGrid w:val="0"/>
              <w:spacing w:line="360" w:lineRule="auto"/>
              <w:jc w:val="left"/>
              <w:rPr>
                <w:rFonts w:ascii="宋体" w:hAnsi="宋体"/>
                <w:color w:val="auto"/>
                <w:kern w:val="0"/>
                <w:szCs w:val="21"/>
              </w:rPr>
            </w:pPr>
          </w:p>
        </w:tc>
      </w:tr>
      <w:tr w14:paraId="7C11A44F">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6C19F316">
            <w:pPr>
              <w:jc w:val="center"/>
              <w:rPr>
                <w:color w:val="auto"/>
              </w:rPr>
            </w:pPr>
            <w:r>
              <w:rPr>
                <w:color w:val="auto"/>
              </w:rPr>
              <w:t>…</w:t>
            </w:r>
          </w:p>
        </w:tc>
        <w:tc>
          <w:tcPr>
            <w:tcW w:w="1134" w:type="dxa"/>
            <w:tcBorders>
              <w:top w:val="single" w:color="auto" w:sz="6" w:space="0"/>
              <w:left w:val="single" w:color="auto" w:sz="6" w:space="0"/>
              <w:bottom w:val="single" w:color="auto" w:sz="6" w:space="0"/>
              <w:right w:val="single" w:color="auto" w:sz="6" w:space="0"/>
            </w:tcBorders>
          </w:tcPr>
          <w:p w14:paraId="5B476886">
            <w:pPr>
              <w:autoSpaceDE w:val="0"/>
              <w:autoSpaceDN w:val="0"/>
              <w:adjustRightInd w:val="0"/>
              <w:snapToGrid w:val="0"/>
              <w:spacing w:line="360" w:lineRule="auto"/>
              <w:ind w:left="527" w:right="507"/>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2E6FEB0">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2768F193">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D781315">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094071AA">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9203820">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1D261BD5">
            <w:pPr>
              <w:autoSpaceDE w:val="0"/>
              <w:autoSpaceDN w:val="0"/>
              <w:adjustRightInd w:val="0"/>
              <w:snapToGrid w:val="0"/>
              <w:spacing w:line="360" w:lineRule="auto"/>
              <w:jc w:val="left"/>
              <w:rPr>
                <w:rFonts w:ascii="宋体" w:hAnsi="宋体"/>
                <w:color w:val="auto"/>
                <w:kern w:val="0"/>
                <w:szCs w:val="21"/>
              </w:rPr>
            </w:pPr>
          </w:p>
        </w:tc>
      </w:tr>
      <w:tr w14:paraId="176C5600">
        <w:tblPrEx>
          <w:tblCellMar>
            <w:top w:w="0" w:type="dxa"/>
            <w:left w:w="0" w:type="dxa"/>
            <w:bottom w:w="0" w:type="dxa"/>
            <w:right w:w="0" w:type="dxa"/>
          </w:tblCellMar>
        </w:tblPrEx>
        <w:trPr>
          <w:trHeight w:val="415" w:hRule="exact"/>
          <w:jc w:val="center"/>
        </w:trPr>
        <w:tc>
          <w:tcPr>
            <w:tcW w:w="6760" w:type="dxa"/>
            <w:gridSpan w:val="6"/>
            <w:tcBorders>
              <w:top w:val="single" w:color="auto" w:sz="6" w:space="0"/>
              <w:left w:val="double" w:color="auto" w:sz="4" w:space="0"/>
              <w:bottom w:val="double" w:color="auto" w:sz="4" w:space="0"/>
              <w:right w:val="single" w:color="auto" w:sz="6" w:space="0"/>
            </w:tcBorders>
            <w:vAlign w:val="center"/>
          </w:tcPr>
          <w:p w14:paraId="2029F53F">
            <w:pPr>
              <w:autoSpaceDE w:val="0"/>
              <w:autoSpaceDN w:val="0"/>
              <w:adjustRightInd w:val="0"/>
              <w:snapToGrid w:val="0"/>
              <w:spacing w:line="360" w:lineRule="auto"/>
              <w:jc w:val="center"/>
              <w:rPr>
                <w:rFonts w:ascii="宋体" w:hAnsi="宋体"/>
                <w:color w:val="auto"/>
                <w:kern w:val="0"/>
                <w:szCs w:val="21"/>
              </w:rPr>
            </w:pPr>
            <w:r>
              <w:rPr>
                <w:rFonts w:hint="eastAsia" w:ascii="宋体" w:hAnsi="宋体" w:cs="微软雅黑"/>
                <w:color w:val="auto"/>
                <w:kern w:val="0"/>
                <w:position w:val="-1"/>
                <w:szCs w:val="21"/>
              </w:rPr>
              <w:t>报价合计（投标总价）（元）</w:t>
            </w:r>
          </w:p>
        </w:tc>
        <w:tc>
          <w:tcPr>
            <w:tcW w:w="916" w:type="dxa"/>
            <w:tcBorders>
              <w:top w:val="single" w:color="auto" w:sz="6" w:space="0"/>
              <w:left w:val="single" w:color="auto" w:sz="6" w:space="0"/>
              <w:bottom w:val="double" w:color="auto" w:sz="4" w:space="0"/>
              <w:right w:val="single" w:color="auto" w:sz="6" w:space="0"/>
            </w:tcBorders>
          </w:tcPr>
          <w:p w14:paraId="7F9D8219">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double" w:color="auto" w:sz="4" w:space="0"/>
              <w:right w:val="double" w:color="auto" w:sz="4" w:space="0"/>
            </w:tcBorders>
          </w:tcPr>
          <w:p w14:paraId="340E3E34">
            <w:pPr>
              <w:autoSpaceDE w:val="0"/>
              <w:autoSpaceDN w:val="0"/>
              <w:adjustRightInd w:val="0"/>
              <w:snapToGrid w:val="0"/>
              <w:spacing w:line="360" w:lineRule="auto"/>
              <w:jc w:val="left"/>
              <w:rPr>
                <w:rFonts w:ascii="宋体" w:hAnsi="宋体"/>
                <w:color w:val="auto"/>
                <w:kern w:val="0"/>
                <w:szCs w:val="21"/>
              </w:rPr>
            </w:pPr>
          </w:p>
        </w:tc>
      </w:tr>
    </w:tbl>
    <w:p w14:paraId="04F92605">
      <w:pPr>
        <w:adjustRightInd w:val="0"/>
        <w:snapToGrid w:val="0"/>
        <w:spacing w:line="360" w:lineRule="auto"/>
        <w:rPr>
          <w:rFonts w:ascii="宋体" w:hAnsi="宋体"/>
          <w:color w:val="auto"/>
          <w:szCs w:val="21"/>
        </w:rPr>
      </w:pPr>
      <w:r>
        <w:rPr>
          <w:rFonts w:hint="eastAsia" w:ascii="宋体" w:hAnsi="宋体"/>
          <w:color w:val="auto"/>
          <w:szCs w:val="21"/>
        </w:rPr>
        <w:t>备注：1.</w:t>
      </w:r>
      <w:r>
        <w:rPr>
          <w:rFonts w:hint="eastAsia" w:ascii="宋体" w:hAnsi="宋体"/>
          <w:b/>
          <w:color w:val="auto"/>
          <w:szCs w:val="21"/>
        </w:rPr>
        <w:t>本表应对应</w:t>
      </w:r>
      <w:r>
        <w:rPr>
          <w:rFonts w:hint="eastAsia" w:ascii="宋体" w:hAnsi="宋体"/>
          <w:color w:val="auto"/>
          <w:szCs w:val="21"/>
        </w:rPr>
        <w:t>“</w:t>
      </w:r>
      <w:r>
        <w:rPr>
          <w:rFonts w:hint="eastAsia" w:ascii="宋体" w:hAnsi="宋体"/>
          <w:b/>
          <w:color w:val="auto"/>
          <w:szCs w:val="21"/>
        </w:rPr>
        <w:t>开标一览表</w:t>
      </w:r>
      <w:r>
        <w:rPr>
          <w:rFonts w:hint="eastAsia" w:ascii="宋体" w:hAnsi="宋体"/>
          <w:color w:val="auto"/>
          <w:szCs w:val="21"/>
        </w:rPr>
        <w:t>”</w:t>
      </w:r>
      <w:r>
        <w:rPr>
          <w:rFonts w:hint="eastAsia" w:ascii="宋体" w:hAnsi="宋体"/>
          <w:b/>
          <w:color w:val="auto"/>
          <w:szCs w:val="21"/>
        </w:rPr>
        <w:t>，按包填写</w:t>
      </w:r>
      <w:r>
        <w:rPr>
          <w:rFonts w:hint="eastAsia" w:ascii="宋体" w:hAnsi="宋体"/>
          <w:color w:val="auto"/>
          <w:szCs w:val="21"/>
        </w:rPr>
        <w:t>。投标人如果不提供分项报价明细表，其</w:t>
      </w:r>
      <w:r>
        <w:rPr>
          <w:rFonts w:hint="eastAsia" w:ascii="宋体" w:hAnsi="宋体"/>
          <w:b/>
          <w:color w:val="auto"/>
          <w:szCs w:val="21"/>
        </w:rPr>
        <w:t>投标无效</w:t>
      </w:r>
      <w:r>
        <w:rPr>
          <w:rFonts w:hint="eastAsia" w:ascii="宋体" w:hAnsi="宋体"/>
          <w:color w:val="auto"/>
          <w:szCs w:val="21"/>
        </w:rPr>
        <w:t>。</w:t>
      </w:r>
    </w:p>
    <w:p w14:paraId="093E5D6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2.不得填写“免费”或“赠与”，也不得进行“零”报价，否则</w:t>
      </w:r>
      <w:r>
        <w:rPr>
          <w:rFonts w:hint="eastAsia" w:ascii="宋体" w:hAnsi="宋体"/>
          <w:b/>
          <w:color w:val="auto"/>
          <w:szCs w:val="21"/>
        </w:rPr>
        <w:t>投标无效</w:t>
      </w:r>
      <w:r>
        <w:rPr>
          <w:rFonts w:hint="eastAsia" w:ascii="宋体" w:hAnsi="宋体"/>
          <w:color w:val="auto"/>
          <w:szCs w:val="21"/>
        </w:rPr>
        <w:t>。</w:t>
      </w:r>
    </w:p>
    <w:p w14:paraId="106C08B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3.如果开标一览表内容与本表内容不一致的，以开标一览表内容为准。</w:t>
      </w:r>
    </w:p>
    <w:p w14:paraId="7B472891">
      <w:pPr>
        <w:adjustRightInd w:val="0"/>
        <w:snapToGrid w:val="0"/>
        <w:spacing w:line="360" w:lineRule="auto"/>
        <w:rPr>
          <w:rFonts w:ascii="宋体" w:hAnsi="宋体"/>
          <w:color w:val="auto"/>
          <w:szCs w:val="21"/>
        </w:rPr>
      </w:pPr>
      <w:r>
        <w:rPr>
          <w:rFonts w:hint="eastAsia" w:ascii="宋体" w:hAnsi="宋体"/>
          <w:color w:val="auto"/>
          <w:szCs w:val="21"/>
        </w:rPr>
        <w:t>4.</w:t>
      </w:r>
      <w:r>
        <w:rPr>
          <w:rFonts w:hint="eastAsia" w:ascii="宋体" w:hAnsi="宋体"/>
          <w:bCs/>
          <w:color w:val="auto"/>
          <w:szCs w:val="21"/>
        </w:rPr>
        <w:t>投标人在投标截止时间前修改“开标一览表”中的投标报价的，应按第二章第13.7款规定修改本表相应内容。否则，</w:t>
      </w:r>
      <w:r>
        <w:rPr>
          <w:rFonts w:hint="eastAsia" w:ascii="宋体" w:hAnsi="宋体"/>
          <w:color w:val="auto"/>
          <w:szCs w:val="21"/>
        </w:rPr>
        <w:t>本表相应内容按投标报价修改的相同比例进行调整。</w:t>
      </w:r>
    </w:p>
    <w:p w14:paraId="78EBF132">
      <w:pPr>
        <w:adjustRightInd w:val="0"/>
        <w:snapToGrid w:val="0"/>
        <w:spacing w:line="360" w:lineRule="auto"/>
        <w:rPr>
          <w:rFonts w:ascii="宋体" w:hAnsi="宋体"/>
          <w:color w:val="auto"/>
          <w:szCs w:val="21"/>
        </w:rPr>
      </w:pPr>
    </w:p>
    <w:p w14:paraId="707B10B0">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7077921A">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030C0354">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726FBAF6">
      <w:pPr>
        <w:pStyle w:val="3"/>
        <w:jc w:val="center"/>
        <w:rPr>
          <w:rFonts w:ascii="黑体" w:hAnsi="宋体" w:eastAsia="黑体"/>
          <w:color w:val="auto"/>
          <w:sz w:val="28"/>
          <w:szCs w:val="28"/>
        </w:rPr>
      </w:pPr>
      <w:bookmarkStart w:id="1712" w:name="_Toc94367947"/>
      <w:bookmarkStart w:id="1713" w:name="_Toc154428449"/>
      <w:bookmarkStart w:id="1714" w:name="_Toc108342006"/>
      <w:bookmarkStart w:id="1715" w:name="_Toc192949762"/>
      <w:bookmarkStart w:id="1716" w:name="_Toc114036777"/>
      <w:bookmarkStart w:id="1717" w:name="_Toc100670491"/>
      <w:bookmarkStart w:id="1718" w:name="_Toc13451"/>
      <w:bookmarkStart w:id="1719" w:name="_Toc75289616"/>
      <w:bookmarkStart w:id="1720" w:name="_Toc78450024"/>
      <w:bookmarkStart w:id="1721" w:name="_Toc15888547"/>
      <w:bookmarkStart w:id="1722" w:name="_Toc78314331"/>
      <w:bookmarkStart w:id="1723" w:name="_Toc95601432"/>
      <w:bookmarkStart w:id="1724" w:name="_Toc112705006"/>
      <w:bookmarkStart w:id="1725" w:name="_Toc6566"/>
      <w:bookmarkStart w:id="1726" w:name="_Toc31388"/>
      <w:bookmarkStart w:id="1727" w:name="_Toc31482"/>
      <w:bookmarkStart w:id="1728" w:name="_Toc7342"/>
      <w:bookmarkStart w:id="1729" w:name="_Toc3771"/>
      <w:bookmarkStart w:id="1730" w:name="_Toc11805"/>
      <w:bookmarkStart w:id="1731" w:name="_Toc192951273"/>
      <w:bookmarkStart w:id="1732" w:name="_Toc75289296"/>
      <w:bookmarkStart w:id="1733" w:name="_Toc77676535"/>
      <w:bookmarkStart w:id="1734" w:name="_Toc192949663"/>
      <w:bookmarkStart w:id="1735" w:name="_Toc620"/>
      <w:bookmarkStart w:id="1736" w:name="_Toc85972997"/>
      <w:bookmarkStart w:id="1737" w:name="_Toc77199470"/>
      <w:bookmarkStart w:id="1738" w:name="_Toc117192513"/>
      <w:bookmarkStart w:id="1739" w:name="_Toc22256"/>
      <w:bookmarkStart w:id="1740" w:name="_Toc100670739"/>
      <w:bookmarkStart w:id="1741" w:name="_Toc171273732"/>
      <w:r>
        <w:rPr>
          <w:rFonts w:hint="eastAsia" w:ascii="黑体" w:hAnsi="宋体" w:eastAsia="黑体"/>
          <w:color w:val="auto"/>
          <w:sz w:val="28"/>
          <w:szCs w:val="28"/>
        </w:rPr>
        <w:t>七、采购需求响应</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14:paraId="55053EC5">
      <w:pPr>
        <w:adjustRightInd w:val="0"/>
        <w:snapToGrid w:val="0"/>
        <w:spacing w:line="360" w:lineRule="auto"/>
        <w:rPr>
          <w:rFonts w:ascii="宋体" w:hAnsi="宋体"/>
          <w:b/>
          <w:color w:val="auto"/>
          <w:szCs w:val="21"/>
        </w:rPr>
      </w:pPr>
    </w:p>
    <w:p w14:paraId="60621D32">
      <w:pPr>
        <w:adjustRightInd w:val="0"/>
        <w:snapToGrid w:val="0"/>
        <w:spacing w:line="360" w:lineRule="auto"/>
        <w:rPr>
          <w:b/>
          <w:color w:val="auto"/>
        </w:rPr>
      </w:pPr>
      <w:r>
        <w:rPr>
          <w:rFonts w:hint="eastAsia" w:ascii="宋体" w:hAnsi="宋体"/>
          <w:b/>
          <w:color w:val="auto"/>
          <w:szCs w:val="21"/>
        </w:rPr>
        <w:t>备注</w:t>
      </w:r>
      <w:r>
        <w:rPr>
          <w:rFonts w:hint="eastAsia" w:ascii="宋体" w:hAnsi="宋体"/>
          <w:bCs/>
          <w:color w:val="auto"/>
          <w:szCs w:val="21"/>
        </w:rPr>
        <w:t>：</w:t>
      </w:r>
      <w:r>
        <w:rPr>
          <w:rFonts w:hint="eastAsia"/>
          <w:b/>
          <w:color w:val="auto"/>
        </w:rPr>
        <w:t>投标人应按招标文件第五章采购需求与评审标准自行编写采购需求响应文件。</w:t>
      </w:r>
    </w:p>
    <w:p w14:paraId="38B80BD4">
      <w:pPr>
        <w:pStyle w:val="24"/>
        <w:adjustRightInd w:val="0"/>
        <w:snapToGrid w:val="0"/>
        <w:spacing w:line="360" w:lineRule="auto"/>
        <w:ind w:left="-88" w:leftChars="-42"/>
        <w:rPr>
          <w:rFonts w:ascii="宋体" w:hAnsi="宋体"/>
          <w:bCs/>
          <w:color w:val="auto"/>
          <w:sz w:val="21"/>
          <w:szCs w:val="21"/>
        </w:rPr>
      </w:pPr>
    </w:p>
    <w:p w14:paraId="6AFB7BF9">
      <w:pPr>
        <w:rPr>
          <w:color w:val="auto"/>
        </w:rPr>
      </w:pPr>
    </w:p>
    <w:p w14:paraId="2457D4BE">
      <w:pPr>
        <w:rPr>
          <w:color w:val="auto"/>
        </w:rPr>
      </w:pPr>
    </w:p>
    <w:p w14:paraId="785E266C">
      <w:pPr>
        <w:rPr>
          <w:color w:val="auto"/>
        </w:rPr>
      </w:pPr>
    </w:p>
    <w:p w14:paraId="43E9FD52">
      <w:pPr>
        <w:adjustRightInd w:val="0"/>
        <w:snapToGrid w:val="0"/>
        <w:spacing w:line="360" w:lineRule="auto"/>
        <w:rPr>
          <w:rFonts w:ascii="宋体" w:hAnsi="宋体"/>
          <w:color w:val="auto"/>
          <w:szCs w:val="21"/>
        </w:rPr>
      </w:pPr>
    </w:p>
    <w:p w14:paraId="3D5ACA94">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683A9CBD">
      <w:pPr>
        <w:adjustRightInd w:val="0"/>
        <w:snapToGrid w:val="0"/>
        <w:spacing w:line="360" w:lineRule="auto"/>
        <w:rPr>
          <w:rFonts w:ascii="宋体" w:hAnsi="宋体"/>
          <w:color w:val="auto"/>
          <w:szCs w:val="21"/>
          <w:u w:val="single"/>
        </w:rPr>
      </w:pPr>
      <w:r>
        <w:rPr>
          <w:rFonts w:hint="eastAsia" w:ascii="宋体" w:hAnsi="宋体"/>
          <w:color w:val="auto"/>
          <w:szCs w:val="21"/>
        </w:rPr>
        <w:t>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2B2B54C8">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3F6F9411">
      <w:pPr>
        <w:rPr>
          <w:color w:val="auto"/>
        </w:rPr>
      </w:pPr>
    </w:p>
    <w:p w14:paraId="74E0AD2F">
      <w:pPr>
        <w:pStyle w:val="3"/>
        <w:rPr>
          <w:color w:val="auto"/>
        </w:rPr>
      </w:pPr>
    </w:p>
    <w:p w14:paraId="669C7F86">
      <w:pPr>
        <w:rPr>
          <w:color w:val="auto"/>
        </w:rPr>
      </w:pPr>
    </w:p>
    <w:p w14:paraId="5335A5D4">
      <w:pPr>
        <w:pStyle w:val="3"/>
        <w:rPr>
          <w:color w:val="auto"/>
        </w:rPr>
      </w:pPr>
    </w:p>
    <w:p w14:paraId="3E373E02">
      <w:pPr>
        <w:pStyle w:val="102"/>
        <w:ind w:firstLine="400"/>
        <w:rPr>
          <w:color w:val="auto"/>
        </w:rPr>
      </w:pPr>
    </w:p>
    <w:p w14:paraId="50A63AE3">
      <w:pPr>
        <w:pStyle w:val="5"/>
        <w:adjustRightInd w:val="0"/>
        <w:snapToGrid w:val="0"/>
        <w:spacing w:before="156" w:beforeLines="50" w:after="0" w:line="360" w:lineRule="auto"/>
        <w:rPr>
          <w:rFonts w:ascii="黑体" w:hAnsi="黑体"/>
          <w:b w:val="0"/>
          <w:color w:val="auto"/>
          <w:sz w:val="21"/>
          <w:szCs w:val="21"/>
        </w:rPr>
      </w:pPr>
      <w:bookmarkStart w:id="1742" w:name="_Toc75289297"/>
      <w:bookmarkStart w:id="1743" w:name="_Toc15888548"/>
      <w:r>
        <w:rPr>
          <w:rFonts w:hint="eastAsia" w:ascii="黑体" w:hAnsi="黑体" w:cs="宋体"/>
          <w:b w:val="0"/>
          <w:color w:val="auto"/>
          <w:spacing w:val="6"/>
          <w:sz w:val="21"/>
          <w:szCs w:val="21"/>
        </w:rPr>
        <w:t>附件7-1 响应</w:t>
      </w:r>
      <w:r>
        <w:rPr>
          <w:rFonts w:hint="eastAsia" w:ascii="黑体" w:hAnsi="黑体"/>
          <w:b w:val="0"/>
          <w:color w:val="auto"/>
          <w:sz w:val="21"/>
          <w:szCs w:val="21"/>
        </w:rPr>
        <w:t>-览表</w:t>
      </w:r>
      <w:bookmarkEnd w:id="1742"/>
      <w:bookmarkEnd w:id="1743"/>
    </w:p>
    <w:p w14:paraId="793CB068">
      <w:pPr>
        <w:pStyle w:val="4"/>
        <w:jc w:val="center"/>
        <w:rPr>
          <w:rFonts w:ascii="黑体" w:hAnsi="黑体" w:eastAsia="黑体"/>
          <w:b w:val="0"/>
          <w:bCs w:val="0"/>
          <w:color w:val="auto"/>
          <w:sz w:val="28"/>
          <w:szCs w:val="28"/>
        </w:rPr>
      </w:pPr>
      <w:bookmarkStart w:id="1744" w:name="_Toc77199471"/>
      <w:bookmarkStart w:id="1745" w:name="_Toc78314332"/>
      <w:bookmarkStart w:id="1746" w:name="_Toc22587"/>
      <w:bookmarkStart w:id="1747" w:name="_Toc22400"/>
      <w:bookmarkStart w:id="1748" w:name="_Toc108342007"/>
      <w:bookmarkStart w:id="1749" w:name="_Toc26213"/>
      <w:bookmarkStart w:id="1750" w:name="_Toc22963"/>
      <w:bookmarkStart w:id="1751" w:name="_Toc192951274"/>
      <w:bookmarkStart w:id="1752" w:name="_Toc6662"/>
      <w:bookmarkStart w:id="1753" w:name="_Toc32113"/>
      <w:bookmarkStart w:id="1754" w:name="_Toc78450025"/>
      <w:bookmarkStart w:id="1755" w:name="_Toc117192514"/>
      <w:bookmarkStart w:id="1756" w:name="_Toc95601433"/>
      <w:bookmarkStart w:id="1757" w:name="_Toc75289617"/>
      <w:bookmarkStart w:id="1758" w:name="_Toc23732"/>
      <w:bookmarkStart w:id="1759" w:name="_Toc154428450"/>
      <w:bookmarkStart w:id="1760" w:name="_Toc100670740"/>
      <w:bookmarkStart w:id="1761" w:name="_Toc114036778"/>
      <w:bookmarkStart w:id="1762" w:name="_Toc171273733"/>
      <w:bookmarkStart w:id="1763" w:name="_Toc100670492"/>
      <w:bookmarkStart w:id="1764" w:name="_Toc192949664"/>
      <w:bookmarkStart w:id="1765" w:name="_Toc85972998"/>
      <w:bookmarkStart w:id="1766" w:name="_Toc112705007"/>
      <w:bookmarkStart w:id="1767" w:name="_Toc192949763"/>
      <w:bookmarkStart w:id="1768" w:name="_Toc23088"/>
      <w:bookmarkStart w:id="1769" w:name="_Toc94367948"/>
      <w:bookmarkStart w:id="1770" w:name="_Toc21536"/>
      <w:bookmarkStart w:id="1771" w:name="_Toc77676536"/>
      <w:r>
        <w:rPr>
          <w:rFonts w:hint="eastAsia" w:ascii="黑体" w:hAnsi="黑体" w:eastAsia="黑体"/>
          <w:b w:val="0"/>
          <w:bCs w:val="0"/>
          <w:color w:val="auto"/>
          <w:sz w:val="28"/>
          <w:szCs w:val="28"/>
        </w:rPr>
        <w:t>响应-览表</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tbl>
      <w:tblPr>
        <w:tblStyle w:val="47"/>
        <w:tblW w:w="896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1136"/>
        <w:gridCol w:w="1200"/>
      </w:tblGrid>
      <w:tr w14:paraId="16BF18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80" w:hRule="atLeast"/>
        </w:trPr>
        <w:tc>
          <w:tcPr>
            <w:tcW w:w="429" w:type="dxa"/>
            <w:vAlign w:val="center"/>
          </w:tcPr>
          <w:p w14:paraId="36FE6E6F">
            <w:pPr>
              <w:jc w:val="center"/>
              <w:rPr>
                <w:color w:val="auto"/>
                <w:szCs w:val="21"/>
              </w:rPr>
            </w:pPr>
            <w:r>
              <w:rPr>
                <w:rFonts w:hint="eastAsia"/>
                <w:color w:val="auto"/>
                <w:szCs w:val="21"/>
              </w:rPr>
              <w:t xml:space="preserve">包号 </w:t>
            </w:r>
          </w:p>
        </w:tc>
        <w:tc>
          <w:tcPr>
            <w:tcW w:w="957" w:type="dxa"/>
            <w:tcBorders>
              <w:right w:val="single" w:color="auto" w:sz="4" w:space="0"/>
            </w:tcBorders>
            <w:vAlign w:val="center"/>
          </w:tcPr>
          <w:p w14:paraId="7D9AEA10">
            <w:pPr>
              <w:jc w:val="center"/>
              <w:rPr>
                <w:color w:val="auto"/>
                <w:szCs w:val="21"/>
              </w:rPr>
            </w:pPr>
            <w:r>
              <w:rPr>
                <w:rFonts w:hint="eastAsia"/>
                <w:color w:val="auto"/>
                <w:szCs w:val="21"/>
              </w:rPr>
              <w:t>包名称</w:t>
            </w:r>
          </w:p>
        </w:tc>
        <w:tc>
          <w:tcPr>
            <w:tcW w:w="2124" w:type="dxa"/>
            <w:tcBorders>
              <w:left w:val="single" w:color="auto" w:sz="4" w:space="0"/>
            </w:tcBorders>
            <w:vAlign w:val="center"/>
          </w:tcPr>
          <w:p w14:paraId="2CC3A4F5">
            <w:pPr>
              <w:jc w:val="center"/>
              <w:rPr>
                <w:color w:val="auto"/>
                <w:szCs w:val="21"/>
              </w:rPr>
            </w:pPr>
            <w:r>
              <w:rPr>
                <w:rFonts w:hint="eastAsia"/>
                <w:color w:val="auto"/>
                <w:szCs w:val="21"/>
              </w:rPr>
              <w:t>标的名称</w:t>
            </w:r>
          </w:p>
        </w:tc>
        <w:tc>
          <w:tcPr>
            <w:tcW w:w="2127" w:type="dxa"/>
            <w:vAlign w:val="center"/>
          </w:tcPr>
          <w:p w14:paraId="63429CF4">
            <w:pPr>
              <w:jc w:val="center"/>
              <w:rPr>
                <w:color w:val="auto"/>
                <w:szCs w:val="21"/>
              </w:rPr>
            </w:pPr>
            <w:r>
              <w:rPr>
                <w:rFonts w:hint="eastAsia"/>
                <w:color w:val="auto"/>
                <w:szCs w:val="21"/>
              </w:rPr>
              <w:t>主要技术参数或规格</w:t>
            </w:r>
          </w:p>
        </w:tc>
        <w:tc>
          <w:tcPr>
            <w:tcW w:w="992" w:type="dxa"/>
            <w:vAlign w:val="center"/>
          </w:tcPr>
          <w:p w14:paraId="6D09FBC4">
            <w:pPr>
              <w:jc w:val="center"/>
              <w:rPr>
                <w:color w:val="auto"/>
                <w:szCs w:val="21"/>
              </w:rPr>
            </w:pPr>
            <w:r>
              <w:rPr>
                <w:rFonts w:hint="eastAsia"/>
                <w:color w:val="auto"/>
                <w:szCs w:val="21"/>
              </w:rPr>
              <w:t>数量</w:t>
            </w:r>
          </w:p>
        </w:tc>
        <w:tc>
          <w:tcPr>
            <w:tcW w:w="1136" w:type="dxa"/>
            <w:vAlign w:val="center"/>
          </w:tcPr>
          <w:p w14:paraId="603866E7">
            <w:pPr>
              <w:adjustRightInd w:val="0"/>
              <w:snapToGrid w:val="0"/>
              <w:jc w:val="center"/>
              <w:rPr>
                <w:color w:val="auto"/>
                <w:szCs w:val="21"/>
              </w:rPr>
            </w:pPr>
            <w:r>
              <w:rPr>
                <w:rFonts w:hint="eastAsia"/>
                <w:color w:val="auto"/>
                <w:szCs w:val="21"/>
              </w:rPr>
              <w:t>节能产品</w:t>
            </w:r>
          </w:p>
        </w:tc>
        <w:tc>
          <w:tcPr>
            <w:tcW w:w="1200" w:type="dxa"/>
            <w:vAlign w:val="center"/>
          </w:tcPr>
          <w:p w14:paraId="317A483A">
            <w:pPr>
              <w:adjustRightInd w:val="0"/>
              <w:snapToGrid w:val="0"/>
              <w:jc w:val="center"/>
              <w:rPr>
                <w:color w:val="auto"/>
                <w:szCs w:val="21"/>
              </w:rPr>
            </w:pPr>
            <w:r>
              <w:rPr>
                <w:rFonts w:hint="eastAsia"/>
                <w:color w:val="auto"/>
                <w:szCs w:val="21"/>
              </w:rPr>
              <w:t>进口产品</w:t>
            </w:r>
          </w:p>
        </w:tc>
      </w:tr>
      <w:tr w14:paraId="0B6D14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556F6D95">
            <w:pPr>
              <w:rPr>
                <w:color w:val="auto"/>
                <w:szCs w:val="21"/>
              </w:rPr>
            </w:pPr>
          </w:p>
        </w:tc>
        <w:tc>
          <w:tcPr>
            <w:tcW w:w="957" w:type="dxa"/>
            <w:vMerge w:val="restart"/>
            <w:tcBorders>
              <w:right w:val="single" w:color="auto" w:sz="4" w:space="0"/>
            </w:tcBorders>
          </w:tcPr>
          <w:p w14:paraId="69729D04">
            <w:pPr>
              <w:rPr>
                <w:color w:val="auto"/>
                <w:szCs w:val="21"/>
              </w:rPr>
            </w:pPr>
          </w:p>
        </w:tc>
        <w:tc>
          <w:tcPr>
            <w:tcW w:w="2124" w:type="dxa"/>
            <w:tcBorders>
              <w:left w:val="single" w:color="auto" w:sz="4" w:space="0"/>
            </w:tcBorders>
          </w:tcPr>
          <w:p w14:paraId="0704351B">
            <w:pPr>
              <w:rPr>
                <w:color w:val="auto"/>
                <w:szCs w:val="21"/>
              </w:rPr>
            </w:pPr>
          </w:p>
        </w:tc>
        <w:tc>
          <w:tcPr>
            <w:tcW w:w="2127" w:type="dxa"/>
          </w:tcPr>
          <w:p w14:paraId="1E0E4686">
            <w:pPr>
              <w:rPr>
                <w:color w:val="auto"/>
                <w:szCs w:val="21"/>
              </w:rPr>
            </w:pPr>
          </w:p>
        </w:tc>
        <w:tc>
          <w:tcPr>
            <w:tcW w:w="992" w:type="dxa"/>
          </w:tcPr>
          <w:p w14:paraId="36B9017E">
            <w:pPr>
              <w:rPr>
                <w:color w:val="auto"/>
                <w:szCs w:val="21"/>
              </w:rPr>
            </w:pPr>
          </w:p>
        </w:tc>
        <w:tc>
          <w:tcPr>
            <w:tcW w:w="1136" w:type="dxa"/>
          </w:tcPr>
          <w:p w14:paraId="744246C0">
            <w:pPr>
              <w:adjustRightInd w:val="0"/>
              <w:snapToGrid w:val="0"/>
              <w:spacing w:before="156" w:beforeLines="50" w:line="360" w:lineRule="auto"/>
              <w:rPr>
                <w:color w:val="auto"/>
                <w:szCs w:val="21"/>
              </w:rPr>
            </w:pPr>
            <w:r>
              <w:rPr>
                <w:rFonts w:hint="eastAsia" w:ascii="宋体" w:hAnsi="宋体"/>
                <w:iCs/>
                <w:color w:val="auto"/>
                <w:szCs w:val="21"/>
              </w:rPr>
              <w:sym w:font="Wingdings" w:char="00A8"/>
            </w:r>
          </w:p>
        </w:tc>
        <w:tc>
          <w:tcPr>
            <w:tcW w:w="1200" w:type="dxa"/>
          </w:tcPr>
          <w:p w14:paraId="6D4863FF">
            <w:pPr>
              <w:adjustRightInd w:val="0"/>
              <w:snapToGrid w:val="0"/>
              <w:spacing w:before="156" w:beforeLines="50" w:line="360" w:lineRule="auto"/>
              <w:rPr>
                <w:color w:val="auto"/>
                <w:szCs w:val="21"/>
              </w:rPr>
            </w:pPr>
          </w:p>
        </w:tc>
      </w:tr>
      <w:tr w14:paraId="1DB360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669C4094">
            <w:pPr>
              <w:rPr>
                <w:color w:val="auto"/>
                <w:szCs w:val="21"/>
              </w:rPr>
            </w:pPr>
          </w:p>
        </w:tc>
        <w:tc>
          <w:tcPr>
            <w:tcW w:w="957" w:type="dxa"/>
            <w:vMerge w:val="continue"/>
            <w:tcBorders>
              <w:right w:val="single" w:color="auto" w:sz="4" w:space="0"/>
            </w:tcBorders>
          </w:tcPr>
          <w:p w14:paraId="3A1D746B">
            <w:pPr>
              <w:rPr>
                <w:color w:val="auto"/>
                <w:szCs w:val="21"/>
              </w:rPr>
            </w:pPr>
          </w:p>
        </w:tc>
        <w:tc>
          <w:tcPr>
            <w:tcW w:w="2124" w:type="dxa"/>
            <w:tcBorders>
              <w:left w:val="single" w:color="auto" w:sz="4" w:space="0"/>
            </w:tcBorders>
          </w:tcPr>
          <w:p w14:paraId="0379F854">
            <w:pPr>
              <w:rPr>
                <w:color w:val="auto"/>
                <w:szCs w:val="21"/>
              </w:rPr>
            </w:pPr>
          </w:p>
        </w:tc>
        <w:tc>
          <w:tcPr>
            <w:tcW w:w="2127" w:type="dxa"/>
          </w:tcPr>
          <w:p w14:paraId="7FDB4359">
            <w:pPr>
              <w:rPr>
                <w:color w:val="auto"/>
                <w:szCs w:val="21"/>
              </w:rPr>
            </w:pPr>
          </w:p>
        </w:tc>
        <w:tc>
          <w:tcPr>
            <w:tcW w:w="992" w:type="dxa"/>
          </w:tcPr>
          <w:p w14:paraId="1EEB3D6D">
            <w:pPr>
              <w:rPr>
                <w:color w:val="auto"/>
                <w:szCs w:val="21"/>
              </w:rPr>
            </w:pPr>
          </w:p>
        </w:tc>
        <w:tc>
          <w:tcPr>
            <w:tcW w:w="1136" w:type="dxa"/>
          </w:tcPr>
          <w:p w14:paraId="559DC9BC">
            <w:pPr>
              <w:adjustRightInd w:val="0"/>
              <w:snapToGrid w:val="0"/>
              <w:spacing w:before="156" w:beforeLines="50" w:line="360" w:lineRule="auto"/>
              <w:rPr>
                <w:color w:val="auto"/>
                <w:szCs w:val="21"/>
              </w:rPr>
            </w:pPr>
          </w:p>
        </w:tc>
        <w:tc>
          <w:tcPr>
            <w:tcW w:w="1200" w:type="dxa"/>
          </w:tcPr>
          <w:p w14:paraId="40E704AC">
            <w:pPr>
              <w:adjustRightInd w:val="0"/>
              <w:snapToGrid w:val="0"/>
              <w:spacing w:before="156" w:beforeLines="50" w:line="360" w:lineRule="auto"/>
              <w:rPr>
                <w:color w:val="auto"/>
                <w:szCs w:val="21"/>
              </w:rPr>
            </w:pPr>
            <w:r>
              <w:rPr>
                <w:rFonts w:hint="eastAsia" w:ascii="宋体" w:hAnsi="宋体"/>
                <w:iCs/>
                <w:color w:val="auto"/>
                <w:szCs w:val="21"/>
              </w:rPr>
              <w:sym w:font="Wingdings" w:char="00A8"/>
            </w:r>
          </w:p>
        </w:tc>
      </w:tr>
      <w:tr w14:paraId="7B6B72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0486B8C0">
            <w:pPr>
              <w:rPr>
                <w:color w:val="auto"/>
                <w:szCs w:val="21"/>
              </w:rPr>
            </w:pPr>
          </w:p>
        </w:tc>
        <w:tc>
          <w:tcPr>
            <w:tcW w:w="957" w:type="dxa"/>
            <w:vMerge w:val="restart"/>
            <w:tcBorders>
              <w:right w:val="single" w:color="auto" w:sz="4" w:space="0"/>
            </w:tcBorders>
          </w:tcPr>
          <w:p w14:paraId="016E77EA">
            <w:pPr>
              <w:rPr>
                <w:color w:val="auto"/>
                <w:szCs w:val="21"/>
              </w:rPr>
            </w:pPr>
          </w:p>
        </w:tc>
        <w:tc>
          <w:tcPr>
            <w:tcW w:w="2124" w:type="dxa"/>
            <w:tcBorders>
              <w:left w:val="single" w:color="auto" w:sz="4" w:space="0"/>
            </w:tcBorders>
          </w:tcPr>
          <w:p w14:paraId="27AEEBE0">
            <w:pPr>
              <w:rPr>
                <w:color w:val="auto"/>
                <w:szCs w:val="21"/>
              </w:rPr>
            </w:pPr>
          </w:p>
        </w:tc>
        <w:tc>
          <w:tcPr>
            <w:tcW w:w="2127" w:type="dxa"/>
          </w:tcPr>
          <w:p w14:paraId="271D699F">
            <w:pPr>
              <w:rPr>
                <w:color w:val="auto"/>
                <w:szCs w:val="21"/>
              </w:rPr>
            </w:pPr>
          </w:p>
        </w:tc>
        <w:tc>
          <w:tcPr>
            <w:tcW w:w="992" w:type="dxa"/>
          </w:tcPr>
          <w:p w14:paraId="11F1EA33">
            <w:pPr>
              <w:rPr>
                <w:color w:val="auto"/>
                <w:szCs w:val="21"/>
              </w:rPr>
            </w:pPr>
          </w:p>
        </w:tc>
        <w:tc>
          <w:tcPr>
            <w:tcW w:w="1136" w:type="dxa"/>
          </w:tcPr>
          <w:p w14:paraId="43B984D3">
            <w:pPr>
              <w:rPr>
                <w:color w:val="auto"/>
                <w:szCs w:val="21"/>
              </w:rPr>
            </w:pPr>
          </w:p>
        </w:tc>
        <w:tc>
          <w:tcPr>
            <w:tcW w:w="1200" w:type="dxa"/>
          </w:tcPr>
          <w:p w14:paraId="29D52B93">
            <w:pPr>
              <w:rPr>
                <w:color w:val="auto"/>
                <w:szCs w:val="21"/>
              </w:rPr>
            </w:pPr>
          </w:p>
        </w:tc>
      </w:tr>
      <w:tr w14:paraId="65A477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354ADA6F">
            <w:pPr>
              <w:rPr>
                <w:color w:val="auto"/>
                <w:szCs w:val="21"/>
              </w:rPr>
            </w:pPr>
          </w:p>
        </w:tc>
        <w:tc>
          <w:tcPr>
            <w:tcW w:w="957" w:type="dxa"/>
            <w:vMerge w:val="continue"/>
            <w:tcBorders>
              <w:right w:val="single" w:color="auto" w:sz="4" w:space="0"/>
            </w:tcBorders>
          </w:tcPr>
          <w:p w14:paraId="610DDF05">
            <w:pPr>
              <w:rPr>
                <w:color w:val="auto"/>
                <w:szCs w:val="21"/>
              </w:rPr>
            </w:pPr>
          </w:p>
        </w:tc>
        <w:tc>
          <w:tcPr>
            <w:tcW w:w="2124" w:type="dxa"/>
            <w:tcBorders>
              <w:left w:val="single" w:color="auto" w:sz="4" w:space="0"/>
            </w:tcBorders>
          </w:tcPr>
          <w:p w14:paraId="6E78CCAA">
            <w:pPr>
              <w:rPr>
                <w:color w:val="auto"/>
                <w:szCs w:val="21"/>
              </w:rPr>
            </w:pPr>
          </w:p>
        </w:tc>
        <w:tc>
          <w:tcPr>
            <w:tcW w:w="2127" w:type="dxa"/>
          </w:tcPr>
          <w:p w14:paraId="4BF1B36D">
            <w:pPr>
              <w:rPr>
                <w:color w:val="auto"/>
                <w:szCs w:val="21"/>
              </w:rPr>
            </w:pPr>
          </w:p>
        </w:tc>
        <w:tc>
          <w:tcPr>
            <w:tcW w:w="992" w:type="dxa"/>
          </w:tcPr>
          <w:p w14:paraId="60639560">
            <w:pPr>
              <w:rPr>
                <w:color w:val="auto"/>
                <w:szCs w:val="21"/>
              </w:rPr>
            </w:pPr>
          </w:p>
        </w:tc>
        <w:tc>
          <w:tcPr>
            <w:tcW w:w="1136" w:type="dxa"/>
          </w:tcPr>
          <w:p w14:paraId="0AED0D0A">
            <w:pPr>
              <w:rPr>
                <w:color w:val="auto"/>
                <w:szCs w:val="21"/>
              </w:rPr>
            </w:pPr>
          </w:p>
        </w:tc>
        <w:tc>
          <w:tcPr>
            <w:tcW w:w="1200" w:type="dxa"/>
          </w:tcPr>
          <w:p w14:paraId="41CD405E">
            <w:pPr>
              <w:rPr>
                <w:color w:val="auto"/>
                <w:szCs w:val="21"/>
              </w:rPr>
            </w:pPr>
          </w:p>
        </w:tc>
      </w:tr>
      <w:tr w14:paraId="3B5BCB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5D43C962">
            <w:pPr>
              <w:rPr>
                <w:color w:val="auto"/>
                <w:szCs w:val="21"/>
              </w:rPr>
            </w:pPr>
          </w:p>
        </w:tc>
        <w:tc>
          <w:tcPr>
            <w:tcW w:w="957" w:type="dxa"/>
            <w:vMerge w:val="continue"/>
            <w:tcBorders>
              <w:right w:val="single" w:color="auto" w:sz="4" w:space="0"/>
            </w:tcBorders>
          </w:tcPr>
          <w:p w14:paraId="128AC6C7">
            <w:pPr>
              <w:rPr>
                <w:color w:val="auto"/>
                <w:szCs w:val="21"/>
              </w:rPr>
            </w:pPr>
          </w:p>
        </w:tc>
        <w:tc>
          <w:tcPr>
            <w:tcW w:w="2124" w:type="dxa"/>
            <w:tcBorders>
              <w:left w:val="single" w:color="auto" w:sz="4" w:space="0"/>
            </w:tcBorders>
          </w:tcPr>
          <w:p w14:paraId="4ED54B47">
            <w:pPr>
              <w:rPr>
                <w:color w:val="auto"/>
                <w:szCs w:val="21"/>
              </w:rPr>
            </w:pPr>
          </w:p>
        </w:tc>
        <w:tc>
          <w:tcPr>
            <w:tcW w:w="2127" w:type="dxa"/>
          </w:tcPr>
          <w:p w14:paraId="53A10414">
            <w:pPr>
              <w:rPr>
                <w:color w:val="auto"/>
                <w:szCs w:val="21"/>
              </w:rPr>
            </w:pPr>
          </w:p>
        </w:tc>
        <w:tc>
          <w:tcPr>
            <w:tcW w:w="992" w:type="dxa"/>
          </w:tcPr>
          <w:p w14:paraId="4B4C9554">
            <w:pPr>
              <w:rPr>
                <w:color w:val="auto"/>
                <w:szCs w:val="21"/>
              </w:rPr>
            </w:pPr>
          </w:p>
        </w:tc>
        <w:tc>
          <w:tcPr>
            <w:tcW w:w="1136" w:type="dxa"/>
          </w:tcPr>
          <w:p w14:paraId="147D7004">
            <w:pPr>
              <w:rPr>
                <w:color w:val="auto"/>
                <w:szCs w:val="21"/>
              </w:rPr>
            </w:pPr>
          </w:p>
        </w:tc>
        <w:tc>
          <w:tcPr>
            <w:tcW w:w="1200" w:type="dxa"/>
          </w:tcPr>
          <w:p w14:paraId="1A5588A1">
            <w:pPr>
              <w:rPr>
                <w:color w:val="auto"/>
                <w:szCs w:val="21"/>
              </w:rPr>
            </w:pPr>
          </w:p>
        </w:tc>
      </w:tr>
    </w:tbl>
    <w:p w14:paraId="23C4872E">
      <w:pPr>
        <w:adjustRightInd w:val="0"/>
        <w:snapToGrid w:val="0"/>
        <w:spacing w:line="360" w:lineRule="auto"/>
        <w:rPr>
          <w:color w:val="auto"/>
        </w:rPr>
      </w:pPr>
    </w:p>
    <w:p w14:paraId="69F2DB3A">
      <w:pPr>
        <w:adjustRightInd w:val="0"/>
        <w:snapToGrid w:val="0"/>
        <w:spacing w:line="360" w:lineRule="auto"/>
        <w:rPr>
          <w:rFonts w:ascii="宋体" w:hAnsi="宋体"/>
          <w:color w:val="auto"/>
          <w:szCs w:val="21"/>
        </w:rPr>
      </w:pPr>
    </w:p>
    <w:p w14:paraId="55A5F42D">
      <w:pPr>
        <w:adjustRightInd w:val="0"/>
        <w:snapToGrid w:val="0"/>
        <w:spacing w:line="360" w:lineRule="auto"/>
        <w:rPr>
          <w:rFonts w:ascii="宋体" w:hAnsi="宋体"/>
          <w:color w:val="auto"/>
          <w:szCs w:val="21"/>
        </w:rPr>
      </w:pPr>
    </w:p>
    <w:p w14:paraId="75BD6F27">
      <w:pPr>
        <w:adjustRightInd w:val="0"/>
        <w:snapToGrid w:val="0"/>
        <w:spacing w:line="360" w:lineRule="auto"/>
        <w:rPr>
          <w:rFonts w:ascii="黑体" w:hAnsi="宋体" w:eastAsia="黑体"/>
          <w:color w:val="auto"/>
          <w:sz w:val="28"/>
          <w:szCs w:val="28"/>
        </w:rPr>
        <w:sectPr>
          <w:headerReference r:id="rId9" w:type="first"/>
          <w:headerReference r:id="rId7" w:type="default"/>
          <w:footerReference r:id="rId10" w:type="default"/>
          <w:headerReference r:id="rId8"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EF4A1D6">
      <w:pPr>
        <w:pStyle w:val="3"/>
        <w:jc w:val="center"/>
        <w:rPr>
          <w:rFonts w:ascii="黑体" w:hAnsi="黑体" w:eastAsia="黑体"/>
          <w:color w:val="auto"/>
          <w:sz w:val="28"/>
          <w:szCs w:val="28"/>
        </w:rPr>
      </w:pPr>
      <w:bookmarkStart w:id="1772" w:name="_Toc31163"/>
      <w:bookmarkStart w:id="1773" w:name="_Toc108342008"/>
      <w:bookmarkStart w:id="1774" w:name="_Toc78450026"/>
      <w:bookmarkStart w:id="1775" w:name="_Toc4202"/>
      <w:bookmarkStart w:id="1776" w:name="_Toc192949665"/>
      <w:bookmarkStart w:id="1777" w:name="_Toc15550"/>
      <w:bookmarkStart w:id="1778" w:name="_Toc77676537"/>
      <w:bookmarkStart w:id="1779" w:name="_Toc154428451"/>
      <w:bookmarkStart w:id="1780" w:name="_Toc171273734"/>
      <w:bookmarkStart w:id="1781" w:name="_Toc192951275"/>
      <w:bookmarkStart w:id="1782" w:name="_Toc100670741"/>
      <w:bookmarkStart w:id="1783" w:name="_Toc77199472"/>
      <w:bookmarkStart w:id="1784" w:name="_Toc85972999"/>
      <w:bookmarkStart w:id="1785" w:name="_Toc22746"/>
      <w:bookmarkStart w:id="1786" w:name="_Toc75289618"/>
      <w:bookmarkStart w:id="1787" w:name="_Toc27715"/>
      <w:bookmarkStart w:id="1788" w:name="_Toc9932"/>
      <w:bookmarkStart w:id="1789" w:name="_Toc100670493"/>
      <w:bookmarkStart w:id="1790" w:name="_Toc112705008"/>
      <w:bookmarkStart w:id="1791" w:name="_Toc536"/>
      <w:bookmarkStart w:id="1792" w:name="_Toc9219"/>
      <w:bookmarkStart w:id="1793" w:name="_Toc95601434"/>
      <w:bookmarkStart w:id="1794" w:name="_Toc94367949"/>
      <w:bookmarkStart w:id="1795" w:name="_Toc192949764"/>
      <w:bookmarkStart w:id="1796" w:name="_Toc114036779"/>
      <w:bookmarkStart w:id="1797" w:name="_Toc15888549"/>
      <w:bookmarkStart w:id="1798" w:name="_Toc75289298"/>
      <w:bookmarkStart w:id="1799" w:name="_Toc9300"/>
      <w:bookmarkStart w:id="1800" w:name="_Toc78314333"/>
      <w:bookmarkStart w:id="1801" w:name="_Toc117192515"/>
      <w:r>
        <w:rPr>
          <w:rFonts w:hint="eastAsia" w:ascii="黑体" w:hAnsi="黑体" w:eastAsia="黑体"/>
          <w:color w:val="auto"/>
          <w:sz w:val="28"/>
          <w:szCs w:val="28"/>
        </w:rPr>
        <w:t>八、合同条款偏离表</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14:paraId="1992E85F">
      <w:pPr>
        <w:adjustRightInd w:val="0"/>
        <w:snapToGrid w:val="0"/>
        <w:spacing w:line="360" w:lineRule="auto"/>
        <w:rPr>
          <w:rFonts w:ascii="宋体" w:hAnsi="宋体"/>
          <w:color w:val="auto"/>
          <w:szCs w:val="21"/>
        </w:rPr>
      </w:pPr>
    </w:p>
    <w:p w14:paraId="50D0514C">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政府采购计划编号：            项目名称：</w:t>
      </w:r>
    </w:p>
    <w:p w14:paraId="200E6E96">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包号：                       包名称：</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44324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506E19E">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vAlign w:val="center"/>
          </w:tcPr>
          <w:p w14:paraId="673F1AA2">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招标文件章节</w:t>
            </w:r>
            <w:r>
              <w:rPr>
                <w:rFonts w:hint="eastAsia" w:ascii="宋体" w:hAnsi="宋体"/>
                <w:bCs/>
                <w:color w:val="auto"/>
                <w:szCs w:val="21"/>
              </w:rPr>
              <w:t>条</w:t>
            </w:r>
            <w:r>
              <w:rPr>
                <w:rFonts w:hint="eastAsia" w:ascii="宋体" w:hAnsi="宋体"/>
                <w:color w:val="auto"/>
                <w:szCs w:val="21"/>
              </w:rPr>
              <w:t>款号</w:t>
            </w:r>
          </w:p>
        </w:tc>
        <w:tc>
          <w:tcPr>
            <w:tcW w:w="1985" w:type="dxa"/>
            <w:vAlign w:val="center"/>
          </w:tcPr>
          <w:p w14:paraId="18D31044">
            <w:pPr>
              <w:adjustRightInd w:val="0"/>
              <w:snapToGrid w:val="0"/>
              <w:spacing w:before="50" w:line="360" w:lineRule="auto"/>
              <w:ind w:left="-88" w:leftChars="-42"/>
              <w:jc w:val="center"/>
              <w:rPr>
                <w:rFonts w:ascii="宋体" w:hAnsi="宋体"/>
                <w:color w:val="auto"/>
                <w:szCs w:val="21"/>
              </w:rPr>
            </w:pPr>
            <w:r>
              <w:rPr>
                <w:rFonts w:hint="eastAsia"/>
                <w:color w:val="auto"/>
              </w:rPr>
              <w:t>招标文件要求</w:t>
            </w:r>
          </w:p>
        </w:tc>
        <w:tc>
          <w:tcPr>
            <w:tcW w:w="2082" w:type="dxa"/>
            <w:tcBorders>
              <w:right w:val="single" w:color="auto" w:sz="4" w:space="0"/>
            </w:tcBorders>
            <w:vAlign w:val="center"/>
          </w:tcPr>
          <w:p w14:paraId="619F8771">
            <w:pPr>
              <w:adjustRightInd w:val="0"/>
              <w:snapToGrid w:val="0"/>
              <w:spacing w:before="50" w:line="360" w:lineRule="auto"/>
              <w:jc w:val="center"/>
              <w:rPr>
                <w:rFonts w:ascii="宋体" w:hAnsi="宋体"/>
                <w:color w:val="auto"/>
                <w:szCs w:val="21"/>
              </w:rPr>
            </w:pPr>
            <w:r>
              <w:rPr>
                <w:rFonts w:hint="eastAsia"/>
                <w:color w:val="auto"/>
              </w:rPr>
              <w:t>投标文件的应答</w:t>
            </w:r>
          </w:p>
        </w:tc>
        <w:tc>
          <w:tcPr>
            <w:tcW w:w="1942" w:type="dxa"/>
            <w:tcBorders>
              <w:left w:val="single" w:color="auto" w:sz="4" w:space="0"/>
            </w:tcBorders>
            <w:vAlign w:val="center"/>
          </w:tcPr>
          <w:p w14:paraId="4433C926">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28D59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308704A">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04F09AB0">
            <w:pPr>
              <w:adjustRightInd w:val="0"/>
              <w:snapToGrid w:val="0"/>
              <w:spacing w:before="50" w:line="360" w:lineRule="auto"/>
              <w:ind w:left="-88" w:leftChars="-42"/>
              <w:jc w:val="center"/>
              <w:rPr>
                <w:rFonts w:ascii="宋体" w:hAnsi="宋体"/>
                <w:color w:val="auto"/>
                <w:szCs w:val="21"/>
              </w:rPr>
            </w:pPr>
          </w:p>
        </w:tc>
        <w:tc>
          <w:tcPr>
            <w:tcW w:w="1985" w:type="dxa"/>
          </w:tcPr>
          <w:p w14:paraId="1760298E">
            <w:pPr>
              <w:adjustRightInd w:val="0"/>
              <w:snapToGrid w:val="0"/>
              <w:spacing w:before="50" w:line="360" w:lineRule="auto"/>
              <w:rPr>
                <w:color w:val="auto"/>
              </w:rPr>
            </w:pPr>
          </w:p>
        </w:tc>
        <w:tc>
          <w:tcPr>
            <w:tcW w:w="2082" w:type="dxa"/>
            <w:tcBorders>
              <w:right w:val="single" w:color="auto" w:sz="4" w:space="0"/>
            </w:tcBorders>
          </w:tcPr>
          <w:p w14:paraId="17894A8A">
            <w:pPr>
              <w:adjustRightInd w:val="0"/>
              <w:snapToGrid w:val="0"/>
              <w:spacing w:before="50" w:line="360" w:lineRule="auto"/>
              <w:rPr>
                <w:color w:val="auto"/>
              </w:rPr>
            </w:pPr>
          </w:p>
        </w:tc>
        <w:tc>
          <w:tcPr>
            <w:tcW w:w="1942" w:type="dxa"/>
            <w:tcBorders>
              <w:left w:val="single" w:color="auto" w:sz="4" w:space="0"/>
            </w:tcBorders>
          </w:tcPr>
          <w:p w14:paraId="096363FD">
            <w:pPr>
              <w:adjustRightInd w:val="0"/>
              <w:snapToGrid w:val="0"/>
              <w:spacing w:before="50" w:line="360" w:lineRule="auto"/>
              <w:ind w:left="-88" w:leftChars="-42"/>
              <w:jc w:val="center"/>
              <w:rPr>
                <w:rFonts w:ascii="宋体" w:hAnsi="宋体"/>
                <w:color w:val="auto"/>
                <w:szCs w:val="21"/>
              </w:rPr>
            </w:pPr>
          </w:p>
        </w:tc>
      </w:tr>
      <w:tr w14:paraId="488C4A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52F4FEC">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2C28A052">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6F1D2F96">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1DA9ACE5">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1448959C">
            <w:pPr>
              <w:adjustRightInd w:val="0"/>
              <w:snapToGrid w:val="0"/>
              <w:spacing w:before="50" w:line="360" w:lineRule="auto"/>
              <w:ind w:left="-88" w:leftChars="-42"/>
              <w:jc w:val="center"/>
              <w:rPr>
                <w:rFonts w:ascii="宋体" w:hAnsi="宋体"/>
                <w:color w:val="auto"/>
                <w:szCs w:val="21"/>
              </w:rPr>
            </w:pPr>
          </w:p>
        </w:tc>
      </w:tr>
      <w:tr w14:paraId="67C94F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E70567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7B2482AD">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3B1609EE">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68A5FAE1">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3A79F4E0">
            <w:pPr>
              <w:adjustRightInd w:val="0"/>
              <w:snapToGrid w:val="0"/>
              <w:spacing w:before="50" w:line="360" w:lineRule="auto"/>
              <w:ind w:left="-88" w:leftChars="-42"/>
              <w:jc w:val="center"/>
              <w:rPr>
                <w:rFonts w:ascii="宋体" w:hAnsi="宋体"/>
                <w:color w:val="auto"/>
                <w:szCs w:val="21"/>
              </w:rPr>
            </w:pPr>
          </w:p>
        </w:tc>
      </w:tr>
      <w:tr w14:paraId="6FC395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8F1E8D5">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0F12D69E">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1A432D86">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6DA2552B">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76B4539C">
            <w:pPr>
              <w:adjustRightInd w:val="0"/>
              <w:snapToGrid w:val="0"/>
              <w:spacing w:before="50" w:line="360" w:lineRule="auto"/>
              <w:ind w:left="-88" w:leftChars="-42"/>
              <w:jc w:val="center"/>
              <w:rPr>
                <w:rFonts w:ascii="宋体" w:hAnsi="宋体"/>
                <w:color w:val="auto"/>
                <w:szCs w:val="21"/>
              </w:rPr>
            </w:pPr>
          </w:p>
        </w:tc>
      </w:tr>
      <w:tr w14:paraId="018EE4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2AAD9A8">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75720B9">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78099CD6">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0288FE8D">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33518E6C">
            <w:pPr>
              <w:adjustRightInd w:val="0"/>
              <w:snapToGrid w:val="0"/>
              <w:spacing w:before="50" w:line="360" w:lineRule="auto"/>
              <w:ind w:left="-88" w:leftChars="-42"/>
              <w:jc w:val="center"/>
              <w:rPr>
                <w:rFonts w:ascii="宋体" w:hAnsi="宋体"/>
                <w:color w:val="auto"/>
                <w:szCs w:val="21"/>
              </w:rPr>
            </w:pPr>
          </w:p>
        </w:tc>
      </w:tr>
      <w:tr w14:paraId="5A5EEC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7F950EA">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51BB7370">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09C5E13C">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5E5A9BF1">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2618A62C">
            <w:pPr>
              <w:adjustRightInd w:val="0"/>
              <w:snapToGrid w:val="0"/>
              <w:spacing w:before="50" w:line="360" w:lineRule="auto"/>
              <w:ind w:left="-88" w:leftChars="-42"/>
              <w:jc w:val="center"/>
              <w:rPr>
                <w:rFonts w:ascii="宋体" w:hAnsi="宋体"/>
                <w:color w:val="auto"/>
                <w:szCs w:val="21"/>
              </w:rPr>
            </w:pPr>
          </w:p>
        </w:tc>
      </w:tr>
      <w:tr w14:paraId="3B12E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7A212A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46792011">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1FCEB24D">
            <w:pPr>
              <w:adjustRightInd w:val="0"/>
              <w:snapToGrid w:val="0"/>
              <w:spacing w:before="50" w:line="360" w:lineRule="auto"/>
              <w:ind w:left="-88" w:leftChars="-42"/>
              <w:jc w:val="center"/>
              <w:rPr>
                <w:rFonts w:ascii="宋体" w:hAnsi="宋体"/>
                <w:color w:val="auto"/>
                <w:szCs w:val="21"/>
              </w:rPr>
            </w:pPr>
          </w:p>
        </w:tc>
        <w:tc>
          <w:tcPr>
            <w:tcW w:w="4024" w:type="dxa"/>
            <w:gridSpan w:val="2"/>
            <w:vAlign w:val="center"/>
          </w:tcPr>
          <w:p w14:paraId="53CAECC2">
            <w:pPr>
              <w:adjustRightInd w:val="0"/>
              <w:snapToGrid w:val="0"/>
              <w:spacing w:before="50" w:line="360" w:lineRule="auto"/>
              <w:ind w:firstLine="422" w:firstLineChars="200"/>
              <w:jc w:val="left"/>
              <w:rPr>
                <w:rFonts w:ascii="宋体" w:hAnsi="宋体"/>
                <w:b/>
                <w:color w:val="auto"/>
                <w:szCs w:val="21"/>
              </w:rPr>
            </w:pPr>
            <w:r>
              <w:rPr>
                <w:rFonts w:hint="eastAsia" w:ascii="宋体" w:hAnsi="宋体"/>
                <w:b/>
                <w:color w:val="auto"/>
                <w:szCs w:val="21"/>
              </w:rPr>
              <w:t>投标人保证：除本合同条款偏离表列出的偏离外，我单位对招标文件的其他商务、合同条款完全响应，无偏离。</w:t>
            </w:r>
          </w:p>
        </w:tc>
      </w:tr>
    </w:tbl>
    <w:p w14:paraId="2E055A51">
      <w:pPr>
        <w:adjustRightInd w:val="0"/>
        <w:snapToGrid w:val="0"/>
        <w:spacing w:before="50" w:line="360" w:lineRule="auto"/>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：1.投标人应根据招标文件第六章</w:t>
      </w:r>
      <w:r>
        <w:rPr>
          <w:rFonts w:hint="eastAsia" w:ascii="华文宋体" w:hAnsi="华文宋体" w:eastAsia="华文宋体"/>
          <w:color w:val="auto"/>
          <w:szCs w:val="21"/>
        </w:rPr>
        <w:t>“</w:t>
      </w:r>
      <w:r>
        <w:rPr>
          <w:rFonts w:hint="eastAsia" w:ascii="宋体" w:hAnsi="宋体"/>
          <w:color w:val="auto"/>
          <w:szCs w:val="21"/>
        </w:rPr>
        <w:t>政府采购合同</w:t>
      </w:r>
      <w:r>
        <w:rPr>
          <w:rFonts w:hint="eastAsia" w:ascii="华文宋体" w:hAnsi="华文宋体" w:eastAsia="华文宋体"/>
          <w:color w:val="auto"/>
          <w:szCs w:val="21"/>
        </w:rPr>
        <w:t>”</w:t>
      </w:r>
      <w:r>
        <w:rPr>
          <w:rFonts w:hint="eastAsia" w:ascii="宋体" w:hAnsi="宋体"/>
          <w:color w:val="auto"/>
          <w:szCs w:val="21"/>
        </w:rPr>
        <w:t>填写本表；</w:t>
      </w:r>
    </w:p>
    <w:p w14:paraId="4104376C">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color w:val="auto"/>
          <w:szCs w:val="21"/>
        </w:rPr>
        <w:t>2.</w:t>
      </w:r>
      <w:r>
        <w:rPr>
          <w:rFonts w:hint="eastAsia" w:ascii="宋体" w:hAnsi="宋体"/>
          <w:b/>
          <w:color w:val="auto"/>
          <w:szCs w:val="21"/>
        </w:rPr>
        <w:t>投标人如果对招标文件第六章“政府采购合同”的响应有偏离，应将偏离条款逐条如实应答，并作出说明；</w:t>
      </w:r>
    </w:p>
    <w:p w14:paraId="75ED4830">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3.如不提供此表，则视为投标人不满足招标文件第六章的所有条款要求，其</w:t>
      </w:r>
      <w:r>
        <w:rPr>
          <w:rFonts w:hint="eastAsia" w:ascii="宋体" w:hAnsi="宋体"/>
          <w:b/>
          <w:color w:val="auto"/>
          <w:szCs w:val="21"/>
        </w:rPr>
        <w:t>投标无效</w:t>
      </w:r>
      <w:r>
        <w:rPr>
          <w:rFonts w:hint="eastAsia" w:ascii="宋体" w:hAnsi="宋体"/>
          <w:color w:val="auto"/>
          <w:szCs w:val="21"/>
        </w:rPr>
        <w:t>。</w:t>
      </w:r>
    </w:p>
    <w:p w14:paraId="3997AB79">
      <w:pPr>
        <w:adjustRightInd w:val="0"/>
        <w:snapToGrid w:val="0"/>
        <w:spacing w:line="360" w:lineRule="auto"/>
        <w:ind w:firstLine="315" w:firstLineChars="150"/>
        <w:rPr>
          <w:rFonts w:ascii="宋体" w:hAnsi="宋体"/>
          <w:color w:val="auto"/>
          <w:szCs w:val="21"/>
        </w:rPr>
      </w:pPr>
      <w:r>
        <w:rPr>
          <w:rFonts w:hint="eastAsia" w:ascii="宋体" w:hAnsi="宋体"/>
          <w:color w:val="auto"/>
          <w:szCs w:val="21"/>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5136A297">
      <w:pPr>
        <w:adjustRightInd w:val="0"/>
        <w:snapToGrid w:val="0"/>
        <w:spacing w:before="50" w:line="360" w:lineRule="auto"/>
        <w:rPr>
          <w:rFonts w:ascii="宋体" w:hAnsi="宋体"/>
          <w:color w:val="auto"/>
          <w:szCs w:val="21"/>
        </w:rPr>
      </w:pPr>
    </w:p>
    <w:p w14:paraId="74C7CCAB">
      <w:pPr>
        <w:adjustRightInd w:val="0"/>
        <w:snapToGrid w:val="0"/>
        <w:spacing w:before="50" w:line="360" w:lineRule="auto"/>
        <w:rPr>
          <w:rFonts w:ascii="宋体" w:hAnsi="宋体"/>
          <w:color w:val="auto"/>
          <w:szCs w:val="21"/>
        </w:rPr>
      </w:pPr>
    </w:p>
    <w:p w14:paraId="6E0DF338">
      <w:pPr>
        <w:adjustRightInd w:val="0"/>
        <w:snapToGrid w:val="0"/>
        <w:spacing w:before="50" w:line="360" w:lineRule="auto"/>
        <w:rPr>
          <w:rFonts w:ascii="宋体" w:hAnsi="宋体"/>
          <w:color w:val="auto"/>
          <w:szCs w:val="21"/>
        </w:rPr>
      </w:pPr>
      <w:r>
        <w:rPr>
          <w:rFonts w:hint="eastAsia" w:ascii="宋体" w:hAnsi="宋体"/>
          <w:color w:val="auto"/>
          <w:szCs w:val="21"/>
        </w:rPr>
        <w:t>投标人名称（盖单位章）：</w:t>
      </w:r>
    </w:p>
    <w:p w14:paraId="10EA8E38">
      <w:pPr>
        <w:adjustRightInd w:val="0"/>
        <w:snapToGrid w:val="0"/>
        <w:spacing w:before="50" w:line="360" w:lineRule="auto"/>
        <w:rPr>
          <w:rFonts w:ascii="宋体" w:hAnsi="宋体"/>
          <w:color w:val="auto"/>
          <w:szCs w:val="21"/>
        </w:rPr>
      </w:pPr>
      <w:r>
        <w:rPr>
          <w:rFonts w:hint="eastAsia" w:ascii="宋体" w:hAnsi="宋体"/>
          <w:color w:val="auto"/>
          <w:szCs w:val="21"/>
        </w:rPr>
        <w:t>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4571D15C">
      <w:pPr>
        <w:adjustRightInd w:val="0"/>
        <w:snapToGrid w:val="0"/>
        <w:rPr>
          <w:rFonts w:ascii="黑体" w:hAnsi="宋体" w:eastAsia="黑体"/>
          <w:b/>
          <w:bCs/>
          <w:color w:val="auto"/>
          <w:szCs w:val="21"/>
        </w:rPr>
      </w:pPr>
      <w:r>
        <w:rPr>
          <w:rFonts w:hint="eastAsia" w:ascii="宋体" w:hAnsi="宋体"/>
          <w:color w:val="auto"/>
          <w:szCs w:val="21"/>
        </w:rPr>
        <w:t>日       期：年月_日</w:t>
      </w:r>
      <w:r>
        <w:rPr>
          <w:rFonts w:ascii="黑体" w:hAnsi="宋体" w:eastAsia="黑体"/>
          <w:color w:val="auto"/>
          <w:sz w:val="28"/>
          <w:szCs w:val="28"/>
        </w:rPr>
        <w:br w:type="page"/>
      </w:r>
    </w:p>
    <w:p w14:paraId="6805DE6C">
      <w:pPr>
        <w:pStyle w:val="3"/>
        <w:jc w:val="center"/>
        <w:rPr>
          <w:rFonts w:ascii="黑体" w:hAnsi="宋体" w:eastAsia="黑体"/>
          <w:color w:val="auto"/>
          <w:sz w:val="28"/>
          <w:szCs w:val="28"/>
        </w:rPr>
      </w:pPr>
      <w:bookmarkStart w:id="1802" w:name="_Toc77676538"/>
      <w:bookmarkStart w:id="1803" w:name="_Toc23817"/>
      <w:bookmarkStart w:id="1804" w:name="_Toc192951276"/>
      <w:bookmarkStart w:id="1805" w:name="_Toc15888550"/>
      <w:bookmarkStart w:id="1806" w:name="_Toc100670494"/>
      <w:bookmarkStart w:id="1807" w:name="_Toc94367950"/>
      <w:bookmarkStart w:id="1808" w:name="_Toc21260"/>
      <w:bookmarkStart w:id="1809" w:name="_Toc15051"/>
      <w:bookmarkStart w:id="1810" w:name="_Toc75289299"/>
      <w:bookmarkStart w:id="1811" w:name="_Toc78314334"/>
      <w:bookmarkStart w:id="1812" w:name="_Toc100670742"/>
      <w:bookmarkStart w:id="1813" w:name="_Toc4642"/>
      <w:bookmarkStart w:id="1814" w:name="_Toc2557"/>
      <w:bookmarkStart w:id="1815" w:name="_Toc108342009"/>
      <w:bookmarkStart w:id="1816" w:name="_Toc22333"/>
      <w:bookmarkStart w:id="1817" w:name="_Toc20402"/>
      <w:bookmarkStart w:id="1818" w:name="_Toc171273735"/>
      <w:bookmarkStart w:id="1819" w:name="_Toc192949666"/>
      <w:bookmarkStart w:id="1820" w:name="_Toc85973000"/>
      <w:bookmarkStart w:id="1821" w:name="_Toc77199473"/>
      <w:bookmarkStart w:id="1822" w:name="_Toc114036780"/>
      <w:bookmarkStart w:id="1823" w:name="_Toc112705009"/>
      <w:bookmarkStart w:id="1824" w:name="_Toc75289619"/>
      <w:bookmarkStart w:id="1825" w:name="_Toc117192516"/>
      <w:bookmarkStart w:id="1826" w:name="_Toc154428452"/>
      <w:bookmarkStart w:id="1827" w:name="_Toc11942"/>
      <w:bookmarkStart w:id="1828" w:name="_Toc9023"/>
      <w:bookmarkStart w:id="1829" w:name="_Toc78450027"/>
      <w:bookmarkStart w:id="1830" w:name="_Toc95601435"/>
      <w:bookmarkStart w:id="1831" w:name="_Toc192949765"/>
      <w:r>
        <w:rPr>
          <w:rFonts w:hint="eastAsia" w:ascii="黑体" w:hAnsi="宋体" w:eastAsia="黑体"/>
          <w:color w:val="auto"/>
          <w:sz w:val="28"/>
          <w:szCs w:val="28"/>
        </w:rPr>
        <w:t>九、采购需求偏离表</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14:paraId="3CCA381B">
      <w:pPr>
        <w:adjustRightInd w:val="0"/>
        <w:snapToGrid w:val="0"/>
        <w:spacing w:line="360" w:lineRule="auto"/>
        <w:rPr>
          <w:rFonts w:ascii="宋体" w:hAnsi="宋体"/>
          <w:color w:val="auto"/>
          <w:szCs w:val="21"/>
        </w:rPr>
      </w:pPr>
    </w:p>
    <w:p w14:paraId="3C5C55E4">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政府采购计划编号：                 项目名称：</w:t>
      </w:r>
    </w:p>
    <w:p w14:paraId="5B0FC8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包号：                             包名称：</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3C2C88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E34B40F">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vAlign w:val="center"/>
          </w:tcPr>
          <w:p w14:paraId="454ABA5B">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招标文件章节</w:t>
            </w:r>
            <w:r>
              <w:rPr>
                <w:rFonts w:hint="eastAsia" w:ascii="宋体" w:hAnsi="宋体"/>
                <w:bCs/>
                <w:color w:val="auto"/>
                <w:szCs w:val="21"/>
              </w:rPr>
              <w:t>条</w:t>
            </w:r>
            <w:r>
              <w:rPr>
                <w:rFonts w:hint="eastAsia" w:ascii="宋体" w:hAnsi="宋体"/>
                <w:color w:val="auto"/>
                <w:szCs w:val="21"/>
              </w:rPr>
              <w:t>款号</w:t>
            </w:r>
          </w:p>
        </w:tc>
        <w:tc>
          <w:tcPr>
            <w:tcW w:w="1985" w:type="dxa"/>
            <w:tcBorders>
              <w:right w:val="single" w:color="auto" w:sz="4" w:space="0"/>
            </w:tcBorders>
          </w:tcPr>
          <w:p w14:paraId="277462F6">
            <w:pPr>
              <w:adjustRightInd w:val="0"/>
              <w:snapToGrid w:val="0"/>
              <w:spacing w:before="50" w:line="360" w:lineRule="auto"/>
              <w:jc w:val="center"/>
              <w:rPr>
                <w:color w:val="auto"/>
              </w:rPr>
            </w:pPr>
            <w:r>
              <w:rPr>
                <w:rFonts w:hint="eastAsia"/>
                <w:color w:val="auto"/>
              </w:rPr>
              <w:t>招标文件要求</w:t>
            </w:r>
          </w:p>
        </w:tc>
        <w:tc>
          <w:tcPr>
            <w:tcW w:w="2126" w:type="dxa"/>
            <w:tcBorders>
              <w:left w:val="single" w:color="auto" w:sz="4" w:space="0"/>
            </w:tcBorders>
          </w:tcPr>
          <w:p w14:paraId="0AE7804B">
            <w:pPr>
              <w:adjustRightInd w:val="0"/>
              <w:snapToGrid w:val="0"/>
              <w:spacing w:before="50" w:line="360" w:lineRule="auto"/>
              <w:jc w:val="center"/>
              <w:rPr>
                <w:color w:val="auto"/>
              </w:rPr>
            </w:pPr>
            <w:r>
              <w:rPr>
                <w:rFonts w:hint="eastAsia"/>
                <w:color w:val="auto"/>
              </w:rPr>
              <w:t>投标文件应答</w:t>
            </w:r>
          </w:p>
        </w:tc>
        <w:tc>
          <w:tcPr>
            <w:tcW w:w="1756" w:type="dxa"/>
            <w:vAlign w:val="center"/>
          </w:tcPr>
          <w:p w14:paraId="39B6E9A5">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057563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5692BE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71F551C6">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4E9474DD">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2E7AF192">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05280374">
            <w:pPr>
              <w:adjustRightInd w:val="0"/>
              <w:snapToGrid w:val="0"/>
              <w:spacing w:before="50" w:line="360" w:lineRule="auto"/>
              <w:ind w:left="-88" w:leftChars="-42"/>
              <w:jc w:val="center"/>
              <w:rPr>
                <w:rFonts w:ascii="宋体" w:hAnsi="宋体"/>
                <w:color w:val="auto"/>
                <w:szCs w:val="21"/>
              </w:rPr>
            </w:pPr>
          </w:p>
        </w:tc>
      </w:tr>
      <w:tr w14:paraId="321B09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C717C36">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6D90E2AE">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280D475C">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1C5DEF64">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7BC064E7">
            <w:pPr>
              <w:adjustRightInd w:val="0"/>
              <w:snapToGrid w:val="0"/>
              <w:spacing w:before="50" w:line="360" w:lineRule="auto"/>
              <w:ind w:left="-88" w:leftChars="-42"/>
              <w:jc w:val="center"/>
              <w:rPr>
                <w:rFonts w:ascii="宋体" w:hAnsi="宋体"/>
                <w:color w:val="auto"/>
                <w:szCs w:val="21"/>
              </w:rPr>
            </w:pPr>
          </w:p>
        </w:tc>
      </w:tr>
      <w:tr w14:paraId="5294FE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273079A">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66077920">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1F25AC74">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6D63D052">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19460165">
            <w:pPr>
              <w:adjustRightInd w:val="0"/>
              <w:snapToGrid w:val="0"/>
              <w:spacing w:before="50" w:line="360" w:lineRule="auto"/>
              <w:ind w:left="-88" w:leftChars="-42"/>
              <w:jc w:val="center"/>
              <w:rPr>
                <w:rFonts w:ascii="宋体" w:hAnsi="宋体"/>
                <w:color w:val="auto"/>
                <w:szCs w:val="21"/>
              </w:rPr>
            </w:pPr>
          </w:p>
        </w:tc>
      </w:tr>
      <w:tr w14:paraId="47A1A4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EB9DAC4">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83605FE">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2C2B8C19">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574E4932">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742EF422">
            <w:pPr>
              <w:adjustRightInd w:val="0"/>
              <w:snapToGrid w:val="0"/>
              <w:spacing w:before="50" w:line="360" w:lineRule="auto"/>
              <w:ind w:left="-88" w:leftChars="-42"/>
              <w:jc w:val="center"/>
              <w:rPr>
                <w:rFonts w:ascii="宋体" w:hAnsi="宋体"/>
                <w:color w:val="auto"/>
                <w:szCs w:val="21"/>
              </w:rPr>
            </w:pPr>
          </w:p>
        </w:tc>
      </w:tr>
      <w:tr w14:paraId="033CAF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AE3BD4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4E8C9476">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3C1B041E">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25EA0A76">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1DB72D97">
            <w:pPr>
              <w:adjustRightInd w:val="0"/>
              <w:snapToGrid w:val="0"/>
              <w:spacing w:before="50" w:line="360" w:lineRule="auto"/>
              <w:ind w:left="-88" w:leftChars="-42"/>
              <w:jc w:val="center"/>
              <w:rPr>
                <w:rFonts w:ascii="宋体" w:hAnsi="宋体"/>
                <w:color w:val="auto"/>
                <w:szCs w:val="21"/>
              </w:rPr>
            </w:pPr>
          </w:p>
        </w:tc>
      </w:tr>
      <w:tr w14:paraId="10F2B1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C04DB56">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B396900">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198E9295">
            <w:pPr>
              <w:adjustRightInd w:val="0"/>
              <w:snapToGrid w:val="0"/>
              <w:spacing w:before="50" w:line="360" w:lineRule="auto"/>
              <w:ind w:left="-88" w:leftChars="-42"/>
              <w:jc w:val="center"/>
              <w:rPr>
                <w:rFonts w:ascii="宋体" w:hAnsi="宋体"/>
                <w:color w:val="auto"/>
                <w:szCs w:val="21"/>
              </w:rPr>
            </w:pPr>
          </w:p>
        </w:tc>
        <w:tc>
          <w:tcPr>
            <w:tcW w:w="3882" w:type="dxa"/>
            <w:gridSpan w:val="2"/>
            <w:tcBorders>
              <w:left w:val="single" w:color="auto" w:sz="4" w:space="0"/>
            </w:tcBorders>
            <w:vAlign w:val="center"/>
          </w:tcPr>
          <w:p w14:paraId="4AF7E76D">
            <w:pPr>
              <w:adjustRightInd w:val="0"/>
              <w:snapToGrid w:val="0"/>
              <w:spacing w:before="50" w:line="360" w:lineRule="auto"/>
              <w:ind w:firstLine="422" w:firstLineChars="200"/>
              <w:rPr>
                <w:rFonts w:ascii="宋体" w:hAnsi="宋体"/>
                <w:color w:val="auto"/>
                <w:szCs w:val="21"/>
              </w:rPr>
            </w:pPr>
            <w:r>
              <w:rPr>
                <w:rFonts w:hint="eastAsia" w:ascii="宋体" w:hAnsi="宋体"/>
                <w:b/>
                <w:color w:val="auto"/>
                <w:szCs w:val="21"/>
              </w:rPr>
              <w:t>投标人保证：除本采购需求偏离表列出的偏离外，我单位对招标文件的其他采购需求条款完全响应，无偏离。</w:t>
            </w:r>
          </w:p>
        </w:tc>
      </w:tr>
    </w:tbl>
    <w:p w14:paraId="68386D7B">
      <w:pPr>
        <w:adjustRightInd w:val="0"/>
        <w:snapToGrid w:val="0"/>
        <w:spacing w:before="50" w:line="360" w:lineRule="auto"/>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：1.投标人应根据招标文件第五章“采购需求”填写本表；</w:t>
      </w:r>
    </w:p>
    <w:p w14:paraId="5B8A6B38">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color w:val="auto"/>
          <w:szCs w:val="21"/>
        </w:rPr>
        <w:t>2.</w:t>
      </w:r>
      <w:r>
        <w:rPr>
          <w:rFonts w:hint="eastAsia" w:ascii="宋体" w:hAnsi="宋体"/>
          <w:b/>
          <w:color w:val="auto"/>
          <w:szCs w:val="21"/>
        </w:rPr>
        <w:t>投标人如果对招标文件第五章“采购需求”的响应有偏离，应将偏离条款逐条如实应答，并作出说明；</w:t>
      </w:r>
    </w:p>
    <w:p w14:paraId="083B83F6">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3.如不提供此表，则视为投标人不满足招标文件第五章的所有条款要求，其</w:t>
      </w:r>
      <w:r>
        <w:rPr>
          <w:rFonts w:hint="eastAsia" w:ascii="宋体" w:hAnsi="宋体"/>
          <w:b/>
          <w:color w:val="auto"/>
          <w:szCs w:val="21"/>
        </w:rPr>
        <w:t>投标无效</w:t>
      </w:r>
      <w:r>
        <w:rPr>
          <w:rFonts w:hint="eastAsia" w:ascii="宋体" w:hAnsi="宋体"/>
          <w:color w:val="auto"/>
          <w:szCs w:val="21"/>
        </w:rPr>
        <w:t>。</w:t>
      </w:r>
    </w:p>
    <w:p w14:paraId="112185AD">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4.在采购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359B390D">
      <w:pPr>
        <w:adjustRightInd w:val="0"/>
        <w:snapToGrid w:val="0"/>
        <w:spacing w:line="360" w:lineRule="auto"/>
        <w:ind w:firstLine="315" w:firstLineChars="150"/>
        <w:rPr>
          <w:rFonts w:ascii="宋体" w:hAnsi="宋体"/>
          <w:color w:val="auto"/>
          <w:szCs w:val="21"/>
        </w:rPr>
      </w:pPr>
      <w:r>
        <w:rPr>
          <w:rFonts w:hint="eastAsia" w:ascii="宋体" w:hAnsi="宋体"/>
          <w:color w:val="auto"/>
          <w:szCs w:val="21"/>
        </w:rPr>
        <w:t>5.本表偏离表与本章第七节“采购需求响应”不一致时，以“采购需求响应”为准。</w:t>
      </w:r>
    </w:p>
    <w:p w14:paraId="08295F93">
      <w:pPr>
        <w:adjustRightInd w:val="0"/>
        <w:snapToGrid w:val="0"/>
        <w:spacing w:before="50" w:line="360" w:lineRule="auto"/>
        <w:rPr>
          <w:rFonts w:ascii="宋体" w:hAnsi="宋体"/>
          <w:color w:val="auto"/>
          <w:szCs w:val="21"/>
        </w:rPr>
      </w:pPr>
    </w:p>
    <w:p w14:paraId="69140EDE">
      <w:pPr>
        <w:adjustRightInd w:val="0"/>
        <w:snapToGrid w:val="0"/>
        <w:spacing w:before="50" w:line="360" w:lineRule="auto"/>
        <w:rPr>
          <w:rFonts w:ascii="宋体" w:hAnsi="宋体"/>
          <w:color w:val="auto"/>
          <w:szCs w:val="21"/>
        </w:rPr>
      </w:pPr>
    </w:p>
    <w:p w14:paraId="62DA56E3">
      <w:pPr>
        <w:adjustRightInd w:val="0"/>
        <w:snapToGrid w:val="0"/>
        <w:spacing w:before="50" w:line="360" w:lineRule="auto"/>
        <w:rPr>
          <w:rFonts w:ascii="宋体" w:hAnsi="宋体"/>
          <w:color w:val="auto"/>
          <w:szCs w:val="21"/>
        </w:rPr>
      </w:pPr>
      <w:r>
        <w:rPr>
          <w:rFonts w:hint="eastAsia" w:ascii="宋体" w:hAnsi="宋体"/>
          <w:color w:val="auto"/>
          <w:szCs w:val="21"/>
        </w:rPr>
        <w:t>投标人名称（盖单位章）：</w:t>
      </w:r>
    </w:p>
    <w:p w14:paraId="2EA4BCE3">
      <w:pPr>
        <w:adjustRightInd w:val="0"/>
        <w:snapToGrid w:val="0"/>
        <w:spacing w:before="50" w:line="360" w:lineRule="auto"/>
        <w:rPr>
          <w:rFonts w:ascii="宋体" w:hAnsi="宋体"/>
          <w:color w:val="auto"/>
          <w:szCs w:val="21"/>
        </w:rPr>
      </w:pPr>
      <w:r>
        <w:rPr>
          <w:rFonts w:hint="eastAsia" w:ascii="宋体" w:hAnsi="宋体"/>
          <w:color w:val="auto"/>
          <w:szCs w:val="21"/>
        </w:rPr>
        <w:t>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5E75EC2D">
      <w:pPr>
        <w:adjustRightInd w:val="0"/>
        <w:snapToGrid w:val="0"/>
        <w:spacing w:before="50" w:line="360" w:lineRule="auto"/>
        <w:rPr>
          <w:rFonts w:ascii="宋体" w:hAnsi="宋体"/>
          <w:color w:val="auto"/>
          <w:szCs w:val="21"/>
        </w:rPr>
      </w:pPr>
      <w:r>
        <w:rPr>
          <w:rFonts w:hint="eastAsia" w:ascii="宋体" w:hAnsi="宋体"/>
          <w:color w:val="auto"/>
          <w:szCs w:val="21"/>
        </w:rPr>
        <w:t>日      期：年月_日</w:t>
      </w:r>
    </w:p>
    <w:p w14:paraId="4C0BCD7D">
      <w:pPr>
        <w:pStyle w:val="3"/>
        <w:jc w:val="center"/>
        <w:rPr>
          <w:rFonts w:ascii="黑体" w:hAnsi="宋体" w:eastAsia="黑体"/>
          <w:color w:val="auto"/>
          <w:sz w:val="28"/>
          <w:szCs w:val="28"/>
        </w:rPr>
      </w:pPr>
      <w:r>
        <w:rPr>
          <w:rFonts w:ascii="宋体" w:hAnsi="宋体"/>
          <w:color w:val="auto"/>
          <w:szCs w:val="21"/>
        </w:rPr>
        <w:br w:type="page"/>
      </w:r>
      <w:bookmarkStart w:id="1832" w:name="_Toc192951277"/>
      <w:bookmarkStart w:id="1833" w:name="_Toc100670495"/>
      <w:bookmarkStart w:id="1834" w:name="_Toc23095"/>
      <w:bookmarkStart w:id="1835" w:name="_Toc78314335"/>
      <w:bookmarkStart w:id="1836" w:name="_Toc154428453"/>
      <w:bookmarkStart w:id="1837" w:name="_Toc112705010"/>
      <w:bookmarkStart w:id="1838" w:name="_Toc75289620"/>
      <w:bookmarkStart w:id="1839" w:name="_Toc100670743"/>
      <w:bookmarkStart w:id="1840" w:name="_Toc15888551"/>
      <w:bookmarkStart w:id="1841" w:name="_Toc75289300"/>
      <w:bookmarkStart w:id="1842" w:name="_Toc171273736"/>
      <w:bookmarkStart w:id="1843" w:name="_Toc5315"/>
      <w:bookmarkStart w:id="1844" w:name="_Toc26783"/>
      <w:bookmarkStart w:id="1845" w:name="_Toc22526"/>
      <w:bookmarkStart w:id="1846" w:name="_Toc114036781"/>
      <w:bookmarkStart w:id="1847" w:name="_Toc95601436"/>
      <w:bookmarkStart w:id="1848" w:name="_Toc192949766"/>
      <w:bookmarkStart w:id="1849" w:name="_Toc117192517"/>
      <w:bookmarkStart w:id="1850" w:name="_Toc192949667"/>
      <w:bookmarkStart w:id="1851" w:name="_Toc108342010"/>
      <w:bookmarkStart w:id="1852" w:name="_Toc94367951"/>
      <w:bookmarkStart w:id="1853" w:name="_Toc26302"/>
      <w:bookmarkStart w:id="1854" w:name="_Toc85973001"/>
      <w:bookmarkStart w:id="1855" w:name="_Toc19293"/>
      <w:bookmarkStart w:id="1856" w:name="_Toc78450028"/>
      <w:bookmarkStart w:id="1857" w:name="_Toc15001"/>
      <w:bookmarkStart w:id="1858" w:name="_Toc10089"/>
      <w:bookmarkStart w:id="1859" w:name="_Toc77199474"/>
      <w:bookmarkStart w:id="1860" w:name="_Toc77676539"/>
      <w:bookmarkStart w:id="1861" w:name="_Toc13154"/>
      <w:r>
        <w:rPr>
          <w:rFonts w:hint="eastAsia" w:ascii="黑体" w:hAnsi="宋体" w:eastAsia="黑体"/>
          <w:color w:val="auto"/>
          <w:sz w:val="28"/>
          <w:szCs w:val="28"/>
        </w:rPr>
        <w:t>十、享受政府采购政策优惠的证明资料</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14:paraId="62380191">
      <w:pPr>
        <w:adjustRightInd w:val="0"/>
        <w:snapToGrid w:val="0"/>
        <w:spacing w:line="360" w:lineRule="auto"/>
        <w:rPr>
          <w:rFonts w:ascii="黑体" w:hAnsi="华文中宋" w:eastAsia="黑体" w:cs="宋体"/>
          <w:bCs/>
          <w:color w:val="auto"/>
          <w:spacing w:val="6"/>
          <w:kern w:val="0"/>
          <w:szCs w:val="21"/>
        </w:rPr>
      </w:pPr>
    </w:p>
    <w:p w14:paraId="6D26BDC9">
      <w:pPr>
        <w:adjustRightInd w:val="0"/>
        <w:snapToGrid w:val="0"/>
        <w:spacing w:line="360" w:lineRule="auto"/>
        <w:ind w:firstLine="444" w:firstLineChars="200"/>
        <w:rPr>
          <w:rFonts w:ascii="宋体" w:hAnsi="宋体" w:cs="宋体"/>
          <w:bCs/>
          <w:color w:val="auto"/>
          <w:spacing w:val="6"/>
          <w:kern w:val="0"/>
          <w:szCs w:val="21"/>
        </w:rPr>
      </w:pPr>
      <w:r>
        <w:rPr>
          <w:rFonts w:hint="eastAsia" w:ascii="宋体" w:hAnsi="宋体" w:cs="宋体"/>
          <w:bCs/>
          <w:color w:val="auto"/>
          <w:spacing w:val="6"/>
          <w:kern w:val="0"/>
          <w:szCs w:val="21"/>
        </w:rPr>
        <w:t>投标人符合第二章第33.6条要求的，应提供下列证明资料，并填写相关数据。否则，评审时不予以考虑。</w:t>
      </w:r>
    </w:p>
    <w:p w14:paraId="49208F86">
      <w:pPr>
        <w:rPr>
          <w:color w:val="auto"/>
        </w:rPr>
      </w:pPr>
    </w:p>
    <w:p w14:paraId="13451CEE">
      <w:pPr>
        <w:pStyle w:val="5"/>
        <w:spacing w:after="0" w:line="377" w:lineRule="auto"/>
        <w:rPr>
          <w:rFonts w:ascii="黑体" w:hAnsi="华文中宋" w:cs="宋体"/>
          <w:b w:val="0"/>
          <w:bCs w:val="0"/>
          <w:color w:val="auto"/>
          <w:spacing w:val="6"/>
          <w:sz w:val="21"/>
          <w:szCs w:val="21"/>
        </w:rPr>
      </w:pPr>
      <w:bookmarkStart w:id="1862" w:name="_Toc15888552"/>
      <w:bookmarkStart w:id="1863" w:name="_Toc75289301"/>
      <w:r>
        <w:rPr>
          <w:rFonts w:hint="eastAsia" w:ascii="黑体" w:hAnsi="华文中宋" w:cs="宋体"/>
          <w:b w:val="0"/>
          <w:bCs w:val="0"/>
          <w:color w:val="auto"/>
          <w:spacing w:val="6"/>
          <w:sz w:val="21"/>
          <w:szCs w:val="21"/>
        </w:rPr>
        <w:t>附件10-1中小企业声明函</w:t>
      </w:r>
      <w:bookmarkEnd w:id="1862"/>
      <w:bookmarkEnd w:id="1863"/>
    </w:p>
    <w:p w14:paraId="239AC2A8">
      <w:pPr>
        <w:pStyle w:val="4"/>
        <w:spacing w:after="0" w:line="415" w:lineRule="auto"/>
        <w:jc w:val="center"/>
        <w:rPr>
          <w:rFonts w:ascii="黑体" w:hAnsi="黑体" w:eastAsia="黑体" w:cs="宋体"/>
          <w:b w:val="0"/>
          <w:bCs w:val="0"/>
          <w:color w:val="auto"/>
          <w:spacing w:val="6"/>
          <w:sz w:val="28"/>
          <w:szCs w:val="28"/>
        </w:rPr>
      </w:pPr>
      <w:bookmarkStart w:id="1864" w:name="_Toc192951278"/>
      <w:bookmarkStart w:id="1865" w:name="_Toc12721"/>
      <w:bookmarkStart w:id="1866" w:name="_Toc7710"/>
      <w:bookmarkStart w:id="1867" w:name="_Toc100670496"/>
      <w:bookmarkStart w:id="1868" w:name="_Toc27763"/>
      <w:bookmarkStart w:id="1869" w:name="_Toc15556"/>
      <w:bookmarkStart w:id="1870" w:name="_Toc95601437"/>
      <w:bookmarkStart w:id="1871" w:name="_Toc12993"/>
      <w:bookmarkStart w:id="1872" w:name="_Toc171273737"/>
      <w:bookmarkStart w:id="1873" w:name="_Toc192949767"/>
      <w:bookmarkStart w:id="1874" w:name="_Toc10314"/>
      <w:bookmarkStart w:id="1875" w:name="_Toc85973002"/>
      <w:bookmarkStart w:id="1876" w:name="_Toc108342011"/>
      <w:bookmarkStart w:id="1877" w:name="_Toc117192518"/>
      <w:bookmarkStart w:id="1878" w:name="_Toc78314336"/>
      <w:bookmarkStart w:id="1879" w:name="_Toc23966"/>
      <w:bookmarkStart w:id="1880" w:name="_Toc114036782"/>
      <w:bookmarkStart w:id="1881" w:name="_Toc94367952"/>
      <w:bookmarkStart w:id="1882" w:name="_Toc28233"/>
      <w:bookmarkStart w:id="1883" w:name="_Toc78450029"/>
      <w:bookmarkStart w:id="1884" w:name="_Toc192949668"/>
      <w:bookmarkStart w:id="1885" w:name="_Toc100670744"/>
      <w:bookmarkStart w:id="1886" w:name="_Toc112705011"/>
      <w:bookmarkStart w:id="1887" w:name="_Toc154428454"/>
      <w:bookmarkStart w:id="1888" w:name="_Toc22678"/>
      <w:r>
        <w:rPr>
          <w:rFonts w:hint="eastAsia" w:ascii="黑体" w:hAnsi="黑体" w:eastAsia="黑体" w:cs="黑体"/>
          <w:b w:val="0"/>
          <w:bCs w:val="0"/>
          <w:color w:val="auto"/>
          <w:spacing w:val="6"/>
          <w:sz w:val="28"/>
          <w:szCs w:val="28"/>
        </w:rPr>
        <w:t>中小企业声明函</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14:paraId="325EE890">
      <w:pPr>
        <w:widowControl/>
        <w:adjustRightInd w:val="0"/>
        <w:snapToGrid w:val="0"/>
        <w:spacing w:line="360" w:lineRule="auto"/>
        <w:jc w:val="center"/>
        <w:rPr>
          <w:rFonts w:ascii="宋体" w:hAnsi="宋体" w:cs="宋体"/>
          <w:b/>
          <w:color w:val="auto"/>
          <w:spacing w:val="6"/>
          <w:kern w:val="0"/>
          <w:szCs w:val="21"/>
        </w:rPr>
      </w:pPr>
      <w:r>
        <w:rPr>
          <w:rFonts w:hint="eastAsia" w:ascii="宋体" w:hAnsi="宋体" w:cs="宋体"/>
          <w:b/>
          <w:color w:val="auto"/>
          <w:spacing w:val="6"/>
          <w:kern w:val="0"/>
          <w:szCs w:val="21"/>
        </w:rPr>
        <w:t>(不满足以下条件的无需填写)</w:t>
      </w:r>
    </w:p>
    <w:p w14:paraId="6A04E390">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本公司（联合体）郑重声明，根据《政府采购促进中小企业发展管理办法》（财库﹝2020﹞46 号）的规定，本公司（联合体）参加</w:t>
      </w:r>
      <w:r>
        <w:rPr>
          <w:rFonts w:hint="eastAsia" w:ascii="宋体" w:hAnsi="宋体" w:cs="宋体"/>
          <w:color w:val="auto"/>
          <w:kern w:val="0"/>
          <w:szCs w:val="21"/>
          <w:u w:val="single"/>
        </w:rPr>
        <w:t>（单位名称）</w:t>
      </w:r>
      <w:r>
        <w:rPr>
          <w:rFonts w:hint="eastAsia" w:ascii="宋体" w:hAnsi="宋体" w:cs="宋体"/>
          <w:color w:val="auto"/>
          <w:kern w:val="0"/>
          <w:szCs w:val="21"/>
        </w:rPr>
        <w:t>的</w:t>
      </w:r>
      <w:r>
        <w:rPr>
          <w:rFonts w:hint="eastAsia" w:ascii="宋体" w:hAnsi="宋体" w:cs="宋体"/>
          <w:color w:val="auto"/>
          <w:kern w:val="0"/>
          <w:szCs w:val="21"/>
          <w:u w:val="single"/>
        </w:rPr>
        <w:t>（项目名称）</w:t>
      </w:r>
      <w:r>
        <w:rPr>
          <w:rFonts w:hint="eastAsia" w:ascii="宋体" w:hAnsi="宋体" w:cs="宋体"/>
          <w:color w:val="auto"/>
          <w:kern w:val="0"/>
          <w:szCs w:val="21"/>
        </w:rPr>
        <w:t xml:space="preserve">采购活动，提供的货物全部由符合政策要求的中小企业制造。相关企业（含联合体中的中小企业、签订分包意向协议的中小企业）的具体情况如下： </w:t>
      </w:r>
    </w:p>
    <w:p w14:paraId="40262A3A">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1. </w:t>
      </w:r>
      <w:r>
        <w:rPr>
          <w:rFonts w:hint="eastAsia" w:ascii="宋体" w:hAnsi="宋体" w:cs="宋体"/>
          <w:color w:val="auto"/>
          <w:kern w:val="0"/>
          <w:szCs w:val="21"/>
          <w:u w:val="single"/>
        </w:rPr>
        <w:t xml:space="preserve">（标的名称） </w:t>
      </w:r>
      <w:r>
        <w:rPr>
          <w:rFonts w:hint="eastAsia" w:ascii="宋体" w:hAnsi="宋体" w:cs="宋体"/>
          <w:color w:val="auto"/>
          <w:kern w:val="0"/>
          <w:szCs w:val="21"/>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Cs w:val="21"/>
        </w:rPr>
        <w:t>行业；制造商为</w:t>
      </w:r>
      <w:r>
        <w:rPr>
          <w:rFonts w:hint="eastAsia" w:ascii="宋体" w:hAnsi="宋体" w:cs="宋体"/>
          <w:color w:val="auto"/>
          <w:kern w:val="0"/>
          <w:szCs w:val="21"/>
          <w:u w:val="single"/>
        </w:rPr>
        <w:t>（企业名称）</w:t>
      </w:r>
      <w:r>
        <w:rPr>
          <w:rFonts w:hint="eastAsia" w:ascii="宋体" w:hAnsi="宋体" w:cs="宋体"/>
          <w:color w:val="auto"/>
          <w:kern w:val="0"/>
          <w:szCs w:val="21"/>
        </w:rPr>
        <w:t>，从业人员人，营业收入为万元，资产总额为万元，属于</w:t>
      </w:r>
      <w:r>
        <w:rPr>
          <w:rFonts w:hint="eastAsia" w:ascii="宋体" w:hAnsi="宋体" w:cs="宋体"/>
          <w:color w:val="auto"/>
          <w:kern w:val="0"/>
          <w:szCs w:val="21"/>
          <w:u w:val="single"/>
        </w:rPr>
        <w:t>（中型企业、小型企业、微型企业）</w:t>
      </w:r>
      <w:r>
        <w:rPr>
          <w:rFonts w:hint="eastAsia" w:ascii="宋体" w:hAnsi="宋体" w:cs="宋体"/>
          <w:color w:val="auto"/>
          <w:kern w:val="0"/>
          <w:szCs w:val="21"/>
        </w:rPr>
        <w:t xml:space="preserve">； </w:t>
      </w:r>
    </w:p>
    <w:p w14:paraId="36924E73">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2. </w:t>
      </w:r>
      <w:r>
        <w:rPr>
          <w:rFonts w:hint="eastAsia" w:ascii="宋体" w:hAnsi="宋体" w:cs="宋体"/>
          <w:color w:val="auto"/>
          <w:kern w:val="0"/>
          <w:szCs w:val="21"/>
          <w:u w:val="single"/>
        </w:rPr>
        <w:t xml:space="preserve">（标的名称） </w:t>
      </w:r>
      <w:r>
        <w:rPr>
          <w:rFonts w:hint="eastAsia" w:ascii="宋体" w:hAnsi="宋体" w:cs="宋体"/>
          <w:color w:val="auto"/>
          <w:kern w:val="0"/>
          <w:szCs w:val="21"/>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Cs w:val="21"/>
        </w:rPr>
        <w:t>行业；制造商为</w:t>
      </w:r>
      <w:r>
        <w:rPr>
          <w:rFonts w:hint="eastAsia" w:ascii="宋体" w:hAnsi="宋体" w:cs="宋体"/>
          <w:color w:val="auto"/>
          <w:kern w:val="0"/>
          <w:szCs w:val="21"/>
          <w:u w:val="single"/>
        </w:rPr>
        <w:t>（企业名称）</w:t>
      </w:r>
      <w:r>
        <w:rPr>
          <w:rFonts w:hint="eastAsia" w:ascii="宋体" w:hAnsi="宋体" w:cs="宋体"/>
          <w:color w:val="auto"/>
          <w:kern w:val="0"/>
          <w:szCs w:val="21"/>
        </w:rPr>
        <w:t>，从业人员人，营业收入为万元，资产总额为万元，属于</w:t>
      </w:r>
      <w:r>
        <w:rPr>
          <w:rFonts w:hint="eastAsia" w:ascii="宋体" w:hAnsi="宋体" w:cs="宋体"/>
          <w:color w:val="auto"/>
          <w:kern w:val="0"/>
          <w:szCs w:val="21"/>
          <w:u w:val="single"/>
        </w:rPr>
        <w:t>（中型企业、小型企业、微型企业）</w:t>
      </w:r>
      <w:r>
        <w:rPr>
          <w:rFonts w:hint="eastAsia" w:ascii="宋体" w:hAnsi="宋体" w:cs="宋体"/>
          <w:color w:val="auto"/>
          <w:kern w:val="0"/>
          <w:szCs w:val="21"/>
        </w:rPr>
        <w:t xml:space="preserve">；  </w:t>
      </w:r>
    </w:p>
    <w:p w14:paraId="4B080617">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w:t>
      </w:r>
    </w:p>
    <w:p w14:paraId="7FAAF119">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以上企业，不属于大企业的分支机构，不存在控股股东为大企业的情形，也不存在与大企业的负责人为同一人的情形。本企业对上述声明内容的真实性负责。如有虚假，将依法承担相应责任。 </w:t>
      </w:r>
    </w:p>
    <w:p w14:paraId="7DDDCC5F">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企业名称（盖章）： </w:t>
      </w:r>
    </w:p>
    <w:p w14:paraId="5A3E7F91">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日 期： </w:t>
      </w:r>
    </w:p>
    <w:p w14:paraId="2186C4F2">
      <w:pPr>
        <w:widowControl/>
        <w:ind w:firstLine="360" w:firstLineChars="200"/>
        <w:jc w:val="left"/>
        <w:rPr>
          <w:rFonts w:ascii="宋体" w:hAnsi="宋体" w:cs="宋体"/>
          <w:color w:val="auto"/>
          <w:kern w:val="0"/>
          <w:sz w:val="18"/>
          <w:szCs w:val="18"/>
        </w:rPr>
      </w:pPr>
    </w:p>
    <w:p w14:paraId="1122E91D">
      <w:pPr>
        <w:widowControl/>
        <w:ind w:firstLine="420" w:firstLineChars="200"/>
        <w:jc w:val="left"/>
        <w:rPr>
          <w:rFonts w:ascii="宋体" w:hAnsi="宋体" w:cs="宋体"/>
          <w:color w:val="auto"/>
          <w:kern w:val="0"/>
          <w:szCs w:val="21"/>
        </w:rPr>
      </w:pPr>
      <w:r>
        <w:rPr>
          <w:rFonts w:hint="eastAsia" w:ascii="宋体" w:hAnsi="宋体" w:cs="宋体"/>
          <w:color w:val="auto"/>
          <w:kern w:val="0"/>
          <w:szCs w:val="21"/>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cs="宋体"/>
          <w:b/>
          <w:bCs/>
          <w:color w:val="auto"/>
          <w:kern w:val="0"/>
          <w:szCs w:val="21"/>
        </w:rPr>
        <w:t>投标无效。</w:t>
      </w:r>
    </w:p>
    <w:p w14:paraId="1B2931A0">
      <w:pPr>
        <w:widowControl/>
        <w:adjustRightInd w:val="0"/>
        <w:snapToGrid w:val="0"/>
        <w:spacing w:line="360" w:lineRule="auto"/>
        <w:ind w:firstLine="420" w:firstLineChars="200"/>
        <w:jc w:val="left"/>
        <w:rPr>
          <w:rFonts w:ascii="宋体" w:hAnsi="宋体" w:cs="宋体"/>
          <w:color w:val="auto"/>
          <w:spacing w:val="6"/>
          <w:kern w:val="0"/>
          <w:szCs w:val="21"/>
          <w:u w:val="single"/>
        </w:rPr>
      </w:pPr>
      <w:r>
        <w:rPr>
          <w:rFonts w:hint="eastAsia" w:ascii="宋体" w:hAnsi="宋体" w:cs="宋体"/>
          <w:color w:val="auto"/>
          <w:kern w:val="0"/>
          <w:szCs w:val="21"/>
        </w:rPr>
        <w:t>2.从业人员、营业收入、资产总额填报上一年度数据，无上一年度数据的新成立企业可不填报。</w:t>
      </w:r>
    </w:p>
    <w:p w14:paraId="1053ADAC">
      <w:pPr>
        <w:rPr>
          <w:color w:val="auto"/>
        </w:rPr>
      </w:pPr>
    </w:p>
    <w:p w14:paraId="685EA009">
      <w:pPr>
        <w:pStyle w:val="5"/>
        <w:spacing w:before="0" w:line="240" w:lineRule="auto"/>
        <w:rPr>
          <w:rFonts w:ascii="黑体" w:hAnsi="宋体"/>
          <w:b w:val="0"/>
          <w:color w:val="auto"/>
          <w:spacing w:val="6"/>
          <w:sz w:val="21"/>
          <w:szCs w:val="21"/>
        </w:rPr>
      </w:pPr>
      <w:bookmarkStart w:id="1889" w:name="_Toc75289303"/>
      <w:bookmarkStart w:id="1890" w:name="_Toc15888553"/>
      <w:r>
        <w:rPr>
          <w:rFonts w:hint="eastAsia" w:ascii="黑体" w:hAnsi="华文中宋" w:cs="宋体"/>
          <w:b w:val="0"/>
          <w:bCs w:val="0"/>
          <w:color w:val="auto"/>
          <w:spacing w:val="6"/>
          <w:sz w:val="21"/>
          <w:szCs w:val="21"/>
        </w:rPr>
        <w:t xml:space="preserve">附件10-2 </w:t>
      </w:r>
      <w:r>
        <w:rPr>
          <w:rFonts w:hint="eastAsia" w:ascii="黑体" w:hAnsi="宋体"/>
          <w:b w:val="0"/>
          <w:color w:val="auto"/>
          <w:spacing w:val="6"/>
          <w:sz w:val="21"/>
          <w:szCs w:val="21"/>
        </w:rPr>
        <w:t>残疾人福利性单位声明函</w:t>
      </w:r>
      <w:bookmarkEnd w:id="1889"/>
      <w:bookmarkEnd w:id="1890"/>
    </w:p>
    <w:p w14:paraId="3978579B">
      <w:pPr>
        <w:pStyle w:val="4"/>
        <w:jc w:val="center"/>
        <w:rPr>
          <w:rFonts w:ascii="黑体" w:hAnsi="黑体" w:eastAsia="黑体"/>
          <w:b w:val="0"/>
          <w:color w:val="auto"/>
          <w:spacing w:val="6"/>
          <w:sz w:val="28"/>
          <w:szCs w:val="28"/>
        </w:rPr>
      </w:pPr>
      <w:bookmarkStart w:id="1891" w:name="_Toc117192519"/>
      <w:bookmarkStart w:id="1892" w:name="_Toc21061"/>
      <w:bookmarkStart w:id="1893" w:name="_Toc192949669"/>
      <w:bookmarkStart w:id="1894" w:name="_Toc114036783"/>
      <w:bookmarkStart w:id="1895" w:name="_Toc77199477"/>
      <w:bookmarkStart w:id="1896" w:name="_Toc100670498"/>
      <w:bookmarkStart w:id="1897" w:name="_Toc108342013"/>
      <w:bookmarkStart w:id="1898" w:name="_Toc171273738"/>
      <w:bookmarkStart w:id="1899" w:name="_Toc6680"/>
      <w:bookmarkStart w:id="1900" w:name="_Toc30176"/>
      <w:bookmarkStart w:id="1901" w:name="_Toc94367954"/>
      <w:bookmarkStart w:id="1902" w:name="_Toc8004"/>
      <w:bookmarkStart w:id="1903" w:name="_Toc4629"/>
      <w:bookmarkStart w:id="1904" w:name="_Toc192949768"/>
      <w:bookmarkStart w:id="1905" w:name="_Toc77676542"/>
      <w:bookmarkStart w:id="1906" w:name="_Toc75289623"/>
      <w:bookmarkStart w:id="1907" w:name="_Toc17284"/>
      <w:bookmarkStart w:id="1908" w:name="_Toc154428455"/>
      <w:bookmarkStart w:id="1909" w:name="_Toc100670746"/>
      <w:bookmarkStart w:id="1910" w:name="_Toc85973004"/>
      <w:bookmarkStart w:id="1911" w:name="_Toc78314338"/>
      <w:bookmarkStart w:id="1912" w:name="_Toc78450031"/>
      <w:bookmarkStart w:id="1913" w:name="_Toc192951279"/>
      <w:bookmarkStart w:id="1914" w:name="_Toc112705012"/>
      <w:bookmarkStart w:id="1915" w:name="_Toc24223"/>
      <w:bookmarkStart w:id="1916" w:name="_Toc95601439"/>
      <w:bookmarkStart w:id="1917" w:name="_Toc27619"/>
      <w:bookmarkStart w:id="1918" w:name="_Toc15516"/>
      <w:r>
        <w:rPr>
          <w:rFonts w:hint="eastAsia" w:ascii="黑体" w:hAnsi="黑体" w:eastAsia="黑体"/>
          <w:b w:val="0"/>
          <w:color w:val="auto"/>
          <w:spacing w:val="6"/>
          <w:sz w:val="28"/>
          <w:szCs w:val="28"/>
        </w:rPr>
        <w:t>残疾人福利性单位声明函</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14:paraId="6B00D630">
      <w:pPr>
        <w:adjustRightInd w:val="0"/>
        <w:snapToGrid w:val="0"/>
        <w:spacing w:line="360" w:lineRule="auto"/>
        <w:jc w:val="center"/>
        <w:rPr>
          <w:rFonts w:ascii="宋体" w:hAnsi="宋体"/>
          <w:b/>
          <w:color w:val="auto"/>
          <w:spacing w:val="6"/>
          <w:szCs w:val="21"/>
        </w:rPr>
      </w:pPr>
    </w:p>
    <w:p w14:paraId="5D650E4C">
      <w:pPr>
        <w:adjustRightInd w:val="0"/>
        <w:snapToGrid w:val="0"/>
        <w:spacing w:line="360" w:lineRule="auto"/>
        <w:ind w:firstLine="444" w:firstLineChars="200"/>
        <w:rPr>
          <w:rFonts w:ascii="宋体" w:hAnsi="宋体"/>
          <w:color w:val="auto"/>
          <w:spacing w:val="6"/>
          <w:szCs w:val="21"/>
        </w:rPr>
      </w:pPr>
    </w:p>
    <w:p w14:paraId="4086084F">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本单位郑重声明，根据《财政部民政部中国残疾人联合会关于促进残疾人就业政府采购政策的通知》（财库</w:t>
      </w:r>
      <w:r>
        <w:rPr>
          <w:rFonts w:hint="eastAsia" w:ascii="宋体" w:hAnsi="宋体"/>
          <w:color w:val="auto"/>
          <w:szCs w:val="21"/>
        </w:rPr>
        <w:t>〔2017〕141</w:t>
      </w:r>
      <w:r>
        <w:rPr>
          <w:rFonts w:hint="eastAsia" w:ascii="宋体" w:hAnsi="宋体"/>
          <w:color w:val="auto"/>
          <w:spacing w:val="6"/>
          <w:szCs w:val="21"/>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C515D5C">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本单位对上述声明的真实性负责。如有虚假，将依法承担相应责任。</w:t>
      </w:r>
    </w:p>
    <w:p w14:paraId="007B8F90">
      <w:pPr>
        <w:adjustRightInd w:val="0"/>
        <w:snapToGrid w:val="0"/>
        <w:spacing w:line="360" w:lineRule="auto"/>
        <w:ind w:firstLine="444" w:firstLineChars="200"/>
        <w:rPr>
          <w:rFonts w:ascii="宋体" w:hAnsi="宋体"/>
          <w:color w:val="auto"/>
          <w:spacing w:val="6"/>
          <w:szCs w:val="21"/>
        </w:rPr>
      </w:pPr>
    </w:p>
    <w:p w14:paraId="555B2657">
      <w:pPr>
        <w:adjustRightInd w:val="0"/>
        <w:snapToGrid w:val="0"/>
        <w:spacing w:line="360" w:lineRule="auto"/>
        <w:ind w:firstLine="444" w:firstLineChars="200"/>
        <w:rPr>
          <w:rFonts w:ascii="宋体" w:hAnsi="宋体"/>
          <w:color w:val="auto"/>
          <w:spacing w:val="6"/>
          <w:szCs w:val="21"/>
        </w:rPr>
      </w:pPr>
    </w:p>
    <w:p w14:paraId="6937CAB7">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单位名称（盖章）：</w:t>
      </w:r>
    </w:p>
    <w:p w14:paraId="20FFBA47">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日  期：</w:t>
      </w:r>
    </w:p>
    <w:p w14:paraId="58FA3105">
      <w:pPr>
        <w:widowControl/>
        <w:adjustRightInd w:val="0"/>
        <w:snapToGrid w:val="0"/>
        <w:spacing w:line="360" w:lineRule="auto"/>
        <w:jc w:val="left"/>
        <w:rPr>
          <w:rFonts w:ascii="宋体" w:hAnsi="宋体" w:cs="宋体"/>
          <w:color w:val="auto"/>
          <w:kern w:val="0"/>
          <w:szCs w:val="21"/>
        </w:rPr>
      </w:pPr>
    </w:p>
    <w:p w14:paraId="1E496258">
      <w:pPr>
        <w:widowControl/>
        <w:adjustRightInd w:val="0"/>
        <w:snapToGrid w:val="0"/>
        <w:spacing w:line="360" w:lineRule="auto"/>
        <w:rPr>
          <w:rFonts w:ascii="黑体" w:hAnsi="宋体" w:eastAsia="黑体" w:cs="宋体"/>
          <w:color w:val="auto"/>
          <w:kern w:val="0"/>
          <w:szCs w:val="21"/>
        </w:rPr>
      </w:pPr>
    </w:p>
    <w:p w14:paraId="4E20FBD4">
      <w:pPr>
        <w:widowControl/>
        <w:adjustRightInd w:val="0"/>
        <w:snapToGrid w:val="0"/>
        <w:spacing w:line="360" w:lineRule="auto"/>
        <w:rPr>
          <w:rFonts w:ascii="黑体" w:hAnsi="宋体" w:eastAsia="黑体" w:cs="宋体"/>
          <w:color w:val="auto"/>
          <w:kern w:val="0"/>
          <w:szCs w:val="21"/>
        </w:rPr>
      </w:pPr>
    </w:p>
    <w:p w14:paraId="0B3D168C">
      <w:pPr>
        <w:pStyle w:val="102"/>
        <w:ind w:firstLine="400"/>
        <w:rPr>
          <w:color w:val="auto"/>
        </w:rPr>
      </w:pPr>
    </w:p>
    <w:p w14:paraId="7C76BE9C">
      <w:pPr>
        <w:widowControl/>
        <w:jc w:val="left"/>
        <w:rPr>
          <w:rFonts w:ascii="黑体" w:hAnsi="宋体" w:eastAsia="黑体" w:cs="宋体"/>
          <w:bCs/>
          <w:color w:val="auto"/>
          <w:kern w:val="0"/>
          <w:szCs w:val="21"/>
        </w:rPr>
      </w:pPr>
      <w:bookmarkStart w:id="1919" w:name="_Toc75289304"/>
      <w:bookmarkStart w:id="1920" w:name="_Toc15888554"/>
      <w:r>
        <w:rPr>
          <w:rFonts w:ascii="黑体" w:hAnsi="宋体" w:cs="宋体"/>
          <w:b/>
          <w:color w:val="auto"/>
          <w:szCs w:val="21"/>
        </w:rPr>
        <w:br w:type="page"/>
      </w:r>
    </w:p>
    <w:p w14:paraId="3EFDCB0F">
      <w:pPr>
        <w:pStyle w:val="5"/>
        <w:rPr>
          <w:rFonts w:ascii="黑体" w:hAnsi="宋体"/>
          <w:b w:val="0"/>
          <w:color w:val="auto"/>
          <w:sz w:val="21"/>
          <w:szCs w:val="21"/>
        </w:rPr>
      </w:pPr>
      <w:r>
        <w:rPr>
          <w:rFonts w:hint="eastAsia" w:ascii="黑体" w:hAnsi="宋体" w:cs="宋体"/>
          <w:b w:val="0"/>
          <w:color w:val="auto"/>
          <w:sz w:val="21"/>
          <w:szCs w:val="21"/>
        </w:rPr>
        <w:t xml:space="preserve">附件10-3 </w:t>
      </w:r>
      <w:r>
        <w:rPr>
          <w:rFonts w:hint="eastAsia" w:ascii="黑体" w:hAnsi="宋体"/>
          <w:b w:val="0"/>
          <w:color w:val="auto"/>
          <w:sz w:val="21"/>
          <w:szCs w:val="21"/>
        </w:rPr>
        <w:t>监狱企业证明资料</w:t>
      </w:r>
      <w:bookmarkEnd w:id="1919"/>
      <w:bookmarkEnd w:id="1920"/>
    </w:p>
    <w:p w14:paraId="1D11D034">
      <w:pPr>
        <w:pStyle w:val="4"/>
        <w:jc w:val="center"/>
        <w:rPr>
          <w:rFonts w:ascii="黑体" w:hAnsi="宋体"/>
          <w:b w:val="0"/>
          <w:color w:val="auto"/>
          <w:sz w:val="28"/>
          <w:szCs w:val="28"/>
        </w:rPr>
      </w:pPr>
      <w:bookmarkStart w:id="1921" w:name="_Toc85973005"/>
      <w:bookmarkStart w:id="1922" w:name="_Toc21290"/>
      <w:bookmarkStart w:id="1923" w:name="_Toc19840"/>
      <w:bookmarkStart w:id="1924" w:name="_Toc94367955"/>
      <w:bookmarkStart w:id="1925" w:name="_Toc154428456"/>
      <w:bookmarkStart w:id="1926" w:name="_Toc108342014"/>
      <w:bookmarkStart w:id="1927" w:name="_Toc21939"/>
      <w:bookmarkStart w:id="1928" w:name="_Toc5206"/>
      <w:bookmarkStart w:id="1929" w:name="_Toc16888"/>
      <w:bookmarkStart w:id="1930" w:name="_Toc15939"/>
      <w:bookmarkStart w:id="1931" w:name="_Toc6536"/>
      <w:bookmarkStart w:id="1932" w:name="_Toc77199478"/>
      <w:bookmarkStart w:id="1933" w:name="_Toc78450032"/>
      <w:bookmarkStart w:id="1934" w:name="_Toc793"/>
      <w:bookmarkStart w:id="1935" w:name="_Toc171273739"/>
      <w:bookmarkStart w:id="1936" w:name="_Toc114036784"/>
      <w:bookmarkStart w:id="1937" w:name="_Toc95601440"/>
      <w:bookmarkStart w:id="1938" w:name="_Toc78314339"/>
      <w:bookmarkStart w:id="1939" w:name="_Toc117192520"/>
      <w:bookmarkStart w:id="1940" w:name="_Toc100670747"/>
      <w:bookmarkStart w:id="1941" w:name="_Toc75289624"/>
      <w:bookmarkStart w:id="1942" w:name="_Toc192951280"/>
      <w:bookmarkStart w:id="1943" w:name="_Toc19504"/>
      <w:bookmarkStart w:id="1944" w:name="_Toc192949769"/>
      <w:bookmarkStart w:id="1945" w:name="_Toc100670499"/>
      <w:bookmarkStart w:id="1946" w:name="_Toc192949670"/>
      <w:bookmarkStart w:id="1947" w:name="_Toc112705013"/>
      <w:bookmarkStart w:id="1948" w:name="_Toc77676543"/>
      <w:r>
        <w:rPr>
          <w:rFonts w:hint="eastAsia" w:ascii="黑体" w:hAnsi="宋体"/>
          <w:b w:val="0"/>
          <w:color w:val="auto"/>
          <w:sz w:val="28"/>
          <w:szCs w:val="28"/>
        </w:rPr>
        <w:t>监狱企业证明资料</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14:paraId="5C9E6A4D">
      <w:pPr>
        <w:adjustRightInd w:val="0"/>
        <w:snapToGrid w:val="0"/>
        <w:spacing w:line="360" w:lineRule="auto"/>
        <w:jc w:val="center"/>
        <w:rPr>
          <w:rFonts w:ascii="宋体" w:hAnsi="宋体"/>
          <w:b/>
          <w:color w:val="auto"/>
          <w:spacing w:val="6"/>
          <w:szCs w:val="21"/>
        </w:rPr>
      </w:pPr>
    </w:p>
    <w:p w14:paraId="7F74E98C">
      <w:pPr>
        <w:adjustRightInd w:val="0"/>
        <w:snapToGrid w:val="0"/>
        <w:spacing w:line="360" w:lineRule="auto"/>
        <w:rPr>
          <w:rFonts w:ascii="宋体" w:hAnsi="宋体"/>
          <w:color w:val="auto"/>
          <w:szCs w:val="21"/>
        </w:rPr>
      </w:pPr>
    </w:p>
    <w:p w14:paraId="4521C0A9">
      <w:pPr>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注</w:t>
      </w:r>
      <w:r>
        <w:rPr>
          <w:rFonts w:hint="eastAsia" w:ascii="宋体" w:hAnsi="宋体" w:cs="宋体"/>
          <w:bCs/>
          <w:color w:val="auto"/>
          <w:spacing w:val="6"/>
          <w:kern w:val="0"/>
          <w:szCs w:val="21"/>
        </w:rPr>
        <w:t>：</w:t>
      </w:r>
      <w:r>
        <w:rPr>
          <w:rFonts w:hint="eastAsia" w:ascii="宋体" w:hAnsi="宋体"/>
          <w:color w:val="auto"/>
          <w:szCs w:val="21"/>
        </w:rPr>
        <w:t>按</w:t>
      </w:r>
      <w:r>
        <w:rPr>
          <w:rFonts w:hint="eastAsia" w:ascii="宋体" w:hAnsi="宋体"/>
          <w:color w:val="auto"/>
          <w:spacing w:val="6"/>
          <w:szCs w:val="21"/>
        </w:rPr>
        <w:t>《</w:t>
      </w:r>
      <w:r>
        <w:rPr>
          <w:rFonts w:hint="eastAsia" w:ascii="宋体" w:hAnsi="宋体"/>
          <w:color w:val="auto"/>
          <w:szCs w:val="21"/>
        </w:rPr>
        <w:t>财政部司法部关于政府采购支持监狱企业发展有关问题的通知</w:t>
      </w:r>
      <w:r>
        <w:rPr>
          <w:rFonts w:hint="eastAsia" w:ascii="宋体" w:hAnsi="宋体"/>
          <w:color w:val="auto"/>
          <w:spacing w:val="6"/>
          <w:szCs w:val="21"/>
        </w:rPr>
        <w:t>》</w:t>
      </w:r>
      <w:r>
        <w:rPr>
          <w:rFonts w:hint="eastAsia" w:ascii="宋体" w:hAnsi="宋体"/>
          <w:color w:val="auto"/>
          <w:szCs w:val="21"/>
        </w:rPr>
        <w:t>(财库〔2014〕68号)文件规定提供证明文件。</w:t>
      </w:r>
    </w:p>
    <w:p w14:paraId="4B23E6D1">
      <w:pPr>
        <w:adjustRightInd w:val="0"/>
        <w:snapToGrid w:val="0"/>
        <w:spacing w:line="360" w:lineRule="auto"/>
        <w:rPr>
          <w:rFonts w:ascii="黑体" w:hAnsi="华文中宋" w:eastAsia="黑体" w:cs="宋体"/>
          <w:bCs/>
          <w:color w:val="auto"/>
          <w:spacing w:val="6"/>
          <w:kern w:val="0"/>
          <w:szCs w:val="21"/>
        </w:rPr>
      </w:pPr>
      <w:r>
        <w:rPr>
          <w:rFonts w:ascii="黑体" w:hAnsi="华文中宋" w:eastAsia="黑体" w:cs="宋体"/>
          <w:bCs/>
          <w:color w:val="auto"/>
          <w:spacing w:val="6"/>
          <w:kern w:val="0"/>
          <w:szCs w:val="21"/>
        </w:rPr>
        <w:br w:type="page"/>
      </w:r>
    </w:p>
    <w:p w14:paraId="1CB85870">
      <w:pPr>
        <w:pStyle w:val="5"/>
        <w:spacing w:before="0" w:line="240" w:lineRule="auto"/>
        <w:rPr>
          <w:rFonts w:ascii="黑体" w:hAnsi="宋体"/>
          <w:b w:val="0"/>
          <w:color w:val="auto"/>
          <w:sz w:val="21"/>
          <w:szCs w:val="21"/>
        </w:rPr>
      </w:pPr>
      <w:bookmarkStart w:id="1949" w:name="_Toc75289305"/>
      <w:bookmarkStart w:id="1950" w:name="_Toc15888555"/>
      <w:r>
        <w:rPr>
          <w:rFonts w:hint="eastAsia" w:ascii="黑体" w:hAnsi="华文中宋" w:cs="宋体"/>
          <w:b w:val="0"/>
          <w:bCs w:val="0"/>
          <w:color w:val="auto"/>
          <w:spacing w:val="6"/>
          <w:sz w:val="21"/>
          <w:szCs w:val="21"/>
        </w:rPr>
        <w:t>附件10-4</w:t>
      </w:r>
      <w:r>
        <w:rPr>
          <w:rFonts w:hint="eastAsia" w:ascii="黑体" w:hAnsi="宋体"/>
          <w:b w:val="0"/>
          <w:bCs w:val="0"/>
          <w:color w:val="auto"/>
          <w:sz w:val="21"/>
          <w:szCs w:val="21"/>
        </w:rPr>
        <w:t>强制采购或者优先采购产品的证明材料</w:t>
      </w:r>
      <w:bookmarkEnd w:id="1949"/>
      <w:bookmarkEnd w:id="1950"/>
    </w:p>
    <w:p w14:paraId="490E56BB">
      <w:pPr>
        <w:pStyle w:val="4"/>
        <w:jc w:val="center"/>
        <w:rPr>
          <w:rFonts w:ascii="黑体" w:hAnsi="黑体" w:eastAsia="黑体"/>
          <w:b w:val="0"/>
          <w:color w:val="auto"/>
          <w:sz w:val="28"/>
          <w:szCs w:val="28"/>
        </w:rPr>
      </w:pPr>
      <w:bookmarkStart w:id="1951" w:name="_Toc100670748"/>
      <w:bookmarkStart w:id="1952" w:name="_Toc78314340"/>
      <w:bookmarkStart w:id="1953" w:name="_Toc77199479"/>
      <w:bookmarkStart w:id="1954" w:name="_Toc14682"/>
      <w:bookmarkStart w:id="1955" w:name="_Toc28552"/>
      <w:bookmarkStart w:id="1956" w:name="_Toc22255"/>
      <w:bookmarkStart w:id="1957" w:name="_Toc10494"/>
      <w:bookmarkStart w:id="1958" w:name="_Toc11397"/>
      <w:bookmarkStart w:id="1959" w:name="_Toc112705014"/>
      <w:bookmarkStart w:id="1960" w:name="_Toc192951281"/>
      <w:bookmarkStart w:id="1961" w:name="_Toc11794"/>
      <w:bookmarkStart w:id="1962" w:name="_Toc171273740"/>
      <w:bookmarkStart w:id="1963" w:name="_Toc100670500"/>
      <w:bookmarkStart w:id="1964" w:name="_Toc75289625"/>
      <w:bookmarkStart w:id="1965" w:name="_Toc95601441"/>
      <w:bookmarkStart w:id="1966" w:name="_Toc114036785"/>
      <w:bookmarkStart w:id="1967" w:name="_Toc117192521"/>
      <w:bookmarkStart w:id="1968" w:name="_Toc192949671"/>
      <w:bookmarkStart w:id="1969" w:name="_Toc154428457"/>
      <w:bookmarkStart w:id="1970" w:name="_Toc85973006"/>
      <w:bookmarkStart w:id="1971" w:name="_Toc77676544"/>
      <w:bookmarkStart w:id="1972" w:name="_Toc28241"/>
      <w:bookmarkStart w:id="1973" w:name="_Toc27581"/>
      <w:bookmarkStart w:id="1974" w:name="_Toc108342015"/>
      <w:bookmarkStart w:id="1975" w:name="_Toc94367956"/>
      <w:bookmarkStart w:id="1976" w:name="_Toc78450033"/>
      <w:bookmarkStart w:id="1977" w:name="_Toc192949770"/>
      <w:bookmarkStart w:id="1978" w:name="_Toc19750"/>
      <w:r>
        <w:rPr>
          <w:rFonts w:hint="eastAsia" w:ascii="黑体" w:hAnsi="黑体" w:eastAsia="黑体"/>
          <w:b w:val="0"/>
          <w:color w:val="auto"/>
          <w:sz w:val="28"/>
          <w:szCs w:val="28"/>
        </w:rPr>
        <w:t>强制采购或者优先采购产品</w:t>
      </w:r>
      <w:r>
        <w:rPr>
          <w:rFonts w:hint="eastAsia" w:ascii="黑体" w:hAnsi="黑体" w:eastAsia="黑体"/>
          <w:b w:val="0"/>
          <w:bCs w:val="0"/>
          <w:color w:val="auto"/>
          <w:sz w:val="28"/>
          <w:szCs w:val="28"/>
        </w:rPr>
        <w:t>的</w:t>
      </w:r>
      <w:r>
        <w:rPr>
          <w:rFonts w:hint="eastAsia" w:ascii="黑体" w:hAnsi="黑体" w:eastAsia="黑体"/>
          <w:b w:val="0"/>
          <w:color w:val="auto"/>
          <w:sz w:val="28"/>
          <w:szCs w:val="28"/>
        </w:rPr>
        <w:t>证明材料</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14:paraId="5AE492E8">
      <w:pPr>
        <w:adjustRightInd w:val="0"/>
        <w:snapToGrid w:val="0"/>
        <w:spacing w:line="360" w:lineRule="auto"/>
        <w:jc w:val="center"/>
        <w:rPr>
          <w:rFonts w:ascii="宋体" w:hAnsi="宋体"/>
          <w:b/>
          <w:color w:val="auto"/>
          <w:spacing w:val="6"/>
          <w:szCs w:val="21"/>
        </w:rPr>
      </w:pPr>
      <w:r>
        <w:rPr>
          <w:rFonts w:hint="eastAsia" w:ascii="宋体" w:hAnsi="宋体"/>
          <w:b/>
          <w:color w:val="auto"/>
          <w:spacing w:val="6"/>
          <w:szCs w:val="21"/>
        </w:rPr>
        <w:t>(不属于强制采购或者优先采购产品的无需提供)</w:t>
      </w:r>
    </w:p>
    <w:p w14:paraId="110DB4B2">
      <w:pPr>
        <w:adjustRightInd w:val="0"/>
        <w:snapToGrid w:val="0"/>
        <w:spacing w:line="360" w:lineRule="auto"/>
        <w:ind w:firstLine="420" w:firstLineChars="200"/>
        <w:jc w:val="left"/>
        <w:rPr>
          <w:rFonts w:ascii="宋体" w:hAnsi="宋体"/>
          <w:color w:val="auto"/>
          <w:szCs w:val="21"/>
        </w:rPr>
      </w:pPr>
    </w:p>
    <w:p w14:paraId="0EAF5AE5">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注：投标人提供的产品</w:t>
      </w:r>
      <w:r>
        <w:rPr>
          <w:rFonts w:hint="eastAsia" w:ascii="宋体" w:hAnsi="宋体"/>
          <w:bCs/>
          <w:color w:val="auto"/>
          <w:szCs w:val="21"/>
        </w:rPr>
        <w:t>属于强制采购或者优先采购的</w:t>
      </w:r>
      <w:r>
        <w:rPr>
          <w:rFonts w:hint="eastAsia" w:ascii="宋体" w:hAnsi="宋体"/>
          <w:color w:val="auto"/>
          <w:szCs w:val="21"/>
        </w:rPr>
        <w:t>，应按第二章第33.6款规定提供证明材料和本章本节附页1“优先采购产品清单”，并加盖投标人单位章。</w:t>
      </w:r>
    </w:p>
    <w:p w14:paraId="134C1FFC">
      <w:pPr>
        <w:adjustRightInd w:val="0"/>
        <w:snapToGrid w:val="0"/>
        <w:spacing w:line="360" w:lineRule="auto"/>
        <w:ind w:firstLine="420" w:firstLineChars="200"/>
        <w:jc w:val="left"/>
        <w:rPr>
          <w:rFonts w:ascii="宋体" w:hAnsi="宋体"/>
          <w:color w:val="auto"/>
          <w:szCs w:val="21"/>
        </w:rPr>
      </w:pPr>
    </w:p>
    <w:p w14:paraId="2C9B423C">
      <w:pPr>
        <w:widowControl/>
        <w:jc w:val="left"/>
        <w:rPr>
          <w:rFonts w:ascii="黑体" w:hAnsi="宋体" w:eastAsia="黑体"/>
          <w:bCs/>
          <w:color w:val="auto"/>
          <w:kern w:val="0"/>
          <w:sz w:val="28"/>
          <w:szCs w:val="28"/>
        </w:rPr>
      </w:pPr>
      <w:r>
        <w:rPr>
          <w:rFonts w:ascii="黑体" w:hAnsi="宋体"/>
          <w:b/>
          <w:color w:val="auto"/>
        </w:rPr>
        <w:br w:type="page"/>
      </w:r>
    </w:p>
    <w:p w14:paraId="14FBA6E9">
      <w:pPr>
        <w:pStyle w:val="5"/>
        <w:spacing w:before="0"/>
        <w:jc w:val="left"/>
        <w:rPr>
          <w:rFonts w:ascii="黑体" w:hAnsi="宋体"/>
          <w:b w:val="0"/>
          <w:color w:val="auto"/>
          <w:sz w:val="21"/>
          <w:szCs w:val="21"/>
        </w:rPr>
      </w:pPr>
      <w:bookmarkStart w:id="1979" w:name="_Toc32718"/>
      <w:r>
        <w:rPr>
          <w:rFonts w:hint="eastAsia" w:ascii="黑体" w:hAnsi="华文中宋" w:cs="宋体"/>
          <w:b w:val="0"/>
          <w:bCs w:val="0"/>
          <w:color w:val="auto"/>
          <w:spacing w:val="6"/>
          <w:sz w:val="21"/>
          <w:szCs w:val="21"/>
        </w:rPr>
        <w:t xml:space="preserve">附页 1 </w:t>
      </w:r>
      <w:r>
        <w:rPr>
          <w:rFonts w:hint="eastAsia" w:ascii="黑体" w:hAnsi="宋体"/>
          <w:b w:val="0"/>
          <w:color w:val="auto"/>
          <w:sz w:val="21"/>
          <w:szCs w:val="21"/>
        </w:rPr>
        <w:t>优先采购产品清单</w:t>
      </w:r>
      <w:bookmarkEnd w:id="1979"/>
    </w:p>
    <w:p w14:paraId="7DD76D66">
      <w:pPr>
        <w:adjustRightInd w:val="0"/>
        <w:snapToGrid w:val="0"/>
        <w:spacing w:line="360" w:lineRule="auto"/>
        <w:jc w:val="center"/>
        <w:rPr>
          <w:rFonts w:ascii="宋体" w:hAnsi="宋体"/>
          <w:b/>
          <w:color w:val="auto"/>
          <w:spacing w:val="6"/>
          <w:szCs w:val="21"/>
        </w:rPr>
      </w:pPr>
      <w:r>
        <w:rPr>
          <w:rFonts w:hint="eastAsia" w:ascii="黑体" w:hAnsi="宋体" w:eastAsia="黑体"/>
          <w:b/>
          <w:color w:val="auto"/>
          <w:sz w:val="28"/>
          <w:szCs w:val="28"/>
        </w:rPr>
        <w:t>优先采购产品清单</w:t>
      </w:r>
    </w:p>
    <w:p w14:paraId="5BBA86AC">
      <w:pPr>
        <w:adjustRightInd w:val="0"/>
        <w:snapToGrid w:val="0"/>
        <w:spacing w:line="360" w:lineRule="auto"/>
        <w:rPr>
          <w:rFonts w:ascii="宋体" w:hAnsi="宋体"/>
          <w:color w:val="auto"/>
          <w:szCs w:val="21"/>
        </w:rPr>
      </w:pPr>
      <w:r>
        <w:rPr>
          <w:rFonts w:hint="eastAsia" w:ascii="宋体" w:hAnsi="宋体"/>
          <w:color w:val="auto"/>
          <w:szCs w:val="21"/>
        </w:rPr>
        <w:t>政府采购计划编号：                         项目名称：</w:t>
      </w:r>
    </w:p>
    <w:p w14:paraId="6FF2B40F">
      <w:pPr>
        <w:adjustRightInd w:val="0"/>
        <w:snapToGrid w:val="0"/>
        <w:spacing w:line="360" w:lineRule="auto"/>
        <w:rPr>
          <w:rFonts w:ascii="宋体" w:hAnsi="宋体"/>
          <w:color w:val="auto"/>
          <w:szCs w:val="21"/>
        </w:rPr>
      </w:pPr>
      <w:r>
        <w:rPr>
          <w:rFonts w:hint="eastAsia" w:ascii="宋体" w:hAnsi="宋体"/>
          <w:color w:val="auto"/>
          <w:szCs w:val="21"/>
        </w:rPr>
        <w:t>包       号：                              包名称：</w:t>
      </w:r>
    </w:p>
    <w:tbl>
      <w:tblPr>
        <w:tblStyle w:val="47"/>
        <w:tblW w:w="8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7"/>
        <w:gridCol w:w="1729"/>
        <w:gridCol w:w="1127"/>
        <w:gridCol w:w="1410"/>
        <w:gridCol w:w="1972"/>
        <w:gridCol w:w="1835"/>
      </w:tblGrid>
      <w:tr w14:paraId="3B20EE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8740" w:type="dxa"/>
            <w:gridSpan w:val="6"/>
            <w:vAlign w:val="center"/>
          </w:tcPr>
          <w:p w14:paraId="76BE689D">
            <w:pPr>
              <w:widowControl/>
              <w:adjustRightInd w:val="0"/>
              <w:snapToGrid w:val="0"/>
              <w:spacing w:line="360" w:lineRule="auto"/>
              <w:ind w:firstLine="480" w:firstLineChars="200"/>
              <w:jc w:val="left"/>
              <w:rPr>
                <w:rFonts w:ascii="黑体" w:hAnsi="黑体" w:eastAsia="黑体"/>
                <w:color w:val="auto"/>
                <w:kern w:val="0"/>
                <w:sz w:val="24"/>
              </w:rPr>
            </w:pPr>
            <w:r>
              <w:rPr>
                <w:rFonts w:hint="eastAsia" w:ascii="黑体" w:hAnsi="宋体" w:eastAsia="黑体"/>
                <w:color w:val="auto"/>
                <w:kern w:val="0"/>
                <w:sz w:val="24"/>
              </w:rPr>
              <w:t>以下为投标人提供的政府采购优先采购产品，投标人对本表的真实性负责。如有虚假，将依法承担相应责任。</w:t>
            </w:r>
          </w:p>
        </w:tc>
      </w:tr>
      <w:tr w14:paraId="5D1C8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667" w:type="dxa"/>
            <w:vAlign w:val="center"/>
          </w:tcPr>
          <w:p w14:paraId="1EAE608B">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1</w:t>
            </w:r>
          </w:p>
        </w:tc>
        <w:tc>
          <w:tcPr>
            <w:tcW w:w="1729" w:type="dxa"/>
            <w:vAlign w:val="center"/>
          </w:tcPr>
          <w:p w14:paraId="3A6C2BF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2</w:t>
            </w:r>
          </w:p>
        </w:tc>
        <w:tc>
          <w:tcPr>
            <w:tcW w:w="1127" w:type="dxa"/>
            <w:tcBorders>
              <w:right w:val="single" w:color="auto" w:sz="4" w:space="0"/>
            </w:tcBorders>
            <w:vAlign w:val="center"/>
          </w:tcPr>
          <w:p w14:paraId="20B2598C">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3</w:t>
            </w:r>
          </w:p>
        </w:tc>
        <w:tc>
          <w:tcPr>
            <w:tcW w:w="1410" w:type="dxa"/>
            <w:tcBorders>
              <w:left w:val="single" w:color="auto" w:sz="4" w:space="0"/>
            </w:tcBorders>
            <w:vAlign w:val="center"/>
          </w:tcPr>
          <w:p w14:paraId="6261DA17">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4</w:t>
            </w:r>
          </w:p>
        </w:tc>
        <w:tc>
          <w:tcPr>
            <w:tcW w:w="1972" w:type="dxa"/>
            <w:vAlign w:val="center"/>
          </w:tcPr>
          <w:p w14:paraId="3B2574F5">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5</w:t>
            </w:r>
          </w:p>
        </w:tc>
        <w:tc>
          <w:tcPr>
            <w:tcW w:w="1835" w:type="dxa"/>
            <w:vAlign w:val="center"/>
          </w:tcPr>
          <w:p w14:paraId="693B7F7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6</w:t>
            </w:r>
          </w:p>
        </w:tc>
      </w:tr>
      <w:tr w14:paraId="7DBEDC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667" w:type="dxa"/>
            <w:vAlign w:val="center"/>
          </w:tcPr>
          <w:p w14:paraId="6ADF609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序号</w:t>
            </w:r>
          </w:p>
        </w:tc>
        <w:tc>
          <w:tcPr>
            <w:tcW w:w="1729" w:type="dxa"/>
            <w:vAlign w:val="center"/>
          </w:tcPr>
          <w:p w14:paraId="1E7EBED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货物名称</w:t>
            </w:r>
          </w:p>
        </w:tc>
        <w:tc>
          <w:tcPr>
            <w:tcW w:w="1127" w:type="dxa"/>
            <w:tcBorders>
              <w:right w:val="single" w:color="auto" w:sz="4" w:space="0"/>
            </w:tcBorders>
            <w:vAlign w:val="center"/>
          </w:tcPr>
          <w:p w14:paraId="5AEF7EC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规格型号</w:t>
            </w:r>
          </w:p>
        </w:tc>
        <w:tc>
          <w:tcPr>
            <w:tcW w:w="1410" w:type="dxa"/>
            <w:tcBorders>
              <w:left w:val="single" w:color="auto" w:sz="4" w:space="0"/>
            </w:tcBorders>
            <w:vAlign w:val="center"/>
          </w:tcPr>
          <w:p w14:paraId="24E6CBF5">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价格（元）</w:t>
            </w:r>
          </w:p>
        </w:tc>
        <w:tc>
          <w:tcPr>
            <w:tcW w:w="1972" w:type="dxa"/>
            <w:vAlign w:val="center"/>
          </w:tcPr>
          <w:p w14:paraId="42FCCC4D">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货物制造商名称</w:t>
            </w:r>
          </w:p>
        </w:tc>
        <w:tc>
          <w:tcPr>
            <w:tcW w:w="1835" w:type="dxa"/>
            <w:vAlign w:val="center"/>
          </w:tcPr>
          <w:p w14:paraId="7F2DACFE">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政策功能编码</w:t>
            </w:r>
          </w:p>
        </w:tc>
      </w:tr>
      <w:tr w14:paraId="395A42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26A9233D">
            <w:pPr>
              <w:adjustRightInd w:val="0"/>
              <w:snapToGrid w:val="0"/>
              <w:spacing w:line="360" w:lineRule="auto"/>
              <w:jc w:val="left"/>
              <w:rPr>
                <w:rFonts w:ascii="宋体" w:hAnsi="宋体"/>
                <w:b/>
                <w:color w:val="auto"/>
                <w:szCs w:val="21"/>
              </w:rPr>
            </w:pPr>
            <w:r>
              <w:rPr>
                <w:rFonts w:hint="eastAsia" w:ascii="宋体" w:hAnsi="宋体"/>
                <w:b/>
                <w:color w:val="auto"/>
                <w:szCs w:val="21"/>
              </w:rPr>
              <w:t>节能产品</w:t>
            </w:r>
          </w:p>
        </w:tc>
      </w:tr>
      <w:tr w14:paraId="2A1CBE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0F09720C">
            <w:pPr>
              <w:adjustRightInd w:val="0"/>
              <w:snapToGrid w:val="0"/>
              <w:spacing w:line="360" w:lineRule="auto"/>
              <w:jc w:val="center"/>
              <w:rPr>
                <w:rFonts w:ascii="宋体" w:hAnsi="宋体"/>
                <w:b/>
                <w:color w:val="auto"/>
                <w:szCs w:val="21"/>
              </w:rPr>
            </w:pPr>
          </w:p>
        </w:tc>
        <w:tc>
          <w:tcPr>
            <w:tcW w:w="1729" w:type="dxa"/>
            <w:vAlign w:val="center"/>
          </w:tcPr>
          <w:p w14:paraId="061AA849">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371A43E7">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1740FA7B">
            <w:pPr>
              <w:adjustRightInd w:val="0"/>
              <w:snapToGrid w:val="0"/>
              <w:spacing w:line="360" w:lineRule="auto"/>
              <w:jc w:val="left"/>
              <w:rPr>
                <w:rFonts w:ascii="宋体" w:hAnsi="宋体"/>
                <w:b/>
                <w:color w:val="auto"/>
                <w:szCs w:val="21"/>
              </w:rPr>
            </w:pPr>
          </w:p>
        </w:tc>
        <w:tc>
          <w:tcPr>
            <w:tcW w:w="1972" w:type="dxa"/>
            <w:vAlign w:val="center"/>
          </w:tcPr>
          <w:p w14:paraId="61F6A5B3">
            <w:pPr>
              <w:adjustRightInd w:val="0"/>
              <w:snapToGrid w:val="0"/>
              <w:spacing w:line="360" w:lineRule="auto"/>
              <w:jc w:val="center"/>
              <w:rPr>
                <w:rFonts w:ascii="宋体" w:hAnsi="宋体"/>
                <w:b/>
                <w:color w:val="auto"/>
                <w:szCs w:val="21"/>
              </w:rPr>
            </w:pPr>
          </w:p>
        </w:tc>
        <w:tc>
          <w:tcPr>
            <w:tcW w:w="1835" w:type="dxa"/>
          </w:tcPr>
          <w:p w14:paraId="2A84CA44">
            <w:pPr>
              <w:adjustRightInd w:val="0"/>
              <w:snapToGrid w:val="0"/>
              <w:spacing w:line="360" w:lineRule="auto"/>
              <w:jc w:val="center"/>
              <w:rPr>
                <w:rFonts w:ascii="宋体" w:hAnsi="宋体"/>
                <w:b/>
                <w:color w:val="auto"/>
                <w:szCs w:val="21"/>
              </w:rPr>
            </w:pPr>
          </w:p>
        </w:tc>
      </w:tr>
      <w:tr w14:paraId="3A2CF1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9717C96">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29" w:type="dxa"/>
            <w:vAlign w:val="center"/>
          </w:tcPr>
          <w:p w14:paraId="761E5FCF">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5D6AF92F">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4916887A">
            <w:pPr>
              <w:adjustRightInd w:val="0"/>
              <w:snapToGrid w:val="0"/>
              <w:spacing w:line="360" w:lineRule="auto"/>
              <w:jc w:val="left"/>
              <w:rPr>
                <w:rFonts w:ascii="宋体" w:hAnsi="宋体"/>
                <w:b/>
                <w:color w:val="auto"/>
                <w:szCs w:val="21"/>
              </w:rPr>
            </w:pPr>
          </w:p>
        </w:tc>
        <w:tc>
          <w:tcPr>
            <w:tcW w:w="1972" w:type="dxa"/>
            <w:vAlign w:val="center"/>
          </w:tcPr>
          <w:p w14:paraId="7B913402">
            <w:pPr>
              <w:adjustRightInd w:val="0"/>
              <w:snapToGrid w:val="0"/>
              <w:spacing w:line="360" w:lineRule="auto"/>
              <w:jc w:val="center"/>
              <w:rPr>
                <w:rFonts w:ascii="宋体" w:hAnsi="宋体"/>
                <w:b/>
                <w:color w:val="auto"/>
                <w:szCs w:val="21"/>
              </w:rPr>
            </w:pPr>
          </w:p>
        </w:tc>
        <w:tc>
          <w:tcPr>
            <w:tcW w:w="1835" w:type="dxa"/>
          </w:tcPr>
          <w:p w14:paraId="01B18991">
            <w:pPr>
              <w:adjustRightInd w:val="0"/>
              <w:snapToGrid w:val="0"/>
              <w:spacing w:line="360" w:lineRule="auto"/>
              <w:jc w:val="center"/>
              <w:rPr>
                <w:rFonts w:ascii="宋体" w:hAnsi="宋体"/>
                <w:b/>
                <w:color w:val="auto"/>
                <w:szCs w:val="21"/>
              </w:rPr>
            </w:pPr>
          </w:p>
        </w:tc>
      </w:tr>
      <w:tr w14:paraId="0D913D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74D17252">
            <w:pPr>
              <w:adjustRightInd w:val="0"/>
              <w:snapToGrid w:val="0"/>
              <w:spacing w:line="360" w:lineRule="auto"/>
              <w:jc w:val="left"/>
              <w:rPr>
                <w:rFonts w:ascii="宋体" w:hAnsi="宋体"/>
                <w:b/>
                <w:color w:val="auto"/>
                <w:szCs w:val="21"/>
              </w:rPr>
            </w:pPr>
            <w:r>
              <w:rPr>
                <w:rFonts w:hint="eastAsia" w:ascii="宋体" w:hAnsi="宋体"/>
                <w:b/>
                <w:color w:val="auto"/>
                <w:szCs w:val="21"/>
              </w:rPr>
              <w:t>环境标志产品</w:t>
            </w:r>
          </w:p>
        </w:tc>
      </w:tr>
      <w:tr w14:paraId="4E29EF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A8A167E">
            <w:pPr>
              <w:adjustRightInd w:val="0"/>
              <w:snapToGrid w:val="0"/>
              <w:spacing w:line="360" w:lineRule="auto"/>
              <w:jc w:val="center"/>
              <w:rPr>
                <w:rFonts w:ascii="宋体" w:hAnsi="宋体"/>
                <w:b/>
                <w:color w:val="auto"/>
                <w:szCs w:val="21"/>
              </w:rPr>
            </w:pPr>
          </w:p>
        </w:tc>
        <w:tc>
          <w:tcPr>
            <w:tcW w:w="1729" w:type="dxa"/>
            <w:vAlign w:val="center"/>
          </w:tcPr>
          <w:p w14:paraId="455A22F1">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5BF192ED">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224ADF95">
            <w:pPr>
              <w:adjustRightInd w:val="0"/>
              <w:snapToGrid w:val="0"/>
              <w:spacing w:line="360" w:lineRule="auto"/>
              <w:jc w:val="left"/>
              <w:rPr>
                <w:rFonts w:ascii="宋体" w:hAnsi="宋体"/>
                <w:b/>
                <w:color w:val="auto"/>
                <w:szCs w:val="21"/>
              </w:rPr>
            </w:pPr>
          </w:p>
        </w:tc>
        <w:tc>
          <w:tcPr>
            <w:tcW w:w="1972" w:type="dxa"/>
            <w:vAlign w:val="center"/>
          </w:tcPr>
          <w:p w14:paraId="63A02992">
            <w:pPr>
              <w:adjustRightInd w:val="0"/>
              <w:snapToGrid w:val="0"/>
              <w:spacing w:line="360" w:lineRule="auto"/>
              <w:jc w:val="center"/>
              <w:rPr>
                <w:rFonts w:ascii="宋体" w:hAnsi="宋体"/>
                <w:b/>
                <w:color w:val="auto"/>
                <w:szCs w:val="21"/>
              </w:rPr>
            </w:pPr>
          </w:p>
        </w:tc>
        <w:tc>
          <w:tcPr>
            <w:tcW w:w="1835" w:type="dxa"/>
          </w:tcPr>
          <w:p w14:paraId="45C32AA4">
            <w:pPr>
              <w:adjustRightInd w:val="0"/>
              <w:snapToGrid w:val="0"/>
              <w:spacing w:line="360" w:lineRule="auto"/>
              <w:jc w:val="center"/>
              <w:rPr>
                <w:rFonts w:ascii="宋体" w:hAnsi="宋体"/>
                <w:b/>
                <w:color w:val="auto"/>
                <w:szCs w:val="21"/>
              </w:rPr>
            </w:pPr>
          </w:p>
        </w:tc>
      </w:tr>
      <w:tr w14:paraId="031A3C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A3F6A9B">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29" w:type="dxa"/>
            <w:vAlign w:val="center"/>
          </w:tcPr>
          <w:p w14:paraId="01BCF9B7">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1F2E8349">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0B7407BE">
            <w:pPr>
              <w:adjustRightInd w:val="0"/>
              <w:snapToGrid w:val="0"/>
              <w:spacing w:line="360" w:lineRule="auto"/>
              <w:jc w:val="left"/>
              <w:rPr>
                <w:rFonts w:ascii="宋体" w:hAnsi="宋体"/>
                <w:b/>
                <w:color w:val="auto"/>
                <w:szCs w:val="21"/>
              </w:rPr>
            </w:pPr>
          </w:p>
        </w:tc>
        <w:tc>
          <w:tcPr>
            <w:tcW w:w="1972" w:type="dxa"/>
            <w:vAlign w:val="center"/>
          </w:tcPr>
          <w:p w14:paraId="28557660">
            <w:pPr>
              <w:adjustRightInd w:val="0"/>
              <w:snapToGrid w:val="0"/>
              <w:spacing w:line="360" w:lineRule="auto"/>
              <w:jc w:val="center"/>
              <w:rPr>
                <w:rFonts w:ascii="宋体" w:hAnsi="宋体"/>
                <w:b/>
                <w:color w:val="auto"/>
                <w:szCs w:val="21"/>
              </w:rPr>
            </w:pPr>
          </w:p>
        </w:tc>
        <w:tc>
          <w:tcPr>
            <w:tcW w:w="1835" w:type="dxa"/>
          </w:tcPr>
          <w:p w14:paraId="265B2B41">
            <w:pPr>
              <w:adjustRightInd w:val="0"/>
              <w:snapToGrid w:val="0"/>
              <w:spacing w:line="360" w:lineRule="auto"/>
              <w:jc w:val="center"/>
              <w:rPr>
                <w:rFonts w:ascii="宋体" w:hAnsi="宋体"/>
                <w:b/>
                <w:color w:val="auto"/>
                <w:szCs w:val="21"/>
              </w:rPr>
            </w:pPr>
          </w:p>
        </w:tc>
      </w:tr>
    </w:tbl>
    <w:p w14:paraId="6C3976E2">
      <w:pPr>
        <w:adjustRightInd w:val="0"/>
        <w:snapToGrid w:val="0"/>
        <w:spacing w:line="360" w:lineRule="auto"/>
        <w:jc w:val="left"/>
        <w:rPr>
          <w:rFonts w:ascii="宋体" w:hAnsi="宋体"/>
          <w:color w:val="auto"/>
          <w:szCs w:val="21"/>
        </w:rPr>
      </w:pPr>
      <w:r>
        <w:rPr>
          <w:rFonts w:hint="eastAsia" w:ascii="宋体" w:hAnsi="宋体"/>
          <w:color w:val="auto"/>
          <w:szCs w:val="21"/>
        </w:rPr>
        <w:t>说明：</w:t>
      </w:r>
      <w:r>
        <w:rPr>
          <w:rFonts w:hint="eastAsia" w:ascii="宋体" w:hAnsi="宋体"/>
          <w:bCs/>
          <w:color w:val="auto"/>
          <w:szCs w:val="21"/>
        </w:rPr>
        <w:t>1.</w:t>
      </w:r>
      <w:r>
        <w:rPr>
          <w:rFonts w:hint="eastAsia" w:ascii="宋体" w:hAnsi="宋体"/>
          <w:color w:val="auto"/>
          <w:szCs w:val="21"/>
        </w:rPr>
        <w:t>本表用于计算政府采购优先采购产品（节能产品或环境标志产品）的政府采购政策加分或者价格扣除。</w:t>
      </w:r>
    </w:p>
    <w:p w14:paraId="36F0DEDE">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2.栏目4“价格”为综合单价，包含货物所有隐含的内容，如运输费、保险费、管理费和利润等。</w:t>
      </w:r>
    </w:p>
    <w:p w14:paraId="6CAA0B83">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3.栏目6“政策功能编码”是指货物的中国环境标志认证证书编号、中国节能标志认证证书号（货物同时属于节能产品、环境标志产品的，只须填写一种）。</w:t>
      </w:r>
    </w:p>
    <w:p w14:paraId="377380A6">
      <w:pPr>
        <w:adjustRightInd w:val="0"/>
        <w:snapToGrid w:val="0"/>
        <w:spacing w:line="360" w:lineRule="auto"/>
        <w:ind w:firstLine="630" w:firstLineChars="300"/>
        <w:rPr>
          <w:rFonts w:ascii="宋体" w:hAnsi="宋体"/>
          <w:bCs/>
          <w:color w:val="auto"/>
          <w:szCs w:val="21"/>
        </w:rPr>
      </w:pPr>
      <w:r>
        <w:rPr>
          <w:rFonts w:hint="eastAsia" w:ascii="宋体" w:hAnsi="宋体"/>
          <w:bCs/>
          <w:color w:val="auto"/>
          <w:szCs w:val="21"/>
        </w:rPr>
        <w:t>4.投标人在投标截止时间前修改“开标一览表”中的投标报价的，应按第二章第13.7款规定修改本表相应内容。否则，评审时涉及本表所有优惠不予以考虑。</w:t>
      </w:r>
    </w:p>
    <w:p w14:paraId="28229B7B">
      <w:pPr>
        <w:adjustRightInd w:val="0"/>
        <w:snapToGrid w:val="0"/>
        <w:spacing w:line="360" w:lineRule="auto"/>
        <w:rPr>
          <w:rFonts w:ascii="宋体" w:hAnsi="宋体"/>
          <w:color w:val="auto"/>
          <w:szCs w:val="21"/>
        </w:rPr>
      </w:pPr>
    </w:p>
    <w:p w14:paraId="6A653896">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3EE0F1EF">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505168BB">
      <w:pPr>
        <w:adjustRightInd w:val="0"/>
        <w:snapToGrid w:val="0"/>
        <w:spacing w:line="360" w:lineRule="auto"/>
        <w:rPr>
          <w:color w:val="auto"/>
        </w:rPr>
      </w:pPr>
      <w:r>
        <w:rPr>
          <w:rFonts w:hint="eastAsia" w:ascii="宋体" w:hAnsi="宋体" w:cs="微软雅黑"/>
          <w:color w:val="auto"/>
          <w:spacing w:val="-2"/>
          <w:kern w:val="0"/>
          <w:szCs w:val="21"/>
        </w:rPr>
        <w:t>日期：        年    月   日</w:t>
      </w:r>
    </w:p>
    <w:p w14:paraId="0E2F44EF">
      <w:pPr>
        <w:pStyle w:val="5"/>
        <w:spacing w:before="156" w:beforeLines="50" w:line="240" w:lineRule="auto"/>
        <w:jc w:val="left"/>
        <w:rPr>
          <w:color w:val="auto"/>
        </w:rPr>
      </w:pPr>
      <w:r>
        <w:rPr>
          <w:rFonts w:ascii="黑体" w:hAnsi="宋体"/>
          <w:b w:val="0"/>
          <w:color w:val="auto"/>
        </w:rPr>
        <w:br w:type="page"/>
      </w:r>
    </w:p>
    <w:p w14:paraId="35E75C73">
      <w:pPr>
        <w:pStyle w:val="3"/>
        <w:jc w:val="center"/>
        <w:rPr>
          <w:rFonts w:ascii="黑体" w:hAnsi="宋体" w:eastAsia="黑体"/>
          <w:color w:val="auto"/>
          <w:sz w:val="28"/>
          <w:szCs w:val="28"/>
        </w:rPr>
      </w:pPr>
      <w:bookmarkStart w:id="1980" w:name="_Toc108342017"/>
      <w:bookmarkStart w:id="1981" w:name="_Toc78450035"/>
      <w:bookmarkStart w:id="1982" w:name="_Toc9838"/>
      <w:bookmarkStart w:id="1983" w:name="_Toc15074"/>
      <w:bookmarkStart w:id="1984" w:name="_Toc85973008"/>
      <w:bookmarkStart w:id="1985" w:name="_Toc112705015"/>
      <w:bookmarkStart w:id="1986" w:name="_Toc78314342"/>
      <w:bookmarkStart w:id="1987" w:name="_Toc75289627"/>
      <w:bookmarkStart w:id="1988" w:name="_Toc154428458"/>
      <w:bookmarkStart w:id="1989" w:name="_Toc192949771"/>
      <w:bookmarkStart w:id="1990" w:name="_Toc171273741"/>
      <w:bookmarkStart w:id="1991" w:name="_Toc11865"/>
      <w:bookmarkStart w:id="1992" w:name="_Toc100670502"/>
      <w:bookmarkStart w:id="1993" w:name="_Toc1976"/>
      <w:bookmarkStart w:id="1994" w:name="_Toc77199481"/>
      <w:bookmarkStart w:id="1995" w:name="_Toc12053"/>
      <w:bookmarkStart w:id="1996" w:name="_Toc26201"/>
      <w:bookmarkStart w:id="1997" w:name="_Toc1622"/>
      <w:bookmarkStart w:id="1998" w:name="_Toc77676546"/>
      <w:bookmarkStart w:id="1999" w:name="_Toc75289307"/>
      <w:bookmarkStart w:id="2000" w:name="_Toc94367958"/>
      <w:bookmarkStart w:id="2001" w:name="_Toc11677"/>
      <w:bookmarkStart w:id="2002" w:name="_Toc192949672"/>
      <w:bookmarkStart w:id="2003" w:name="_Toc192951282"/>
      <w:bookmarkStart w:id="2004" w:name="_Toc117192522"/>
      <w:bookmarkStart w:id="2005" w:name="_Toc15888556"/>
      <w:bookmarkStart w:id="2006" w:name="_Toc10416"/>
      <w:bookmarkStart w:id="2007" w:name="_Toc100670750"/>
      <w:bookmarkStart w:id="2008" w:name="_Toc95601443"/>
      <w:bookmarkStart w:id="2009" w:name="_Toc114036786"/>
      <w:r>
        <w:rPr>
          <w:rFonts w:hint="eastAsia" w:ascii="黑体" w:hAnsi="宋体" w:eastAsia="黑体"/>
          <w:color w:val="auto"/>
          <w:sz w:val="28"/>
          <w:szCs w:val="28"/>
        </w:rPr>
        <w:t>十一、投标货物符合招标文件规定的证明文件</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14:paraId="4C83A2EA">
      <w:pPr>
        <w:adjustRightInd w:val="0"/>
        <w:snapToGrid w:val="0"/>
        <w:spacing w:line="360" w:lineRule="auto"/>
        <w:rPr>
          <w:rFonts w:ascii="宋体" w:hAnsi="宋体"/>
          <w:color w:val="auto"/>
          <w:szCs w:val="21"/>
        </w:rPr>
      </w:pPr>
    </w:p>
    <w:p w14:paraId="47480FBD">
      <w:pPr>
        <w:adjustRightInd w:val="0"/>
        <w:snapToGrid w:val="0"/>
        <w:spacing w:line="360" w:lineRule="auto"/>
        <w:rPr>
          <w:rFonts w:ascii="宋体" w:hAnsi="宋体"/>
          <w:color w:val="auto"/>
        </w:rPr>
      </w:pPr>
      <w:r>
        <w:rPr>
          <w:rFonts w:hint="eastAsia" w:ascii="宋体" w:hAnsi="宋体"/>
          <w:color w:val="auto"/>
          <w:szCs w:val="21"/>
        </w:rPr>
        <w:t>备注：提供第五章规定的证明材料复印件。</w:t>
      </w:r>
    </w:p>
    <w:p w14:paraId="54333D23">
      <w:pPr>
        <w:widowControl/>
        <w:jc w:val="left"/>
        <w:rPr>
          <w:rFonts w:ascii="黑体" w:eastAsia="黑体"/>
          <w:color w:val="auto"/>
          <w:szCs w:val="21"/>
        </w:rPr>
      </w:pPr>
      <w:r>
        <w:rPr>
          <w:rFonts w:ascii="黑体" w:eastAsia="黑体"/>
          <w:b/>
          <w:bCs/>
          <w:color w:val="auto"/>
          <w:sz w:val="28"/>
          <w:szCs w:val="28"/>
        </w:rPr>
        <w:br w:type="page"/>
      </w:r>
    </w:p>
    <w:p w14:paraId="6E764943">
      <w:pPr>
        <w:pStyle w:val="3"/>
        <w:jc w:val="center"/>
        <w:rPr>
          <w:rFonts w:ascii="黑体" w:hAnsi="宋体" w:eastAsia="黑体"/>
          <w:color w:val="auto"/>
          <w:sz w:val="28"/>
          <w:szCs w:val="28"/>
        </w:rPr>
      </w:pPr>
      <w:bookmarkStart w:id="2010" w:name="_Toc10024"/>
      <w:bookmarkStart w:id="2011" w:name="_Toc78450036"/>
      <w:bookmarkStart w:id="2012" w:name="_Toc77676547"/>
      <w:bookmarkStart w:id="2013" w:name="_Toc192951283"/>
      <w:bookmarkStart w:id="2014" w:name="_Toc154428459"/>
      <w:bookmarkStart w:id="2015" w:name="_Toc108342018"/>
      <w:bookmarkStart w:id="2016" w:name="_Toc15888557"/>
      <w:bookmarkStart w:id="2017" w:name="_Toc85973009"/>
      <w:bookmarkStart w:id="2018" w:name="_Toc2207"/>
      <w:bookmarkStart w:id="2019" w:name="_Toc75289308"/>
      <w:bookmarkStart w:id="2020" w:name="_Toc18817"/>
      <w:bookmarkStart w:id="2021" w:name="_Toc1117"/>
      <w:bookmarkStart w:id="2022" w:name="_Toc75289628"/>
      <w:bookmarkStart w:id="2023" w:name="_Toc78314343"/>
      <w:bookmarkStart w:id="2024" w:name="_Toc192949772"/>
      <w:bookmarkStart w:id="2025" w:name="_Toc100670751"/>
      <w:bookmarkStart w:id="2026" w:name="_Toc6574"/>
      <w:bookmarkStart w:id="2027" w:name="_Toc100670503"/>
      <w:bookmarkStart w:id="2028" w:name="_Toc112705016"/>
      <w:bookmarkStart w:id="2029" w:name="_Toc77199482"/>
      <w:bookmarkStart w:id="2030" w:name="_Toc192949673"/>
      <w:bookmarkStart w:id="2031" w:name="_Toc13960"/>
      <w:bookmarkStart w:id="2032" w:name="_Toc95601444"/>
      <w:bookmarkStart w:id="2033" w:name="_Toc7"/>
      <w:bookmarkStart w:id="2034" w:name="_Toc7233"/>
      <w:bookmarkStart w:id="2035" w:name="_Toc11181"/>
      <w:bookmarkStart w:id="2036" w:name="_Toc117192523"/>
      <w:bookmarkStart w:id="2037" w:name="_Toc94367959"/>
      <w:bookmarkStart w:id="2038" w:name="_Toc171273742"/>
      <w:bookmarkStart w:id="2039" w:name="_Toc114036787"/>
      <w:r>
        <w:rPr>
          <w:rFonts w:hint="eastAsia" w:ascii="黑体" w:hAnsi="宋体" w:eastAsia="黑体"/>
          <w:color w:val="auto"/>
          <w:sz w:val="28"/>
          <w:szCs w:val="28"/>
        </w:rPr>
        <w:t>十二、投标人认为需提供的其他资料</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14:paraId="0CC9F95D">
      <w:pPr>
        <w:adjustRightInd w:val="0"/>
        <w:snapToGrid w:val="0"/>
        <w:spacing w:before="156" w:beforeLines="50" w:line="360" w:lineRule="auto"/>
        <w:rPr>
          <w:rFonts w:ascii="宋体" w:hAnsi="宋体"/>
          <w:color w:val="auto"/>
        </w:rPr>
      </w:pPr>
    </w:p>
    <w:p w14:paraId="73083E09">
      <w:pPr>
        <w:adjustRightInd w:val="0"/>
        <w:snapToGrid w:val="0"/>
        <w:spacing w:before="156" w:beforeLines="50" w:line="360" w:lineRule="auto"/>
        <w:rPr>
          <w:rFonts w:ascii="宋体" w:hAnsi="宋体"/>
          <w:color w:val="auto"/>
        </w:rPr>
      </w:pPr>
      <w:r>
        <w:rPr>
          <w:rFonts w:hint="eastAsia" w:ascii="宋体" w:hAnsi="宋体"/>
          <w:color w:val="auto"/>
        </w:rPr>
        <w:t>备注：投标人认为需提供的其他资料包括：</w:t>
      </w:r>
    </w:p>
    <w:p w14:paraId="2ECAAA4D">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1.招标文件第四章评标方法及标准要求的其他相关资料；</w:t>
      </w:r>
    </w:p>
    <w:p w14:paraId="1B6BD323">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2.招标文件第五章采购需求要求的其他资料。</w:t>
      </w:r>
    </w:p>
    <w:p w14:paraId="6226CE0F">
      <w:pPr>
        <w:adjustRightInd w:val="0"/>
        <w:snapToGrid w:val="0"/>
        <w:spacing w:before="156" w:beforeLines="50" w:line="360" w:lineRule="auto"/>
        <w:rPr>
          <w:rFonts w:ascii="宋体" w:hAnsi="宋体"/>
          <w:color w:val="auto"/>
        </w:rPr>
      </w:pPr>
    </w:p>
    <w:p w14:paraId="4570788D">
      <w:pPr>
        <w:rPr>
          <w:color w:val="auto"/>
        </w:rPr>
      </w:pPr>
    </w:p>
    <w:p w14:paraId="591E2A56">
      <w:pPr>
        <w:widowControl/>
        <w:jc w:val="left"/>
        <w:rPr>
          <w:rFonts w:ascii="宋体" w:hAnsi="宋体"/>
          <w:color w:val="auto"/>
          <w:szCs w:val="21"/>
        </w:rPr>
      </w:pPr>
    </w:p>
    <w:sectPr>
      <w:pgSz w:w="11906" w:h="16838"/>
      <w:pgMar w:top="1474" w:right="1474" w:bottom="1474" w:left="158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 w:name="等线">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font>
  <w:font w:name="Malgun Gothic">
    <w:panose1 w:val="020B0503020000020004"/>
    <w:charset w:val="81"/>
    <w:family w:val="swiss"/>
    <w:pitch w:val="default"/>
    <w:sig w:usb0="9000002F" w:usb1="29D77CFB" w:usb2="00000012" w:usb3="00000000" w:csb0="00080001"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Arial"/>
    <w:panose1 w:val="00000000000000000000"/>
    <w:charset w:val="00"/>
    <w:family w:val="roman"/>
    <w:pitch w:val="default"/>
    <w:sig w:usb0="00000000" w:usb1="00000000" w:usb2="00000000" w:usb3="00000000" w:csb0="00000001" w:csb1="00000000"/>
  </w:font>
  <w:font w:name="长城仿宋">
    <w:altName w:val="仿宋"/>
    <w:panose1 w:val="00000000000000000000"/>
    <w:charset w:val="86"/>
    <w:family w:val="roman"/>
    <w:pitch w:val="default"/>
    <w:sig w:usb0="00000000" w:usb1="00000000" w:usb2="00000010" w:usb3="00000000" w:csb0="00040000" w:csb1="00000000"/>
  </w:font>
  <w:font w:name="全真中明體">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amp;#23435;&amp;#20307;">
    <w:altName w:val="Times New Roman"/>
    <w:panose1 w:val="00000000000000000000"/>
    <w:charset w:val="00"/>
    <w:family w:val="roma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DC935">
    <w:pPr>
      <w:pStyle w:val="27"/>
      <w:ind w:right="900"/>
      <w:rPr>
        <w:rFonts w:eastAsia="楷体_GB23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912EEB8">
                          <w:pPr>
                            <w:pStyle w:val="27"/>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Gv1XhTOAQAAqQMAAA4AAAAAAAAAAQAgAAAAHgEAAGRycy9l&#10;Mm9Eb2MueG1sUEsFBgAAAAAGAAYAWQEAAF4FAAAAAA==&#10;">
              <v:fill on="f" focussize="0,0"/>
              <v:stroke on="f"/>
              <v:imagedata o:title=""/>
              <o:lock v:ext="edit" aspectratio="f"/>
              <v:textbox inset="0mm,0mm,0mm,0mm" style="mso-fit-shape-to-text:t;">
                <w:txbxContent>
                  <w:p w14:paraId="6912EEB8">
                    <w:pPr>
                      <w:pStyle w:val="27"/>
                    </w:pPr>
                    <w:r>
                      <w:fldChar w:fldCharType="begin"/>
                    </w:r>
                    <w:r>
                      <w:instrText xml:space="preserve"> PAGE  \* MERGEFORMAT </w:instrText>
                    </w:r>
                    <w:r>
                      <w:fldChar w:fldCharType="separate"/>
                    </w:r>
                    <w:r>
                      <w:t>4</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221601F">
                          <w:pPr>
                            <w:pStyle w:val="27"/>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hpgkvTAAAABQEAAA8AAAAAAAAAAQAg&#10;AAAAIgAAAGRycy9kb3ducmV2LnhtbFBLAQIUABQAAAAIAIdO4kCknEyA2gEAALQDAAAOAAAAAAAA&#10;AAEAIAAAACIBAABkcnMvZTJvRG9jLnhtbFBLBQYAAAAABgAGAFkBAABuBQAAAAA=&#10;">
              <v:fill on="f" focussize="0,0"/>
              <v:stroke on="f" weight="1.25pt"/>
              <v:imagedata o:title=""/>
              <o:lock v:ext="edit" aspectratio="f"/>
              <v:textbox inset="0mm,0mm,0mm,0mm" style="mso-fit-shape-to-text:t;">
                <w:txbxContent>
                  <w:p w14:paraId="1221601F">
                    <w:pPr>
                      <w:pStyle w:val="2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F26A9">
    <w:pPr>
      <w:widowControl/>
      <w:kinsoku w:val="0"/>
      <w:autoSpaceDE w:val="0"/>
      <w:autoSpaceDN w:val="0"/>
      <w:adjustRightInd w:val="0"/>
      <w:snapToGrid w:val="0"/>
      <w:spacing w:line="207" w:lineRule="auto"/>
      <w:jc w:val="right"/>
      <w:textAlignment w:val="baseline"/>
      <w:rPr>
        <w:rFonts w:ascii="宋体" w:hAnsi="宋体" w:eastAsia="宋体" w:cs="宋体"/>
        <w:snapToGrid w:val="0"/>
        <w:color w:val="000000"/>
        <w:kern w:val="0"/>
        <w:sz w:val="18"/>
        <w:szCs w:val="18"/>
        <w:lang w:eastAsia="en-US"/>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FD10CE">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1</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AFD10CE">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1</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ascii="宋体" w:hAnsi="宋体" w:eastAsia="宋体" w:cs="宋体"/>
        <w:snapToGrid w:val="0"/>
        <w:color w:val="000000"/>
        <w:kern w:val="0"/>
        <w:sz w:val="18"/>
        <w:szCs w:val="18"/>
        <w:lang w:eastAsia="en-US"/>
      </w:rPr>
      <w:t xml:space="preserve">                           </w:t>
    </w:r>
    <w:r>
      <w:rPr>
        <w:rFonts w:ascii="宋体" w:hAnsi="宋体" w:eastAsia="宋体" w:cs="宋体"/>
        <w:snapToGrid w:val="0"/>
        <w:color w:val="000000"/>
        <w:spacing w:val="-1"/>
        <w:kern w:val="0"/>
        <w:sz w:val="18"/>
        <w:szCs w:val="18"/>
        <w:lang w:eastAsia="en-US"/>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1DDDE">
    <w:pPr>
      <w:widowControl/>
      <w:kinsoku w:val="0"/>
      <w:autoSpaceDE w:val="0"/>
      <w:autoSpaceDN w:val="0"/>
      <w:adjustRightInd w:val="0"/>
      <w:snapToGrid w:val="0"/>
      <w:spacing w:line="207" w:lineRule="auto"/>
      <w:jc w:val="right"/>
      <w:textAlignment w:val="baseline"/>
      <w:rPr>
        <w:rFonts w:ascii="宋体" w:hAnsi="宋体" w:eastAsia="宋体" w:cs="宋体"/>
        <w:snapToGrid w:val="0"/>
        <w:color w:val="000000"/>
        <w:kern w:val="0"/>
        <w:sz w:val="18"/>
        <w:szCs w:val="18"/>
        <w:lang w:eastAsia="en-US"/>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6CA3A4">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2</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406CA3A4">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2</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ascii="宋体" w:hAnsi="宋体" w:eastAsia="宋体" w:cs="宋体"/>
        <w:snapToGrid w:val="0"/>
        <w:color w:val="000000"/>
        <w:kern w:val="0"/>
        <w:sz w:val="18"/>
        <w:szCs w:val="18"/>
        <w:lang w:eastAsia="en-US"/>
      </w:rPr>
      <w:t xml:space="preserve">                           </w:t>
    </w:r>
    <w:r>
      <w:rPr>
        <w:rFonts w:ascii="宋体" w:hAnsi="宋体" w:eastAsia="宋体" w:cs="宋体"/>
        <w:snapToGrid w:val="0"/>
        <w:color w:val="000000"/>
        <w:spacing w:val="-1"/>
        <w:kern w:val="0"/>
        <w:sz w:val="18"/>
        <w:szCs w:val="18"/>
        <w:lang w:eastAsia="en-US"/>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103D4">
    <w:pPr>
      <w:pStyle w:val="27"/>
      <w:ind w:right="960"/>
      <w:rPr>
        <w:rFonts w:eastAsia="楷体_GB2312"/>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8241017">
                          <w:pPr>
                            <w:pStyle w:val="27"/>
                          </w:pPr>
                          <w:r>
                            <w:fldChar w:fldCharType="begin"/>
                          </w:r>
                          <w:r>
                            <w:instrText xml:space="preserve"> PAGE  \* MERGEFORMAT </w:instrText>
                          </w:r>
                          <w:r>
                            <w:fldChar w:fldCharType="separate"/>
                          </w:r>
                          <w:r>
                            <w:t>56</w:t>
                          </w:r>
                          <w:r>
                            <w:fldChar w:fldCharType="end"/>
                          </w:r>
                        </w:p>
                      </w:txbxContent>
                    </wps:txbx>
                    <wps:bodyPr wrap="none" lIns="0" tIns="0" rIns="0" bIns="0" upright="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MrD2p/OAQAAqQMAAA4AAAAAAAAAAQAgAAAAHgEAAGRycy9l&#10;Mm9Eb2MueG1sUEsFBgAAAAAGAAYAWQEAAF4FAAAAAA==&#10;">
              <v:fill on="f" focussize="0,0"/>
              <v:stroke on="f"/>
              <v:imagedata o:title=""/>
              <o:lock v:ext="edit" aspectratio="f"/>
              <v:textbox inset="0mm,0mm,0mm,0mm" style="mso-fit-shape-to-text:t;">
                <w:txbxContent>
                  <w:p w14:paraId="68241017">
                    <w:pPr>
                      <w:pStyle w:val="27"/>
                    </w:pPr>
                    <w:r>
                      <w:fldChar w:fldCharType="begin"/>
                    </w:r>
                    <w:r>
                      <w:instrText xml:space="preserve"> PAGE  \* MERGEFORMAT </w:instrText>
                    </w:r>
                    <w:r>
                      <w:fldChar w:fldCharType="separate"/>
                    </w:r>
                    <w:r>
                      <w:t>56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7B18C">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8656C">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2CA0D">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90AC1">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5B0FE9"/>
    <w:multiLevelType w:val="multilevel"/>
    <w:tmpl w:val="8D5B0FE9"/>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8DB680C1"/>
    <w:multiLevelType w:val="singleLevel"/>
    <w:tmpl w:val="8DB680C1"/>
    <w:lvl w:ilvl="0" w:tentative="0">
      <w:start w:val="4"/>
      <w:numFmt w:val="chineseCounting"/>
      <w:suff w:val="nothing"/>
      <w:lvlText w:val="（%1）"/>
      <w:lvlJc w:val="left"/>
      <w:pPr>
        <w:ind w:left="-220"/>
      </w:pPr>
      <w:rPr>
        <w:rFonts w:hint="eastAsia"/>
      </w:rPr>
    </w:lvl>
  </w:abstractNum>
  <w:abstractNum w:abstractNumId="2">
    <w:nsid w:val="A860E43F"/>
    <w:multiLevelType w:val="singleLevel"/>
    <w:tmpl w:val="A860E43F"/>
    <w:lvl w:ilvl="0" w:tentative="0">
      <w:start w:val="7"/>
      <w:numFmt w:val="decimal"/>
      <w:lvlText w:val="%1."/>
      <w:lvlJc w:val="left"/>
      <w:pPr>
        <w:tabs>
          <w:tab w:val="left" w:pos="312"/>
        </w:tabs>
      </w:pPr>
    </w:lvl>
  </w:abstractNum>
  <w:abstractNum w:abstractNumId="3">
    <w:nsid w:val="B0003F57"/>
    <w:multiLevelType w:val="singleLevel"/>
    <w:tmpl w:val="B0003F57"/>
    <w:lvl w:ilvl="0" w:tentative="0">
      <w:start w:val="1"/>
      <w:numFmt w:val="decimal"/>
      <w:lvlText w:val="%1."/>
      <w:lvlJc w:val="left"/>
      <w:pPr>
        <w:tabs>
          <w:tab w:val="left" w:pos="312"/>
        </w:tabs>
      </w:pPr>
    </w:lvl>
  </w:abstractNum>
  <w:abstractNum w:abstractNumId="4">
    <w:nsid w:val="B62D7060"/>
    <w:multiLevelType w:val="singleLevel"/>
    <w:tmpl w:val="B62D7060"/>
    <w:lvl w:ilvl="0" w:tentative="0">
      <w:start w:val="1"/>
      <w:numFmt w:val="decimal"/>
      <w:suff w:val="nothing"/>
      <w:lvlText w:val="%1、"/>
      <w:lvlJc w:val="left"/>
    </w:lvl>
  </w:abstractNum>
  <w:abstractNum w:abstractNumId="5">
    <w:nsid w:val="C022CF46"/>
    <w:multiLevelType w:val="singleLevel"/>
    <w:tmpl w:val="C022CF46"/>
    <w:lvl w:ilvl="0" w:tentative="0">
      <w:start w:val="11"/>
      <w:numFmt w:val="decimal"/>
      <w:suff w:val="nothing"/>
      <w:lvlText w:val="%1、"/>
      <w:lvlJc w:val="left"/>
    </w:lvl>
  </w:abstractNum>
  <w:abstractNum w:abstractNumId="6">
    <w:nsid w:val="C6D0BA2A"/>
    <w:multiLevelType w:val="singleLevel"/>
    <w:tmpl w:val="C6D0BA2A"/>
    <w:lvl w:ilvl="0" w:tentative="0">
      <w:start w:val="1"/>
      <w:numFmt w:val="decimal"/>
      <w:suff w:val="space"/>
      <w:lvlText w:val="%1."/>
      <w:lvlJc w:val="left"/>
    </w:lvl>
  </w:abstractNum>
  <w:abstractNum w:abstractNumId="7">
    <w:nsid w:val="F1BAC61C"/>
    <w:multiLevelType w:val="singleLevel"/>
    <w:tmpl w:val="F1BAC61C"/>
    <w:lvl w:ilvl="0" w:tentative="0">
      <w:start w:val="8"/>
      <w:numFmt w:val="decimal"/>
      <w:lvlText w:val="%1."/>
      <w:lvlJc w:val="left"/>
      <w:pPr>
        <w:tabs>
          <w:tab w:val="left" w:pos="312"/>
        </w:tabs>
      </w:pPr>
    </w:lvl>
  </w:abstractNum>
  <w:abstractNum w:abstractNumId="8">
    <w:nsid w:val="00000000"/>
    <w:multiLevelType w:val="multilevel"/>
    <w:tmpl w:val="00000000"/>
    <w:lvl w:ilvl="0" w:tentative="0">
      <w:start w:val="1"/>
      <w:numFmt w:val="chineseCounting"/>
      <w:suff w:val="nothing"/>
      <w:lvlText w:val="%1、"/>
      <w:lvlJc w:val="left"/>
      <w:pPr>
        <w:tabs>
          <w:tab w:val="left" w:pos="420"/>
        </w:tabs>
        <w:ind w:left="425" w:hanging="425"/>
      </w:pPr>
      <w:rPr>
        <w:rFonts w:hint="eastAsia" w:ascii="宋体" w:hAnsi="宋体" w:eastAsia="宋体" w:cs="宋体"/>
      </w:rPr>
    </w:lvl>
    <w:lvl w:ilvl="1" w:tentative="0">
      <w:start w:val="1"/>
      <w:numFmt w:val="decimal"/>
      <w:isLgl/>
      <w:lvlText w:val="%2."/>
      <w:lvlJc w:val="left"/>
      <w:pPr>
        <w:tabs>
          <w:tab w:val="left" w:pos="420"/>
        </w:tabs>
        <w:ind w:left="567" w:hanging="567"/>
      </w:pPr>
      <w:rPr>
        <w:rFonts w:hint="eastAsia" w:ascii="宋体" w:hAnsi="宋体" w:eastAsia="宋体" w:cs="宋体"/>
      </w:rPr>
    </w:lvl>
    <w:lvl w:ilvl="2" w:tentative="0">
      <w:start w:val="1"/>
      <w:numFmt w:val="decimal"/>
      <w:isLgl/>
      <w:lvlText w:val="%2.%3."/>
      <w:lvlJc w:val="left"/>
      <w:pPr>
        <w:ind w:left="709" w:hanging="709"/>
      </w:pPr>
      <w:rPr>
        <w:rFonts w:hint="eastAsia" w:ascii="宋体" w:hAnsi="宋体" w:eastAsia="宋体" w:cs="宋体"/>
      </w:rPr>
    </w:lvl>
    <w:lvl w:ilvl="3" w:tentative="0">
      <w:start w:val="1"/>
      <w:numFmt w:val="decimal"/>
      <w:isLgl/>
      <w:lvlText w:val="%2.%3.%4."/>
      <w:lvlJc w:val="left"/>
      <w:pPr>
        <w:ind w:left="850" w:hanging="850"/>
      </w:pPr>
      <w:rPr>
        <w:rFonts w:hint="eastAsia" w:ascii="宋体" w:hAnsi="宋体" w:eastAsia="宋体" w:cs="宋体"/>
      </w:rPr>
    </w:lvl>
    <w:lvl w:ilvl="4" w:tentative="0">
      <w:start w:val="1"/>
      <w:numFmt w:val="decimal"/>
      <w:isLgl/>
      <w:lvlText w:val="%2.%3.%4.%5."/>
      <w:lvlJc w:val="left"/>
      <w:pPr>
        <w:ind w:left="991" w:hanging="991"/>
      </w:pPr>
      <w:rPr>
        <w:rFonts w:hint="eastAsia" w:ascii="宋体" w:hAnsi="宋体" w:eastAsia="宋体" w:cs="宋体"/>
      </w:rPr>
    </w:lvl>
    <w:lvl w:ilvl="5" w:tentative="0">
      <w:start w:val="1"/>
      <w:numFmt w:val="decimal"/>
      <w:isLgl/>
      <w:lvlText w:val="%2.%3.%4.%5.%6."/>
      <w:lvlJc w:val="left"/>
      <w:pPr>
        <w:ind w:left="1134" w:hanging="1134"/>
      </w:pPr>
      <w:rPr>
        <w:rFonts w:hint="eastAsia" w:ascii="宋体" w:hAnsi="宋体" w:eastAsia="宋体" w:cs="宋体"/>
      </w:rPr>
    </w:lvl>
    <w:lvl w:ilvl="6" w:tentative="0">
      <w:start w:val="1"/>
      <w:numFmt w:val="decimal"/>
      <w:isLgl/>
      <w:lvlText w:val="%2.%3.%4.%5.%6.%7."/>
      <w:lvlJc w:val="left"/>
      <w:pPr>
        <w:ind w:left="1275" w:hanging="1275"/>
      </w:pPr>
      <w:rPr>
        <w:rFonts w:hint="eastAsia" w:ascii="宋体" w:hAnsi="宋体" w:eastAsia="宋体" w:cs="宋体"/>
      </w:rPr>
    </w:lvl>
    <w:lvl w:ilvl="7" w:tentative="0">
      <w:start w:val="1"/>
      <w:numFmt w:val="decimal"/>
      <w:isLgl/>
      <w:lvlText w:val="%2.%3.%4.%5.%6.%7.%8."/>
      <w:lvlJc w:val="left"/>
      <w:pPr>
        <w:ind w:left="1418" w:hanging="1418"/>
      </w:pPr>
      <w:rPr>
        <w:rFonts w:hint="eastAsia" w:ascii="宋体" w:hAnsi="宋体" w:eastAsia="宋体" w:cs="宋体"/>
      </w:rPr>
    </w:lvl>
    <w:lvl w:ilvl="8" w:tentative="0">
      <w:start w:val="1"/>
      <w:numFmt w:val="decimal"/>
      <w:isLgl/>
      <w:lvlText w:val="%2.%3.%4.%5.%6.%7.%8.%9."/>
      <w:lvlJc w:val="left"/>
      <w:pPr>
        <w:ind w:left="1558" w:hanging="1558"/>
      </w:pPr>
      <w:rPr>
        <w:rFonts w:hint="eastAsia" w:ascii="宋体" w:hAnsi="宋体" w:eastAsia="宋体" w:cs="宋体"/>
      </w:rPr>
    </w:lvl>
  </w:abstractNum>
  <w:abstractNum w:abstractNumId="9">
    <w:nsid w:val="00000001"/>
    <w:multiLevelType w:val="multilevel"/>
    <w:tmpl w:val="00000001"/>
    <w:lvl w:ilvl="0" w:tentative="0">
      <w:start w:val="1"/>
      <w:numFmt w:val="decimal"/>
      <w:suff w:val="nothing"/>
      <w:lvlText w:val="%1、"/>
      <w:lvlJc w:val="left"/>
    </w:lvl>
    <w:lvl w:ilvl="1" w:tentative="0">
      <w:start w:val="1"/>
      <w:numFmt w:val="decimal"/>
      <w:isLgl/>
      <w:lvlText w:val="%2."/>
      <w:lvlJc w:val="left"/>
      <w:pPr>
        <w:tabs>
          <w:tab w:val="left" w:pos="420"/>
        </w:tabs>
        <w:ind w:left="567" w:hanging="567"/>
      </w:pPr>
      <w:rPr>
        <w:rFonts w:hint="eastAsia" w:ascii="宋体" w:hAnsi="宋体" w:eastAsia="宋体" w:cs="宋体"/>
      </w:rPr>
    </w:lvl>
    <w:lvl w:ilvl="2" w:tentative="0">
      <w:start w:val="1"/>
      <w:numFmt w:val="decimal"/>
      <w:isLgl/>
      <w:lvlText w:val="%2.%3."/>
      <w:lvlJc w:val="left"/>
      <w:pPr>
        <w:ind w:left="709" w:hanging="709"/>
      </w:pPr>
      <w:rPr>
        <w:rFonts w:hint="eastAsia" w:ascii="宋体" w:hAnsi="宋体" w:eastAsia="宋体" w:cs="宋体"/>
      </w:rPr>
    </w:lvl>
    <w:lvl w:ilvl="3" w:tentative="0">
      <w:start w:val="1"/>
      <w:numFmt w:val="decimal"/>
      <w:isLgl/>
      <w:lvlText w:val="%2.%3.%4."/>
      <w:lvlJc w:val="left"/>
      <w:pPr>
        <w:ind w:left="850" w:hanging="850"/>
      </w:pPr>
      <w:rPr>
        <w:rFonts w:hint="eastAsia" w:ascii="宋体" w:hAnsi="宋体" w:eastAsia="宋体" w:cs="宋体"/>
      </w:rPr>
    </w:lvl>
    <w:lvl w:ilvl="4" w:tentative="0">
      <w:start w:val="1"/>
      <w:numFmt w:val="decimal"/>
      <w:isLgl/>
      <w:lvlText w:val="%2.%3.%4.%5."/>
      <w:lvlJc w:val="left"/>
      <w:pPr>
        <w:ind w:left="991" w:hanging="991"/>
      </w:pPr>
      <w:rPr>
        <w:rFonts w:hint="eastAsia" w:ascii="宋体" w:hAnsi="宋体" w:eastAsia="宋体" w:cs="宋体"/>
      </w:rPr>
    </w:lvl>
    <w:lvl w:ilvl="5" w:tentative="0">
      <w:start w:val="1"/>
      <w:numFmt w:val="decimal"/>
      <w:isLgl/>
      <w:lvlText w:val="%2.%3.%4.%5.%6."/>
      <w:lvlJc w:val="left"/>
      <w:pPr>
        <w:ind w:left="1134" w:hanging="1134"/>
      </w:pPr>
      <w:rPr>
        <w:rFonts w:hint="eastAsia" w:ascii="宋体" w:hAnsi="宋体" w:eastAsia="宋体" w:cs="宋体"/>
      </w:rPr>
    </w:lvl>
    <w:lvl w:ilvl="6" w:tentative="0">
      <w:start w:val="1"/>
      <w:numFmt w:val="decimal"/>
      <w:isLgl/>
      <w:lvlText w:val="%2.%3.%4.%5.%6.%7."/>
      <w:lvlJc w:val="left"/>
      <w:pPr>
        <w:ind w:left="1275" w:hanging="1275"/>
      </w:pPr>
      <w:rPr>
        <w:rFonts w:hint="eastAsia" w:ascii="宋体" w:hAnsi="宋体" w:eastAsia="宋体" w:cs="宋体"/>
      </w:rPr>
    </w:lvl>
    <w:lvl w:ilvl="7" w:tentative="0">
      <w:start w:val="1"/>
      <w:numFmt w:val="decimal"/>
      <w:isLgl/>
      <w:lvlText w:val="%2.%3.%4.%5.%6.%7.%8."/>
      <w:lvlJc w:val="left"/>
      <w:pPr>
        <w:ind w:left="1418" w:hanging="1418"/>
      </w:pPr>
      <w:rPr>
        <w:rFonts w:hint="eastAsia" w:ascii="宋体" w:hAnsi="宋体" w:eastAsia="宋体" w:cs="宋体"/>
      </w:rPr>
    </w:lvl>
    <w:lvl w:ilvl="8" w:tentative="0">
      <w:start w:val="1"/>
      <w:numFmt w:val="decimal"/>
      <w:isLgl/>
      <w:lvlText w:val="%2.%3.%4.%5.%6.%7.%8.%9."/>
      <w:lvlJc w:val="left"/>
      <w:pPr>
        <w:ind w:left="1558" w:hanging="1558"/>
      </w:pPr>
      <w:rPr>
        <w:rFonts w:hint="eastAsia" w:ascii="宋体" w:hAnsi="宋体" w:eastAsia="宋体" w:cs="宋体"/>
      </w:rPr>
    </w:lvl>
  </w:abstractNum>
  <w:abstractNum w:abstractNumId="10">
    <w:nsid w:val="00000002"/>
    <w:multiLevelType w:val="multilevel"/>
    <w:tmpl w:val="00000002"/>
    <w:lvl w:ilvl="0" w:tentative="0">
      <w:start w:val="1"/>
      <w:numFmt w:val="chineseCounting"/>
      <w:lvlText w:val="%1、"/>
      <w:lvlJc w:val="left"/>
      <w:pPr>
        <w:ind w:left="425" w:hanging="425"/>
      </w:pPr>
      <w:rPr>
        <w:rFonts w:hint="eastAsia" w:ascii="宋体" w:hAnsi="宋体" w:eastAsia="宋体" w:cs="宋体"/>
      </w:rPr>
    </w:lvl>
    <w:lvl w:ilvl="1" w:tentative="0">
      <w:start w:val="1"/>
      <w:numFmt w:val="decimal"/>
      <w:lvlText w:val="%1.%2."/>
      <w:lvlJc w:val="left"/>
      <w:pPr>
        <w:ind w:left="567" w:hanging="567"/>
      </w:pPr>
      <w:rPr>
        <w:rFonts w:hint="eastAsia" w:ascii="宋体" w:hAnsi="宋体" w:eastAsia="宋体" w:cs="宋体"/>
      </w:rPr>
    </w:lvl>
    <w:lvl w:ilvl="2" w:tentative="0">
      <w:start w:val="1"/>
      <w:numFmt w:val="decimal"/>
      <w:lvlText w:val="%1.%2.%3."/>
      <w:lvlJc w:val="left"/>
      <w:pPr>
        <w:ind w:left="709" w:hanging="709"/>
      </w:pPr>
      <w:rPr>
        <w:rFonts w:hint="eastAsia" w:ascii="宋体" w:hAnsi="宋体" w:eastAsia="宋体" w:cs="宋体"/>
      </w:rPr>
    </w:lvl>
    <w:lvl w:ilvl="3" w:tentative="0">
      <w:start w:val="1"/>
      <w:numFmt w:val="decimal"/>
      <w:lvlText w:val="%1.%2.%3.%4."/>
      <w:lvlJc w:val="left"/>
      <w:pPr>
        <w:ind w:left="850" w:hanging="850"/>
      </w:pPr>
      <w:rPr>
        <w:rFonts w:hint="eastAsia"/>
      </w:rPr>
    </w:lvl>
    <w:lvl w:ilvl="4" w:tentative="0">
      <w:start w:val="1"/>
      <w:numFmt w:val="decimal"/>
      <w:lvlText w:val="%1.%2.%3.%4.%5."/>
      <w:lvlJc w:val="left"/>
      <w:pPr>
        <w:ind w:left="991" w:hanging="991"/>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5" w:hanging="1275"/>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8" w:hanging="1558"/>
      </w:pPr>
      <w:rPr>
        <w:rFonts w:hint="eastAsia"/>
      </w:rPr>
    </w:lvl>
  </w:abstractNum>
  <w:abstractNum w:abstractNumId="11">
    <w:nsid w:val="00000004"/>
    <w:multiLevelType w:val="multilevel"/>
    <w:tmpl w:val="00000004"/>
    <w:lvl w:ilvl="0" w:tentative="0">
      <w:start w:val="1"/>
      <w:numFmt w:val="japaneseCounting"/>
      <w:lvlText w:val="%1、"/>
      <w:lvlJc w:val="left"/>
      <w:pPr>
        <w:ind w:left="450" w:hanging="450"/>
      </w:pPr>
      <w:rPr>
        <w:rFonts w:hint="default"/>
      </w:rPr>
    </w:lvl>
    <w:lvl w:ilvl="1" w:tentative="0">
      <w:start w:val="1"/>
      <w:numFmt w:val="lowerLetter"/>
      <w:lvlRestart w:val="0"/>
      <w:lvlText w:val="%2)"/>
      <w:lvlJc w:val="left"/>
      <w:pPr>
        <w:ind w:left="840" w:hanging="420"/>
      </w:pPr>
    </w:lvl>
    <w:lvl w:ilvl="2" w:tentative="0">
      <w:start w:val="1"/>
      <w:numFmt w:val="lowerRoman"/>
      <w:lvlRestart w:val="0"/>
      <w:lvlText w:val="%3."/>
      <w:lvlJc w:val="right"/>
      <w:pPr>
        <w:ind w:left="1260" w:hanging="420"/>
      </w:pPr>
    </w:lvl>
    <w:lvl w:ilvl="3" w:tentative="0">
      <w:start w:val="1"/>
      <w:numFmt w:val="decimal"/>
      <w:lvlRestart w:val="0"/>
      <w:lvlText w:val="%4."/>
      <w:lvlJc w:val="left"/>
      <w:pPr>
        <w:ind w:left="1680" w:hanging="420"/>
      </w:pPr>
    </w:lvl>
    <w:lvl w:ilvl="4" w:tentative="0">
      <w:start w:val="1"/>
      <w:numFmt w:val="lowerLetter"/>
      <w:lvlRestart w:val="0"/>
      <w:pStyle w:val="472"/>
      <w:lvlText w:val="%5)"/>
      <w:lvlJc w:val="left"/>
      <w:pPr>
        <w:ind w:left="2100" w:hanging="420"/>
      </w:pPr>
    </w:lvl>
    <w:lvl w:ilvl="5" w:tentative="0">
      <w:start w:val="1"/>
      <w:numFmt w:val="lowerRoman"/>
      <w:lvlRestart w:val="0"/>
      <w:lvlText w:val="%6."/>
      <w:lvlJc w:val="right"/>
      <w:pPr>
        <w:ind w:left="2520" w:hanging="420"/>
      </w:pPr>
    </w:lvl>
    <w:lvl w:ilvl="6" w:tentative="0">
      <w:start w:val="1"/>
      <w:numFmt w:val="decimal"/>
      <w:lvlRestart w:val="0"/>
      <w:lvlText w:val="%7."/>
      <w:lvlJc w:val="left"/>
      <w:pPr>
        <w:ind w:left="2940" w:hanging="420"/>
      </w:pPr>
    </w:lvl>
    <w:lvl w:ilvl="7" w:tentative="0">
      <w:start w:val="1"/>
      <w:numFmt w:val="lowerLetter"/>
      <w:lvlRestart w:val="0"/>
      <w:lvlText w:val="%8)"/>
      <w:lvlJc w:val="left"/>
      <w:pPr>
        <w:ind w:left="3360" w:hanging="420"/>
      </w:pPr>
    </w:lvl>
    <w:lvl w:ilvl="8" w:tentative="0">
      <w:start w:val="1"/>
      <w:numFmt w:val="lowerRoman"/>
      <w:lvlRestart w:val="0"/>
      <w:lvlText w:val="%9."/>
      <w:lvlJc w:val="right"/>
      <w:pPr>
        <w:ind w:left="3780" w:hanging="420"/>
      </w:pPr>
    </w:lvl>
  </w:abstractNum>
  <w:abstractNum w:abstractNumId="12">
    <w:nsid w:val="016778AF"/>
    <w:multiLevelType w:val="singleLevel"/>
    <w:tmpl w:val="016778AF"/>
    <w:lvl w:ilvl="0" w:tentative="0">
      <w:start w:val="1"/>
      <w:numFmt w:val="chineseCounting"/>
      <w:suff w:val="space"/>
      <w:lvlText w:val="第%1章"/>
      <w:lvlJc w:val="left"/>
      <w:rPr>
        <w:rFonts w:hint="eastAsia"/>
      </w:rPr>
    </w:lvl>
  </w:abstractNum>
  <w:abstractNum w:abstractNumId="13">
    <w:nsid w:val="0D2C25D3"/>
    <w:multiLevelType w:val="singleLevel"/>
    <w:tmpl w:val="0D2C25D3"/>
    <w:lvl w:ilvl="0" w:tentative="0">
      <w:start w:val="1"/>
      <w:numFmt w:val="decimal"/>
      <w:suff w:val="nothing"/>
      <w:lvlText w:val="（%1）"/>
      <w:lvlJc w:val="left"/>
    </w:lvl>
  </w:abstractNum>
  <w:abstractNum w:abstractNumId="14">
    <w:nsid w:val="1BFCC75D"/>
    <w:multiLevelType w:val="singleLevel"/>
    <w:tmpl w:val="1BFCC75D"/>
    <w:lvl w:ilvl="0" w:tentative="0">
      <w:start w:val="5"/>
      <w:numFmt w:val="decimal"/>
      <w:suff w:val="nothing"/>
      <w:lvlText w:val="%1、"/>
      <w:lvlJc w:val="left"/>
    </w:lvl>
  </w:abstractNum>
  <w:abstractNum w:abstractNumId="15">
    <w:nsid w:val="436D7B42"/>
    <w:multiLevelType w:val="multilevel"/>
    <w:tmpl w:val="436D7B4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3E45E6D"/>
    <w:multiLevelType w:val="singleLevel"/>
    <w:tmpl w:val="43E45E6D"/>
    <w:lvl w:ilvl="0" w:tentative="0">
      <w:start w:val="1"/>
      <w:numFmt w:val="chineseCounting"/>
      <w:suff w:val="nothing"/>
      <w:lvlText w:val="%1、"/>
      <w:lvlJc w:val="left"/>
      <w:rPr>
        <w:rFonts w:hint="eastAsia"/>
      </w:rPr>
    </w:lvl>
  </w:abstractNum>
  <w:abstractNum w:abstractNumId="17">
    <w:nsid w:val="49395221"/>
    <w:multiLevelType w:val="multilevel"/>
    <w:tmpl w:val="4939522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C9B11C0"/>
    <w:multiLevelType w:val="singleLevel"/>
    <w:tmpl w:val="4C9B11C0"/>
    <w:lvl w:ilvl="0" w:tentative="0">
      <w:start w:val="26"/>
      <w:numFmt w:val="decimal"/>
      <w:suff w:val="nothing"/>
      <w:lvlText w:val="%1、"/>
      <w:lvlJc w:val="left"/>
      <w:rPr>
        <w:rFonts w:hint="default"/>
        <w:b/>
        <w:bCs/>
      </w:rPr>
    </w:lvl>
  </w:abstractNum>
  <w:abstractNum w:abstractNumId="19">
    <w:nsid w:val="59F0D8B7"/>
    <w:multiLevelType w:val="singleLevel"/>
    <w:tmpl w:val="59F0D8B7"/>
    <w:lvl w:ilvl="0" w:tentative="0">
      <w:start w:val="1"/>
      <w:numFmt w:val="decimal"/>
      <w:lvlText w:val="%1."/>
      <w:lvlJc w:val="left"/>
      <w:pPr>
        <w:tabs>
          <w:tab w:val="left" w:pos="312"/>
        </w:tabs>
      </w:pPr>
    </w:lvl>
  </w:abstractNum>
  <w:abstractNum w:abstractNumId="20">
    <w:nsid w:val="63CD74F7"/>
    <w:multiLevelType w:val="multilevel"/>
    <w:tmpl w:val="63CD74F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8A54418"/>
    <w:multiLevelType w:val="multilevel"/>
    <w:tmpl w:val="68A54418"/>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A947FAE"/>
    <w:multiLevelType w:val="multilevel"/>
    <w:tmpl w:val="6A947FA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D9EA21E"/>
    <w:multiLevelType w:val="multilevel"/>
    <w:tmpl w:val="6D9EA21E"/>
    <w:lvl w:ilvl="0" w:tentative="0">
      <w:start w:val="2"/>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4">
    <w:nsid w:val="6E32A5B3"/>
    <w:multiLevelType w:val="singleLevel"/>
    <w:tmpl w:val="6E32A5B3"/>
    <w:lvl w:ilvl="0" w:tentative="0">
      <w:start w:val="5"/>
      <w:numFmt w:val="chineseCounting"/>
      <w:suff w:val="space"/>
      <w:lvlText w:val="第%1章"/>
      <w:lvlJc w:val="left"/>
      <w:rPr>
        <w:rFonts w:hint="eastAsia"/>
      </w:rPr>
    </w:lvl>
  </w:abstractNum>
  <w:abstractNum w:abstractNumId="25">
    <w:nsid w:val="70B224D4"/>
    <w:multiLevelType w:val="multilevel"/>
    <w:tmpl w:val="70B224D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86A0ABB"/>
    <w:multiLevelType w:val="singleLevel"/>
    <w:tmpl w:val="786A0ABB"/>
    <w:lvl w:ilvl="0" w:tentative="0">
      <w:start w:val="1"/>
      <w:numFmt w:val="decimal"/>
      <w:suff w:val="space"/>
      <w:lvlText w:val="%1."/>
      <w:lvlJc w:val="left"/>
    </w:lvl>
  </w:abstractNum>
  <w:abstractNum w:abstractNumId="27">
    <w:nsid w:val="7C191F38"/>
    <w:multiLevelType w:val="multilevel"/>
    <w:tmpl w:val="7C191F3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7DFC74A1"/>
    <w:multiLevelType w:val="multilevel"/>
    <w:tmpl w:val="7DFC74A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1"/>
  </w:num>
  <w:num w:numId="2">
    <w:abstractNumId w:val="12"/>
  </w:num>
  <w:num w:numId="3">
    <w:abstractNumId w:val="13"/>
  </w:num>
  <w:num w:numId="4">
    <w:abstractNumId w:val="4"/>
  </w:num>
  <w:num w:numId="5">
    <w:abstractNumId w:val="24"/>
  </w:num>
  <w:num w:numId="6">
    <w:abstractNumId w:val="1"/>
  </w:num>
  <w:num w:numId="7">
    <w:abstractNumId w:val="9"/>
  </w:num>
  <w:num w:numId="8">
    <w:abstractNumId w:val="18"/>
  </w:num>
  <w:num w:numId="9">
    <w:abstractNumId w:val="0"/>
  </w:num>
  <w:num w:numId="10">
    <w:abstractNumId w:val="23"/>
  </w:num>
  <w:num w:numId="11">
    <w:abstractNumId w:val="10"/>
  </w:num>
  <w:num w:numId="12">
    <w:abstractNumId w:val="8"/>
  </w:num>
  <w:num w:numId="13">
    <w:abstractNumId w:val="21"/>
  </w:num>
  <w:num w:numId="14">
    <w:abstractNumId w:val="25"/>
  </w:num>
  <w:num w:numId="15">
    <w:abstractNumId w:val="28"/>
  </w:num>
  <w:num w:numId="16">
    <w:abstractNumId w:val="15"/>
  </w:num>
  <w:num w:numId="17">
    <w:abstractNumId w:val="17"/>
  </w:num>
  <w:num w:numId="18">
    <w:abstractNumId w:val="20"/>
  </w:num>
  <w:num w:numId="19">
    <w:abstractNumId w:val="27"/>
  </w:num>
  <w:num w:numId="20">
    <w:abstractNumId w:val="22"/>
  </w:num>
  <w:num w:numId="21">
    <w:abstractNumId w:val="6"/>
  </w:num>
  <w:num w:numId="22">
    <w:abstractNumId w:val="16"/>
  </w:num>
  <w:num w:numId="23">
    <w:abstractNumId w:val="7"/>
  </w:num>
  <w:num w:numId="24">
    <w:abstractNumId w:val="3"/>
  </w:num>
  <w:num w:numId="25">
    <w:abstractNumId w:val="2"/>
  </w:num>
  <w:num w:numId="26">
    <w:abstractNumId w:val="26"/>
  </w:num>
  <w:num w:numId="27">
    <w:abstractNumId w:val="19"/>
  </w:num>
  <w:num w:numId="28">
    <w:abstractNumId w:val="5"/>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mMDY2ZDg2YTg3ZjY2NDBlOTg3NDM2MDgxMWIxMWYifQ=="/>
    <w:docVar w:name="KSO_WPS_MARK_KEY" w:val="85912dfa-7903-46f0-a442-d2e34314cc49"/>
  </w:docVars>
  <w:rsids>
    <w:rsidRoot w:val="00B84A4B"/>
    <w:rsid w:val="0000000C"/>
    <w:rsid w:val="00003F39"/>
    <w:rsid w:val="000055A7"/>
    <w:rsid w:val="000061A3"/>
    <w:rsid w:val="00006CD3"/>
    <w:rsid w:val="000101D0"/>
    <w:rsid w:val="00010957"/>
    <w:rsid w:val="0001324C"/>
    <w:rsid w:val="00013BB7"/>
    <w:rsid w:val="000168D1"/>
    <w:rsid w:val="00021227"/>
    <w:rsid w:val="00025234"/>
    <w:rsid w:val="00026705"/>
    <w:rsid w:val="00034116"/>
    <w:rsid w:val="000341C8"/>
    <w:rsid w:val="00035711"/>
    <w:rsid w:val="00037D8C"/>
    <w:rsid w:val="00040811"/>
    <w:rsid w:val="000418A2"/>
    <w:rsid w:val="00041DC7"/>
    <w:rsid w:val="00050EEC"/>
    <w:rsid w:val="00051DDB"/>
    <w:rsid w:val="00052B23"/>
    <w:rsid w:val="00057222"/>
    <w:rsid w:val="00060545"/>
    <w:rsid w:val="00060DD9"/>
    <w:rsid w:val="00061DC6"/>
    <w:rsid w:val="00064C52"/>
    <w:rsid w:val="00066565"/>
    <w:rsid w:val="00070A36"/>
    <w:rsid w:val="0007306B"/>
    <w:rsid w:val="000731BE"/>
    <w:rsid w:val="000745EB"/>
    <w:rsid w:val="00076DFF"/>
    <w:rsid w:val="00076EE6"/>
    <w:rsid w:val="000842B8"/>
    <w:rsid w:val="00085B1B"/>
    <w:rsid w:val="000872D2"/>
    <w:rsid w:val="00087601"/>
    <w:rsid w:val="000903D1"/>
    <w:rsid w:val="000928FD"/>
    <w:rsid w:val="00092F02"/>
    <w:rsid w:val="00094B65"/>
    <w:rsid w:val="00095667"/>
    <w:rsid w:val="00096117"/>
    <w:rsid w:val="00096EAD"/>
    <w:rsid w:val="00097089"/>
    <w:rsid w:val="000A01EA"/>
    <w:rsid w:val="000A071C"/>
    <w:rsid w:val="000A3DFA"/>
    <w:rsid w:val="000B0060"/>
    <w:rsid w:val="000B29BD"/>
    <w:rsid w:val="000B3634"/>
    <w:rsid w:val="000B4414"/>
    <w:rsid w:val="000B484B"/>
    <w:rsid w:val="000C2D53"/>
    <w:rsid w:val="000C5B62"/>
    <w:rsid w:val="000C709E"/>
    <w:rsid w:val="000D0D6B"/>
    <w:rsid w:val="000D38A7"/>
    <w:rsid w:val="000D4459"/>
    <w:rsid w:val="000D49E9"/>
    <w:rsid w:val="000D5742"/>
    <w:rsid w:val="000D6C22"/>
    <w:rsid w:val="000E0FEF"/>
    <w:rsid w:val="000E328F"/>
    <w:rsid w:val="000E41E9"/>
    <w:rsid w:val="000E595B"/>
    <w:rsid w:val="000E5D80"/>
    <w:rsid w:val="000F3140"/>
    <w:rsid w:val="000F469A"/>
    <w:rsid w:val="000F50C9"/>
    <w:rsid w:val="001025FE"/>
    <w:rsid w:val="00107187"/>
    <w:rsid w:val="0010745E"/>
    <w:rsid w:val="00107574"/>
    <w:rsid w:val="00112BB6"/>
    <w:rsid w:val="00112D35"/>
    <w:rsid w:val="00115978"/>
    <w:rsid w:val="00117679"/>
    <w:rsid w:val="00122417"/>
    <w:rsid w:val="001231BA"/>
    <w:rsid w:val="00123EEF"/>
    <w:rsid w:val="00125070"/>
    <w:rsid w:val="00125EF3"/>
    <w:rsid w:val="0014090C"/>
    <w:rsid w:val="00144667"/>
    <w:rsid w:val="001544DE"/>
    <w:rsid w:val="0015519B"/>
    <w:rsid w:val="00155A3D"/>
    <w:rsid w:val="00161561"/>
    <w:rsid w:val="0016283A"/>
    <w:rsid w:val="00163844"/>
    <w:rsid w:val="00164C5A"/>
    <w:rsid w:val="00170ECC"/>
    <w:rsid w:val="00171AE6"/>
    <w:rsid w:val="001753B5"/>
    <w:rsid w:val="001756BC"/>
    <w:rsid w:val="00187838"/>
    <w:rsid w:val="0019624A"/>
    <w:rsid w:val="001A1F40"/>
    <w:rsid w:val="001A46F9"/>
    <w:rsid w:val="001A5707"/>
    <w:rsid w:val="001A65FE"/>
    <w:rsid w:val="001A67D2"/>
    <w:rsid w:val="001A773F"/>
    <w:rsid w:val="001B0D45"/>
    <w:rsid w:val="001B33C5"/>
    <w:rsid w:val="001B7960"/>
    <w:rsid w:val="001C1977"/>
    <w:rsid w:val="001C3ADD"/>
    <w:rsid w:val="001C4B73"/>
    <w:rsid w:val="001C6FF6"/>
    <w:rsid w:val="001C7543"/>
    <w:rsid w:val="001D0B14"/>
    <w:rsid w:val="001D2332"/>
    <w:rsid w:val="001D2904"/>
    <w:rsid w:val="001D3334"/>
    <w:rsid w:val="001D6064"/>
    <w:rsid w:val="001E04BA"/>
    <w:rsid w:val="001E1631"/>
    <w:rsid w:val="001E1CCD"/>
    <w:rsid w:val="001E1D6C"/>
    <w:rsid w:val="001E21A0"/>
    <w:rsid w:val="001E359C"/>
    <w:rsid w:val="001E5904"/>
    <w:rsid w:val="001E6075"/>
    <w:rsid w:val="001E68DA"/>
    <w:rsid w:val="001E72CB"/>
    <w:rsid w:val="001F296B"/>
    <w:rsid w:val="00205189"/>
    <w:rsid w:val="0020613E"/>
    <w:rsid w:val="00206BDA"/>
    <w:rsid w:val="00212E28"/>
    <w:rsid w:val="00214444"/>
    <w:rsid w:val="002205F8"/>
    <w:rsid w:val="0022080D"/>
    <w:rsid w:val="00221992"/>
    <w:rsid w:val="00222271"/>
    <w:rsid w:val="00222E97"/>
    <w:rsid w:val="00224928"/>
    <w:rsid w:val="0023433B"/>
    <w:rsid w:val="00234B80"/>
    <w:rsid w:val="00235609"/>
    <w:rsid w:val="00235AA7"/>
    <w:rsid w:val="00242889"/>
    <w:rsid w:val="00245EF9"/>
    <w:rsid w:val="002502C0"/>
    <w:rsid w:val="002514A5"/>
    <w:rsid w:val="00254103"/>
    <w:rsid w:val="0025600F"/>
    <w:rsid w:val="002560BB"/>
    <w:rsid w:val="0025793C"/>
    <w:rsid w:val="002609C3"/>
    <w:rsid w:val="00261C03"/>
    <w:rsid w:val="002621C3"/>
    <w:rsid w:val="0026270C"/>
    <w:rsid w:val="002640C4"/>
    <w:rsid w:val="00264494"/>
    <w:rsid w:val="00264AF4"/>
    <w:rsid w:val="00267768"/>
    <w:rsid w:val="00267BA8"/>
    <w:rsid w:val="00270F8F"/>
    <w:rsid w:val="00272B0D"/>
    <w:rsid w:val="00280BF8"/>
    <w:rsid w:val="00282D23"/>
    <w:rsid w:val="0028541C"/>
    <w:rsid w:val="00287077"/>
    <w:rsid w:val="0029674C"/>
    <w:rsid w:val="00297589"/>
    <w:rsid w:val="002A66C8"/>
    <w:rsid w:val="002A768F"/>
    <w:rsid w:val="002B2372"/>
    <w:rsid w:val="002B2916"/>
    <w:rsid w:val="002B2981"/>
    <w:rsid w:val="002B3635"/>
    <w:rsid w:val="002B5F26"/>
    <w:rsid w:val="002C04DF"/>
    <w:rsid w:val="002C2E26"/>
    <w:rsid w:val="002C4CB2"/>
    <w:rsid w:val="002C68F3"/>
    <w:rsid w:val="002C7FFE"/>
    <w:rsid w:val="002D02D8"/>
    <w:rsid w:val="002D1560"/>
    <w:rsid w:val="002D4999"/>
    <w:rsid w:val="002D54EF"/>
    <w:rsid w:val="002D57BA"/>
    <w:rsid w:val="002D68B1"/>
    <w:rsid w:val="002E0363"/>
    <w:rsid w:val="002E1829"/>
    <w:rsid w:val="002E33A0"/>
    <w:rsid w:val="002E5927"/>
    <w:rsid w:val="002E6A68"/>
    <w:rsid w:val="002F07F2"/>
    <w:rsid w:val="002F1320"/>
    <w:rsid w:val="002F195A"/>
    <w:rsid w:val="002F2295"/>
    <w:rsid w:val="002F4930"/>
    <w:rsid w:val="002F51C2"/>
    <w:rsid w:val="002F5C99"/>
    <w:rsid w:val="002F6150"/>
    <w:rsid w:val="002F6FC0"/>
    <w:rsid w:val="00303064"/>
    <w:rsid w:val="00304D98"/>
    <w:rsid w:val="003053F3"/>
    <w:rsid w:val="003105FC"/>
    <w:rsid w:val="00310DC8"/>
    <w:rsid w:val="00312EE6"/>
    <w:rsid w:val="00321AA9"/>
    <w:rsid w:val="003226FC"/>
    <w:rsid w:val="00322CBF"/>
    <w:rsid w:val="00326626"/>
    <w:rsid w:val="00331647"/>
    <w:rsid w:val="00331EAB"/>
    <w:rsid w:val="00332610"/>
    <w:rsid w:val="003334ED"/>
    <w:rsid w:val="00335023"/>
    <w:rsid w:val="003355E6"/>
    <w:rsid w:val="00335773"/>
    <w:rsid w:val="00336804"/>
    <w:rsid w:val="00337745"/>
    <w:rsid w:val="0033775A"/>
    <w:rsid w:val="00337BD7"/>
    <w:rsid w:val="00341094"/>
    <w:rsid w:val="0035138A"/>
    <w:rsid w:val="00351820"/>
    <w:rsid w:val="00354E35"/>
    <w:rsid w:val="003551D0"/>
    <w:rsid w:val="0035568C"/>
    <w:rsid w:val="003560DF"/>
    <w:rsid w:val="00356C2A"/>
    <w:rsid w:val="003625BF"/>
    <w:rsid w:val="00362C04"/>
    <w:rsid w:val="00364662"/>
    <w:rsid w:val="00370683"/>
    <w:rsid w:val="00371D3A"/>
    <w:rsid w:val="00375C68"/>
    <w:rsid w:val="003809BB"/>
    <w:rsid w:val="00380F84"/>
    <w:rsid w:val="00382EC7"/>
    <w:rsid w:val="00383722"/>
    <w:rsid w:val="00387DA5"/>
    <w:rsid w:val="003912BA"/>
    <w:rsid w:val="00393C82"/>
    <w:rsid w:val="00396797"/>
    <w:rsid w:val="00396840"/>
    <w:rsid w:val="003A3CE2"/>
    <w:rsid w:val="003B0AED"/>
    <w:rsid w:val="003B2981"/>
    <w:rsid w:val="003B35FF"/>
    <w:rsid w:val="003B7A94"/>
    <w:rsid w:val="003B7BAF"/>
    <w:rsid w:val="003C40C2"/>
    <w:rsid w:val="003C6106"/>
    <w:rsid w:val="003C6E53"/>
    <w:rsid w:val="003C7C40"/>
    <w:rsid w:val="003D1620"/>
    <w:rsid w:val="003D37EC"/>
    <w:rsid w:val="003D6D07"/>
    <w:rsid w:val="003D6E10"/>
    <w:rsid w:val="003E0C3D"/>
    <w:rsid w:val="003E1DF5"/>
    <w:rsid w:val="003E2B97"/>
    <w:rsid w:val="003E3912"/>
    <w:rsid w:val="003E5B7E"/>
    <w:rsid w:val="003E716B"/>
    <w:rsid w:val="003E7B0A"/>
    <w:rsid w:val="003E7DFD"/>
    <w:rsid w:val="003F072D"/>
    <w:rsid w:val="00400331"/>
    <w:rsid w:val="004005A1"/>
    <w:rsid w:val="004037CA"/>
    <w:rsid w:val="004065A8"/>
    <w:rsid w:val="00407332"/>
    <w:rsid w:val="004073EC"/>
    <w:rsid w:val="00414B1D"/>
    <w:rsid w:val="0041607F"/>
    <w:rsid w:val="00420A99"/>
    <w:rsid w:val="00421E73"/>
    <w:rsid w:val="00425C72"/>
    <w:rsid w:val="00426035"/>
    <w:rsid w:val="00427E06"/>
    <w:rsid w:val="004305AD"/>
    <w:rsid w:val="00431DB8"/>
    <w:rsid w:val="00434B34"/>
    <w:rsid w:val="00434E15"/>
    <w:rsid w:val="004352EE"/>
    <w:rsid w:val="00437E96"/>
    <w:rsid w:val="00441FA2"/>
    <w:rsid w:val="00444E1E"/>
    <w:rsid w:val="00447D08"/>
    <w:rsid w:val="00450910"/>
    <w:rsid w:val="00454851"/>
    <w:rsid w:val="00455B07"/>
    <w:rsid w:val="00456D8B"/>
    <w:rsid w:val="0045746B"/>
    <w:rsid w:val="00463287"/>
    <w:rsid w:val="00463690"/>
    <w:rsid w:val="004700BB"/>
    <w:rsid w:val="0047092E"/>
    <w:rsid w:val="00471598"/>
    <w:rsid w:val="0047263B"/>
    <w:rsid w:val="00477D63"/>
    <w:rsid w:val="00480A55"/>
    <w:rsid w:val="00481C86"/>
    <w:rsid w:val="004831A1"/>
    <w:rsid w:val="0048333D"/>
    <w:rsid w:val="00485598"/>
    <w:rsid w:val="00485F05"/>
    <w:rsid w:val="004915A0"/>
    <w:rsid w:val="00491BDE"/>
    <w:rsid w:val="00495963"/>
    <w:rsid w:val="004A3C9F"/>
    <w:rsid w:val="004A5264"/>
    <w:rsid w:val="004A5295"/>
    <w:rsid w:val="004A7824"/>
    <w:rsid w:val="004A7BB6"/>
    <w:rsid w:val="004B1729"/>
    <w:rsid w:val="004B1E6A"/>
    <w:rsid w:val="004B39EB"/>
    <w:rsid w:val="004B50B3"/>
    <w:rsid w:val="004C1014"/>
    <w:rsid w:val="004C61EF"/>
    <w:rsid w:val="004C683F"/>
    <w:rsid w:val="004C6C21"/>
    <w:rsid w:val="004C6DD6"/>
    <w:rsid w:val="004C6FAE"/>
    <w:rsid w:val="004C77DE"/>
    <w:rsid w:val="004D2938"/>
    <w:rsid w:val="004D3E12"/>
    <w:rsid w:val="004D4AEB"/>
    <w:rsid w:val="004D5B53"/>
    <w:rsid w:val="004D6DF8"/>
    <w:rsid w:val="004E3AAC"/>
    <w:rsid w:val="004E583F"/>
    <w:rsid w:val="004E6BBE"/>
    <w:rsid w:val="004F4DD8"/>
    <w:rsid w:val="004F5D90"/>
    <w:rsid w:val="004F6527"/>
    <w:rsid w:val="00501457"/>
    <w:rsid w:val="0050153F"/>
    <w:rsid w:val="005020E2"/>
    <w:rsid w:val="00503064"/>
    <w:rsid w:val="00503114"/>
    <w:rsid w:val="00503A4E"/>
    <w:rsid w:val="00505528"/>
    <w:rsid w:val="0050570F"/>
    <w:rsid w:val="005062A7"/>
    <w:rsid w:val="00506394"/>
    <w:rsid w:val="00506D59"/>
    <w:rsid w:val="0050713E"/>
    <w:rsid w:val="0051520B"/>
    <w:rsid w:val="00515B3C"/>
    <w:rsid w:val="00517EE3"/>
    <w:rsid w:val="005313F6"/>
    <w:rsid w:val="005324F4"/>
    <w:rsid w:val="00533BE4"/>
    <w:rsid w:val="00534570"/>
    <w:rsid w:val="005347CC"/>
    <w:rsid w:val="00537D1A"/>
    <w:rsid w:val="005405F9"/>
    <w:rsid w:val="005460A2"/>
    <w:rsid w:val="005479A7"/>
    <w:rsid w:val="00551DEA"/>
    <w:rsid w:val="00552420"/>
    <w:rsid w:val="00552B00"/>
    <w:rsid w:val="0055381C"/>
    <w:rsid w:val="005557AC"/>
    <w:rsid w:val="00556020"/>
    <w:rsid w:val="005637F9"/>
    <w:rsid w:val="00565714"/>
    <w:rsid w:val="00570418"/>
    <w:rsid w:val="0057173D"/>
    <w:rsid w:val="00572E23"/>
    <w:rsid w:val="00577E0E"/>
    <w:rsid w:val="00580D0A"/>
    <w:rsid w:val="0058237A"/>
    <w:rsid w:val="00584752"/>
    <w:rsid w:val="00584DB0"/>
    <w:rsid w:val="00586881"/>
    <w:rsid w:val="005904C1"/>
    <w:rsid w:val="00590BA0"/>
    <w:rsid w:val="0059475A"/>
    <w:rsid w:val="005A2E80"/>
    <w:rsid w:val="005A38CB"/>
    <w:rsid w:val="005A4373"/>
    <w:rsid w:val="005A5EEA"/>
    <w:rsid w:val="005A638B"/>
    <w:rsid w:val="005A68BE"/>
    <w:rsid w:val="005B48A5"/>
    <w:rsid w:val="005C0DB0"/>
    <w:rsid w:val="005C1B93"/>
    <w:rsid w:val="005C615D"/>
    <w:rsid w:val="005D3597"/>
    <w:rsid w:val="005D6125"/>
    <w:rsid w:val="005D6845"/>
    <w:rsid w:val="005D6D3F"/>
    <w:rsid w:val="005E0900"/>
    <w:rsid w:val="005E0D35"/>
    <w:rsid w:val="005E3E7E"/>
    <w:rsid w:val="005E718D"/>
    <w:rsid w:val="005E7BAC"/>
    <w:rsid w:val="005F30CF"/>
    <w:rsid w:val="005F3E3E"/>
    <w:rsid w:val="005F4DE6"/>
    <w:rsid w:val="005F53E9"/>
    <w:rsid w:val="005F5641"/>
    <w:rsid w:val="005F727A"/>
    <w:rsid w:val="00601CBA"/>
    <w:rsid w:val="00607390"/>
    <w:rsid w:val="00611294"/>
    <w:rsid w:val="006118F9"/>
    <w:rsid w:val="00614E4A"/>
    <w:rsid w:val="006160E6"/>
    <w:rsid w:val="006178FC"/>
    <w:rsid w:val="00622D2B"/>
    <w:rsid w:val="006257ED"/>
    <w:rsid w:val="00633EED"/>
    <w:rsid w:val="00634D82"/>
    <w:rsid w:val="006402A0"/>
    <w:rsid w:val="00642A95"/>
    <w:rsid w:val="0064395F"/>
    <w:rsid w:val="00645271"/>
    <w:rsid w:val="00645C0A"/>
    <w:rsid w:val="00645DEE"/>
    <w:rsid w:val="006518AB"/>
    <w:rsid w:val="00652E37"/>
    <w:rsid w:val="00652E9C"/>
    <w:rsid w:val="00653188"/>
    <w:rsid w:val="00654413"/>
    <w:rsid w:val="006613F3"/>
    <w:rsid w:val="00661A8F"/>
    <w:rsid w:val="0066349B"/>
    <w:rsid w:val="00663760"/>
    <w:rsid w:val="006637C3"/>
    <w:rsid w:val="00664BC9"/>
    <w:rsid w:val="00666E3A"/>
    <w:rsid w:val="00671DF7"/>
    <w:rsid w:val="00671FE9"/>
    <w:rsid w:val="00681169"/>
    <w:rsid w:val="00682392"/>
    <w:rsid w:val="0068361E"/>
    <w:rsid w:val="00683BCE"/>
    <w:rsid w:val="00684C44"/>
    <w:rsid w:val="00684F46"/>
    <w:rsid w:val="00685292"/>
    <w:rsid w:val="006875D3"/>
    <w:rsid w:val="00691EC2"/>
    <w:rsid w:val="006A0A3E"/>
    <w:rsid w:val="006A0E26"/>
    <w:rsid w:val="006A3547"/>
    <w:rsid w:val="006A748C"/>
    <w:rsid w:val="006B1DBD"/>
    <w:rsid w:val="006B2254"/>
    <w:rsid w:val="006B2691"/>
    <w:rsid w:val="006B3E32"/>
    <w:rsid w:val="006B4872"/>
    <w:rsid w:val="006B4C01"/>
    <w:rsid w:val="006C21C2"/>
    <w:rsid w:val="006C2BD9"/>
    <w:rsid w:val="006C3E4A"/>
    <w:rsid w:val="006C4946"/>
    <w:rsid w:val="006D2862"/>
    <w:rsid w:val="006D2F2D"/>
    <w:rsid w:val="006D3A8F"/>
    <w:rsid w:val="006E1617"/>
    <w:rsid w:val="006E2812"/>
    <w:rsid w:val="006E3091"/>
    <w:rsid w:val="006E5349"/>
    <w:rsid w:val="006E76F6"/>
    <w:rsid w:val="006F2707"/>
    <w:rsid w:val="006F2FA3"/>
    <w:rsid w:val="006F31A0"/>
    <w:rsid w:val="006F7E45"/>
    <w:rsid w:val="007004EE"/>
    <w:rsid w:val="00700A41"/>
    <w:rsid w:val="00700B0E"/>
    <w:rsid w:val="0070101C"/>
    <w:rsid w:val="007057FE"/>
    <w:rsid w:val="00713796"/>
    <w:rsid w:val="007148B4"/>
    <w:rsid w:val="007201D9"/>
    <w:rsid w:val="00720AF7"/>
    <w:rsid w:val="00721A59"/>
    <w:rsid w:val="007238F0"/>
    <w:rsid w:val="00731EBE"/>
    <w:rsid w:val="00736ADE"/>
    <w:rsid w:val="0074231A"/>
    <w:rsid w:val="00743683"/>
    <w:rsid w:val="00744281"/>
    <w:rsid w:val="00746075"/>
    <w:rsid w:val="00750624"/>
    <w:rsid w:val="0075641A"/>
    <w:rsid w:val="007606CB"/>
    <w:rsid w:val="00760C9B"/>
    <w:rsid w:val="00761B52"/>
    <w:rsid w:val="00762352"/>
    <w:rsid w:val="00762981"/>
    <w:rsid w:val="00763145"/>
    <w:rsid w:val="0076328B"/>
    <w:rsid w:val="007635C9"/>
    <w:rsid w:val="007640DA"/>
    <w:rsid w:val="00765855"/>
    <w:rsid w:val="00766147"/>
    <w:rsid w:val="00767B42"/>
    <w:rsid w:val="00767CFD"/>
    <w:rsid w:val="00770B94"/>
    <w:rsid w:val="007719B0"/>
    <w:rsid w:val="00774329"/>
    <w:rsid w:val="00775CA1"/>
    <w:rsid w:val="00777800"/>
    <w:rsid w:val="00780E5A"/>
    <w:rsid w:val="00781A22"/>
    <w:rsid w:val="007864B4"/>
    <w:rsid w:val="007879A0"/>
    <w:rsid w:val="00791E27"/>
    <w:rsid w:val="00792C79"/>
    <w:rsid w:val="00794504"/>
    <w:rsid w:val="00795BC7"/>
    <w:rsid w:val="00797426"/>
    <w:rsid w:val="007A12EC"/>
    <w:rsid w:val="007A1EF5"/>
    <w:rsid w:val="007A20BF"/>
    <w:rsid w:val="007A3F7D"/>
    <w:rsid w:val="007A557B"/>
    <w:rsid w:val="007A6A07"/>
    <w:rsid w:val="007B1A4F"/>
    <w:rsid w:val="007B26B4"/>
    <w:rsid w:val="007B66F4"/>
    <w:rsid w:val="007C2E06"/>
    <w:rsid w:val="007C321C"/>
    <w:rsid w:val="007C6A5B"/>
    <w:rsid w:val="007C6E5E"/>
    <w:rsid w:val="007C7051"/>
    <w:rsid w:val="007C76C2"/>
    <w:rsid w:val="007C77A9"/>
    <w:rsid w:val="007C7C64"/>
    <w:rsid w:val="007D092C"/>
    <w:rsid w:val="007D13D3"/>
    <w:rsid w:val="007D41BF"/>
    <w:rsid w:val="007D450D"/>
    <w:rsid w:val="007E1517"/>
    <w:rsid w:val="007E4CE2"/>
    <w:rsid w:val="007E5915"/>
    <w:rsid w:val="007F365A"/>
    <w:rsid w:val="007F3FB9"/>
    <w:rsid w:val="007F5E18"/>
    <w:rsid w:val="008006B8"/>
    <w:rsid w:val="0080168D"/>
    <w:rsid w:val="008016FC"/>
    <w:rsid w:val="008028C2"/>
    <w:rsid w:val="00806525"/>
    <w:rsid w:val="008123E7"/>
    <w:rsid w:val="00813D3A"/>
    <w:rsid w:val="008151D5"/>
    <w:rsid w:val="00815CB9"/>
    <w:rsid w:val="00816AA9"/>
    <w:rsid w:val="008252C7"/>
    <w:rsid w:val="00825520"/>
    <w:rsid w:val="00826B8A"/>
    <w:rsid w:val="00831D84"/>
    <w:rsid w:val="00831F29"/>
    <w:rsid w:val="008321D7"/>
    <w:rsid w:val="008334EF"/>
    <w:rsid w:val="00833DB0"/>
    <w:rsid w:val="008358F2"/>
    <w:rsid w:val="0083685D"/>
    <w:rsid w:val="00836F69"/>
    <w:rsid w:val="00845A9B"/>
    <w:rsid w:val="00847541"/>
    <w:rsid w:val="008529EC"/>
    <w:rsid w:val="008544A2"/>
    <w:rsid w:val="008544AB"/>
    <w:rsid w:val="00860CA6"/>
    <w:rsid w:val="00861526"/>
    <w:rsid w:val="0086204A"/>
    <w:rsid w:val="00863450"/>
    <w:rsid w:val="008636C7"/>
    <w:rsid w:val="00864EDA"/>
    <w:rsid w:val="00870BFA"/>
    <w:rsid w:val="008710BD"/>
    <w:rsid w:val="00874528"/>
    <w:rsid w:val="008755BD"/>
    <w:rsid w:val="00876059"/>
    <w:rsid w:val="00876E1F"/>
    <w:rsid w:val="00877674"/>
    <w:rsid w:val="0088318B"/>
    <w:rsid w:val="008848D7"/>
    <w:rsid w:val="00885874"/>
    <w:rsid w:val="00887192"/>
    <w:rsid w:val="0088794D"/>
    <w:rsid w:val="00887BB9"/>
    <w:rsid w:val="0089170D"/>
    <w:rsid w:val="00891EF5"/>
    <w:rsid w:val="00892267"/>
    <w:rsid w:val="008940C8"/>
    <w:rsid w:val="00896923"/>
    <w:rsid w:val="008A0115"/>
    <w:rsid w:val="008B0361"/>
    <w:rsid w:val="008B0A2B"/>
    <w:rsid w:val="008B3FCB"/>
    <w:rsid w:val="008C1F83"/>
    <w:rsid w:val="008C206D"/>
    <w:rsid w:val="008C557E"/>
    <w:rsid w:val="008D0746"/>
    <w:rsid w:val="008D104E"/>
    <w:rsid w:val="008D2D2E"/>
    <w:rsid w:val="008D302C"/>
    <w:rsid w:val="008E321A"/>
    <w:rsid w:val="008E6280"/>
    <w:rsid w:val="008F02DF"/>
    <w:rsid w:val="008F2538"/>
    <w:rsid w:val="008F65AB"/>
    <w:rsid w:val="00905F37"/>
    <w:rsid w:val="00907208"/>
    <w:rsid w:val="0090745E"/>
    <w:rsid w:val="009122F6"/>
    <w:rsid w:val="00915BC1"/>
    <w:rsid w:val="009169A6"/>
    <w:rsid w:val="00925CF3"/>
    <w:rsid w:val="009275BE"/>
    <w:rsid w:val="00927F55"/>
    <w:rsid w:val="00931449"/>
    <w:rsid w:val="00932A62"/>
    <w:rsid w:val="00936737"/>
    <w:rsid w:val="00937ED9"/>
    <w:rsid w:val="00943FE6"/>
    <w:rsid w:val="00946D8A"/>
    <w:rsid w:val="009536BD"/>
    <w:rsid w:val="00957D13"/>
    <w:rsid w:val="0096236A"/>
    <w:rsid w:val="00962A70"/>
    <w:rsid w:val="009641B1"/>
    <w:rsid w:val="009654D8"/>
    <w:rsid w:val="00967A73"/>
    <w:rsid w:val="00975BDE"/>
    <w:rsid w:val="0097638A"/>
    <w:rsid w:val="00983FFD"/>
    <w:rsid w:val="00985449"/>
    <w:rsid w:val="009869D2"/>
    <w:rsid w:val="00994AC0"/>
    <w:rsid w:val="00996EDA"/>
    <w:rsid w:val="00997CD7"/>
    <w:rsid w:val="009A15D0"/>
    <w:rsid w:val="009A343C"/>
    <w:rsid w:val="009B1144"/>
    <w:rsid w:val="009B261F"/>
    <w:rsid w:val="009B30AD"/>
    <w:rsid w:val="009B3513"/>
    <w:rsid w:val="009B6FBE"/>
    <w:rsid w:val="009C35AE"/>
    <w:rsid w:val="009C458D"/>
    <w:rsid w:val="009C4B8C"/>
    <w:rsid w:val="009C61DD"/>
    <w:rsid w:val="009D0595"/>
    <w:rsid w:val="009D0DD5"/>
    <w:rsid w:val="009D1105"/>
    <w:rsid w:val="009D1E71"/>
    <w:rsid w:val="009E2FCC"/>
    <w:rsid w:val="009E460F"/>
    <w:rsid w:val="009E4E20"/>
    <w:rsid w:val="009F0F99"/>
    <w:rsid w:val="009F39B9"/>
    <w:rsid w:val="009F48B8"/>
    <w:rsid w:val="009F640F"/>
    <w:rsid w:val="009F7CF3"/>
    <w:rsid w:val="00A00061"/>
    <w:rsid w:val="00A01463"/>
    <w:rsid w:val="00A020BC"/>
    <w:rsid w:val="00A03239"/>
    <w:rsid w:val="00A03D69"/>
    <w:rsid w:val="00A06C7D"/>
    <w:rsid w:val="00A1451D"/>
    <w:rsid w:val="00A171A5"/>
    <w:rsid w:val="00A1725D"/>
    <w:rsid w:val="00A20F84"/>
    <w:rsid w:val="00A21390"/>
    <w:rsid w:val="00A23E2E"/>
    <w:rsid w:val="00A26381"/>
    <w:rsid w:val="00A313FA"/>
    <w:rsid w:val="00A32770"/>
    <w:rsid w:val="00A34412"/>
    <w:rsid w:val="00A35787"/>
    <w:rsid w:val="00A41A61"/>
    <w:rsid w:val="00A42294"/>
    <w:rsid w:val="00A439E2"/>
    <w:rsid w:val="00A4562A"/>
    <w:rsid w:val="00A55487"/>
    <w:rsid w:val="00A57BA6"/>
    <w:rsid w:val="00A57D97"/>
    <w:rsid w:val="00A57ED8"/>
    <w:rsid w:val="00A60505"/>
    <w:rsid w:val="00A61A9C"/>
    <w:rsid w:val="00A64A15"/>
    <w:rsid w:val="00A72602"/>
    <w:rsid w:val="00A73664"/>
    <w:rsid w:val="00A73F85"/>
    <w:rsid w:val="00A7624D"/>
    <w:rsid w:val="00A8022F"/>
    <w:rsid w:val="00A8751A"/>
    <w:rsid w:val="00A9021E"/>
    <w:rsid w:val="00A92F04"/>
    <w:rsid w:val="00A96E27"/>
    <w:rsid w:val="00A978B3"/>
    <w:rsid w:val="00AA1A7D"/>
    <w:rsid w:val="00AA5D2A"/>
    <w:rsid w:val="00AA7A21"/>
    <w:rsid w:val="00AB33D0"/>
    <w:rsid w:val="00AB3E1B"/>
    <w:rsid w:val="00AB4604"/>
    <w:rsid w:val="00AB46E8"/>
    <w:rsid w:val="00AB7729"/>
    <w:rsid w:val="00AC27CC"/>
    <w:rsid w:val="00AC4DCF"/>
    <w:rsid w:val="00AC7036"/>
    <w:rsid w:val="00AD1922"/>
    <w:rsid w:val="00AD2A29"/>
    <w:rsid w:val="00AE0F9F"/>
    <w:rsid w:val="00AE29E4"/>
    <w:rsid w:val="00AE4B89"/>
    <w:rsid w:val="00AE766B"/>
    <w:rsid w:val="00AE7B50"/>
    <w:rsid w:val="00AF14B0"/>
    <w:rsid w:val="00AF23C8"/>
    <w:rsid w:val="00AF2870"/>
    <w:rsid w:val="00B0403A"/>
    <w:rsid w:val="00B054B4"/>
    <w:rsid w:val="00B123AA"/>
    <w:rsid w:val="00B1317F"/>
    <w:rsid w:val="00B1330E"/>
    <w:rsid w:val="00B14667"/>
    <w:rsid w:val="00B20685"/>
    <w:rsid w:val="00B21A97"/>
    <w:rsid w:val="00B25B71"/>
    <w:rsid w:val="00B25CA2"/>
    <w:rsid w:val="00B31EC6"/>
    <w:rsid w:val="00B32BE0"/>
    <w:rsid w:val="00B3473A"/>
    <w:rsid w:val="00B35AAB"/>
    <w:rsid w:val="00B415CB"/>
    <w:rsid w:val="00B41820"/>
    <w:rsid w:val="00B449FD"/>
    <w:rsid w:val="00B5159B"/>
    <w:rsid w:val="00B56201"/>
    <w:rsid w:val="00B56F53"/>
    <w:rsid w:val="00B61C30"/>
    <w:rsid w:val="00B627BB"/>
    <w:rsid w:val="00B637B6"/>
    <w:rsid w:val="00B67BF8"/>
    <w:rsid w:val="00B71896"/>
    <w:rsid w:val="00B72399"/>
    <w:rsid w:val="00B72604"/>
    <w:rsid w:val="00B752D3"/>
    <w:rsid w:val="00B759FD"/>
    <w:rsid w:val="00B81B6A"/>
    <w:rsid w:val="00B837C0"/>
    <w:rsid w:val="00B84A4B"/>
    <w:rsid w:val="00B86764"/>
    <w:rsid w:val="00B937F5"/>
    <w:rsid w:val="00B942BE"/>
    <w:rsid w:val="00B94794"/>
    <w:rsid w:val="00B95D3C"/>
    <w:rsid w:val="00B97A2E"/>
    <w:rsid w:val="00BA0565"/>
    <w:rsid w:val="00BB11A3"/>
    <w:rsid w:val="00BB213A"/>
    <w:rsid w:val="00BB35BE"/>
    <w:rsid w:val="00BB41F5"/>
    <w:rsid w:val="00BB4B09"/>
    <w:rsid w:val="00BB6A99"/>
    <w:rsid w:val="00BC09FF"/>
    <w:rsid w:val="00BC1207"/>
    <w:rsid w:val="00BC184D"/>
    <w:rsid w:val="00BC2819"/>
    <w:rsid w:val="00BD3328"/>
    <w:rsid w:val="00BD3409"/>
    <w:rsid w:val="00BD347A"/>
    <w:rsid w:val="00BD4068"/>
    <w:rsid w:val="00BE056D"/>
    <w:rsid w:val="00BE0C09"/>
    <w:rsid w:val="00BE1729"/>
    <w:rsid w:val="00BE31A7"/>
    <w:rsid w:val="00BE770C"/>
    <w:rsid w:val="00BF378C"/>
    <w:rsid w:val="00BF4267"/>
    <w:rsid w:val="00BF4BB7"/>
    <w:rsid w:val="00BF5357"/>
    <w:rsid w:val="00BF78CA"/>
    <w:rsid w:val="00BF7B5C"/>
    <w:rsid w:val="00C01382"/>
    <w:rsid w:val="00C01F60"/>
    <w:rsid w:val="00C026CB"/>
    <w:rsid w:val="00C02AAA"/>
    <w:rsid w:val="00C04D04"/>
    <w:rsid w:val="00C07435"/>
    <w:rsid w:val="00C10019"/>
    <w:rsid w:val="00C1017F"/>
    <w:rsid w:val="00C11EED"/>
    <w:rsid w:val="00C1355C"/>
    <w:rsid w:val="00C13DF7"/>
    <w:rsid w:val="00C21EBD"/>
    <w:rsid w:val="00C25DBA"/>
    <w:rsid w:val="00C31E4D"/>
    <w:rsid w:val="00C3307A"/>
    <w:rsid w:val="00C3353A"/>
    <w:rsid w:val="00C34732"/>
    <w:rsid w:val="00C40E24"/>
    <w:rsid w:val="00C43B5E"/>
    <w:rsid w:val="00C4487A"/>
    <w:rsid w:val="00C451F1"/>
    <w:rsid w:val="00C47176"/>
    <w:rsid w:val="00C50D29"/>
    <w:rsid w:val="00C51EC4"/>
    <w:rsid w:val="00C55672"/>
    <w:rsid w:val="00C5579B"/>
    <w:rsid w:val="00C663D8"/>
    <w:rsid w:val="00C676D6"/>
    <w:rsid w:val="00C72BE9"/>
    <w:rsid w:val="00C75532"/>
    <w:rsid w:val="00C77EB4"/>
    <w:rsid w:val="00C81AE4"/>
    <w:rsid w:val="00C820C7"/>
    <w:rsid w:val="00C84725"/>
    <w:rsid w:val="00C84F54"/>
    <w:rsid w:val="00C87567"/>
    <w:rsid w:val="00C87F57"/>
    <w:rsid w:val="00C905E6"/>
    <w:rsid w:val="00C93E28"/>
    <w:rsid w:val="00C96474"/>
    <w:rsid w:val="00CA0229"/>
    <w:rsid w:val="00CA10BF"/>
    <w:rsid w:val="00CA10C4"/>
    <w:rsid w:val="00CA37EF"/>
    <w:rsid w:val="00CA42D4"/>
    <w:rsid w:val="00CA627F"/>
    <w:rsid w:val="00CB0143"/>
    <w:rsid w:val="00CB2494"/>
    <w:rsid w:val="00CB354D"/>
    <w:rsid w:val="00CB4506"/>
    <w:rsid w:val="00CB46A6"/>
    <w:rsid w:val="00CB4ECA"/>
    <w:rsid w:val="00CC0907"/>
    <w:rsid w:val="00CC134E"/>
    <w:rsid w:val="00CC1FD2"/>
    <w:rsid w:val="00CC4476"/>
    <w:rsid w:val="00CC6600"/>
    <w:rsid w:val="00CD14DE"/>
    <w:rsid w:val="00CD150C"/>
    <w:rsid w:val="00CD2D72"/>
    <w:rsid w:val="00CD44D7"/>
    <w:rsid w:val="00CD62ED"/>
    <w:rsid w:val="00CD6913"/>
    <w:rsid w:val="00CD73F6"/>
    <w:rsid w:val="00CD7707"/>
    <w:rsid w:val="00CE07FB"/>
    <w:rsid w:val="00CE22C4"/>
    <w:rsid w:val="00CE27FE"/>
    <w:rsid w:val="00CE5BD8"/>
    <w:rsid w:val="00CE78E3"/>
    <w:rsid w:val="00CF306F"/>
    <w:rsid w:val="00CF5EC4"/>
    <w:rsid w:val="00CF6BEA"/>
    <w:rsid w:val="00CF7C85"/>
    <w:rsid w:val="00D02174"/>
    <w:rsid w:val="00D0560E"/>
    <w:rsid w:val="00D1088B"/>
    <w:rsid w:val="00D126E8"/>
    <w:rsid w:val="00D129BA"/>
    <w:rsid w:val="00D15DD5"/>
    <w:rsid w:val="00D16B49"/>
    <w:rsid w:val="00D16E97"/>
    <w:rsid w:val="00D201EF"/>
    <w:rsid w:val="00D20FC9"/>
    <w:rsid w:val="00D21D3D"/>
    <w:rsid w:val="00D3578F"/>
    <w:rsid w:val="00D44D67"/>
    <w:rsid w:val="00D45C44"/>
    <w:rsid w:val="00D5023C"/>
    <w:rsid w:val="00D52A6D"/>
    <w:rsid w:val="00D54F0F"/>
    <w:rsid w:val="00D67484"/>
    <w:rsid w:val="00D716B1"/>
    <w:rsid w:val="00D71AD9"/>
    <w:rsid w:val="00D71EFA"/>
    <w:rsid w:val="00D742A6"/>
    <w:rsid w:val="00D75EDE"/>
    <w:rsid w:val="00D84F16"/>
    <w:rsid w:val="00D901D5"/>
    <w:rsid w:val="00D905A3"/>
    <w:rsid w:val="00D9245B"/>
    <w:rsid w:val="00D95A57"/>
    <w:rsid w:val="00DA25E5"/>
    <w:rsid w:val="00DA68BB"/>
    <w:rsid w:val="00DB077C"/>
    <w:rsid w:val="00DB30DF"/>
    <w:rsid w:val="00DB65F5"/>
    <w:rsid w:val="00DB77B8"/>
    <w:rsid w:val="00DC17E5"/>
    <w:rsid w:val="00DC341C"/>
    <w:rsid w:val="00DC430F"/>
    <w:rsid w:val="00DC4DA4"/>
    <w:rsid w:val="00DD0965"/>
    <w:rsid w:val="00DD316D"/>
    <w:rsid w:val="00DD3895"/>
    <w:rsid w:val="00DD5153"/>
    <w:rsid w:val="00DD6CCF"/>
    <w:rsid w:val="00DD7F49"/>
    <w:rsid w:val="00DF0250"/>
    <w:rsid w:val="00DF1D75"/>
    <w:rsid w:val="00DF2549"/>
    <w:rsid w:val="00E00D67"/>
    <w:rsid w:val="00E03D1C"/>
    <w:rsid w:val="00E06657"/>
    <w:rsid w:val="00E0674C"/>
    <w:rsid w:val="00E12223"/>
    <w:rsid w:val="00E12EA6"/>
    <w:rsid w:val="00E14E72"/>
    <w:rsid w:val="00E15E1D"/>
    <w:rsid w:val="00E16FC8"/>
    <w:rsid w:val="00E17994"/>
    <w:rsid w:val="00E17AF4"/>
    <w:rsid w:val="00E209E2"/>
    <w:rsid w:val="00E22CAF"/>
    <w:rsid w:val="00E22E07"/>
    <w:rsid w:val="00E23FF7"/>
    <w:rsid w:val="00E26E7B"/>
    <w:rsid w:val="00E30312"/>
    <w:rsid w:val="00E30FAC"/>
    <w:rsid w:val="00E31CAC"/>
    <w:rsid w:val="00E32041"/>
    <w:rsid w:val="00E322C4"/>
    <w:rsid w:val="00E331FD"/>
    <w:rsid w:val="00E33F44"/>
    <w:rsid w:val="00E34374"/>
    <w:rsid w:val="00E36DA2"/>
    <w:rsid w:val="00E40D56"/>
    <w:rsid w:val="00E44668"/>
    <w:rsid w:val="00E50075"/>
    <w:rsid w:val="00E50335"/>
    <w:rsid w:val="00E521FD"/>
    <w:rsid w:val="00E52392"/>
    <w:rsid w:val="00E5263C"/>
    <w:rsid w:val="00E570D4"/>
    <w:rsid w:val="00E60B43"/>
    <w:rsid w:val="00E672E6"/>
    <w:rsid w:val="00E679C9"/>
    <w:rsid w:val="00E710A5"/>
    <w:rsid w:val="00E74DEE"/>
    <w:rsid w:val="00E8085E"/>
    <w:rsid w:val="00E834E9"/>
    <w:rsid w:val="00E84512"/>
    <w:rsid w:val="00E91DFA"/>
    <w:rsid w:val="00E92694"/>
    <w:rsid w:val="00E927AA"/>
    <w:rsid w:val="00E932FF"/>
    <w:rsid w:val="00E94A1E"/>
    <w:rsid w:val="00EA1C5B"/>
    <w:rsid w:val="00EB5EE4"/>
    <w:rsid w:val="00EB6794"/>
    <w:rsid w:val="00EB67DA"/>
    <w:rsid w:val="00EC038C"/>
    <w:rsid w:val="00EC2641"/>
    <w:rsid w:val="00EC2A74"/>
    <w:rsid w:val="00EC34D2"/>
    <w:rsid w:val="00EC766D"/>
    <w:rsid w:val="00EC7FA4"/>
    <w:rsid w:val="00ED0ABD"/>
    <w:rsid w:val="00ED0DA0"/>
    <w:rsid w:val="00ED4CE5"/>
    <w:rsid w:val="00EE130E"/>
    <w:rsid w:val="00EE214E"/>
    <w:rsid w:val="00EE6273"/>
    <w:rsid w:val="00EE762C"/>
    <w:rsid w:val="00EF2053"/>
    <w:rsid w:val="00EF4D3D"/>
    <w:rsid w:val="00F0037C"/>
    <w:rsid w:val="00F00674"/>
    <w:rsid w:val="00F0077B"/>
    <w:rsid w:val="00F01958"/>
    <w:rsid w:val="00F0251B"/>
    <w:rsid w:val="00F05EA3"/>
    <w:rsid w:val="00F060DC"/>
    <w:rsid w:val="00F067A9"/>
    <w:rsid w:val="00F13B8E"/>
    <w:rsid w:val="00F14E3C"/>
    <w:rsid w:val="00F1538C"/>
    <w:rsid w:val="00F24AC2"/>
    <w:rsid w:val="00F259DE"/>
    <w:rsid w:val="00F25CE3"/>
    <w:rsid w:val="00F27738"/>
    <w:rsid w:val="00F30793"/>
    <w:rsid w:val="00F32F9F"/>
    <w:rsid w:val="00F341FB"/>
    <w:rsid w:val="00F358F8"/>
    <w:rsid w:val="00F410B1"/>
    <w:rsid w:val="00F449C9"/>
    <w:rsid w:val="00F454B7"/>
    <w:rsid w:val="00F47D52"/>
    <w:rsid w:val="00F605D0"/>
    <w:rsid w:val="00F62D7C"/>
    <w:rsid w:val="00F634C1"/>
    <w:rsid w:val="00F645EE"/>
    <w:rsid w:val="00F66F22"/>
    <w:rsid w:val="00F70B17"/>
    <w:rsid w:val="00F71262"/>
    <w:rsid w:val="00F714C5"/>
    <w:rsid w:val="00F72BE4"/>
    <w:rsid w:val="00F737DF"/>
    <w:rsid w:val="00F766C4"/>
    <w:rsid w:val="00F770EB"/>
    <w:rsid w:val="00F775F1"/>
    <w:rsid w:val="00F77614"/>
    <w:rsid w:val="00F8219D"/>
    <w:rsid w:val="00F8272C"/>
    <w:rsid w:val="00F82F15"/>
    <w:rsid w:val="00F845FE"/>
    <w:rsid w:val="00F86B52"/>
    <w:rsid w:val="00F87268"/>
    <w:rsid w:val="00F87E3A"/>
    <w:rsid w:val="00F933D4"/>
    <w:rsid w:val="00F93707"/>
    <w:rsid w:val="00FB1977"/>
    <w:rsid w:val="00FB23A8"/>
    <w:rsid w:val="00FC0C8A"/>
    <w:rsid w:val="00FC38C3"/>
    <w:rsid w:val="00FC4CAB"/>
    <w:rsid w:val="00FC73EB"/>
    <w:rsid w:val="00FD070D"/>
    <w:rsid w:val="00FD1B92"/>
    <w:rsid w:val="00FD3858"/>
    <w:rsid w:val="00FD7305"/>
    <w:rsid w:val="00FE313E"/>
    <w:rsid w:val="00FE3329"/>
    <w:rsid w:val="00FE4610"/>
    <w:rsid w:val="00FE5502"/>
    <w:rsid w:val="00FE5F7F"/>
    <w:rsid w:val="00FF07D8"/>
    <w:rsid w:val="00FF3545"/>
    <w:rsid w:val="00FF460F"/>
    <w:rsid w:val="0138356B"/>
    <w:rsid w:val="01610122"/>
    <w:rsid w:val="01695955"/>
    <w:rsid w:val="01763BCE"/>
    <w:rsid w:val="019F4E64"/>
    <w:rsid w:val="01A33CFB"/>
    <w:rsid w:val="01A34EDB"/>
    <w:rsid w:val="01C04E49"/>
    <w:rsid w:val="021666D0"/>
    <w:rsid w:val="024B15E3"/>
    <w:rsid w:val="02692CFA"/>
    <w:rsid w:val="028C4F96"/>
    <w:rsid w:val="02924A37"/>
    <w:rsid w:val="02F254D6"/>
    <w:rsid w:val="03105F4A"/>
    <w:rsid w:val="03226FBF"/>
    <w:rsid w:val="03345AEF"/>
    <w:rsid w:val="036C66E1"/>
    <w:rsid w:val="03DC27E0"/>
    <w:rsid w:val="04344E71"/>
    <w:rsid w:val="044D771D"/>
    <w:rsid w:val="04F01EE9"/>
    <w:rsid w:val="055E085F"/>
    <w:rsid w:val="05CB083A"/>
    <w:rsid w:val="05D20B0D"/>
    <w:rsid w:val="07372051"/>
    <w:rsid w:val="0759347C"/>
    <w:rsid w:val="07D93108"/>
    <w:rsid w:val="07F97307"/>
    <w:rsid w:val="08194503"/>
    <w:rsid w:val="0833790B"/>
    <w:rsid w:val="08842C00"/>
    <w:rsid w:val="08AB4DA1"/>
    <w:rsid w:val="08C06877"/>
    <w:rsid w:val="092A0EA6"/>
    <w:rsid w:val="094129DB"/>
    <w:rsid w:val="09644C54"/>
    <w:rsid w:val="09750C0F"/>
    <w:rsid w:val="0989763E"/>
    <w:rsid w:val="09BA441D"/>
    <w:rsid w:val="09E50C48"/>
    <w:rsid w:val="0A234C64"/>
    <w:rsid w:val="0A622F41"/>
    <w:rsid w:val="0A7D0D66"/>
    <w:rsid w:val="0AAB7465"/>
    <w:rsid w:val="0AD11E75"/>
    <w:rsid w:val="0AEC3153"/>
    <w:rsid w:val="0AFF4C34"/>
    <w:rsid w:val="0B07397F"/>
    <w:rsid w:val="0B1D7A4B"/>
    <w:rsid w:val="0B221DFE"/>
    <w:rsid w:val="0B321860"/>
    <w:rsid w:val="0B3F3F93"/>
    <w:rsid w:val="0B505490"/>
    <w:rsid w:val="0B723658"/>
    <w:rsid w:val="0B8165D9"/>
    <w:rsid w:val="0B9E1E32"/>
    <w:rsid w:val="0BAD4690"/>
    <w:rsid w:val="0BB53545"/>
    <w:rsid w:val="0BD22349"/>
    <w:rsid w:val="0C14470F"/>
    <w:rsid w:val="0C250B81"/>
    <w:rsid w:val="0C6255C1"/>
    <w:rsid w:val="0C6E4113"/>
    <w:rsid w:val="0CAC1BD2"/>
    <w:rsid w:val="0CCA337B"/>
    <w:rsid w:val="0CDA001F"/>
    <w:rsid w:val="0D2210AE"/>
    <w:rsid w:val="0D2A3222"/>
    <w:rsid w:val="0D31309F"/>
    <w:rsid w:val="0D622FDE"/>
    <w:rsid w:val="0E0B1B42"/>
    <w:rsid w:val="0E122ED0"/>
    <w:rsid w:val="0E6104E3"/>
    <w:rsid w:val="0E85644A"/>
    <w:rsid w:val="0E923B98"/>
    <w:rsid w:val="0EB8244E"/>
    <w:rsid w:val="0EC23466"/>
    <w:rsid w:val="0ECD6DF7"/>
    <w:rsid w:val="0EEC73D0"/>
    <w:rsid w:val="0EF1339F"/>
    <w:rsid w:val="0F067850"/>
    <w:rsid w:val="0F1A68C7"/>
    <w:rsid w:val="0F66158F"/>
    <w:rsid w:val="0F704352"/>
    <w:rsid w:val="0F8570EB"/>
    <w:rsid w:val="0F8C0EA5"/>
    <w:rsid w:val="0F8D5DBD"/>
    <w:rsid w:val="0FA936A7"/>
    <w:rsid w:val="0FAD3C29"/>
    <w:rsid w:val="0FCF6786"/>
    <w:rsid w:val="0FD03043"/>
    <w:rsid w:val="101C1DE4"/>
    <w:rsid w:val="10526AC2"/>
    <w:rsid w:val="10675755"/>
    <w:rsid w:val="111D4066"/>
    <w:rsid w:val="112C42A9"/>
    <w:rsid w:val="115D2A1F"/>
    <w:rsid w:val="1172733A"/>
    <w:rsid w:val="11A97279"/>
    <w:rsid w:val="11B46F25"/>
    <w:rsid w:val="11B95929"/>
    <w:rsid w:val="11BD15AF"/>
    <w:rsid w:val="11DE1CDD"/>
    <w:rsid w:val="124826EE"/>
    <w:rsid w:val="12FE11BE"/>
    <w:rsid w:val="1317065E"/>
    <w:rsid w:val="13255D62"/>
    <w:rsid w:val="137837D5"/>
    <w:rsid w:val="138C0572"/>
    <w:rsid w:val="13DA7FEC"/>
    <w:rsid w:val="13EF2615"/>
    <w:rsid w:val="15023C9F"/>
    <w:rsid w:val="15175E1D"/>
    <w:rsid w:val="15733D04"/>
    <w:rsid w:val="16353C00"/>
    <w:rsid w:val="163F682C"/>
    <w:rsid w:val="16485478"/>
    <w:rsid w:val="165D1EF2"/>
    <w:rsid w:val="16603E21"/>
    <w:rsid w:val="166149F5"/>
    <w:rsid w:val="1680626C"/>
    <w:rsid w:val="174A5AB7"/>
    <w:rsid w:val="175001A3"/>
    <w:rsid w:val="175341AF"/>
    <w:rsid w:val="1796663B"/>
    <w:rsid w:val="17CD65D1"/>
    <w:rsid w:val="180769B7"/>
    <w:rsid w:val="186935AD"/>
    <w:rsid w:val="188D051C"/>
    <w:rsid w:val="18A1732B"/>
    <w:rsid w:val="18B828C6"/>
    <w:rsid w:val="18D36C20"/>
    <w:rsid w:val="18D45FD9"/>
    <w:rsid w:val="18E0389C"/>
    <w:rsid w:val="18E37943"/>
    <w:rsid w:val="19297189"/>
    <w:rsid w:val="19415643"/>
    <w:rsid w:val="19506595"/>
    <w:rsid w:val="195E346D"/>
    <w:rsid w:val="1997072D"/>
    <w:rsid w:val="19B233B5"/>
    <w:rsid w:val="19BB090C"/>
    <w:rsid w:val="19CF7EC7"/>
    <w:rsid w:val="1A47331B"/>
    <w:rsid w:val="1AA50F4D"/>
    <w:rsid w:val="1AA650CC"/>
    <w:rsid w:val="1AEB2ADF"/>
    <w:rsid w:val="1B1F7FFD"/>
    <w:rsid w:val="1B2129A5"/>
    <w:rsid w:val="1B5508A0"/>
    <w:rsid w:val="1B550F91"/>
    <w:rsid w:val="1B656D35"/>
    <w:rsid w:val="1B947E23"/>
    <w:rsid w:val="1BBF7A07"/>
    <w:rsid w:val="1BD9502D"/>
    <w:rsid w:val="1BF15DCA"/>
    <w:rsid w:val="1C076CBA"/>
    <w:rsid w:val="1C1F18E4"/>
    <w:rsid w:val="1C2A36DF"/>
    <w:rsid w:val="1C474D02"/>
    <w:rsid w:val="1C704EA8"/>
    <w:rsid w:val="1C8E5E18"/>
    <w:rsid w:val="1CB3587E"/>
    <w:rsid w:val="1D335585"/>
    <w:rsid w:val="1D392227"/>
    <w:rsid w:val="1D4735C9"/>
    <w:rsid w:val="1D527CA1"/>
    <w:rsid w:val="1D630DFA"/>
    <w:rsid w:val="1D784489"/>
    <w:rsid w:val="1D851A51"/>
    <w:rsid w:val="1DB55626"/>
    <w:rsid w:val="1DDA204F"/>
    <w:rsid w:val="1DF95513"/>
    <w:rsid w:val="1E454BFC"/>
    <w:rsid w:val="1E502DA8"/>
    <w:rsid w:val="1E54415B"/>
    <w:rsid w:val="1E950D72"/>
    <w:rsid w:val="1EA51DEC"/>
    <w:rsid w:val="1EC27FFB"/>
    <w:rsid w:val="1EDF7443"/>
    <w:rsid w:val="1EEA3701"/>
    <w:rsid w:val="1F1F489E"/>
    <w:rsid w:val="1F42151B"/>
    <w:rsid w:val="1F51312D"/>
    <w:rsid w:val="1F8800D3"/>
    <w:rsid w:val="1F9572C5"/>
    <w:rsid w:val="1FB94DC1"/>
    <w:rsid w:val="1FBA3072"/>
    <w:rsid w:val="1FC21ED8"/>
    <w:rsid w:val="203E7B55"/>
    <w:rsid w:val="20547378"/>
    <w:rsid w:val="206E19E8"/>
    <w:rsid w:val="20BD316F"/>
    <w:rsid w:val="20FB50A8"/>
    <w:rsid w:val="214A4765"/>
    <w:rsid w:val="215A276C"/>
    <w:rsid w:val="216B0B49"/>
    <w:rsid w:val="21791BC0"/>
    <w:rsid w:val="2208666C"/>
    <w:rsid w:val="223918D0"/>
    <w:rsid w:val="224F1BA5"/>
    <w:rsid w:val="226759B8"/>
    <w:rsid w:val="229B50A3"/>
    <w:rsid w:val="231921B3"/>
    <w:rsid w:val="233D2346"/>
    <w:rsid w:val="237815D0"/>
    <w:rsid w:val="239857CE"/>
    <w:rsid w:val="239C7A46"/>
    <w:rsid w:val="23D12DB3"/>
    <w:rsid w:val="23FA5EFD"/>
    <w:rsid w:val="2412694B"/>
    <w:rsid w:val="24567D0F"/>
    <w:rsid w:val="248779BF"/>
    <w:rsid w:val="24916EF0"/>
    <w:rsid w:val="24A817F7"/>
    <w:rsid w:val="24B32866"/>
    <w:rsid w:val="24CD36A1"/>
    <w:rsid w:val="253D662D"/>
    <w:rsid w:val="254B2DFF"/>
    <w:rsid w:val="255F2A47"/>
    <w:rsid w:val="262F6DAA"/>
    <w:rsid w:val="26335984"/>
    <w:rsid w:val="265D1C69"/>
    <w:rsid w:val="2694079E"/>
    <w:rsid w:val="26DC3C24"/>
    <w:rsid w:val="26FD2BB9"/>
    <w:rsid w:val="2748288A"/>
    <w:rsid w:val="274F0899"/>
    <w:rsid w:val="27816E34"/>
    <w:rsid w:val="27A21FBD"/>
    <w:rsid w:val="27B6489B"/>
    <w:rsid w:val="27CB6172"/>
    <w:rsid w:val="27E234BC"/>
    <w:rsid w:val="28292E99"/>
    <w:rsid w:val="282A745F"/>
    <w:rsid w:val="285C4CC5"/>
    <w:rsid w:val="286B31B0"/>
    <w:rsid w:val="288A1B89"/>
    <w:rsid w:val="29104BDF"/>
    <w:rsid w:val="2956295F"/>
    <w:rsid w:val="29622E63"/>
    <w:rsid w:val="299C3779"/>
    <w:rsid w:val="29AA1DB7"/>
    <w:rsid w:val="29E928DF"/>
    <w:rsid w:val="2A270CF5"/>
    <w:rsid w:val="2A3F341C"/>
    <w:rsid w:val="2AE85674"/>
    <w:rsid w:val="2AF7434D"/>
    <w:rsid w:val="2B30392A"/>
    <w:rsid w:val="2B4A3640"/>
    <w:rsid w:val="2B4D3342"/>
    <w:rsid w:val="2BD20249"/>
    <w:rsid w:val="2BD5451A"/>
    <w:rsid w:val="2BE94E19"/>
    <w:rsid w:val="2C0B6365"/>
    <w:rsid w:val="2C3C2E7B"/>
    <w:rsid w:val="2C6B208A"/>
    <w:rsid w:val="2C6C77F8"/>
    <w:rsid w:val="2C732BFC"/>
    <w:rsid w:val="2C843991"/>
    <w:rsid w:val="2C8D1CCD"/>
    <w:rsid w:val="2C9D4EB9"/>
    <w:rsid w:val="2CA41C97"/>
    <w:rsid w:val="2CB855D9"/>
    <w:rsid w:val="2CCB451E"/>
    <w:rsid w:val="2D4D257A"/>
    <w:rsid w:val="2D4F6EFD"/>
    <w:rsid w:val="2D770DA6"/>
    <w:rsid w:val="2DC773DC"/>
    <w:rsid w:val="2E0F48DF"/>
    <w:rsid w:val="2E180D02"/>
    <w:rsid w:val="2E905A1F"/>
    <w:rsid w:val="2EA92A1B"/>
    <w:rsid w:val="2ED27DE6"/>
    <w:rsid w:val="2EED18C2"/>
    <w:rsid w:val="2F01466F"/>
    <w:rsid w:val="2F2A7C22"/>
    <w:rsid w:val="2F4B2594"/>
    <w:rsid w:val="2F5044AF"/>
    <w:rsid w:val="2F9741D0"/>
    <w:rsid w:val="2FC242FE"/>
    <w:rsid w:val="2FCF1FF0"/>
    <w:rsid w:val="2FFF3575"/>
    <w:rsid w:val="30153DA9"/>
    <w:rsid w:val="304271ED"/>
    <w:rsid w:val="30795FA6"/>
    <w:rsid w:val="30870369"/>
    <w:rsid w:val="308D0B9D"/>
    <w:rsid w:val="309537C1"/>
    <w:rsid w:val="30AE5029"/>
    <w:rsid w:val="30D965F3"/>
    <w:rsid w:val="310A3B30"/>
    <w:rsid w:val="31350C4C"/>
    <w:rsid w:val="317E51FD"/>
    <w:rsid w:val="31F82F20"/>
    <w:rsid w:val="320A5AE9"/>
    <w:rsid w:val="3210328B"/>
    <w:rsid w:val="321D7EF1"/>
    <w:rsid w:val="325C06B6"/>
    <w:rsid w:val="325E57DA"/>
    <w:rsid w:val="32672F3B"/>
    <w:rsid w:val="326E42CA"/>
    <w:rsid w:val="327577E0"/>
    <w:rsid w:val="32B9205D"/>
    <w:rsid w:val="32D9699F"/>
    <w:rsid w:val="32DD4AEB"/>
    <w:rsid w:val="333077D1"/>
    <w:rsid w:val="335039CF"/>
    <w:rsid w:val="33DD12FF"/>
    <w:rsid w:val="34256C0A"/>
    <w:rsid w:val="344E07A6"/>
    <w:rsid w:val="34580D8D"/>
    <w:rsid w:val="34983880"/>
    <w:rsid w:val="34CF116C"/>
    <w:rsid w:val="34D00132"/>
    <w:rsid w:val="34FF1487"/>
    <w:rsid w:val="351C625F"/>
    <w:rsid w:val="352246B9"/>
    <w:rsid w:val="35AA386B"/>
    <w:rsid w:val="35B13DBF"/>
    <w:rsid w:val="35BA7826"/>
    <w:rsid w:val="35C96066"/>
    <w:rsid w:val="35D04C16"/>
    <w:rsid w:val="36203B2D"/>
    <w:rsid w:val="369A0B25"/>
    <w:rsid w:val="36AD1C42"/>
    <w:rsid w:val="36DD0DAD"/>
    <w:rsid w:val="36EB69DC"/>
    <w:rsid w:val="371701C2"/>
    <w:rsid w:val="372D43B1"/>
    <w:rsid w:val="37382E00"/>
    <w:rsid w:val="375F289D"/>
    <w:rsid w:val="378C0630"/>
    <w:rsid w:val="37C7002F"/>
    <w:rsid w:val="37E70A68"/>
    <w:rsid w:val="38073496"/>
    <w:rsid w:val="381256F7"/>
    <w:rsid w:val="38624742"/>
    <w:rsid w:val="386A52F9"/>
    <w:rsid w:val="387E7977"/>
    <w:rsid w:val="3881462B"/>
    <w:rsid w:val="38885481"/>
    <w:rsid w:val="389558DB"/>
    <w:rsid w:val="38997BC6"/>
    <w:rsid w:val="38BF6A16"/>
    <w:rsid w:val="38E2156D"/>
    <w:rsid w:val="395A7356"/>
    <w:rsid w:val="398A226F"/>
    <w:rsid w:val="399F120C"/>
    <w:rsid w:val="39B051C8"/>
    <w:rsid w:val="39C46EC5"/>
    <w:rsid w:val="3A103EB8"/>
    <w:rsid w:val="3A637A19"/>
    <w:rsid w:val="3AAD5BAB"/>
    <w:rsid w:val="3ABB0A73"/>
    <w:rsid w:val="3ABE141D"/>
    <w:rsid w:val="3AF27EBD"/>
    <w:rsid w:val="3B003F2D"/>
    <w:rsid w:val="3B082DE1"/>
    <w:rsid w:val="3B366832"/>
    <w:rsid w:val="3B3C51D5"/>
    <w:rsid w:val="3BA0301A"/>
    <w:rsid w:val="3C30430C"/>
    <w:rsid w:val="3C50507C"/>
    <w:rsid w:val="3C54700A"/>
    <w:rsid w:val="3C7939C7"/>
    <w:rsid w:val="3C7C27AF"/>
    <w:rsid w:val="3CF4186F"/>
    <w:rsid w:val="3D292E50"/>
    <w:rsid w:val="3D600441"/>
    <w:rsid w:val="3D972887"/>
    <w:rsid w:val="3DCC76AE"/>
    <w:rsid w:val="3E04533D"/>
    <w:rsid w:val="3E307D17"/>
    <w:rsid w:val="3E497999"/>
    <w:rsid w:val="3E530817"/>
    <w:rsid w:val="3E854F1E"/>
    <w:rsid w:val="3FB86B84"/>
    <w:rsid w:val="3FC02657"/>
    <w:rsid w:val="3FC574F3"/>
    <w:rsid w:val="3FD6381B"/>
    <w:rsid w:val="3FDA11F0"/>
    <w:rsid w:val="4050004D"/>
    <w:rsid w:val="40896772"/>
    <w:rsid w:val="40985D57"/>
    <w:rsid w:val="40D668C2"/>
    <w:rsid w:val="40DD6B84"/>
    <w:rsid w:val="410858E9"/>
    <w:rsid w:val="410E0236"/>
    <w:rsid w:val="4131552A"/>
    <w:rsid w:val="414669E9"/>
    <w:rsid w:val="415121A7"/>
    <w:rsid w:val="416519A5"/>
    <w:rsid w:val="41742F7F"/>
    <w:rsid w:val="4190632B"/>
    <w:rsid w:val="41994F69"/>
    <w:rsid w:val="41F06AA9"/>
    <w:rsid w:val="420C1409"/>
    <w:rsid w:val="42500C48"/>
    <w:rsid w:val="425F59DD"/>
    <w:rsid w:val="426B7A9B"/>
    <w:rsid w:val="426D634C"/>
    <w:rsid w:val="428E4C38"/>
    <w:rsid w:val="42AE1F45"/>
    <w:rsid w:val="42B24483"/>
    <w:rsid w:val="42F11657"/>
    <w:rsid w:val="43284021"/>
    <w:rsid w:val="433B58B4"/>
    <w:rsid w:val="43650CAE"/>
    <w:rsid w:val="43730A39"/>
    <w:rsid w:val="43811983"/>
    <w:rsid w:val="43A46EA7"/>
    <w:rsid w:val="43A7763B"/>
    <w:rsid w:val="43CD683F"/>
    <w:rsid w:val="43D43910"/>
    <w:rsid w:val="44054362"/>
    <w:rsid w:val="4413593C"/>
    <w:rsid w:val="442742D8"/>
    <w:rsid w:val="44337121"/>
    <w:rsid w:val="44791985"/>
    <w:rsid w:val="4484172B"/>
    <w:rsid w:val="448E0016"/>
    <w:rsid w:val="449C6A74"/>
    <w:rsid w:val="44B16840"/>
    <w:rsid w:val="44E4666D"/>
    <w:rsid w:val="44FF6E2D"/>
    <w:rsid w:val="4505163C"/>
    <w:rsid w:val="451471C4"/>
    <w:rsid w:val="45293313"/>
    <w:rsid w:val="454D01C7"/>
    <w:rsid w:val="45660170"/>
    <w:rsid w:val="457B0D80"/>
    <w:rsid w:val="458D1019"/>
    <w:rsid w:val="45BB5319"/>
    <w:rsid w:val="45CC50E5"/>
    <w:rsid w:val="45EF0E26"/>
    <w:rsid w:val="45F57003"/>
    <w:rsid w:val="46146ADE"/>
    <w:rsid w:val="4669058F"/>
    <w:rsid w:val="46B71412"/>
    <w:rsid w:val="47044DA5"/>
    <w:rsid w:val="4711620B"/>
    <w:rsid w:val="472B2331"/>
    <w:rsid w:val="47503703"/>
    <w:rsid w:val="47752021"/>
    <w:rsid w:val="478B1022"/>
    <w:rsid w:val="47916927"/>
    <w:rsid w:val="48111527"/>
    <w:rsid w:val="482C4AD6"/>
    <w:rsid w:val="48B80905"/>
    <w:rsid w:val="48BD345D"/>
    <w:rsid w:val="48C26B67"/>
    <w:rsid w:val="48C91E02"/>
    <w:rsid w:val="490E3CB9"/>
    <w:rsid w:val="49115557"/>
    <w:rsid w:val="493F5642"/>
    <w:rsid w:val="497955D6"/>
    <w:rsid w:val="499D2DFA"/>
    <w:rsid w:val="49EA3854"/>
    <w:rsid w:val="4A095EDA"/>
    <w:rsid w:val="4A360338"/>
    <w:rsid w:val="4A4A2ACF"/>
    <w:rsid w:val="4A7A4163"/>
    <w:rsid w:val="4A802994"/>
    <w:rsid w:val="4AB9210C"/>
    <w:rsid w:val="4AE22169"/>
    <w:rsid w:val="4AF3760A"/>
    <w:rsid w:val="4AFF7D5D"/>
    <w:rsid w:val="4B180E1F"/>
    <w:rsid w:val="4B24370F"/>
    <w:rsid w:val="4B495268"/>
    <w:rsid w:val="4B6C4491"/>
    <w:rsid w:val="4B9B6C0A"/>
    <w:rsid w:val="4BFF6538"/>
    <w:rsid w:val="4C211DA3"/>
    <w:rsid w:val="4C2A117B"/>
    <w:rsid w:val="4C2C28CD"/>
    <w:rsid w:val="4C3F7EC3"/>
    <w:rsid w:val="4C61166C"/>
    <w:rsid w:val="4C6205A3"/>
    <w:rsid w:val="4C995F8F"/>
    <w:rsid w:val="4CE40135"/>
    <w:rsid w:val="4D3A5CC6"/>
    <w:rsid w:val="4D477799"/>
    <w:rsid w:val="4DB72AB2"/>
    <w:rsid w:val="4DEF779D"/>
    <w:rsid w:val="4E0836C1"/>
    <w:rsid w:val="4E274CAC"/>
    <w:rsid w:val="4E3D5AFD"/>
    <w:rsid w:val="4E487C6D"/>
    <w:rsid w:val="4E7A0566"/>
    <w:rsid w:val="4EAA6232"/>
    <w:rsid w:val="4EF851EF"/>
    <w:rsid w:val="4F0A4F22"/>
    <w:rsid w:val="4F5A1A06"/>
    <w:rsid w:val="4F7C5E20"/>
    <w:rsid w:val="4F822D0B"/>
    <w:rsid w:val="4F9B4257"/>
    <w:rsid w:val="4FCA3490"/>
    <w:rsid w:val="4FEA6D2C"/>
    <w:rsid w:val="4FED4628"/>
    <w:rsid w:val="5097222A"/>
    <w:rsid w:val="50A849F3"/>
    <w:rsid w:val="50D41344"/>
    <w:rsid w:val="50E53D49"/>
    <w:rsid w:val="50EF5064"/>
    <w:rsid w:val="51330760"/>
    <w:rsid w:val="513A2EB8"/>
    <w:rsid w:val="518F1BC3"/>
    <w:rsid w:val="51AC4978"/>
    <w:rsid w:val="51BD15F2"/>
    <w:rsid w:val="51DE2745"/>
    <w:rsid w:val="521F2A93"/>
    <w:rsid w:val="52343943"/>
    <w:rsid w:val="52794597"/>
    <w:rsid w:val="528F7C18"/>
    <w:rsid w:val="52903990"/>
    <w:rsid w:val="52A80CDA"/>
    <w:rsid w:val="52AD4542"/>
    <w:rsid w:val="52C27FEE"/>
    <w:rsid w:val="52DB12DC"/>
    <w:rsid w:val="52E90DE5"/>
    <w:rsid w:val="53133ECC"/>
    <w:rsid w:val="53726E85"/>
    <w:rsid w:val="53733096"/>
    <w:rsid w:val="53E066E3"/>
    <w:rsid w:val="541F4FCC"/>
    <w:rsid w:val="543569EC"/>
    <w:rsid w:val="54977258"/>
    <w:rsid w:val="54E31282"/>
    <w:rsid w:val="550C4A8A"/>
    <w:rsid w:val="552B3724"/>
    <w:rsid w:val="552C5397"/>
    <w:rsid w:val="556E11F4"/>
    <w:rsid w:val="55766E6E"/>
    <w:rsid w:val="55BA1B11"/>
    <w:rsid w:val="55D10548"/>
    <w:rsid w:val="55E21A94"/>
    <w:rsid w:val="55E37BFC"/>
    <w:rsid w:val="5637484F"/>
    <w:rsid w:val="563C4653"/>
    <w:rsid w:val="56552F27"/>
    <w:rsid w:val="567E2422"/>
    <w:rsid w:val="568455BA"/>
    <w:rsid w:val="569644F9"/>
    <w:rsid w:val="573A3ECB"/>
    <w:rsid w:val="5778511F"/>
    <w:rsid w:val="57AC162E"/>
    <w:rsid w:val="57E427B4"/>
    <w:rsid w:val="57FB1233"/>
    <w:rsid w:val="58071DA0"/>
    <w:rsid w:val="581A20E1"/>
    <w:rsid w:val="58607A17"/>
    <w:rsid w:val="588E406F"/>
    <w:rsid w:val="596661E1"/>
    <w:rsid w:val="59926240"/>
    <w:rsid w:val="59E56370"/>
    <w:rsid w:val="59E75F0D"/>
    <w:rsid w:val="5A760F76"/>
    <w:rsid w:val="5A7B71DC"/>
    <w:rsid w:val="5A844DA5"/>
    <w:rsid w:val="5AA303C0"/>
    <w:rsid w:val="5AEF0F9B"/>
    <w:rsid w:val="5B413A7A"/>
    <w:rsid w:val="5B4377F2"/>
    <w:rsid w:val="5B7E082A"/>
    <w:rsid w:val="5B924203"/>
    <w:rsid w:val="5BCA1CC1"/>
    <w:rsid w:val="5BFE5E0F"/>
    <w:rsid w:val="5C0276AD"/>
    <w:rsid w:val="5C67751E"/>
    <w:rsid w:val="5C86208C"/>
    <w:rsid w:val="5CB07652"/>
    <w:rsid w:val="5CBD1826"/>
    <w:rsid w:val="5D8448DF"/>
    <w:rsid w:val="5DA930B5"/>
    <w:rsid w:val="5E300B4A"/>
    <w:rsid w:val="5E435D5B"/>
    <w:rsid w:val="5E763F5F"/>
    <w:rsid w:val="5EAA09BD"/>
    <w:rsid w:val="5EEB267A"/>
    <w:rsid w:val="5EF7455B"/>
    <w:rsid w:val="5F27007C"/>
    <w:rsid w:val="5F2A6140"/>
    <w:rsid w:val="5F3758C0"/>
    <w:rsid w:val="5F4D5334"/>
    <w:rsid w:val="5F78749F"/>
    <w:rsid w:val="5F9E0305"/>
    <w:rsid w:val="5FA40241"/>
    <w:rsid w:val="5FC03B07"/>
    <w:rsid w:val="5FD501C7"/>
    <w:rsid w:val="60002155"/>
    <w:rsid w:val="60194FC5"/>
    <w:rsid w:val="60545FFD"/>
    <w:rsid w:val="608A0908"/>
    <w:rsid w:val="60A15F5C"/>
    <w:rsid w:val="60B60A66"/>
    <w:rsid w:val="60B66CB8"/>
    <w:rsid w:val="60BD1DF5"/>
    <w:rsid w:val="60E07891"/>
    <w:rsid w:val="611F2AAF"/>
    <w:rsid w:val="612C6607"/>
    <w:rsid w:val="6147071A"/>
    <w:rsid w:val="61864F5A"/>
    <w:rsid w:val="61A84853"/>
    <w:rsid w:val="61B56F70"/>
    <w:rsid w:val="61EF4230"/>
    <w:rsid w:val="62013F63"/>
    <w:rsid w:val="62144416"/>
    <w:rsid w:val="621C0D9D"/>
    <w:rsid w:val="622740D7"/>
    <w:rsid w:val="62B41814"/>
    <w:rsid w:val="62BC2C1F"/>
    <w:rsid w:val="62D1034E"/>
    <w:rsid w:val="62E66D8E"/>
    <w:rsid w:val="63E022EB"/>
    <w:rsid w:val="63E91153"/>
    <w:rsid w:val="644B1A3D"/>
    <w:rsid w:val="64662892"/>
    <w:rsid w:val="64B041A2"/>
    <w:rsid w:val="64BC415B"/>
    <w:rsid w:val="64D2621B"/>
    <w:rsid w:val="64E35BA2"/>
    <w:rsid w:val="650049A6"/>
    <w:rsid w:val="6522226D"/>
    <w:rsid w:val="65876E75"/>
    <w:rsid w:val="658C7FE7"/>
    <w:rsid w:val="65DF6369"/>
    <w:rsid w:val="65F1460F"/>
    <w:rsid w:val="660C09A3"/>
    <w:rsid w:val="666F3B91"/>
    <w:rsid w:val="667116AD"/>
    <w:rsid w:val="66834ABD"/>
    <w:rsid w:val="66AB0F78"/>
    <w:rsid w:val="66E27CB9"/>
    <w:rsid w:val="67077658"/>
    <w:rsid w:val="671036F5"/>
    <w:rsid w:val="67987117"/>
    <w:rsid w:val="67E45EB9"/>
    <w:rsid w:val="67FA0C0D"/>
    <w:rsid w:val="67FF7F8C"/>
    <w:rsid w:val="680B5B3B"/>
    <w:rsid w:val="686C635E"/>
    <w:rsid w:val="68865AC2"/>
    <w:rsid w:val="68C229BD"/>
    <w:rsid w:val="68CA631D"/>
    <w:rsid w:val="68DC4DE2"/>
    <w:rsid w:val="68F23988"/>
    <w:rsid w:val="69315D63"/>
    <w:rsid w:val="69562DE6"/>
    <w:rsid w:val="697B001E"/>
    <w:rsid w:val="6992777B"/>
    <w:rsid w:val="69E74DD5"/>
    <w:rsid w:val="69F10D61"/>
    <w:rsid w:val="69F57C49"/>
    <w:rsid w:val="6A095303"/>
    <w:rsid w:val="6A1062E6"/>
    <w:rsid w:val="6A112F94"/>
    <w:rsid w:val="6A1556F6"/>
    <w:rsid w:val="6A1B552D"/>
    <w:rsid w:val="6A443673"/>
    <w:rsid w:val="6A707ED8"/>
    <w:rsid w:val="6A930946"/>
    <w:rsid w:val="6AA81420"/>
    <w:rsid w:val="6AB605B8"/>
    <w:rsid w:val="6AC64C7F"/>
    <w:rsid w:val="6AEF704E"/>
    <w:rsid w:val="6B0420A3"/>
    <w:rsid w:val="6B0D15D1"/>
    <w:rsid w:val="6B2325B6"/>
    <w:rsid w:val="6B96396E"/>
    <w:rsid w:val="6BC52A21"/>
    <w:rsid w:val="6BF97B85"/>
    <w:rsid w:val="6BFA52E3"/>
    <w:rsid w:val="6C4B29AA"/>
    <w:rsid w:val="6C7A3290"/>
    <w:rsid w:val="6CC07F24"/>
    <w:rsid w:val="6CCE7137"/>
    <w:rsid w:val="6CDD7661"/>
    <w:rsid w:val="6CE535C3"/>
    <w:rsid w:val="6D2F5E28"/>
    <w:rsid w:val="6D4C69DA"/>
    <w:rsid w:val="6DA2484C"/>
    <w:rsid w:val="6DCC3677"/>
    <w:rsid w:val="6E2C05BA"/>
    <w:rsid w:val="6E5C00B5"/>
    <w:rsid w:val="6E8A0956"/>
    <w:rsid w:val="6E8A32BB"/>
    <w:rsid w:val="6EC94AA0"/>
    <w:rsid w:val="6EEA575B"/>
    <w:rsid w:val="6F132DB2"/>
    <w:rsid w:val="6F2179F2"/>
    <w:rsid w:val="6F4162E7"/>
    <w:rsid w:val="6F4734F9"/>
    <w:rsid w:val="6F83705A"/>
    <w:rsid w:val="6FF158FA"/>
    <w:rsid w:val="6FFC50AD"/>
    <w:rsid w:val="700417EE"/>
    <w:rsid w:val="701D6144"/>
    <w:rsid w:val="70206203"/>
    <w:rsid w:val="705A6236"/>
    <w:rsid w:val="70756248"/>
    <w:rsid w:val="707C0E23"/>
    <w:rsid w:val="7129406D"/>
    <w:rsid w:val="71A6584B"/>
    <w:rsid w:val="71A66CA6"/>
    <w:rsid w:val="71DD33A6"/>
    <w:rsid w:val="725F1977"/>
    <w:rsid w:val="729B1591"/>
    <w:rsid w:val="72B00952"/>
    <w:rsid w:val="730B0F8E"/>
    <w:rsid w:val="731630B8"/>
    <w:rsid w:val="73392CF5"/>
    <w:rsid w:val="73435273"/>
    <w:rsid w:val="7358369C"/>
    <w:rsid w:val="73634A7D"/>
    <w:rsid w:val="73724CC1"/>
    <w:rsid w:val="73B02970"/>
    <w:rsid w:val="73B84764"/>
    <w:rsid w:val="73EC4A73"/>
    <w:rsid w:val="742064CB"/>
    <w:rsid w:val="746A3BEA"/>
    <w:rsid w:val="746F081C"/>
    <w:rsid w:val="74850A24"/>
    <w:rsid w:val="74B80DF9"/>
    <w:rsid w:val="74B86703"/>
    <w:rsid w:val="753E2D17"/>
    <w:rsid w:val="75A849CA"/>
    <w:rsid w:val="75B63260"/>
    <w:rsid w:val="75BC57F3"/>
    <w:rsid w:val="75E63744"/>
    <w:rsid w:val="763D7808"/>
    <w:rsid w:val="766266B2"/>
    <w:rsid w:val="766314F3"/>
    <w:rsid w:val="76AE4262"/>
    <w:rsid w:val="76F679B7"/>
    <w:rsid w:val="7721472A"/>
    <w:rsid w:val="774F3D26"/>
    <w:rsid w:val="77510E81"/>
    <w:rsid w:val="77F40F3E"/>
    <w:rsid w:val="77FC0FFD"/>
    <w:rsid w:val="77FF3421"/>
    <w:rsid w:val="7869554C"/>
    <w:rsid w:val="78A83A33"/>
    <w:rsid w:val="78B673FD"/>
    <w:rsid w:val="78DA3E8D"/>
    <w:rsid w:val="79153174"/>
    <w:rsid w:val="79271C0A"/>
    <w:rsid w:val="79420C91"/>
    <w:rsid w:val="7980087A"/>
    <w:rsid w:val="79A73866"/>
    <w:rsid w:val="79B15C6C"/>
    <w:rsid w:val="79D668E4"/>
    <w:rsid w:val="7A0D74F1"/>
    <w:rsid w:val="7A495293"/>
    <w:rsid w:val="7A770B57"/>
    <w:rsid w:val="7A804167"/>
    <w:rsid w:val="7AA11EDF"/>
    <w:rsid w:val="7AB20098"/>
    <w:rsid w:val="7AED2458"/>
    <w:rsid w:val="7B1007E7"/>
    <w:rsid w:val="7B226FCC"/>
    <w:rsid w:val="7B3F2EDE"/>
    <w:rsid w:val="7B6273C9"/>
    <w:rsid w:val="7B683207"/>
    <w:rsid w:val="7B690757"/>
    <w:rsid w:val="7B753025"/>
    <w:rsid w:val="7BCC0CE6"/>
    <w:rsid w:val="7BCE7BD3"/>
    <w:rsid w:val="7C120F4C"/>
    <w:rsid w:val="7C3D3992"/>
    <w:rsid w:val="7CB9359B"/>
    <w:rsid w:val="7D6E474B"/>
    <w:rsid w:val="7D7C3B6C"/>
    <w:rsid w:val="7DD60177"/>
    <w:rsid w:val="7DE62533"/>
    <w:rsid w:val="7DEA37BD"/>
    <w:rsid w:val="7DF033B2"/>
    <w:rsid w:val="7DF46806"/>
    <w:rsid w:val="7E3A63DB"/>
    <w:rsid w:val="7EB73ECF"/>
    <w:rsid w:val="7EC16AFC"/>
    <w:rsid w:val="7ED75AA9"/>
    <w:rsid w:val="7EDC1B88"/>
    <w:rsid w:val="7EFC7B34"/>
    <w:rsid w:val="7F014147"/>
    <w:rsid w:val="7F111FE3"/>
    <w:rsid w:val="7F213F67"/>
    <w:rsid w:val="7F2C0419"/>
    <w:rsid w:val="7F3B065C"/>
    <w:rsid w:val="7FC406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iPriority="99"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9"/>
    <w:pPr>
      <w:keepNext/>
      <w:jc w:val="center"/>
      <w:outlineLvl w:val="0"/>
    </w:pPr>
    <w:rPr>
      <w:b/>
      <w:bCs/>
      <w:kern w:val="0"/>
      <w:sz w:val="24"/>
      <w:szCs w:val="20"/>
    </w:rPr>
  </w:style>
  <w:style w:type="paragraph" w:styleId="3">
    <w:name w:val="heading 2"/>
    <w:basedOn w:val="1"/>
    <w:next w:val="1"/>
    <w:link w:val="57"/>
    <w:qFormat/>
    <w:uiPriority w:val="9"/>
    <w:pPr>
      <w:keepNext/>
      <w:keepLines/>
      <w:spacing w:line="360" w:lineRule="auto"/>
      <w:outlineLvl w:val="1"/>
    </w:pPr>
    <w:rPr>
      <w:rFonts w:ascii="Arial" w:hAnsi="Arial"/>
      <w:b/>
      <w:bCs/>
      <w:kern w:val="0"/>
      <w:sz w:val="24"/>
      <w:szCs w:val="32"/>
    </w:rPr>
  </w:style>
  <w:style w:type="paragraph" w:styleId="4">
    <w:name w:val="heading 3"/>
    <w:basedOn w:val="1"/>
    <w:next w:val="1"/>
    <w:link w:val="64"/>
    <w:qFormat/>
    <w:uiPriority w:val="9"/>
    <w:pPr>
      <w:keepNext/>
      <w:keepLines/>
      <w:spacing w:before="260" w:after="260" w:line="416" w:lineRule="auto"/>
      <w:outlineLvl w:val="2"/>
    </w:pPr>
    <w:rPr>
      <w:b/>
      <w:bCs/>
      <w:kern w:val="0"/>
      <w:sz w:val="32"/>
      <w:szCs w:val="32"/>
    </w:rPr>
  </w:style>
  <w:style w:type="paragraph" w:styleId="5">
    <w:name w:val="heading 4"/>
    <w:basedOn w:val="1"/>
    <w:next w:val="1"/>
    <w:link w:val="59"/>
    <w:qFormat/>
    <w:uiPriority w:val="0"/>
    <w:pPr>
      <w:keepNext/>
      <w:keepLines/>
      <w:spacing w:before="280" w:after="290" w:line="376" w:lineRule="auto"/>
      <w:outlineLvl w:val="3"/>
    </w:pPr>
    <w:rPr>
      <w:rFonts w:ascii="Arial" w:hAnsi="Arial" w:eastAsia="黑体"/>
      <w:b/>
      <w:bCs/>
      <w:kern w:val="0"/>
      <w:sz w:val="28"/>
      <w:szCs w:val="28"/>
    </w:rPr>
  </w:style>
  <w:style w:type="paragraph" w:styleId="6">
    <w:name w:val="heading 5"/>
    <w:basedOn w:val="1"/>
    <w:next w:val="1"/>
    <w:link w:val="65"/>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6"/>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67"/>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68"/>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69"/>
    <w:qFormat/>
    <w:uiPriority w:val="0"/>
    <w:pPr>
      <w:keepNext/>
      <w:keepLines/>
      <w:adjustRightInd w:val="0"/>
      <w:spacing w:before="240" w:after="64" w:line="320" w:lineRule="atLeast"/>
      <w:jc w:val="left"/>
      <w:textAlignment w:val="baseline"/>
      <w:outlineLvl w:val="8"/>
    </w:pPr>
    <w:rPr>
      <w:rFonts w:ascii="Arial" w:hAnsi="Arial" w:eastAsia="黑体"/>
      <w:kern w:val="0"/>
      <w:sz w:val="2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cs="黑体"/>
      <w:szCs w:val="22"/>
    </w:rPr>
  </w:style>
  <w:style w:type="paragraph" w:styleId="12">
    <w:name w:val="Normal Indent"/>
    <w:basedOn w:val="1"/>
    <w:qFormat/>
    <w:uiPriority w:val="99"/>
    <w:pPr>
      <w:widowControl/>
      <w:ind w:firstLine="420"/>
      <w:jc w:val="left"/>
    </w:pPr>
    <w:rPr>
      <w:kern w:val="0"/>
      <w:sz w:val="20"/>
      <w:szCs w:val="20"/>
    </w:rPr>
  </w:style>
  <w:style w:type="paragraph" w:styleId="13">
    <w:name w:val="Document Map"/>
    <w:basedOn w:val="1"/>
    <w:link w:val="70"/>
    <w:semiHidden/>
    <w:qFormat/>
    <w:uiPriority w:val="99"/>
    <w:pPr>
      <w:shd w:val="clear" w:color="auto" w:fill="000080"/>
    </w:pPr>
    <w:rPr>
      <w:kern w:val="0"/>
      <w:sz w:val="20"/>
    </w:rPr>
  </w:style>
  <w:style w:type="paragraph" w:styleId="14">
    <w:name w:val="annotation text"/>
    <w:basedOn w:val="1"/>
    <w:link w:val="71"/>
    <w:qFormat/>
    <w:uiPriority w:val="0"/>
    <w:pPr>
      <w:jc w:val="left"/>
    </w:pPr>
    <w:rPr>
      <w:kern w:val="0"/>
      <w:sz w:val="20"/>
    </w:rPr>
  </w:style>
  <w:style w:type="paragraph" w:styleId="15">
    <w:name w:val="Salutation"/>
    <w:basedOn w:val="1"/>
    <w:next w:val="1"/>
    <w:link w:val="72"/>
    <w:qFormat/>
    <w:uiPriority w:val="0"/>
    <w:rPr>
      <w:rFonts w:ascii="仿宋_GB2312" w:eastAsia="仿宋_GB2312"/>
      <w:kern w:val="0"/>
      <w:sz w:val="24"/>
    </w:rPr>
  </w:style>
  <w:style w:type="paragraph" w:styleId="16">
    <w:name w:val="Body Text 3"/>
    <w:basedOn w:val="1"/>
    <w:link w:val="73"/>
    <w:qFormat/>
    <w:uiPriority w:val="0"/>
    <w:pPr>
      <w:spacing w:after="120"/>
    </w:pPr>
    <w:rPr>
      <w:sz w:val="16"/>
      <w:szCs w:val="16"/>
    </w:rPr>
  </w:style>
  <w:style w:type="paragraph" w:styleId="17">
    <w:name w:val="Body Text"/>
    <w:basedOn w:val="1"/>
    <w:next w:val="1"/>
    <w:link w:val="75"/>
    <w:qFormat/>
    <w:uiPriority w:val="0"/>
    <w:pPr>
      <w:spacing w:after="120"/>
    </w:pPr>
    <w:rPr>
      <w:kern w:val="0"/>
      <w:sz w:val="20"/>
    </w:rPr>
  </w:style>
  <w:style w:type="paragraph" w:styleId="18">
    <w:name w:val="Body Text Indent"/>
    <w:basedOn w:val="1"/>
    <w:next w:val="1"/>
    <w:link w:val="74"/>
    <w:qFormat/>
    <w:uiPriority w:val="99"/>
    <w:pPr>
      <w:spacing w:after="120"/>
      <w:ind w:left="420" w:leftChars="200"/>
    </w:pPr>
    <w:rPr>
      <w:kern w:val="0"/>
      <w:sz w:val="20"/>
    </w:r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unhideWhenUsed/>
    <w:qFormat/>
    <w:uiPriority w:val="39"/>
    <w:pPr>
      <w:ind w:left="1680" w:leftChars="800"/>
    </w:pPr>
    <w:rPr>
      <w:rFonts w:ascii="Calibri" w:hAnsi="Calibri" w:cs="黑体"/>
      <w:szCs w:val="22"/>
    </w:rPr>
  </w:style>
  <w:style w:type="paragraph" w:styleId="21">
    <w:name w:val="toc 3"/>
    <w:basedOn w:val="1"/>
    <w:next w:val="1"/>
    <w:unhideWhenUsed/>
    <w:qFormat/>
    <w:uiPriority w:val="39"/>
    <w:pPr>
      <w:adjustRightInd w:val="0"/>
      <w:snapToGrid w:val="0"/>
      <w:spacing w:line="360" w:lineRule="auto"/>
      <w:ind w:left="400" w:leftChars="400"/>
    </w:pPr>
    <w:rPr>
      <w:b/>
    </w:rPr>
  </w:style>
  <w:style w:type="paragraph" w:styleId="22">
    <w:name w:val="Plain Text"/>
    <w:basedOn w:val="1"/>
    <w:link w:val="76"/>
    <w:qFormat/>
    <w:uiPriority w:val="0"/>
    <w:rPr>
      <w:rFonts w:ascii="宋体" w:hAnsi="Courier New"/>
      <w:kern w:val="0"/>
      <w:sz w:val="20"/>
      <w:szCs w:val="21"/>
    </w:rPr>
  </w:style>
  <w:style w:type="paragraph" w:styleId="23">
    <w:name w:val="toc 8"/>
    <w:basedOn w:val="1"/>
    <w:next w:val="1"/>
    <w:unhideWhenUsed/>
    <w:qFormat/>
    <w:uiPriority w:val="39"/>
    <w:pPr>
      <w:ind w:left="2940" w:leftChars="1400"/>
    </w:pPr>
    <w:rPr>
      <w:rFonts w:ascii="Calibri" w:hAnsi="Calibri" w:cs="黑体"/>
      <w:szCs w:val="22"/>
    </w:rPr>
  </w:style>
  <w:style w:type="paragraph" w:styleId="24">
    <w:name w:val="Date"/>
    <w:basedOn w:val="1"/>
    <w:next w:val="1"/>
    <w:link w:val="77"/>
    <w:qFormat/>
    <w:uiPriority w:val="0"/>
    <w:rPr>
      <w:kern w:val="0"/>
      <w:sz w:val="24"/>
      <w:szCs w:val="20"/>
    </w:rPr>
  </w:style>
  <w:style w:type="paragraph" w:styleId="25">
    <w:name w:val="Body Text Indent 2"/>
    <w:basedOn w:val="1"/>
    <w:link w:val="78"/>
    <w:qFormat/>
    <w:uiPriority w:val="0"/>
    <w:pPr>
      <w:spacing w:after="120" w:line="480" w:lineRule="auto"/>
      <w:ind w:left="420" w:leftChars="200"/>
    </w:pPr>
    <w:rPr>
      <w:kern w:val="0"/>
      <w:sz w:val="20"/>
    </w:rPr>
  </w:style>
  <w:style w:type="paragraph" w:styleId="26">
    <w:name w:val="Balloon Text"/>
    <w:basedOn w:val="1"/>
    <w:link w:val="79"/>
    <w:qFormat/>
    <w:uiPriority w:val="0"/>
    <w:rPr>
      <w:kern w:val="0"/>
      <w:sz w:val="18"/>
      <w:szCs w:val="18"/>
    </w:rPr>
  </w:style>
  <w:style w:type="paragraph" w:styleId="27">
    <w:name w:val="footer"/>
    <w:basedOn w:val="1"/>
    <w:link w:val="80"/>
    <w:qFormat/>
    <w:uiPriority w:val="0"/>
    <w:pPr>
      <w:tabs>
        <w:tab w:val="center" w:pos="4153"/>
        <w:tab w:val="right" w:pos="8306"/>
      </w:tabs>
      <w:snapToGrid w:val="0"/>
      <w:jc w:val="left"/>
    </w:pPr>
    <w:rPr>
      <w:kern w:val="0"/>
      <w:sz w:val="18"/>
      <w:szCs w:val="18"/>
    </w:rPr>
  </w:style>
  <w:style w:type="paragraph" w:styleId="28">
    <w:name w:val="envelope return"/>
    <w:basedOn w:val="1"/>
    <w:qFormat/>
    <w:uiPriority w:val="0"/>
    <w:pPr>
      <w:widowControl/>
      <w:snapToGrid w:val="0"/>
      <w:textAlignment w:val="baseline"/>
    </w:pPr>
    <w:rPr>
      <w:rFonts w:ascii="Arial" w:hAnsi="Arial"/>
    </w:rPr>
  </w:style>
  <w:style w:type="paragraph" w:styleId="29">
    <w:name w:val="header"/>
    <w:basedOn w:val="1"/>
    <w:link w:val="81"/>
    <w:qFormat/>
    <w:uiPriority w:val="0"/>
    <w:pPr>
      <w:pBdr>
        <w:bottom w:val="single" w:color="auto" w:sz="6" w:space="1"/>
      </w:pBdr>
      <w:tabs>
        <w:tab w:val="center" w:pos="4153"/>
        <w:tab w:val="right" w:pos="8306"/>
      </w:tabs>
      <w:snapToGrid w:val="0"/>
      <w:jc w:val="center"/>
    </w:pPr>
    <w:rPr>
      <w:kern w:val="0"/>
      <w:sz w:val="18"/>
      <w:szCs w:val="18"/>
    </w:rPr>
  </w:style>
  <w:style w:type="paragraph" w:styleId="30">
    <w:name w:val="toc 1"/>
    <w:basedOn w:val="1"/>
    <w:next w:val="1"/>
    <w:qFormat/>
    <w:uiPriority w:val="39"/>
    <w:pPr>
      <w:tabs>
        <w:tab w:val="left" w:pos="1680"/>
        <w:tab w:val="right" w:leader="dot" w:pos="8834"/>
      </w:tabs>
      <w:spacing w:line="360" w:lineRule="auto"/>
    </w:pPr>
    <w:rPr>
      <w:rFonts w:ascii="宋体" w:hAnsi="宋体"/>
      <w:b/>
      <w:sz w:val="24"/>
      <w:szCs w:val="21"/>
    </w:rPr>
  </w:style>
  <w:style w:type="paragraph" w:styleId="31">
    <w:name w:val="toc 4"/>
    <w:basedOn w:val="1"/>
    <w:next w:val="1"/>
    <w:unhideWhenUsed/>
    <w:qFormat/>
    <w:uiPriority w:val="39"/>
    <w:pPr>
      <w:adjustRightInd w:val="0"/>
      <w:snapToGrid w:val="0"/>
      <w:spacing w:line="360" w:lineRule="auto"/>
      <w:ind w:left="600" w:leftChars="600"/>
    </w:pPr>
    <w:rPr>
      <w:rFonts w:ascii="Calibri" w:hAnsi="Calibri" w:cs="黑体"/>
      <w:b/>
      <w:szCs w:val="22"/>
    </w:rPr>
  </w:style>
  <w:style w:type="paragraph" w:styleId="32">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33">
    <w:name w:val="footnote text"/>
    <w:basedOn w:val="1"/>
    <w:link w:val="82"/>
    <w:semiHidden/>
    <w:qFormat/>
    <w:uiPriority w:val="99"/>
    <w:pPr>
      <w:snapToGrid w:val="0"/>
      <w:jc w:val="left"/>
    </w:pPr>
    <w:rPr>
      <w:sz w:val="18"/>
      <w:szCs w:val="18"/>
    </w:rPr>
  </w:style>
  <w:style w:type="paragraph" w:styleId="34">
    <w:name w:val="toc 6"/>
    <w:basedOn w:val="1"/>
    <w:next w:val="1"/>
    <w:qFormat/>
    <w:uiPriority w:val="39"/>
    <w:pPr>
      <w:ind w:left="2100"/>
    </w:pPr>
    <w:rPr>
      <w:szCs w:val="20"/>
    </w:rPr>
  </w:style>
  <w:style w:type="paragraph" w:styleId="35">
    <w:name w:val="Body Text Indent 3"/>
    <w:basedOn w:val="1"/>
    <w:link w:val="83"/>
    <w:qFormat/>
    <w:uiPriority w:val="0"/>
    <w:pPr>
      <w:spacing w:after="120"/>
      <w:ind w:left="420" w:leftChars="200"/>
    </w:pPr>
    <w:rPr>
      <w:kern w:val="0"/>
      <w:sz w:val="16"/>
      <w:szCs w:val="16"/>
    </w:rPr>
  </w:style>
  <w:style w:type="paragraph" w:styleId="36">
    <w:name w:val="toc 2"/>
    <w:basedOn w:val="1"/>
    <w:next w:val="1"/>
    <w:unhideWhenUsed/>
    <w:qFormat/>
    <w:uiPriority w:val="39"/>
    <w:pPr>
      <w:spacing w:line="360" w:lineRule="auto"/>
      <w:ind w:left="200" w:leftChars="200"/>
    </w:pPr>
    <w:rPr>
      <w:b/>
    </w:rPr>
  </w:style>
  <w:style w:type="paragraph" w:styleId="37">
    <w:name w:val="toc 9"/>
    <w:basedOn w:val="1"/>
    <w:next w:val="1"/>
    <w:unhideWhenUsed/>
    <w:qFormat/>
    <w:uiPriority w:val="39"/>
    <w:pPr>
      <w:ind w:left="3360" w:leftChars="1600"/>
    </w:pPr>
    <w:rPr>
      <w:rFonts w:ascii="Calibri" w:hAnsi="Calibri" w:cs="黑体"/>
      <w:szCs w:val="22"/>
    </w:rPr>
  </w:style>
  <w:style w:type="paragraph" w:styleId="38">
    <w:name w:val="Body Text 2"/>
    <w:basedOn w:val="1"/>
    <w:link w:val="84"/>
    <w:qFormat/>
    <w:uiPriority w:val="0"/>
    <w:pPr>
      <w:spacing w:after="120" w:line="480" w:lineRule="auto"/>
    </w:pPr>
    <w:rPr>
      <w:kern w:val="0"/>
      <w:sz w:val="20"/>
    </w:rPr>
  </w:style>
  <w:style w:type="paragraph" w:styleId="39">
    <w:name w:val="Message Header"/>
    <w:basedOn w:val="1"/>
    <w:link w:val="85"/>
    <w:unhideWhenUsed/>
    <w:qFormat/>
    <w:uiPriority w:val="99"/>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rFonts w:ascii="Arial" w:hAnsi="Arial"/>
      <w:sz w:val="24"/>
    </w:rPr>
  </w:style>
  <w:style w:type="paragraph" w:styleId="40">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0"/>
    </w:rPr>
  </w:style>
  <w:style w:type="paragraph" w:styleId="43">
    <w:name w:val="Title"/>
    <w:basedOn w:val="1"/>
    <w:link w:val="87"/>
    <w:qFormat/>
    <w:uiPriority w:val="0"/>
    <w:pPr>
      <w:jc w:val="center"/>
      <w:outlineLvl w:val="0"/>
    </w:pPr>
    <w:rPr>
      <w:b/>
      <w:kern w:val="0"/>
      <w:sz w:val="32"/>
      <w:szCs w:val="20"/>
    </w:rPr>
  </w:style>
  <w:style w:type="paragraph" w:styleId="44">
    <w:name w:val="annotation subject"/>
    <w:basedOn w:val="14"/>
    <w:next w:val="14"/>
    <w:link w:val="88"/>
    <w:qFormat/>
    <w:uiPriority w:val="0"/>
    <w:rPr>
      <w:b/>
      <w:bCs/>
    </w:rPr>
  </w:style>
  <w:style w:type="paragraph" w:styleId="45">
    <w:name w:val="Body Text First Indent"/>
    <w:unhideWhenUsed/>
    <w:qFormat/>
    <w:uiPriority w:val="99"/>
    <w:pPr>
      <w:kinsoku w:val="0"/>
      <w:autoSpaceDE w:val="0"/>
      <w:autoSpaceDN w:val="0"/>
      <w:adjustRightInd w:val="0"/>
      <w:snapToGrid w:val="0"/>
      <w:spacing w:line="240" w:lineRule="auto"/>
      <w:ind w:firstLine="420" w:firstLineChars="100"/>
      <w:jc w:val="left"/>
      <w:textAlignment w:val="baseline"/>
    </w:pPr>
    <w:rPr>
      <w:rFonts w:ascii="Arial" w:hAnsi="Arial" w:eastAsia="Arial" w:cs="Arial"/>
      <w:snapToGrid w:val="0"/>
      <w:color w:val="000000"/>
      <w:kern w:val="0"/>
      <w:sz w:val="21"/>
      <w:szCs w:val="21"/>
      <w:lang w:val="en-US" w:eastAsia="en-US" w:bidi="ar-SA"/>
    </w:rPr>
  </w:style>
  <w:style w:type="paragraph" w:styleId="46">
    <w:name w:val="Body Text First Indent 2"/>
    <w:basedOn w:val="18"/>
    <w:link w:val="89"/>
    <w:qFormat/>
    <w:uiPriority w:val="0"/>
    <w:pPr>
      <w:ind w:firstLine="420" w:firstLineChars="200"/>
    </w:p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qFormat/>
    <w:uiPriority w:val="0"/>
  </w:style>
  <w:style w:type="character" w:styleId="52">
    <w:name w:val="FollowedHyperlink"/>
    <w:qFormat/>
    <w:uiPriority w:val="99"/>
    <w:rPr>
      <w:color w:val="800080"/>
      <w:u w:val="single"/>
    </w:rPr>
  </w:style>
  <w:style w:type="character" w:styleId="53">
    <w:name w:val="Emphasis"/>
    <w:qFormat/>
    <w:uiPriority w:val="0"/>
  </w:style>
  <w:style w:type="character" w:styleId="54">
    <w:name w:val="Hyperlink"/>
    <w:qFormat/>
    <w:uiPriority w:val="99"/>
    <w:rPr>
      <w:color w:val="136EC2"/>
      <w:u w:val="single"/>
    </w:rPr>
  </w:style>
  <w:style w:type="character" w:styleId="55">
    <w:name w:val="annotation reference"/>
    <w:qFormat/>
    <w:uiPriority w:val="0"/>
    <w:rPr>
      <w:sz w:val="21"/>
      <w:szCs w:val="21"/>
    </w:rPr>
  </w:style>
  <w:style w:type="paragraph" w:customStyle="1" w:styleId="56">
    <w:name w:val="首行缩进"/>
    <w:next w:val="31"/>
    <w:qFormat/>
    <w:uiPriority w:val="0"/>
    <w:pPr>
      <w:widowControl w:val="0"/>
      <w:ind w:firstLine="480" w:firstLineChars="200"/>
      <w:jc w:val="both"/>
    </w:pPr>
    <w:rPr>
      <w:rFonts w:ascii="Times New Roman" w:hAnsi="Times New Roman" w:eastAsia="宋体" w:cs="Times New Roman"/>
      <w:kern w:val="0"/>
      <w:sz w:val="21"/>
      <w:szCs w:val="20"/>
      <w:lang w:val="zh-CN" w:eastAsia="zh-CN" w:bidi="ar-SA"/>
    </w:rPr>
  </w:style>
  <w:style w:type="character" w:customStyle="1" w:styleId="57">
    <w:name w:val="标题 2 字符"/>
    <w:link w:val="3"/>
    <w:qFormat/>
    <w:uiPriority w:val="9"/>
    <w:rPr>
      <w:rFonts w:ascii="Arial" w:hAnsi="Arial" w:eastAsia="宋体" w:cs="Times New Roman"/>
      <w:b/>
      <w:bCs/>
      <w:sz w:val="24"/>
      <w:szCs w:val="32"/>
    </w:rPr>
  </w:style>
  <w:style w:type="character" w:customStyle="1" w:styleId="58">
    <w:name w:val="标题 1 字符"/>
    <w:link w:val="2"/>
    <w:qFormat/>
    <w:uiPriority w:val="9"/>
    <w:rPr>
      <w:rFonts w:ascii="Times New Roman" w:hAnsi="Times New Roman" w:eastAsia="宋体" w:cs="Times New Roman"/>
      <w:b/>
      <w:bCs/>
      <w:sz w:val="24"/>
      <w:szCs w:val="20"/>
    </w:rPr>
  </w:style>
  <w:style w:type="character" w:customStyle="1" w:styleId="59">
    <w:name w:val="标题 4 字符"/>
    <w:link w:val="5"/>
    <w:qFormat/>
    <w:uiPriority w:val="0"/>
    <w:rPr>
      <w:rFonts w:ascii="Arial" w:hAnsi="Arial" w:eastAsia="黑体" w:cs="Times New Roman"/>
      <w:b/>
      <w:bCs/>
      <w:sz w:val="28"/>
      <w:szCs w:val="28"/>
    </w:rPr>
  </w:style>
  <w:style w:type="paragraph" w:customStyle="1" w:styleId="60">
    <w:name w:val="1"/>
    <w:basedOn w:val="61"/>
    <w:next w:val="18"/>
    <w:qFormat/>
    <w:uiPriority w:val="0"/>
    <w:pPr>
      <w:spacing w:afterLines="50" w:line="360" w:lineRule="auto"/>
    </w:pPr>
    <w:rPr>
      <w:rFonts w:ascii="宋体" w:hAnsi="宋体"/>
      <w:b/>
      <w:sz w:val="30"/>
      <w:szCs w:val="21"/>
    </w:rPr>
  </w:style>
  <w:style w:type="paragraph" w:customStyle="1" w:styleId="6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3">
    <w:name w:val="font5"/>
    <w:basedOn w:val="1"/>
    <w:qFormat/>
    <w:uiPriority w:val="0"/>
    <w:pPr>
      <w:widowControl/>
      <w:spacing w:before="100" w:beforeAutospacing="1" w:after="100" w:afterAutospacing="1"/>
      <w:jc w:val="left"/>
    </w:pPr>
    <w:rPr>
      <w:rFonts w:ascii="宋体" w:hAnsi="宋体" w:cs="宋体"/>
      <w:kern w:val="0"/>
      <w:sz w:val="20"/>
      <w:szCs w:val="20"/>
    </w:rPr>
  </w:style>
  <w:style w:type="character" w:customStyle="1" w:styleId="64">
    <w:name w:val="标题 3 字符"/>
    <w:link w:val="4"/>
    <w:qFormat/>
    <w:uiPriority w:val="9"/>
    <w:rPr>
      <w:rFonts w:ascii="Times New Roman" w:hAnsi="Times New Roman" w:eastAsia="宋体" w:cs="Times New Roman"/>
      <w:b/>
      <w:bCs/>
      <w:sz w:val="32"/>
      <w:szCs w:val="32"/>
    </w:rPr>
  </w:style>
  <w:style w:type="character" w:customStyle="1" w:styleId="65">
    <w:name w:val="标题 5 字符"/>
    <w:link w:val="6"/>
    <w:qFormat/>
    <w:uiPriority w:val="0"/>
    <w:rPr>
      <w:rFonts w:ascii="Times New Roman" w:hAnsi="Times New Roman" w:eastAsia="宋体" w:cs="Times New Roman"/>
      <w:b/>
      <w:bCs/>
      <w:kern w:val="0"/>
      <w:sz w:val="28"/>
      <w:szCs w:val="28"/>
    </w:rPr>
  </w:style>
  <w:style w:type="character" w:customStyle="1" w:styleId="66">
    <w:name w:val="标题 6 字符"/>
    <w:link w:val="7"/>
    <w:qFormat/>
    <w:uiPriority w:val="0"/>
    <w:rPr>
      <w:rFonts w:ascii="Arial" w:hAnsi="Arial" w:eastAsia="黑体" w:cs="Times New Roman"/>
      <w:b/>
      <w:bCs/>
      <w:kern w:val="0"/>
      <w:sz w:val="24"/>
      <w:szCs w:val="24"/>
    </w:rPr>
  </w:style>
  <w:style w:type="character" w:customStyle="1" w:styleId="67">
    <w:name w:val="标题 7 字符"/>
    <w:link w:val="8"/>
    <w:qFormat/>
    <w:uiPriority w:val="0"/>
    <w:rPr>
      <w:rFonts w:ascii="Times New Roman" w:hAnsi="Times New Roman" w:eastAsia="宋体" w:cs="Times New Roman"/>
      <w:b/>
      <w:bCs/>
      <w:kern w:val="0"/>
      <w:sz w:val="24"/>
      <w:szCs w:val="24"/>
    </w:rPr>
  </w:style>
  <w:style w:type="character" w:customStyle="1" w:styleId="68">
    <w:name w:val="标题 8 字符"/>
    <w:link w:val="9"/>
    <w:qFormat/>
    <w:uiPriority w:val="0"/>
    <w:rPr>
      <w:rFonts w:ascii="Arial" w:hAnsi="Arial" w:eastAsia="黑体" w:cs="Times New Roman"/>
      <w:kern w:val="0"/>
      <w:sz w:val="24"/>
      <w:szCs w:val="24"/>
    </w:rPr>
  </w:style>
  <w:style w:type="character" w:customStyle="1" w:styleId="69">
    <w:name w:val="标题 9 字符"/>
    <w:link w:val="10"/>
    <w:qFormat/>
    <w:uiPriority w:val="0"/>
    <w:rPr>
      <w:rFonts w:ascii="Arial" w:hAnsi="Arial" w:eastAsia="黑体" w:cs="Times New Roman"/>
      <w:kern w:val="0"/>
      <w:szCs w:val="21"/>
    </w:rPr>
  </w:style>
  <w:style w:type="character" w:customStyle="1" w:styleId="70">
    <w:name w:val="文档结构图 字符"/>
    <w:link w:val="13"/>
    <w:semiHidden/>
    <w:qFormat/>
    <w:uiPriority w:val="99"/>
    <w:rPr>
      <w:rFonts w:ascii="Times New Roman" w:hAnsi="Times New Roman" w:eastAsia="宋体" w:cs="Times New Roman"/>
      <w:szCs w:val="24"/>
      <w:shd w:val="clear" w:color="auto" w:fill="000080"/>
    </w:rPr>
  </w:style>
  <w:style w:type="character" w:customStyle="1" w:styleId="71">
    <w:name w:val="批注文字 字符"/>
    <w:link w:val="14"/>
    <w:semiHidden/>
    <w:qFormat/>
    <w:uiPriority w:val="0"/>
    <w:rPr>
      <w:rFonts w:ascii="Times New Roman" w:hAnsi="Times New Roman" w:eastAsia="宋体" w:cs="Times New Roman"/>
      <w:szCs w:val="24"/>
    </w:rPr>
  </w:style>
  <w:style w:type="character" w:customStyle="1" w:styleId="72">
    <w:name w:val="称呼 字符"/>
    <w:link w:val="15"/>
    <w:qFormat/>
    <w:uiPriority w:val="0"/>
    <w:rPr>
      <w:rFonts w:ascii="仿宋_GB2312" w:hAnsi="Times New Roman" w:eastAsia="仿宋_GB2312" w:cs="Times New Roman"/>
      <w:sz w:val="24"/>
      <w:szCs w:val="24"/>
    </w:rPr>
  </w:style>
  <w:style w:type="character" w:customStyle="1" w:styleId="73">
    <w:name w:val="正文文本 3 字符"/>
    <w:basedOn w:val="49"/>
    <w:link w:val="16"/>
    <w:qFormat/>
    <w:uiPriority w:val="0"/>
    <w:rPr>
      <w:kern w:val="2"/>
      <w:sz w:val="16"/>
      <w:szCs w:val="16"/>
    </w:rPr>
  </w:style>
  <w:style w:type="character" w:customStyle="1" w:styleId="74">
    <w:name w:val="正文文本缩进 字符"/>
    <w:link w:val="18"/>
    <w:qFormat/>
    <w:uiPriority w:val="99"/>
    <w:rPr>
      <w:rFonts w:ascii="Times New Roman" w:hAnsi="Times New Roman" w:eastAsia="宋体" w:cs="Times New Roman"/>
      <w:szCs w:val="24"/>
    </w:rPr>
  </w:style>
  <w:style w:type="character" w:customStyle="1" w:styleId="75">
    <w:name w:val="正文文本 字符"/>
    <w:link w:val="17"/>
    <w:qFormat/>
    <w:uiPriority w:val="99"/>
    <w:rPr>
      <w:rFonts w:ascii="Times New Roman" w:hAnsi="Times New Roman" w:eastAsia="宋体" w:cs="Times New Roman"/>
      <w:szCs w:val="24"/>
    </w:rPr>
  </w:style>
  <w:style w:type="character" w:customStyle="1" w:styleId="76">
    <w:name w:val="纯文本 字符"/>
    <w:link w:val="22"/>
    <w:qFormat/>
    <w:uiPriority w:val="0"/>
    <w:rPr>
      <w:rFonts w:ascii="宋体" w:hAnsi="Courier New" w:eastAsia="宋体" w:cs="Courier New"/>
      <w:szCs w:val="21"/>
    </w:rPr>
  </w:style>
  <w:style w:type="character" w:customStyle="1" w:styleId="77">
    <w:name w:val="日期 字符"/>
    <w:link w:val="24"/>
    <w:qFormat/>
    <w:uiPriority w:val="0"/>
    <w:rPr>
      <w:rFonts w:ascii="Times New Roman" w:hAnsi="Times New Roman" w:eastAsia="宋体" w:cs="Times New Roman"/>
      <w:sz w:val="24"/>
      <w:szCs w:val="20"/>
    </w:rPr>
  </w:style>
  <w:style w:type="character" w:customStyle="1" w:styleId="78">
    <w:name w:val="正文文本缩进 2 字符"/>
    <w:link w:val="25"/>
    <w:qFormat/>
    <w:uiPriority w:val="0"/>
    <w:rPr>
      <w:rFonts w:ascii="Times New Roman" w:hAnsi="Times New Roman" w:eastAsia="宋体" w:cs="Times New Roman"/>
      <w:szCs w:val="24"/>
    </w:rPr>
  </w:style>
  <w:style w:type="character" w:customStyle="1" w:styleId="79">
    <w:name w:val="批注框文本 字符"/>
    <w:link w:val="26"/>
    <w:qFormat/>
    <w:uiPriority w:val="0"/>
    <w:rPr>
      <w:rFonts w:ascii="Times New Roman" w:hAnsi="Times New Roman" w:eastAsia="宋体" w:cs="Times New Roman"/>
      <w:sz w:val="18"/>
      <w:szCs w:val="18"/>
    </w:rPr>
  </w:style>
  <w:style w:type="character" w:customStyle="1" w:styleId="80">
    <w:name w:val="页脚 字符1"/>
    <w:link w:val="27"/>
    <w:qFormat/>
    <w:uiPriority w:val="0"/>
    <w:rPr>
      <w:rFonts w:ascii="Times New Roman" w:hAnsi="Times New Roman" w:eastAsia="宋体" w:cs="Times New Roman"/>
      <w:sz w:val="18"/>
      <w:szCs w:val="18"/>
    </w:rPr>
  </w:style>
  <w:style w:type="character" w:customStyle="1" w:styleId="81">
    <w:name w:val="页眉 字符"/>
    <w:link w:val="29"/>
    <w:qFormat/>
    <w:uiPriority w:val="0"/>
    <w:rPr>
      <w:rFonts w:ascii="Times New Roman" w:hAnsi="Times New Roman" w:eastAsia="宋体" w:cs="Times New Roman"/>
      <w:sz w:val="18"/>
      <w:szCs w:val="18"/>
    </w:rPr>
  </w:style>
  <w:style w:type="character" w:customStyle="1" w:styleId="82">
    <w:name w:val="脚注文本 字符"/>
    <w:link w:val="33"/>
    <w:semiHidden/>
    <w:qFormat/>
    <w:uiPriority w:val="99"/>
    <w:rPr>
      <w:kern w:val="2"/>
      <w:sz w:val="18"/>
      <w:szCs w:val="18"/>
    </w:rPr>
  </w:style>
  <w:style w:type="character" w:customStyle="1" w:styleId="83">
    <w:name w:val="正文文本缩进 3 字符"/>
    <w:link w:val="35"/>
    <w:qFormat/>
    <w:uiPriority w:val="0"/>
    <w:rPr>
      <w:rFonts w:ascii="Times New Roman" w:hAnsi="Times New Roman" w:eastAsia="宋体" w:cs="Times New Roman"/>
      <w:sz w:val="16"/>
      <w:szCs w:val="16"/>
    </w:rPr>
  </w:style>
  <w:style w:type="character" w:customStyle="1" w:styleId="84">
    <w:name w:val="正文文本 2 字符"/>
    <w:link w:val="38"/>
    <w:qFormat/>
    <w:uiPriority w:val="0"/>
    <w:rPr>
      <w:rFonts w:ascii="Times New Roman" w:hAnsi="Times New Roman" w:eastAsia="宋体" w:cs="Times New Roman"/>
      <w:szCs w:val="24"/>
    </w:rPr>
  </w:style>
  <w:style w:type="character" w:customStyle="1" w:styleId="85">
    <w:name w:val="信息标题 字符"/>
    <w:link w:val="39"/>
    <w:qFormat/>
    <w:uiPriority w:val="99"/>
    <w:rPr>
      <w:rFonts w:ascii="Arial" w:hAnsi="Arial"/>
      <w:kern w:val="2"/>
      <w:sz w:val="24"/>
      <w:szCs w:val="24"/>
      <w:shd w:val="pct20" w:color="auto" w:fill="auto"/>
    </w:rPr>
  </w:style>
  <w:style w:type="character" w:customStyle="1" w:styleId="86">
    <w:name w:val="HTML 预设格式 字符"/>
    <w:link w:val="40"/>
    <w:qFormat/>
    <w:uiPriority w:val="0"/>
    <w:rPr>
      <w:rFonts w:ascii="Arial" w:hAnsi="Arial" w:eastAsia="宋体" w:cs="Arial"/>
      <w:kern w:val="0"/>
      <w:sz w:val="24"/>
      <w:szCs w:val="24"/>
    </w:rPr>
  </w:style>
  <w:style w:type="character" w:customStyle="1" w:styleId="87">
    <w:name w:val="标题 字符"/>
    <w:link w:val="43"/>
    <w:qFormat/>
    <w:uiPriority w:val="0"/>
    <w:rPr>
      <w:b/>
      <w:sz w:val="32"/>
    </w:rPr>
  </w:style>
  <w:style w:type="character" w:customStyle="1" w:styleId="88">
    <w:name w:val="批注主题 字符"/>
    <w:link w:val="44"/>
    <w:qFormat/>
    <w:uiPriority w:val="0"/>
    <w:rPr>
      <w:rFonts w:ascii="Times New Roman" w:hAnsi="Times New Roman" w:eastAsia="宋体" w:cs="Times New Roman"/>
      <w:b/>
      <w:bCs/>
      <w:szCs w:val="24"/>
    </w:rPr>
  </w:style>
  <w:style w:type="character" w:customStyle="1" w:styleId="89">
    <w:name w:val="正文首行缩进 2 字符"/>
    <w:basedOn w:val="74"/>
    <w:link w:val="46"/>
    <w:qFormat/>
    <w:uiPriority w:val="0"/>
    <w:rPr>
      <w:rFonts w:ascii="Times New Roman" w:hAnsi="Times New Roman" w:eastAsia="宋体" w:cs="Times New Roman"/>
      <w:szCs w:val="24"/>
    </w:rPr>
  </w:style>
  <w:style w:type="character" w:customStyle="1" w:styleId="90">
    <w:name w:val="font01"/>
    <w:qFormat/>
    <w:uiPriority w:val="0"/>
    <w:rPr>
      <w:rFonts w:hint="eastAsia" w:ascii="宋体" w:hAnsi="宋体" w:eastAsia="宋体" w:cs="宋体"/>
      <w:color w:val="auto"/>
      <w:sz w:val="24"/>
      <w:szCs w:val="24"/>
      <w:u w:val="none"/>
    </w:rPr>
  </w:style>
  <w:style w:type="character" w:customStyle="1" w:styleId="91">
    <w:name w:val="fontstyle31"/>
    <w:qFormat/>
    <w:uiPriority w:val="0"/>
    <w:rPr>
      <w:rFonts w:hint="default" w:ascii="Arial" w:hAnsi="Arial" w:cs="Arial"/>
      <w:color w:val="993300"/>
      <w:sz w:val="24"/>
      <w:szCs w:val="24"/>
    </w:rPr>
  </w:style>
  <w:style w:type="character" w:customStyle="1" w:styleId="92">
    <w:name w:val="font131"/>
    <w:basedOn w:val="49"/>
    <w:qFormat/>
    <w:uiPriority w:val="0"/>
    <w:rPr>
      <w:rFonts w:hint="eastAsia" w:ascii="宋体" w:hAnsi="宋体" w:eastAsia="宋体" w:cs="宋体"/>
      <w:b/>
      <w:color w:val="000000"/>
      <w:sz w:val="24"/>
      <w:szCs w:val="24"/>
      <w:u w:val="none"/>
    </w:rPr>
  </w:style>
  <w:style w:type="character" w:customStyle="1" w:styleId="93">
    <w:name w:val="font81"/>
    <w:qFormat/>
    <w:uiPriority w:val="0"/>
    <w:rPr>
      <w:rFonts w:hint="eastAsia" w:ascii="微软雅黑" w:hAnsi="微软雅黑" w:eastAsia="微软雅黑" w:cs="微软雅黑"/>
      <w:color w:val="000000"/>
      <w:sz w:val="22"/>
      <w:szCs w:val="22"/>
      <w:u w:val="none"/>
    </w:rPr>
  </w:style>
  <w:style w:type="character" w:customStyle="1" w:styleId="94">
    <w:name w:val="font91"/>
    <w:qFormat/>
    <w:uiPriority w:val="0"/>
    <w:rPr>
      <w:rFonts w:hint="default" w:ascii="微软雅黑 Light" w:hAnsi="微软雅黑 Light" w:eastAsia="微软雅黑 Light" w:cs="微软雅黑 Light"/>
      <w:b/>
      <w:color w:val="000000"/>
      <w:sz w:val="22"/>
      <w:szCs w:val="22"/>
      <w:u w:val="none"/>
    </w:rPr>
  </w:style>
  <w:style w:type="character" w:customStyle="1" w:styleId="95">
    <w:name w:val="样式1 Char Char"/>
    <w:link w:val="96"/>
    <w:qFormat/>
    <w:uiPriority w:val="0"/>
    <w:rPr>
      <w:rFonts w:ascii="宋体" w:hAnsi="宋体" w:eastAsia="宋体" w:cs="Times New Roman"/>
      <w:kern w:val="0"/>
      <w:szCs w:val="21"/>
    </w:rPr>
  </w:style>
  <w:style w:type="paragraph" w:customStyle="1" w:styleId="96">
    <w:name w:val="样式1"/>
    <w:basedOn w:val="1"/>
    <w:link w:val="95"/>
    <w:qFormat/>
    <w:uiPriority w:val="0"/>
    <w:pPr>
      <w:tabs>
        <w:tab w:val="left" w:pos="360"/>
      </w:tabs>
      <w:adjustRightInd w:val="0"/>
      <w:ind w:left="360" w:hanging="360"/>
      <w:textAlignment w:val="baseline"/>
    </w:pPr>
    <w:rPr>
      <w:rFonts w:ascii="宋体" w:hAnsi="宋体"/>
      <w:kern w:val="0"/>
      <w:sz w:val="20"/>
      <w:szCs w:val="21"/>
    </w:rPr>
  </w:style>
  <w:style w:type="character" w:customStyle="1" w:styleId="97">
    <w:name w:val="font51"/>
    <w:basedOn w:val="49"/>
    <w:qFormat/>
    <w:uiPriority w:val="0"/>
    <w:rPr>
      <w:rFonts w:hint="default" w:ascii="微软雅黑 Light" w:hAnsi="微软雅黑 Light" w:eastAsia="微软雅黑 Light" w:cs="微软雅黑 Light"/>
      <w:b/>
      <w:color w:val="000000"/>
      <w:sz w:val="22"/>
      <w:szCs w:val="22"/>
      <w:u w:val="none"/>
    </w:rPr>
  </w:style>
  <w:style w:type="character" w:customStyle="1" w:styleId="98">
    <w:name w:val="font121"/>
    <w:qFormat/>
    <w:uiPriority w:val="0"/>
    <w:rPr>
      <w:rFonts w:hint="eastAsia" w:ascii="等线" w:hAnsi="等线" w:eastAsia="等线" w:cs="等线"/>
      <w:b/>
      <w:color w:val="000000"/>
      <w:sz w:val="24"/>
      <w:szCs w:val="24"/>
      <w:u w:val="none"/>
    </w:rPr>
  </w:style>
  <w:style w:type="character" w:customStyle="1" w:styleId="99">
    <w:name w:val="fontstyle21"/>
    <w:qFormat/>
    <w:uiPriority w:val="0"/>
    <w:rPr>
      <w:rFonts w:hint="eastAsia" w:ascii="宋体" w:hAnsi="宋体" w:eastAsia="宋体"/>
      <w:color w:val="993300"/>
      <w:sz w:val="24"/>
      <w:szCs w:val="24"/>
    </w:rPr>
  </w:style>
  <w:style w:type="character" w:customStyle="1" w:styleId="100">
    <w:name w:val="font21"/>
    <w:basedOn w:val="49"/>
    <w:qFormat/>
    <w:uiPriority w:val="0"/>
    <w:rPr>
      <w:rFonts w:hint="eastAsia" w:ascii="宋体" w:hAnsi="宋体" w:eastAsia="宋体" w:cs="宋体"/>
      <w:color w:val="000000"/>
      <w:sz w:val="22"/>
      <w:szCs w:val="22"/>
      <w:u w:val="none"/>
    </w:rPr>
  </w:style>
  <w:style w:type="character" w:customStyle="1" w:styleId="101">
    <w:name w:val="列出段落 Char"/>
    <w:link w:val="102"/>
    <w:qFormat/>
    <w:uiPriority w:val="0"/>
    <w:rPr>
      <w:rFonts w:ascii="Times New Roman" w:hAnsi="Times New Roman" w:eastAsia="宋体" w:cs="Times New Roman"/>
      <w:szCs w:val="24"/>
    </w:rPr>
  </w:style>
  <w:style w:type="paragraph" w:customStyle="1" w:styleId="102">
    <w:name w:val="列出段落1"/>
    <w:basedOn w:val="103"/>
    <w:link w:val="101"/>
    <w:qFormat/>
    <w:uiPriority w:val="34"/>
    <w:pPr>
      <w:ind w:firstLine="420" w:firstLineChars="200"/>
    </w:pPr>
    <w:rPr>
      <w:kern w:val="0"/>
      <w:sz w:val="20"/>
    </w:rPr>
  </w:style>
  <w:style w:type="paragraph" w:customStyle="1" w:styleId="103">
    <w:name w:val="正文_4"/>
    <w:next w:val="10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4">
    <w:name w:val="正文文本_4"/>
    <w:basedOn w:val="103"/>
    <w:qFormat/>
    <w:uiPriority w:val="0"/>
    <w:pPr>
      <w:spacing w:after="120"/>
    </w:pPr>
  </w:style>
  <w:style w:type="paragraph" w:customStyle="1" w:styleId="105">
    <w:name w:val="正文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06">
    <w:name w:val="脚注文本1"/>
    <w:basedOn w:val="105"/>
    <w:next w:val="107"/>
    <w:qFormat/>
    <w:uiPriority w:val="0"/>
    <w:pPr>
      <w:jc w:val="left"/>
    </w:pPr>
    <w:rPr>
      <w:rFonts w:ascii="宋体" w:eastAsia="Times New Roman"/>
      <w:sz w:val="18"/>
      <w:szCs w:val="18"/>
    </w:rPr>
  </w:style>
  <w:style w:type="paragraph" w:customStyle="1" w:styleId="107">
    <w:name w:val="索引 51"/>
    <w:basedOn w:val="105"/>
    <w:next w:val="105"/>
    <w:qFormat/>
    <w:uiPriority w:val="0"/>
    <w:pPr>
      <w:ind w:left="798"/>
      <w:jc w:val="left"/>
    </w:pPr>
    <w:rPr>
      <w:rFonts w:ascii="Calibri" w:hAnsi="Calibri"/>
    </w:rPr>
  </w:style>
  <w:style w:type="character" w:customStyle="1" w:styleId="108">
    <w:name w:val="font61"/>
    <w:qFormat/>
    <w:uiPriority w:val="0"/>
    <w:rPr>
      <w:rFonts w:hint="default" w:ascii="Times New Roman" w:hAnsi="Times New Roman" w:cs="Times New Roman"/>
      <w:color w:val="auto"/>
      <w:sz w:val="24"/>
      <w:szCs w:val="24"/>
      <w:u w:val="none"/>
    </w:rPr>
  </w:style>
  <w:style w:type="character" w:customStyle="1" w:styleId="109">
    <w:name w:val="DMT-正文样式1 字符"/>
    <w:link w:val="110"/>
    <w:qFormat/>
    <w:uiPriority w:val="0"/>
    <w:rPr>
      <w:sz w:val="28"/>
    </w:rPr>
  </w:style>
  <w:style w:type="paragraph" w:customStyle="1" w:styleId="110">
    <w:name w:val="DMT-正文样式1"/>
    <w:basedOn w:val="1"/>
    <w:link w:val="109"/>
    <w:qFormat/>
    <w:uiPriority w:val="0"/>
    <w:pPr>
      <w:spacing w:beforeLines="50" w:afterLines="50" w:line="360" w:lineRule="auto"/>
      <w:ind w:firstLine="200" w:firstLineChars="200"/>
    </w:pPr>
    <w:rPr>
      <w:kern w:val="0"/>
      <w:sz w:val="28"/>
      <w:szCs w:val="20"/>
    </w:rPr>
  </w:style>
  <w:style w:type="character" w:customStyle="1" w:styleId="111">
    <w:name w:val="font41"/>
    <w:qFormat/>
    <w:uiPriority w:val="0"/>
    <w:rPr>
      <w:rFonts w:hint="eastAsia" w:ascii="宋体" w:hAnsi="宋体" w:eastAsia="宋体" w:cs="宋体"/>
      <w:color w:val="000000"/>
      <w:sz w:val="24"/>
      <w:szCs w:val="24"/>
      <w:u w:val="none"/>
    </w:rPr>
  </w:style>
  <w:style w:type="character" w:customStyle="1" w:styleId="112">
    <w:name w:val="NormalCharacter"/>
    <w:qFormat/>
    <w:uiPriority w:val="0"/>
  </w:style>
  <w:style w:type="character" w:customStyle="1" w:styleId="113">
    <w:name w:val="fontstyle01"/>
    <w:qFormat/>
    <w:uiPriority w:val="0"/>
    <w:rPr>
      <w:rFonts w:hint="eastAsia" w:ascii="宋体" w:hAnsi="宋体" w:eastAsia="宋体"/>
      <w:color w:val="000000"/>
      <w:sz w:val="24"/>
      <w:szCs w:val="24"/>
    </w:rPr>
  </w:style>
  <w:style w:type="character" w:customStyle="1" w:styleId="114">
    <w:name w:val="p0 Char"/>
    <w:link w:val="115"/>
    <w:qFormat/>
    <w:uiPriority w:val="0"/>
    <w:rPr>
      <w:rFonts w:eastAsia="宋体"/>
      <w:szCs w:val="21"/>
    </w:rPr>
  </w:style>
  <w:style w:type="paragraph" w:customStyle="1" w:styleId="115">
    <w:name w:val="p0"/>
    <w:basedOn w:val="1"/>
    <w:link w:val="114"/>
    <w:qFormat/>
    <w:uiPriority w:val="0"/>
    <w:pPr>
      <w:widowControl/>
    </w:pPr>
    <w:rPr>
      <w:kern w:val="0"/>
      <w:sz w:val="20"/>
      <w:szCs w:val="21"/>
    </w:rPr>
  </w:style>
  <w:style w:type="character" w:customStyle="1" w:styleId="116">
    <w:name w:val="font71"/>
    <w:qFormat/>
    <w:uiPriority w:val="0"/>
    <w:rPr>
      <w:rFonts w:hint="eastAsia" w:ascii="宋体" w:hAnsi="宋体" w:eastAsia="宋体" w:cs="宋体"/>
      <w:color w:val="auto"/>
      <w:sz w:val="24"/>
      <w:szCs w:val="24"/>
      <w:u w:val="none"/>
    </w:rPr>
  </w:style>
  <w:style w:type="character" w:customStyle="1" w:styleId="117">
    <w:name w:val="页脚 字符"/>
    <w:qFormat/>
    <w:uiPriority w:val="99"/>
  </w:style>
  <w:style w:type="character" w:customStyle="1" w:styleId="118">
    <w:name w:val="标题 Char1"/>
    <w:qFormat/>
    <w:uiPriority w:val="10"/>
    <w:rPr>
      <w:rFonts w:ascii="Cambria" w:hAnsi="Cambria" w:eastAsia="宋体" w:cs="黑体"/>
      <w:b/>
      <w:bCs/>
      <w:sz w:val="32"/>
      <w:szCs w:val="32"/>
    </w:rPr>
  </w:style>
  <w:style w:type="character" w:customStyle="1" w:styleId="119">
    <w:name w:val="font161"/>
    <w:qFormat/>
    <w:uiPriority w:val="0"/>
    <w:rPr>
      <w:rFonts w:hint="eastAsia" w:ascii="等线" w:hAnsi="等线" w:eastAsia="等线" w:cs="等线"/>
      <w:color w:val="000000"/>
      <w:sz w:val="24"/>
      <w:szCs w:val="24"/>
      <w:u w:val="none"/>
    </w:rPr>
  </w:style>
  <w:style w:type="character" w:customStyle="1" w:styleId="120">
    <w:name w:val="fontstyle11"/>
    <w:qFormat/>
    <w:uiPriority w:val="0"/>
    <w:rPr>
      <w:rFonts w:hint="default" w:ascii="TimesNewRomanPSMT" w:hAnsi="TimesNewRomanPSMT"/>
      <w:color w:val="000000"/>
      <w:sz w:val="24"/>
      <w:szCs w:val="24"/>
    </w:rPr>
  </w:style>
  <w:style w:type="character" w:customStyle="1" w:styleId="121">
    <w:name w:val="font151"/>
    <w:qFormat/>
    <w:uiPriority w:val="0"/>
    <w:rPr>
      <w:rFonts w:hint="default" w:ascii="Times New Roman" w:hAnsi="Times New Roman" w:cs="Times New Roman"/>
      <w:color w:val="000000"/>
      <w:sz w:val="14"/>
      <w:szCs w:val="14"/>
      <w:u w:val="none"/>
    </w:rPr>
  </w:style>
  <w:style w:type="character" w:customStyle="1" w:styleId="122">
    <w:name w:val="批注文字 Char"/>
    <w:qFormat/>
    <w:uiPriority w:val="0"/>
    <w:rPr>
      <w:rFonts w:ascii="Times New Roman" w:hAnsi="Times New Roman" w:eastAsia="宋体" w:cs="Times New Roman"/>
      <w:szCs w:val="24"/>
    </w:rPr>
  </w:style>
  <w:style w:type="paragraph" w:customStyle="1" w:styleId="123">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24">
    <w:name w:val="xl87"/>
    <w:basedOn w:val="1"/>
    <w:qFormat/>
    <w:uiPriority w:val="0"/>
    <w:pPr>
      <w:widowControl/>
      <w:pBdr>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20"/>
      <w:szCs w:val="20"/>
    </w:rPr>
  </w:style>
  <w:style w:type="paragraph" w:customStyle="1" w:styleId="12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26">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7">
    <w:name w:val="Normal_1"/>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28">
    <w:name w:val="xl91"/>
    <w:basedOn w:val="1"/>
    <w:qFormat/>
    <w:uiPriority w:val="0"/>
    <w:pPr>
      <w:widowControl/>
      <w:pBdr>
        <w:top w:val="single" w:color="000000" w:sz="4" w:space="0"/>
        <w:bottom w:val="single" w:color="000000" w:sz="4" w:space="0"/>
        <w:right w:val="single" w:color="000000" w:sz="4" w:space="0"/>
      </w:pBdr>
      <w:spacing w:before="100" w:beforeAutospacing="1" w:after="100" w:afterAutospacing="1"/>
    </w:pPr>
    <w:rPr>
      <w:rFonts w:ascii="宋体" w:hAnsi="宋体" w:cs="宋体"/>
      <w:color w:val="000000"/>
      <w:kern w:val="0"/>
      <w:sz w:val="20"/>
      <w:szCs w:val="20"/>
    </w:rPr>
  </w:style>
  <w:style w:type="paragraph" w:customStyle="1" w:styleId="129">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13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31">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32">
    <w:name w:val="xl90"/>
    <w:basedOn w:val="1"/>
    <w:qFormat/>
    <w:uiPriority w:val="0"/>
    <w:pPr>
      <w:widowControl/>
      <w:pBdr>
        <w:bottom w:val="single" w:color="000000" w:sz="4" w:space="0"/>
        <w:right w:val="single" w:color="000000" w:sz="4" w:space="0"/>
      </w:pBdr>
      <w:spacing w:before="100" w:beforeAutospacing="1" w:after="100" w:afterAutospacing="1"/>
      <w:jc w:val="center"/>
    </w:pPr>
    <w:rPr>
      <w:rFonts w:ascii="黑体" w:hAnsi="黑体" w:eastAsia="黑体" w:cs="宋体"/>
      <w:color w:val="000000"/>
      <w:kern w:val="0"/>
      <w:sz w:val="20"/>
      <w:szCs w:val="20"/>
    </w:rPr>
  </w:style>
  <w:style w:type="paragraph" w:customStyle="1" w:styleId="13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34">
    <w:name w:val="xl86"/>
    <w:basedOn w:val="1"/>
    <w:qFormat/>
    <w:uiPriority w:val="0"/>
    <w:pPr>
      <w:widowControl/>
      <w:pBdr>
        <w:bottom w:val="single" w:color="000000" w:sz="4" w:space="0"/>
        <w:right w:val="single" w:color="000000" w:sz="4" w:space="0"/>
      </w:pBdr>
      <w:spacing w:before="100" w:beforeAutospacing="1" w:after="100" w:afterAutospacing="1"/>
    </w:pPr>
    <w:rPr>
      <w:rFonts w:ascii="宋体" w:hAnsi="宋体" w:cs="宋体"/>
      <w:color w:val="000000"/>
      <w:kern w:val="0"/>
      <w:sz w:val="20"/>
      <w:szCs w:val="20"/>
    </w:rPr>
  </w:style>
  <w:style w:type="paragraph" w:customStyle="1" w:styleId="135">
    <w:name w:val="Char Char1 Char Char Char Char Char1 Char Char Char Char"/>
    <w:basedOn w:val="13"/>
    <w:qFormat/>
    <w:uiPriority w:val="0"/>
    <w:rPr>
      <w:rFonts w:ascii="Tahoma" w:hAnsi="Tahoma"/>
    </w:rPr>
  </w:style>
  <w:style w:type="paragraph" w:customStyle="1" w:styleId="136">
    <w:name w:val="_Style 113"/>
    <w:basedOn w:val="1"/>
    <w:next w:val="137"/>
    <w:qFormat/>
    <w:uiPriority w:val="34"/>
    <w:pPr>
      <w:spacing w:line="360" w:lineRule="auto"/>
      <w:ind w:firstLine="200" w:firstLineChars="200"/>
    </w:pPr>
  </w:style>
  <w:style w:type="paragraph" w:styleId="137">
    <w:name w:val="List Paragraph"/>
    <w:basedOn w:val="1"/>
    <w:qFormat/>
    <w:uiPriority w:val="99"/>
    <w:pPr>
      <w:ind w:firstLine="420" w:firstLineChars="200"/>
    </w:pPr>
    <w:rPr>
      <w:rFonts w:ascii="Arial" w:hAnsi="Arial" w:eastAsia="微软雅黑"/>
      <w:szCs w:val="22"/>
    </w:rPr>
  </w:style>
  <w:style w:type="paragraph" w:customStyle="1" w:styleId="13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39">
    <w:name w:val="Normal_2"/>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40">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41">
    <w:name w:val="xl93"/>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42">
    <w:name w:val="xl85"/>
    <w:basedOn w:val="1"/>
    <w:qFormat/>
    <w:uiPriority w:val="0"/>
    <w:pPr>
      <w:widowControl/>
      <w:pBdr>
        <w:bottom w:val="single" w:color="000000" w:sz="4" w:space="0"/>
        <w:right w:val="single" w:color="000000" w:sz="4" w:space="0"/>
      </w:pBdr>
      <w:spacing w:before="100" w:beforeAutospacing="1" w:after="100" w:afterAutospacing="1"/>
    </w:pPr>
    <w:rPr>
      <w:rFonts w:ascii="宋体" w:hAnsi="宋体" w:cs="宋体"/>
      <w:color w:val="000000"/>
      <w:kern w:val="0"/>
      <w:sz w:val="18"/>
      <w:szCs w:val="18"/>
    </w:rPr>
  </w:style>
  <w:style w:type="paragraph" w:customStyle="1" w:styleId="14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4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45">
    <w:name w:val="Char"/>
    <w:basedOn w:val="1"/>
    <w:qFormat/>
    <w:uiPriority w:val="0"/>
    <w:pPr>
      <w:tabs>
        <w:tab w:val="left" w:pos="360"/>
      </w:tabs>
      <w:ind w:left="360" w:hanging="360" w:hangingChars="200"/>
    </w:pPr>
    <w:rPr>
      <w:sz w:val="24"/>
    </w:rPr>
  </w:style>
  <w:style w:type="paragraph" w:customStyle="1" w:styleId="146">
    <w:name w:val="xl67"/>
    <w:basedOn w:val="1"/>
    <w:qFormat/>
    <w:uiPriority w:val="0"/>
    <w:pPr>
      <w:widowControl/>
      <w:pBdr>
        <w:top w:val="single" w:color="000000" w:sz="4" w:space="0"/>
        <w:left w:val="single" w:color="000000" w:sz="4" w:space="0"/>
        <w:right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47">
    <w:name w:val="Normal_8"/>
    <w:qFormat/>
    <w:uiPriority w:val="0"/>
    <w:rPr>
      <w:rFonts w:ascii="Times New Roman" w:hAnsi="Times New Roman" w:eastAsia="Times New Roman" w:cs="Times New Roman"/>
      <w:sz w:val="24"/>
      <w:szCs w:val="24"/>
      <w:lang w:val="en-US" w:eastAsia="zh-CN" w:bidi="ar-SA"/>
    </w:rPr>
  </w:style>
  <w:style w:type="paragraph" w:customStyle="1" w:styleId="14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49">
    <w:name w:val="font8"/>
    <w:basedOn w:val="1"/>
    <w:qFormat/>
    <w:uiPriority w:val="0"/>
    <w:pPr>
      <w:widowControl/>
      <w:spacing w:before="100" w:beforeAutospacing="1" w:after="100" w:afterAutospacing="1"/>
      <w:jc w:val="left"/>
    </w:pPr>
    <w:rPr>
      <w:color w:val="000000"/>
      <w:kern w:val="0"/>
      <w:sz w:val="20"/>
      <w:szCs w:val="20"/>
    </w:rPr>
  </w:style>
  <w:style w:type="paragraph" w:customStyle="1" w:styleId="150">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51">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152">
    <w:name w:val="xl8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color w:val="000000"/>
      <w:kern w:val="0"/>
      <w:sz w:val="20"/>
      <w:szCs w:val="20"/>
    </w:rPr>
  </w:style>
  <w:style w:type="paragraph" w:customStyle="1" w:styleId="153">
    <w:name w:val="font7"/>
    <w:basedOn w:val="1"/>
    <w:qFormat/>
    <w:uiPriority w:val="0"/>
    <w:pPr>
      <w:widowControl/>
      <w:spacing w:before="100" w:beforeAutospacing="1" w:after="100" w:afterAutospacing="1"/>
      <w:jc w:val="left"/>
    </w:pPr>
    <w:rPr>
      <w:kern w:val="0"/>
      <w:sz w:val="20"/>
      <w:szCs w:val="20"/>
    </w:rPr>
  </w:style>
  <w:style w:type="paragraph" w:customStyle="1" w:styleId="154">
    <w:name w:val="xl8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5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156">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7">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sz w:val="21"/>
      <w:szCs w:val="20"/>
    </w:rPr>
  </w:style>
  <w:style w:type="paragraph" w:customStyle="1" w:styleId="158">
    <w:name w:val="样式 标题 1正文一级标题H1L1 Heading 1h11st levelh111st level1headi..."/>
    <w:basedOn w:val="2"/>
    <w:qFormat/>
    <w:uiPriority w:val="0"/>
    <w:pPr>
      <w:keepLines/>
      <w:spacing w:before="340" w:after="330" w:line="360" w:lineRule="auto"/>
      <w:jc w:val="both"/>
    </w:pPr>
    <w:rPr>
      <w:rFonts w:eastAsia="黑体" w:cs="宋体"/>
      <w:kern w:val="44"/>
      <w:sz w:val="44"/>
    </w:rPr>
  </w:style>
  <w:style w:type="paragraph" w:customStyle="1" w:styleId="15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60">
    <w:name w:val="Normal_0"/>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61">
    <w:name w:val="p16"/>
    <w:basedOn w:val="1"/>
    <w:qFormat/>
    <w:uiPriority w:val="0"/>
    <w:pPr>
      <w:widowControl/>
      <w:jc w:val="left"/>
    </w:pPr>
    <w:rPr>
      <w:kern w:val="0"/>
      <w:szCs w:val="21"/>
    </w:rPr>
  </w:style>
  <w:style w:type="paragraph" w:styleId="162">
    <w:name w:val="No Spacing"/>
    <w:qFormat/>
    <w:uiPriority w:val="1"/>
    <w:pPr>
      <w:widowControl w:val="0"/>
      <w:jc w:val="both"/>
    </w:pPr>
    <w:rPr>
      <w:rFonts w:ascii="Times New Roman" w:hAnsi="Times New Roman" w:eastAsia="宋体" w:cs="Times New Roman"/>
      <w:kern w:val="2"/>
      <w:sz w:val="24"/>
      <w:szCs w:val="24"/>
      <w:lang w:val="en-US" w:eastAsia="zh-CN" w:bidi="ar-SA"/>
    </w:rPr>
  </w:style>
  <w:style w:type="paragraph" w:customStyle="1" w:styleId="163">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4">
    <w:name w:val="font11"/>
    <w:basedOn w:val="1"/>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165">
    <w:name w:val="Char1 Char Char Char 字元 Char Char 字元 Char 字元 Char1 Char Char Char"/>
    <w:basedOn w:val="1"/>
    <w:qFormat/>
    <w:uiPriority w:val="0"/>
    <w:rPr>
      <w:szCs w:val="20"/>
    </w:rPr>
  </w:style>
  <w:style w:type="paragraph" w:customStyle="1" w:styleId="166">
    <w:name w:val="TOC 标题1"/>
    <w:basedOn w:val="2"/>
    <w:next w:val="1"/>
    <w:unhideWhenUsed/>
    <w:qFormat/>
    <w:uiPriority w:val="39"/>
    <w:pPr>
      <w:keepLines/>
      <w:widowControl/>
      <w:spacing w:before="480" w:line="276" w:lineRule="auto"/>
      <w:jc w:val="left"/>
      <w:outlineLvl w:val="9"/>
    </w:pPr>
    <w:rPr>
      <w:rFonts w:ascii="Cambria" w:hAnsi="Cambria" w:cs="黑体"/>
      <w:color w:val="365F90"/>
      <w:sz w:val="28"/>
      <w:szCs w:val="28"/>
    </w:rPr>
  </w:style>
  <w:style w:type="paragraph" w:customStyle="1" w:styleId="16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8">
    <w:name w:val="Char Char Char"/>
    <w:basedOn w:val="1"/>
    <w:qFormat/>
    <w:uiPriority w:val="0"/>
    <w:rPr>
      <w:rFonts w:ascii="宋体" w:hAnsi="宋体"/>
      <w:b/>
      <w:sz w:val="28"/>
      <w:szCs w:val="28"/>
    </w:rPr>
  </w:style>
  <w:style w:type="paragraph" w:customStyle="1" w:styleId="16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0">
    <w:name w:val="font6"/>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71">
    <w:name w:val="Plain Text1"/>
    <w:qFormat/>
    <w:uiPriority w:val="99"/>
    <w:rPr>
      <w:rFonts w:ascii="宋体" w:hAnsi="Courier New" w:eastAsia="宋体" w:cs="Times New Roman"/>
      <w:sz w:val="21"/>
      <w:lang w:val="en-US" w:eastAsia="zh-CN" w:bidi="ar-SA"/>
    </w:rPr>
  </w:style>
  <w:style w:type="paragraph" w:customStyle="1" w:styleId="172">
    <w:name w:val="Normal_3"/>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7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表格内容"/>
    <w:basedOn w:val="17"/>
    <w:qFormat/>
    <w:uiPriority w:val="0"/>
    <w:pPr>
      <w:suppressLineNumbers/>
      <w:suppressAutoHyphens/>
      <w:jc w:val="left"/>
    </w:pPr>
    <w:rPr>
      <w:rFonts w:cs="Tahoma"/>
      <w:sz w:val="24"/>
    </w:rPr>
  </w:style>
  <w:style w:type="paragraph" w:customStyle="1" w:styleId="175">
    <w:name w:val="xl8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20"/>
      <w:szCs w:val="20"/>
    </w:rPr>
  </w:style>
  <w:style w:type="paragraph" w:customStyle="1" w:styleId="176">
    <w:name w:val="xl68"/>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77">
    <w:name w:val="xl83"/>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78">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7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20"/>
      <w:szCs w:val="20"/>
    </w:rPr>
  </w:style>
  <w:style w:type="paragraph" w:customStyle="1" w:styleId="18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1">
    <w:name w:val="xl9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8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83">
    <w:name w:val="xl66"/>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84">
    <w:name w:val="font10"/>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customStyle="1" w:styleId="185">
    <w:name w:val="标题 1 +"/>
    <w:basedOn w:val="2"/>
    <w:next w:val="1"/>
    <w:qFormat/>
    <w:uiPriority w:val="0"/>
    <w:pPr>
      <w:keepLines/>
      <w:spacing w:line="600" w:lineRule="auto"/>
    </w:pPr>
    <w:rPr>
      <w:rFonts w:eastAsia="黑体"/>
      <w:sz w:val="32"/>
      <w:szCs w:val="32"/>
    </w:rPr>
  </w:style>
  <w:style w:type="paragraph" w:customStyle="1" w:styleId="186">
    <w:name w:val="xl92"/>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7">
    <w:name w:val="xl69"/>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8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szCs w:val="20"/>
    </w:rPr>
  </w:style>
  <w:style w:type="paragraph" w:customStyle="1" w:styleId="189">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无间隔1"/>
    <w:basedOn w:val="1"/>
    <w:qFormat/>
    <w:uiPriority w:val="1"/>
    <w:pPr>
      <w:spacing w:line="400" w:lineRule="exact"/>
    </w:pPr>
    <w:rPr>
      <w:sz w:val="24"/>
    </w:rPr>
  </w:style>
  <w:style w:type="paragraph" w:customStyle="1" w:styleId="19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2">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3">
    <w:name w:val="Normal_36"/>
    <w:qFormat/>
    <w:uiPriority w:val="0"/>
    <w:rPr>
      <w:rFonts w:ascii="Times New Roman" w:hAnsi="Times New Roman" w:eastAsia="Times New Roman" w:cs="Times New Roman"/>
      <w:sz w:val="24"/>
      <w:szCs w:val="24"/>
      <w:lang w:val="en-US" w:eastAsia="zh-CN" w:bidi="ar-SA"/>
    </w:rPr>
  </w:style>
  <w:style w:type="paragraph" w:customStyle="1" w:styleId="194">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5">
    <w:name w:val="正文_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6">
    <w:name w:val="正文_1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7">
    <w:name w:val="正文_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8">
    <w:name w:val="正文_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9">
    <w:name w:val="正文_28"/>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200">
    <w:name w:val="font101"/>
    <w:qFormat/>
    <w:uiPriority w:val="0"/>
    <w:rPr>
      <w:rFonts w:hint="default" w:ascii="Times New Roman" w:hAnsi="Times New Roman" w:cs="Times New Roman"/>
      <w:color w:val="000000"/>
      <w:sz w:val="18"/>
      <w:szCs w:val="18"/>
      <w:u w:val="none"/>
    </w:rPr>
  </w:style>
  <w:style w:type="character" w:customStyle="1" w:styleId="201">
    <w:name w:val="font112"/>
    <w:qFormat/>
    <w:uiPriority w:val="0"/>
    <w:rPr>
      <w:rFonts w:hint="eastAsia" w:ascii="宋体" w:hAnsi="宋体" w:eastAsia="宋体" w:cs="宋体"/>
      <w:color w:val="000000"/>
      <w:sz w:val="20"/>
      <w:szCs w:val="20"/>
      <w:u w:val="none"/>
    </w:rPr>
  </w:style>
  <w:style w:type="character" w:customStyle="1" w:styleId="202">
    <w:name w:val="l-btn-icon-right"/>
    <w:qFormat/>
    <w:uiPriority w:val="0"/>
  </w:style>
  <w:style w:type="character" w:customStyle="1" w:styleId="203">
    <w:name w:val="l-btn-left"/>
    <w:qFormat/>
    <w:uiPriority w:val="0"/>
  </w:style>
  <w:style w:type="character" w:customStyle="1" w:styleId="204">
    <w:name w:val="l-btn-left1"/>
    <w:qFormat/>
    <w:uiPriority w:val="0"/>
  </w:style>
  <w:style w:type="character" w:customStyle="1" w:styleId="205">
    <w:name w:val="l-btn-left2"/>
    <w:qFormat/>
    <w:uiPriority w:val="0"/>
  </w:style>
  <w:style w:type="character" w:customStyle="1" w:styleId="206">
    <w:name w:val="l-btn-left3"/>
    <w:qFormat/>
    <w:uiPriority w:val="0"/>
  </w:style>
  <w:style w:type="character" w:customStyle="1" w:styleId="207">
    <w:name w:val="l-btn-text"/>
    <w:qFormat/>
    <w:uiPriority w:val="0"/>
    <w:rPr>
      <w:sz w:val="18"/>
      <w:szCs w:val="18"/>
      <w:vertAlign w:val="baseline"/>
    </w:rPr>
  </w:style>
  <w:style w:type="character" w:customStyle="1" w:styleId="208">
    <w:name w:val="l-btn-icon-left"/>
    <w:qFormat/>
    <w:uiPriority w:val="0"/>
  </w:style>
  <w:style w:type="character" w:customStyle="1" w:styleId="209">
    <w:name w:val="l-btn-empty"/>
    <w:qFormat/>
    <w:uiPriority w:val="0"/>
  </w:style>
  <w:style w:type="character" w:customStyle="1" w:styleId="210">
    <w:name w:val="l-btn-left4"/>
    <w:qFormat/>
    <w:uiPriority w:val="0"/>
  </w:style>
  <w:style w:type="character" w:customStyle="1" w:styleId="211">
    <w:name w:val="l-btn-left5"/>
    <w:qFormat/>
    <w:uiPriority w:val="0"/>
  </w:style>
  <w:style w:type="character" w:customStyle="1" w:styleId="212">
    <w:name w:val="UserStyle_2"/>
    <w:qFormat/>
    <w:uiPriority w:val="0"/>
    <w:rPr>
      <w:rFonts w:ascii="宋体" w:hAnsi="宋体" w:eastAsia="宋体"/>
      <w:color w:val="000000"/>
      <w:sz w:val="22"/>
      <w:szCs w:val="22"/>
    </w:rPr>
  </w:style>
  <w:style w:type="character" w:customStyle="1" w:styleId="213">
    <w:name w:val="UserStyle_3"/>
    <w:qFormat/>
    <w:uiPriority w:val="0"/>
    <w:rPr>
      <w:rFonts w:ascii="宋体" w:hAnsi="宋体" w:eastAsia="宋体"/>
      <w:color w:val="FF0000"/>
      <w:sz w:val="22"/>
      <w:szCs w:val="22"/>
    </w:rPr>
  </w:style>
  <w:style w:type="paragraph" w:customStyle="1" w:styleId="214">
    <w:name w:val="CZG正文"/>
    <w:basedOn w:val="1"/>
    <w:qFormat/>
    <w:uiPriority w:val="0"/>
    <w:pPr>
      <w:spacing w:line="440" w:lineRule="exact"/>
    </w:pPr>
    <w:rPr>
      <w:rFonts w:ascii="幼圆" w:eastAsia="幼圆"/>
      <w:sz w:val="24"/>
    </w:rPr>
  </w:style>
  <w:style w:type="paragraph" w:customStyle="1" w:styleId="215">
    <w:name w:val="Table Paragraph"/>
    <w:basedOn w:val="1"/>
    <w:qFormat/>
    <w:uiPriority w:val="1"/>
    <w:rPr>
      <w:rFonts w:ascii="宋体" w:hAnsi="宋体" w:cs="宋体"/>
      <w:lang w:val="zh-CN" w:bidi="zh-CN"/>
    </w:rPr>
  </w:style>
  <w:style w:type="character" w:customStyle="1" w:styleId="216">
    <w:name w:val="font31"/>
    <w:qFormat/>
    <w:uiPriority w:val="0"/>
    <w:rPr>
      <w:rFonts w:ascii="Malgun Gothic" w:hAnsi="Malgun Gothic" w:eastAsia="Malgun Gothic" w:cs="Malgun Gothic"/>
      <w:color w:val="000000"/>
      <w:sz w:val="22"/>
      <w:szCs w:val="22"/>
      <w:u w:val="none"/>
    </w:rPr>
  </w:style>
  <w:style w:type="character" w:customStyle="1" w:styleId="217">
    <w:name w:val="layui-this2"/>
    <w:qFormat/>
    <w:uiPriority w:val="0"/>
    <w:rPr>
      <w:bdr w:val="single" w:color="EEEEEE" w:sz="4" w:space="0"/>
      <w:shd w:val="clear" w:color="auto" w:fill="FFFFFF"/>
    </w:rPr>
  </w:style>
  <w:style w:type="character" w:customStyle="1" w:styleId="218">
    <w:name w:val="layui-laypage-curr"/>
    <w:qFormat/>
    <w:uiPriority w:val="0"/>
  </w:style>
  <w:style w:type="character" w:customStyle="1" w:styleId="219">
    <w:name w:val="first-child"/>
    <w:qFormat/>
    <w:uiPriority w:val="0"/>
  </w:style>
  <w:style w:type="paragraph" w:customStyle="1" w:styleId="220">
    <w:name w:val="正文[858D7CFB-ED40-4347-BF05-701D383B685F][858D7CFB-ED40-4347-BF05-701D383B685F]"/>
    <w:basedOn w:val="62"/>
    <w:next w:val="62"/>
    <w:qFormat/>
    <w:uiPriority w:val="0"/>
    <w:pPr>
      <w:adjustRightInd/>
    </w:pPr>
    <w:rPr>
      <w:rFonts w:hint="eastAsia" w:hAnsi="黑体"/>
      <w:color w:val="000000"/>
      <w:sz w:val="24"/>
    </w:rPr>
  </w:style>
  <w:style w:type="paragraph" w:customStyle="1" w:styleId="221">
    <w:name w:val="PlainText"/>
    <w:basedOn w:val="1"/>
    <w:link w:val="222"/>
    <w:qFormat/>
    <w:uiPriority w:val="0"/>
    <w:pPr>
      <w:textAlignment w:val="baseline"/>
    </w:pPr>
    <w:rPr>
      <w:rFonts w:ascii="宋体" w:hAnsi="Courier New"/>
    </w:rPr>
  </w:style>
  <w:style w:type="character" w:customStyle="1" w:styleId="222">
    <w:name w:val="UserStyle_81"/>
    <w:link w:val="221"/>
    <w:qFormat/>
    <w:locked/>
    <w:uiPriority w:val="0"/>
    <w:rPr>
      <w:rFonts w:ascii="宋体" w:hAnsi="Courier New" w:cs="Times New Roman"/>
      <w:kern w:val="2"/>
      <w:sz w:val="21"/>
      <w:szCs w:val="24"/>
    </w:rPr>
  </w:style>
  <w:style w:type="paragraph" w:customStyle="1" w:styleId="223">
    <w:name w:val="Heading1"/>
    <w:basedOn w:val="1"/>
    <w:next w:val="1"/>
    <w:link w:val="224"/>
    <w:qFormat/>
    <w:uiPriority w:val="0"/>
    <w:pPr>
      <w:keepNext/>
      <w:widowControl/>
      <w:jc w:val="center"/>
      <w:textAlignment w:val="baseline"/>
    </w:pPr>
    <w:rPr>
      <w:rFonts w:ascii="Calibri" w:hAnsi="Calibri"/>
      <w:b/>
      <w:bCs/>
      <w:sz w:val="24"/>
      <w:szCs w:val="20"/>
    </w:rPr>
  </w:style>
  <w:style w:type="character" w:customStyle="1" w:styleId="224">
    <w:name w:val="UserStyle_88"/>
    <w:link w:val="223"/>
    <w:qFormat/>
    <w:locked/>
    <w:uiPriority w:val="0"/>
    <w:rPr>
      <w:rFonts w:ascii="Calibri" w:hAnsi="Calibri"/>
      <w:b/>
      <w:bCs/>
      <w:kern w:val="2"/>
      <w:sz w:val="24"/>
    </w:rPr>
  </w:style>
  <w:style w:type="paragraph" w:customStyle="1" w:styleId="225">
    <w:name w:val="Heading2"/>
    <w:basedOn w:val="1"/>
    <w:next w:val="1"/>
    <w:link w:val="226"/>
    <w:qFormat/>
    <w:uiPriority w:val="0"/>
    <w:pPr>
      <w:keepNext/>
      <w:keepLines/>
      <w:widowControl/>
      <w:spacing w:line="360" w:lineRule="auto"/>
      <w:textAlignment w:val="baseline"/>
    </w:pPr>
    <w:rPr>
      <w:rFonts w:ascii="Arial" w:hAnsi="Arial"/>
      <w:b/>
      <w:bCs/>
      <w:sz w:val="24"/>
      <w:szCs w:val="32"/>
    </w:rPr>
  </w:style>
  <w:style w:type="character" w:customStyle="1" w:styleId="226">
    <w:name w:val="UserStyle_41"/>
    <w:link w:val="225"/>
    <w:qFormat/>
    <w:locked/>
    <w:uiPriority w:val="0"/>
    <w:rPr>
      <w:rFonts w:ascii="Arial" w:hAnsi="Arial"/>
      <w:b/>
      <w:bCs/>
      <w:kern w:val="2"/>
      <w:sz w:val="24"/>
      <w:szCs w:val="32"/>
    </w:rPr>
  </w:style>
  <w:style w:type="paragraph" w:customStyle="1" w:styleId="227">
    <w:name w:val="Heading3"/>
    <w:basedOn w:val="1"/>
    <w:next w:val="1"/>
    <w:link w:val="228"/>
    <w:qFormat/>
    <w:uiPriority w:val="0"/>
    <w:pPr>
      <w:keepNext/>
      <w:keepLines/>
      <w:widowControl/>
      <w:spacing w:before="260" w:after="260" w:line="415" w:lineRule="auto"/>
      <w:textAlignment w:val="baseline"/>
    </w:pPr>
    <w:rPr>
      <w:rFonts w:ascii="Calibri" w:hAnsi="Calibri"/>
      <w:b/>
      <w:bCs/>
      <w:sz w:val="32"/>
      <w:szCs w:val="32"/>
    </w:rPr>
  </w:style>
  <w:style w:type="character" w:customStyle="1" w:styleId="228">
    <w:name w:val="UserStyle_38"/>
    <w:link w:val="227"/>
    <w:qFormat/>
    <w:locked/>
    <w:uiPriority w:val="0"/>
    <w:rPr>
      <w:rFonts w:ascii="Calibri" w:hAnsi="Calibri"/>
      <w:b/>
      <w:bCs/>
      <w:kern w:val="2"/>
      <w:sz w:val="32"/>
      <w:szCs w:val="32"/>
    </w:rPr>
  </w:style>
  <w:style w:type="paragraph" w:customStyle="1" w:styleId="229">
    <w:name w:val="Heading4"/>
    <w:basedOn w:val="1"/>
    <w:next w:val="1"/>
    <w:link w:val="230"/>
    <w:qFormat/>
    <w:uiPriority w:val="0"/>
    <w:pPr>
      <w:keepNext/>
      <w:keepLines/>
      <w:widowControl/>
      <w:spacing w:before="280" w:after="290" w:line="374" w:lineRule="auto"/>
      <w:textAlignment w:val="baseline"/>
    </w:pPr>
    <w:rPr>
      <w:rFonts w:ascii="Arial" w:hAnsi="Arial" w:eastAsia="黑体"/>
      <w:b/>
      <w:bCs/>
      <w:sz w:val="28"/>
      <w:szCs w:val="28"/>
    </w:rPr>
  </w:style>
  <w:style w:type="character" w:customStyle="1" w:styleId="230">
    <w:name w:val="UserStyle_28"/>
    <w:link w:val="229"/>
    <w:qFormat/>
    <w:locked/>
    <w:uiPriority w:val="0"/>
    <w:rPr>
      <w:rFonts w:ascii="Arial" w:hAnsi="Arial" w:eastAsia="黑体"/>
      <w:b/>
      <w:bCs/>
      <w:kern w:val="2"/>
      <w:sz w:val="28"/>
      <w:szCs w:val="28"/>
    </w:rPr>
  </w:style>
  <w:style w:type="paragraph" w:customStyle="1" w:styleId="231">
    <w:name w:val="Heading5"/>
    <w:basedOn w:val="1"/>
    <w:next w:val="1"/>
    <w:link w:val="232"/>
    <w:qFormat/>
    <w:uiPriority w:val="0"/>
    <w:pPr>
      <w:keepNext/>
      <w:keepLines/>
      <w:widowControl/>
      <w:spacing w:before="280" w:after="290" w:line="376" w:lineRule="atLeast"/>
      <w:jc w:val="left"/>
      <w:textAlignment w:val="baseline"/>
    </w:pPr>
    <w:rPr>
      <w:rFonts w:ascii="Calibri" w:hAnsi="Calibri"/>
      <w:b/>
      <w:bCs/>
      <w:kern w:val="0"/>
      <w:sz w:val="28"/>
      <w:szCs w:val="28"/>
    </w:rPr>
  </w:style>
  <w:style w:type="character" w:customStyle="1" w:styleId="232">
    <w:name w:val="UserStyle_78"/>
    <w:link w:val="231"/>
    <w:qFormat/>
    <w:locked/>
    <w:uiPriority w:val="0"/>
    <w:rPr>
      <w:rFonts w:ascii="Calibri" w:hAnsi="Calibri"/>
      <w:b/>
      <w:bCs/>
      <w:sz w:val="28"/>
      <w:szCs w:val="28"/>
    </w:rPr>
  </w:style>
  <w:style w:type="paragraph" w:customStyle="1" w:styleId="233">
    <w:name w:val="Heading6"/>
    <w:basedOn w:val="1"/>
    <w:next w:val="1"/>
    <w:link w:val="234"/>
    <w:qFormat/>
    <w:uiPriority w:val="0"/>
    <w:pPr>
      <w:keepNext/>
      <w:keepLines/>
      <w:widowControl/>
      <w:spacing w:before="240" w:after="64" w:line="320" w:lineRule="atLeast"/>
      <w:jc w:val="left"/>
      <w:textAlignment w:val="baseline"/>
    </w:pPr>
    <w:rPr>
      <w:rFonts w:ascii="Arial" w:hAnsi="Arial" w:eastAsia="黑体"/>
      <w:b/>
      <w:bCs/>
      <w:kern w:val="0"/>
      <w:sz w:val="24"/>
    </w:rPr>
  </w:style>
  <w:style w:type="character" w:customStyle="1" w:styleId="234">
    <w:name w:val="UserStyle_76"/>
    <w:link w:val="233"/>
    <w:qFormat/>
    <w:locked/>
    <w:uiPriority w:val="0"/>
    <w:rPr>
      <w:rFonts w:ascii="Arial" w:hAnsi="Arial" w:eastAsia="黑体"/>
      <w:b/>
      <w:bCs/>
      <w:sz w:val="24"/>
      <w:szCs w:val="24"/>
    </w:rPr>
  </w:style>
  <w:style w:type="paragraph" w:customStyle="1" w:styleId="235">
    <w:name w:val="Heading7"/>
    <w:basedOn w:val="1"/>
    <w:next w:val="1"/>
    <w:link w:val="236"/>
    <w:qFormat/>
    <w:uiPriority w:val="0"/>
    <w:pPr>
      <w:keepNext/>
      <w:keepLines/>
      <w:widowControl/>
      <w:spacing w:before="240" w:after="64" w:line="320" w:lineRule="atLeast"/>
      <w:jc w:val="left"/>
      <w:textAlignment w:val="baseline"/>
    </w:pPr>
    <w:rPr>
      <w:rFonts w:ascii="Calibri" w:hAnsi="Calibri"/>
      <w:b/>
      <w:bCs/>
      <w:kern w:val="0"/>
      <w:sz w:val="24"/>
    </w:rPr>
  </w:style>
  <w:style w:type="character" w:customStyle="1" w:styleId="236">
    <w:name w:val="UserStyle_84"/>
    <w:link w:val="235"/>
    <w:qFormat/>
    <w:locked/>
    <w:uiPriority w:val="0"/>
    <w:rPr>
      <w:rFonts w:ascii="Calibri" w:hAnsi="Calibri"/>
      <w:b/>
      <w:bCs/>
      <w:sz w:val="24"/>
      <w:szCs w:val="24"/>
    </w:rPr>
  </w:style>
  <w:style w:type="paragraph" w:customStyle="1" w:styleId="237">
    <w:name w:val="Heading8"/>
    <w:basedOn w:val="1"/>
    <w:next w:val="1"/>
    <w:link w:val="238"/>
    <w:qFormat/>
    <w:uiPriority w:val="0"/>
    <w:pPr>
      <w:keepNext/>
      <w:keepLines/>
      <w:widowControl/>
      <w:spacing w:before="240" w:after="64" w:line="320" w:lineRule="atLeast"/>
      <w:jc w:val="left"/>
      <w:textAlignment w:val="baseline"/>
    </w:pPr>
    <w:rPr>
      <w:rFonts w:ascii="Arial" w:hAnsi="Arial" w:eastAsia="黑体"/>
      <w:kern w:val="0"/>
      <w:sz w:val="24"/>
    </w:rPr>
  </w:style>
  <w:style w:type="character" w:customStyle="1" w:styleId="238">
    <w:name w:val="UserStyle_65"/>
    <w:link w:val="237"/>
    <w:qFormat/>
    <w:locked/>
    <w:uiPriority w:val="0"/>
    <w:rPr>
      <w:rFonts w:ascii="Arial" w:hAnsi="Arial" w:eastAsia="黑体"/>
      <w:sz w:val="24"/>
      <w:szCs w:val="24"/>
    </w:rPr>
  </w:style>
  <w:style w:type="paragraph" w:customStyle="1" w:styleId="239">
    <w:name w:val="Heading9"/>
    <w:basedOn w:val="1"/>
    <w:next w:val="1"/>
    <w:link w:val="240"/>
    <w:qFormat/>
    <w:uiPriority w:val="0"/>
    <w:pPr>
      <w:keepNext/>
      <w:keepLines/>
      <w:widowControl/>
      <w:spacing w:before="240" w:after="64" w:line="320" w:lineRule="atLeast"/>
      <w:jc w:val="left"/>
      <w:textAlignment w:val="baseline"/>
    </w:pPr>
    <w:rPr>
      <w:rFonts w:ascii="Arial" w:hAnsi="Arial" w:eastAsia="黑体"/>
      <w:kern w:val="0"/>
      <w:szCs w:val="21"/>
    </w:rPr>
  </w:style>
  <w:style w:type="character" w:customStyle="1" w:styleId="240">
    <w:name w:val="UserStyle_14"/>
    <w:link w:val="239"/>
    <w:qFormat/>
    <w:locked/>
    <w:uiPriority w:val="0"/>
    <w:rPr>
      <w:rFonts w:ascii="Arial" w:hAnsi="Arial" w:eastAsia="黑体"/>
      <w:sz w:val="21"/>
      <w:szCs w:val="21"/>
    </w:rPr>
  </w:style>
  <w:style w:type="character" w:customStyle="1" w:styleId="241">
    <w:name w:val="HtmlCode"/>
    <w:qFormat/>
    <w:uiPriority w:val="0"/>
    <w:rPr>
      <w:rFonts w:ascii="Courier New" w:hAnsi="Courier New" w:eastAsia="Courier New"/>
      <w:sz w:val="24"/>
      <w:szCs w:val="24"/>
    </w:rPr>
  </w:style>
  <w:style w:type="character" w:customStyle="1" w:styleId="242">
    <w:name w:val="AnnotationReference"/>
    <w:qFormat/>
    <w:uiPriority w:val="0"/>
    <w:rPr>
      <w:sz w:val="21"/>
      <w:szCs w:val="21"/>
    </w:rPr>
  </w:style>
  <w:style w:type="character" w:customStyle="1" w:styleId="243">
    <w:name w:val="HtmlVar"/>
    <w:qFormat/>
    <w:uiPriority w:val="0"/>
    <w:rPr>
      <w:rFonts w:ascii="Times New Roman" w:hAnsi="Times New Roman" w:eastAsia="宋体"/>
    </w:rPr>
  </w:style>
  <w:style w:type="character" w:customStyle="1" w:styleId="244">
    <w:name w:val="HtmlKbd"/>
    <w:qFormat/>
    <w:uiPriority w:val="0"/>
    <w:rPr>
      <w:rFonts w:ascii="Courier New" w:hAnsi="Courier New" w:eastAsia="Courier New"/>
      <w:sz w:val="24"/>
      <w:szCs w:val="24"/>
    </w:rPr>
  </w:style>
  <w:style w:type="character" w:customStyle="1" w:styleId="245">
    <w:name w:val="PageNumber"/>
    <w:basedOn w:val="112"/>
    <w:qFormat/>
    <w:uiPriority w:val="0"/>
  </w:style>
  <w:style w:type="character" w:customStyle="1" w:styleId="246">
    <w:name w:val="HtmlCite"/>
    <w:qFormat/>
    <w:uiPriority w:val="0"/>
    <w:rPr>
      <w:rFonts w:ascii="Times New Roman" w:hAnsi="Times New Roman" w:eastAsia="宋体"/>
    </w:rPr>
  </w:style>
  <w:style w:type="character" w:customStyle="1" w:styleId="247">
    <w:name w:val="htmlSamp"/>
    <w:qFormat/>
    <w:uiPriority w:val="0"/>
    <w:rPr>
      <w:rFonts w:ascii="Courier New" w:hAnsi="Courier New" w:eastAsia="Courier New"/>
    </w:rPr>
  </w:style>
  <w:style w:type="character" w:customStyle="1" w:styleId="248">
    <w:name w:val="HtmlDfn"/>
    <w:qFormat/>
    <w:uiPriority w:val="0"/>
    <w:rPr>
      <w:rFonts w:ascii="Times New Roman" w:hAnsi="Times New Roman" w:eastAsia="宋体"/>
    </w:rPr>
  </w:style>
  <w:style w:type="character" w:customStyle="1" w:styleId="249">
    <w:name w:val="UserStyle_0"/>
    <w:link w:val="250"/>
    <w:qFormat/>
    <w:uiPriority w:val="0"/>
    <w:rPr>
      <w:kern w:val="2"/>
      <w:sz w:val="21"/>
      <w:szCs w:val="24"/>
    </w:rPr>
  </w:style>
  <w:style w:type="paragraph" w:customStyle="1" w:styleId="250">
    <w:name w:val="BodyText"/>
    <w:basedOn w:val="1"/>
    <w:link w:val="249"/>
    <w:autoRedefine/>
    <w:qFormat/>
    <w:uiPriority w:val="0"/>
    <w:pPr>
      <w:widowControl/>
      <w:spacing w:after="120"/>
      <w:textAlignment w:val="baseline"/>
    </w:pPr>
  </w:style>
  <w:style w:type="character" w:customStyle="1" w:styleId="251">
    <w:name w:val="UserStyle_1"/>
    <w:qFormat/>
    <w:uiPriority w:val="0"/>
    <w:rPr>
      <w:rFonts w:ascii="宋体" w:hAnsi="宋体" w:eastAsia="宋体"/>
      <w:b/>
      <w:spacing w:val="-30"/>
      <w:sz w:val="28"/>
    </w:rPr>
  </w:style>
  <w:style w:type="character" w:customStyle="1" w:styleId="252">
    <w:name w:val="UserStyle_4"/>
    <w:basedOn w:val="112"/>
    <w:qFormat/>
    <w:uiPriority w:val="0"/>
  </w:style>
  <w:style w:type="character" w:customStyle="1" w:styleId="253">
    <w:name w:val="UserStyle_5"/>
    <w:qFormat/>
    <w:uiPriority w:val="0"/>
    <w:rPr>
      <w:rFonts w:ascii="Arial" w:hAnsi="Arial" w:eastAsia="黑体"/>
      <w:sz w:val="24"/>
      <w:szCs w:val="24"/>
      <w:lang w:val="en-US" w:eastAsia="zh-CN" w:bidi="ar-SA"/>
    </w:rPr>
  </w:style>
  <w:style w:type="character" w:customStyle="1" w:styleId="254">
    <w:name w:val="UserStyle_6"/>
    <w:qFormat/>
    <w:uiPriority w:val="0"/>
    <w:rPr>
      <w:rFonts w:ascii="Times New Roman" w:hAnsi="Times New Roman" w:eastAsia="宋体"/>
    </w:rPr>
  </w:style>
  <w:style w:type="character" w:customStyle="1" w:styleId="255">
    <w:name w:val="UserStyle_7"/>
    <w:qFormat/>
    <w:uiPriority w:val="0"/>
    <w:rPr>
      <w:rFonts w:ascii="Times New Roman" w:hAnsi="Times New Roman" w:eastAsia="宋体"/>
    </w:rPr>
  </w:style>
  <w:style w:type="character" w:customStyle="1" w:styleId="256">
    <w:name w:val="UserStyle_8"/>
    <w:qFormat/>
    <w:uiPriority w:val="0"/>
    <w:rPr>
      <w:rFonts w:ascii="宋体" w:hAnsi="宋体" w:eastAsia="宋体"/>
      <w:sz w:val="24"/>
    </w:rPr>
  </w:style>
  <w:style w:type="character" w:customStyle="1" w:styleId="257">
    <w:name w:val="UserStyle_9"/>
    <w:qFormat/>
    <w:uiPriority w:val="0"/>
    <w:rPr>
      <w:kern w:val="2"/>
      <w:sz w:val="21"/>
      <w:szCs w:val="24"/>
      <w:lang w:bidi="ar-SA"/>
    </w:rPr>
  </w:style>
  <w:style w:type="character" w:customStyle="1" w:styleId="258">
    <w:name w:val="UserStyle_10"/>
    <w:qFormat/>
    <w:uiPriority w:val="0"/>
    <w:rPr>
      <w:rFonts w:ascii="宋体" w:hAnsi="Courier New" w:eastAsia="宋体"/>
      <w:kern w:val="2"/>
      <w:sz w:val="21"/>
      <w:szCs w:val="21"/>
      <w:lang w:val="en-US" w:eastAsia="zh-CN" w:bidi="ar-SA"/>
    </w:rPr>
  </w:style>
  <w:style w:type="character" w:customStyle="1" w:styleId="259">
    <w:name w:val="UserStyle_11"/>
    <w:qFormat/>
    <w:uiPriority w:val="0"/>
    <w:rPr>
      <w:rFonts w:ascii="Arial" w:hAnsi="Arial" w:eastAsia="宋体" w:cs="Times New Roman"/>
      <w:b/>
      <w:bCs/>
      <w:szCs w:val="28"/>
    </w:rPr>
  </w:style>
  <w:style w:type="character" w:customStyle="1" w:styleId="260">
    <w:name w:val="UserStyle_12"/>
    <w:qFormat/>
    <w:uiPriority w:val="0"/>
    <w:rPr>
      <w:rFonts w:ascii="宋体" w:hAnsi="宋体" w:eastAsia="宋体"/>
      <w:spacing w:val="30"/>
      <w:sz w:val="24"/>
    </w:rPr>
  </w:style>
  <w:style w:type="character" w:customStyle="1" w:styleId="261">
    <w:name w:val="UserStyle_13"/>
    <w:qFormat/>
    <w:uiPriority w:val="0"/>
    <w:rPr>
      <w:rFonts w:ascii="Times New Roman" w:hAnsi="Times New Roman" w:eastAsia="Times New Roman"/>
      <w:sz w:val="16"/>
    </w:rPr>
  </w:style>
  <w:style w:type="character" w:customStyle="1" w:styleId="262">
    <w:name w:val="UserStyle_15"/>
    <w:qFormat/>
    <w:uiPriority w:val="0"/>
    <w:rPr>
      <w:rFonts w:ascii="宋体" w:hAnsi="宋体" w:eastAsia="宋体"/>
      <w:spacing w:val="-20"/>
      <w:sz w:val="24"/>
    </w:rPr>
  </w:style>
  <w:style w:type="character" w:customStyle="1" w:styleId="263">
    <w:name w:val="UserStyle_17"/>
    <w:qFormat/>
    <w:uiPriority w:val="0"/>
    <w:rPr>
      <w:rFonts w:ascii="Times New Roman" w:hAnsi="Times New Roman" w:eastAsia="宋体"/>
    </w:rPr>
  </w:style>
  <w:style w:type="character" w:customStyle="1" w:styleId="264">
    <w:name w:val="UserStyle_18"/>
    <w:link w:val="265"/>
    <w:qFormat/>
    <w:locked/>
    <w:uiPriority w:val="0"/>
    <w:rPr>
      <w:rFonts w:ascii="宋体" w:hAnsi="宋体"/>
      <w:b/>
      <w:bCs/>
      <w:kern w:val="2"/>
      <w:sz w:val="21"/>
      <w:szCs w:val="24"/>
    </w:rPr>
  </w:style>
  <w:style w:type="paragraph" w:customStyle="1" w:styleId="265">
    <w:name w:val="AnnotationSubject"/>
    <w:basedOn w:val="266"/>
    <w:next w:val="266"/>
    <w:link w:val="264"/>
    <w:qFormat/>
    <w:uiPriority w:val="0"/>
    <w:rPr>
      <w:b/>
      <w:bCs/>
    </w:rPr>
  </w:style>
  <w:style w:type="paragraph" w:customStyle="1" w:styleId="266">
    <w:name w:val="AnnotationText"/>
    <w:basedOn w:val="1"/>
    <w:link w:val="267"/>
    <w:semiHidden/>
    <w:qFormat/>
    <w:uiPriority w:val="0"/>
    <w:pPr>
      <w:widowControl/>
      <w:jc w:val="left"/>
      <w:textAlignment w:val="baseline"/>
    </w:pPr>
    <w:rPr>
      <w:rFonts w:ascii="宋体" w:hAnsi="宋体"/>
    </w:rPr>
  </w:style>
  <w:style w:type="character" w:customStyle="1" w:styleId="267">
    <w:name w:val="UserStyle_53"/>
    <w:link w:val="266"/>
    <w:semiHidden/>
    <w:qFormat/>
    <w:locked/>
    <w:uiPriority w:val="0"/>
    <w:rPr>
      <w:rFonts w:ascii="宋体" w:hAnsi="宋体"/>
      <w:kern w:val="2"/>
      <w:sz w:val="21"/>
      <w:szCs w:val="24"/>
    </w:rPr>
  </w:style>
  <w:style w:type="character" w:customStyle="1" w:styleId="268">
    <w:name w:val="UserStyle_19"/>
    <w:link w:val="269"/>
    <w:qFormat/>
    <w:locked/>
    <w:uiPriority w:val="0"/>
    <w:rPr>
      <w:rFonts w:ascii="Calibri" w:hAnsi="Calibri"/>
      <w:kern w:val="2"/>
      <w:sz w:val="18"/>
      <w:szCs w:val="18"/>
    </w:rPr>
  </w:style>
  <w:style w:type="paragraph" w:customStyle="1" w:styleId="269">
    <w:name w:val="Acetate"/>
    <w:basedOn w:val="1"/>
    <w:link w:val="268"/>
    <w:qFormat/>
    <w:uiPriority w:val="0"/>
    <w:pPr>
      <w:widowControl/>
      <w:textAlignment w:val="baseline"/>
    </w:pPr>
    <w:rPr>
      <w:rFonts w:ascii="Calibri" w:hAnsi="Calibri"/>
      <w:sz w:val="18"/>
      <w:szCs w:val="18"/>
    </w:rPr>
  </w:style>
  <w:style w:type="character" w:customStyle="1" w:styleId="270">
    <w:name w:val="UserStyle_20"/>
    <w:qFormat/>
    <w:uiPriority w:val="0"/>
    <w:rPr>
      <w:rFonts w:ascii="Times New Roman" w:hAnsi="Times New Roman" w:eastAsia="宋体"/>
      <w:color w:val="FFFFFF"/>
    </w:rPr>
  </w:style>
  <w:style w:type="character" w:customStyle="1" w:styleId="271">
    <w:name w:val="UserStyle_21"/>
    <w:qFormat/>
    <w:uiPriority w:val="0"/>
    <w:rPr>
      <w:kern w:val="2"/>
      <w:sz w:val="21"/>
      <w:szCs w:val="24"/>
    </w:rPr>
  </w:style>
  <w:style w:type="character" w:customStyle="1" w:styleId="272">
    <w:name w:val="UserStyle_22"/>
    <w:qFormat/>
    <w:uiPriority w:val="0"/>
    <w:rPr>
      <w:rFonts w:eastAsia="宋体"/>
      <w:kern w:val="2"/>
      <w:sz w:val="21"/>
      <w:szCs w:val="24"/>
      <w:lang w:val="en-US" w:eastAsia="zh-CN" w:bidi="ar-SA"/>
    </w:rPr>
  </w:style>
  <w:style w:type="character" w:customStyle="1" w:styleId="273">
    <w:name w:val="UserStyle_23"/>
    <w:qFormat/>
    <w:uiPriority w:val="0"/>
    <w:rPr>
      <w:rFonts w:cs="Times New Roman"/>
      <w:b/>
      <w:bCs/>
      <w:kern w:val="2"/>
      <w:sz w:val="28"/>
      <w:szCs w:val="28"/>
    </w:rPr>
  </w:style>
  <w:style w:type="character" w:customStyle="1" w:styleId="274">
    <w:name w:val="UserStyle_24"/>
    <w:qFormat/>
    <w:uiPriority w:val="0"/>
    <w:rPr>
      <w:rFonts w:ascii="Cambria" w:hAnsi="Cambria" w:eastAsia="宋体" w:cs="Times New Roman"/>
      <w:b/>
      <w:bCs/>
      <w:sz w:val="32"/>
      <w:szCs w:val="32"/>
    </w:rPr>
  </w:style>
  <w:style w:type="character" w:customStyle="1" w:styleId="275">
    <w:name w:val="UserStyle_25"/>
    <w:qFormat/>
    <w:uiPriority w:val="0"/>
    <w:rPr>
      <w:rFonts w:cs="Times New Roman"/>
      <w:b/>
      <w:bCs/>
      <w:sz w:val="24"/>
      <w:szCs w:val="24"/>
    </w:rPr>
  </w:style>
  <w:style w:type="character" w:customStyle="1" w:styleId="276">
    <w:name w:val="UserStyle_26"/>
    <w:qFormat/>
    <w:uiPriority w:val="0"/>
    <w:rPr>
      <w:rFonts w:ascii="宋体" w:hAnsi="宋体" w:eastAsia="宋体"/>
      <w:kern w:val="2"/>
      <w:sz w:val="21"/>
      <w:szCs w:val="21"/>
      <w:lang w:val="en-US" w:eastAsia="zh-CN" w:bidi="ar-SA"/>
    </w:rPr>
  </w:style>
  <w:style w:type="character" w:customStyle="1" w:styleId="277">
    <w:name w:val="UserStyle_27"/>
    <w:qFormat/>
    <w:uiPriority w:val="0"/>
    <w:rPr>
      <w:rFonts w:ascii="Arial" w:hAnsi="Arial" w:eastAsia="黑体"/>
      <w:sz w:val="24"/>
      <w:szCs w:val="24"/>
    </w:rPr>
  </w:style>
  <w:style w:type="character" w:customStyle="1" w:styleId="278">
    <w:name w:val="UserStyle_29"/>
    <w:qFormat/>
    <w:uiPriority w:val="0"/>
    <w:rPr>
      <w:rFonts w:ascii="宋体" w:hAnsi="宋体" w:eastAsia="宋体"/>
      <w:spacing w:val="-10"/>
      <w:sz w:val="30"/>
    </w:rPr>
  </w:style>
  <w:style w:type="character" w:customStyle="1" w:styleId="279">
    <w:name w:val="UserStyle_30"/>
    <w:qFormat/>
    <w:uiPriority w:val="0"/>
    <w:rPr>
      <w:rFonts w:ascii="宋体" w:hAnsi="宋体" w:eastAsia="宋体"/>
      <w:b/>
      <w:spacing w:val="-20"/>
      <w:sz w:val="40"/>
    </w:rPr>
  </w:style>
  <w:style w:type="character" w:customStyle="1" w:styleId="280">
    <w:name w:val="UserStyle_31"/>
    <w:qFormat/>
    <w:uiPriority w:val="0"/>
    <w:rPr>
      <w:kern w:val="2"/>
      <w:sz w:val="18"/>
      <w:szCs w:val="18"/>
    </w:rPr>
  </w:style>
  <w:style w:type="character" w:customStyle="1" w:styleId="281">
    <w:name w:val="UserStyle_32"/>
    <w:qFormat/>
    <w:uiPriority w:val="0"/>
    <w:rPr>
      <w:rFonts w:ascii="Times New Roman" w:hAnsi="Times New Roman" w:eastAsia="宋体"/>
    </w:rPr>
  </w:style>
  <w:style w:type="character" w:customStyle="1" w:styleId="282">
    <w:name w:val="UserStyle_33"/>
    <w:qFormat/>
    <w:uiPriority w:val="0"/>
    <w:rPr>
      <w:rFonts w:ascii="Times New Roman" w:hAnsi="Times New Roman" w:eastAsia="宋体"/>
    </w:rPr>
  </w:style>
  <w:style w:type="character" w:customStyle="1" w:styleId="283">
    <w:name w:val="UserStyle_34"/>
    <w:qFormat/>
    <w:uiPriority w:val="0"/>
    <w:rPr>
      <w:kern w:val="2"/>
      <w:sz w:val="21"/>
      <w:szCs w:val="24"/>
    </w:rPr>
  </w:style>
  <w:style w:type="character" w:customStyle="1" w:styleId="284">
    <w:name w:val="UserStyle_35"/>
    <w:link w:val="285"/>
    <w:qFormat/>
    <w:locked/>
    <w:uiPriority w:val="0"/>
    <w:rPr>
      <w:rFonts w:ascii="宋体" w:hAnsi="宋体"/>
      <w:kern w:val="2"/>
      <w:sz w:val="18"/>
      <w:szCs w:val="18"/>
    </w:rPr>
  </w:style>
  <w:style w:type="paragraph" w:customStyle="1" w:styleId="285">
    <w:name w:val="页眉1"/>
    <w:basedOn w:val="1"/>
    <w:link w:val="284"/>
    <w:qFormat/>
    <w:uiPriority w:val="0"/>
    <w:pPr>
      <w:widowControl/>
      <w:pBdr>
        <w:bottom w:val="single" w:color="000000" w:sz="6" w:space="1"/>
      </w:pBdr>
      <w:tabs>
        <w:tab w:val="center" w:pos="4153"/>
        <w:tab w:val="right" w:pos="8306"/>
      </w:tabs>
      <w:snapToGrid w:val="0"/>
      <w:jc w:val="center"/>
      <w:textAlignment w:val="baseline"/>
    </w:pPr>
    <w:rPr>
      <w:rFonts w:ascii="宋体" w:hAnsi="宋体"/>
      <w:sz w:val="18"/>
      <w:szCs w:val="18"/>
    </w:rPr>
  </w:style>
  <w:style w:type="character" w:customStyle="1" w:styleId="286">
    <w:name w:val="UserStyle_36"/>
    <w:qFormat/>
    <w:uiPriority w:val="0"/>
    <w:rPr>
      <w:rFonts w:ascii="宋体" w:hAnsi="宋体" w:eastAsia="宋体"/>
      <w:spacing w:val="20"/>
      <w:sz w:val="24"/>
    </w:rPr>
  </w:style>
  <w:style w:type="character" w:customStyle="1" w:styleId="287">
    <w:name w:val="UserStyle_37"/>
    <w:qFormat/>
    <w:uiPriority w:val="0"/>
    <w:rPr>
      <w:rFonts w:ascii="Times New Roman" w:hAnsi="Times New Roman" w:eastAsia="宋体"/>
    </w:rPr>
  </w:style>
  <w:style w:type="character" w:customStyle="1" w:styleId="288">
    <w:name w:val="UserStyle_39"/>
    <w:qFormat/>
    <w:uiPriority w:val="0"/>
    <w:rPr>
      <w:rFonts w:ascii="Cambria" w:hAnsi="Cambria" w:eastAsia="宋体" w:cs="Times New Roman"/>
      <w:b/>
      <w:bCs/>
      <w:kern w:val="2"/>
      <w:sz w:val="32"/>
      <w:szCs w:val="32"/>
    </w:rPr>
  </w:style>
  <w:style w:type="character" w:customStyle="1" w:styleId="289">
    <w:name w:val="UserStyle_40"/>
    <w:qFormat/>
    <w:uiPriority w:val="0"/>
    <w:rPr>
      <w:rFonts w:cs="Times New Roman"/>
      <w:b/>
      <w:bCs/>
      <w:sz w:val="24"/>
      <w:szCs w:val="24"/>
    </w:rPr>
  </w:style>
  <w:style w:type="character" w:customStyle="1" w:styleId="290">
    <w:name w:val="UserStyle_42"/>
    <w:qFormat/>
    <w:uiPriority w:val="0"/>
    <w:rPr>
      <w:rFonts w:ascii="Times New Roman" w:hAnsi="Times New Roman" w:eastAsia="Times New Roman"/>
      <w:sz w:val="18"/>
    </w:rPr>
  </w:style>
  <w:style w:type="character" w:customStyle="1" w:styleId="291">
    <w:name w:val="UserStyle_43"/>
    <w:qFormat/>
    <w:uiPriority w:val="0"/>
    <w:rPr>
      <w:rFonts w:ascii="Arial" w:hAnsi="Arial" w:eastAsia="宋体"/>
      <w:b/>
      <w:color w:val="999999"/>
      <w:sz w:val="21"/>
      <w:szCs w:val="21"/>
    </w:rPr>
  </w:style>
  <w:style w:type="character" w:customStyle="1" w:styleId="292">
    <w:name w:val="UserStyle_44"/>
    <w:qFormat/>
    <w:uiPriority w:val="0"/>
    <w:rPr>
      <w:rFonts w:ascii="Arial" w:hAnsi="Arial" w:eastAsia="黑体" w:cs="Arial"/>
      <w:b/>
      <w:bCs/>
      <w:sz w:val="28"/>
      <w:szCs w:val="28"/>
      <w:lang w:val="en-US" w:eastAsia="zh-CN" w:bidi="ar-SA"/>
    </w:rPr>
  </w:style>
  <w:style w:type="character" w:customStyle="1" w:styleId="293">
    <w:name w:val="UserStyle_45"/>
    <w:qFormat/>
    <w:uiPriority w:val="0"/>
    <w:rPr>
      <w:rFonts w:ascii="Times New Roman" w:hAnsi="Times New Roman" w:eastAsia="宋体"/>
      <w:color w:val="FF6666"/>
      <w:sz w:val="18"/>
      <w:szCs w:val="18"/>
    </w:rPr>
  </w:style>
  <w:style w:type="character" w:customStyle="1" w:styleId="294">
    <w:name w:val="UserStyle_46"/>
    <w:qFormat/>
    <w:uiPriority w:val="0"/>
    <w:rPr>
      <w:rFonts w:ascii="Arial" w:hAnsi="Arial" w:eastAsia="宋体" w:cs="Arial"/>
      <w:b/>
      <w:bCs/>
      <w:kern w:val="2"/>
      <w:sz w:val="21"/>
      <w:szCs w:val="28"/>
      <w:lang w:val="en-US" w:eastAsia="zh-CN" w:bidi="ar-SA"/>
    </w:rPr>
  </w:style>
  <w:style w:type="character" w:customStyle="1" w:styleId="295">
    <w:name w:val="UserStyle_47"/>
    <w:qFormat/>
    <w:uiPriority w:val="0"/>
    <w:rPr>
      <w:rFonts w:ascii="Cambria" w:hAnsi="Cambria" w:cs="Times New Roman"/>
      <w:b/>
      <w:bCs/>
      <w:kern w:val="32"/>
      <w:sz w:val="32"/>
      <w:szCs w:val="32"/>
    </w:rPr>
  </w:style>
  <w:style w:type="character" w:customStyle="1" w:styleId="296">
    <w:name w:val="UserStyle_48"/>
    <w:qFormat/>
    <w:uiPriority w:val="0"/>
    <w:rPr>
      <w:rFonts w:ascii="Times New Roman" w:hAnsi="Times New Roman" w:eastAsia="Times New Roman"/>
      <w:sz w:val="28"/>
    </w:rPr>
  </w:style>
  <w:style w:type="character" w:customStyle="1" w:styleId="297">
    <w:name w:val="UserStyle_49"/>
    <w:qFormat/>
    <w:uiPriority w:val="0"/>
    <w:rPr>
      <w:rFonts w:ascii="宋体" w:hAnsi="宋体" w:eastAsia="宋体"/>
      <w:b/>
      <w:sz w:val="26"/>
    </w:rPr>
  </w:style>
  <w:style w:type="character" w:customStyle="1" w:styleId="298">
    <w:name w:val="UserStyle_50"/>
    <w:qFormat/>
    <w:uiPriority w:val="0"/>
    <w:rPr>
      <w:rFonts w:ascii="宋体" w:hAnsi="宋体" w:eastAsia="宋体"/>
      <w:spacing w:val="20"/>
      <w:sz w:val="24"/>
    </w:rPr>
  </w:style>
  <w:style w:type="character" w:customStyle="1" w:styleId="299">
    <w:name w:val="UserStyle_51"/>
    <w:link w:val="300"/>
    <w:qFormat/>
    <w:locked/>
    <w:uiPriority w:val="0"/>
    <w:rPr>
      <w:rFonts w:ascii="宋体" w:hAnsi="宋体"/>
      <w:kern w:val="2"/>
      <w:sz w:val="21"/>
      <w:szCs w:val="24"/>
    </w:rPr>
  </w:style>
  <w:style w:type="paragraph" w:customStyle="1" w:styleId="300">
    <w:name w:val="BodyTextIndent"/>
    <w:basedOn w:val="1"/>
    <w:next w:val="1"/>
    <w:link w:val="299"/>
    <w:qFormat/>
    <w:uiPriority w:val="0"/>
    <w:pPr>
      <w:widowControl/>
      <w:spacing w:after="120"/>
      <w:ind w:left="420" w:leftChars="200"/>
      <w:textAlignment w:val="baseline"/>
    </w:pPr>
    <w:rPr>
      <w:rFonts w:ascii="宋体" w:hAnsi="宋体"/>
    </w:rPr>
  </w:style>
  <w:style w:type="character" w:customStyle="1" w:styleId="301">
    <w:name w:val="UserStyle_52"/>
    <w:qFormat/>
    <w:uiPriority w:val="0"/>
    <w:rPr>
      <w:kern w:val="2"/>
      <w:sz w:val="18"/>
      <w:szCs w:val="18"/>
    </w:rPr>
  </w:style>
  <w:style w:type="character" w:customStyle="1" w:styleId="302">
    <w:name w:val="UserStyle_54"/>
    <w:qFormat/>
    <w:uiPriority w:val="0"/>
    <w:rPr>
      <w:rFonts w:ascii="宋体" w:hAnsi="宋体" w:eastAsia="宋体"/>
      <w:kern w:val="2"/>
      <w:sz w:val="24"/>
      <w:lang w:val="en-US" w:eastAsia="zh-CN" w:bidi="ar-SA"/>
    </w:rPr>
  </w:style>
  <w:style w:type="character" w:customStyle="1" w:styleId="303">
    <w:name w:val="UserStyle_55"/>
    <w:link w:val="304"/>
    <w:qFormat/>
    <w:locked/>
    <w:uiPriority w:val="0"/>
    <w:rPr>
      <w:rFonts w:ascii="宋体" w:hAnsi="宋体"/>
      <w:kern w:val="2"/>
      <w:sz w:val="16"/>
      <w:szCs w:val="16"/>
    </w:rPr>
  </w:style>
  <w:style w:type="paragraph" w:customStyle="1" w:styleId="304">
    <w:name w:val="BodyTextIndent3"/>
    <w:basedOn w:val="1"/>
    <w:link w:val="303"/>
    <w:qFormat/>
    <w:uiPriority w:val="0"/>
    <w:pPr>
      <w:widowControl/>
      <w:spacing w:after="120"/>
      <w:ind w:left="420" w:leftChars="200"/>
      <w:textAlignment w:val="baseline"/>
    </w:pPr>
    <w:rPr>
      <w:rFonts w:ascii="宋体" w:hAnsi="宋体"/>
      <w:sz w:val="16"/>
      <w:szCs w:val="16"/>
    </w:rPr>
  </w:style>
  <w:style w:type="character" w:customStyle="1" w:styleId="305">
    <w:name w:val="UserStyle_56"/>
    <w:link w:val="306"/>
    <w:qFormat/>
    <w:locked/>
    <w:uiPriority w:val="0"/>
    <w:rPr>
      <w:rFonts w:ascii="宋体" w:hAnsi="宋体"/>
      <w:sz w:val="21"/>
      <w:szCs w:val="21"/>
    </w:rPr>
  </w:style>
  <w:style w:type="paragraph" w:customStyle="1" w:styleId="306">
    <w:name w:val="UserStyle_57"/>
    <w:basedOn w:val="1"/>
    <w:link w:val="305"/>
    <w:qFormat/>
    <w:uiPriority w:val="0"/>
    <w:pPr>
      <w:widowControl/>
      <w:textAlignment w:val="baseline"/>
    </w:pPr>
    <w:rPr>
      <w:rFonts w:ascii="宋体" w:hAnsi="宋体"/>
      <w:kern w:val="0"/>
      <w:szCs w:val="21"/>
    </w:rPr>
  </w:style>
  <w:style w:type="character" w:customStyle="1" w:styleId="307">
    <w:name w:val="UserStyle_58"/>
    <w:qFormat/>
    <w:uiPriority w:val="0"/>
    <w:rPr>
      <w:rFonts w:ascii="Times New Roman" w:hAnsi="Times New Roman" w:eastAsia="Times New Roman"/>
      <w:sz w:val="20"/>
    </w:rPr>
  </w:style>
  <w:style w:type="character" w:customStyle="1" w:styleId="308">
    <w:name w:val="UserStyle_60"/>
    <w:qFormat/>
    <w:uiPriority w:val="0"/>
    <w:rPr>
      <w:rFonts w:ascii="宋体" w:hAnsi="宋体" w:eastAsia="宋体"/>
      <w:spacing w:val="30"/>
      <w:sz w:val="24"/>
    </w:rPr>
  </w:style>
  <w:style w:type="character" w:customStyle="1" w:styleId="309">
    <w:name w:val="UserStyle_61"/>
    <w:qFormat/>
    <w:uiPriority w:val="0"/>
    <w:rPr>
      <w:rFonts w:ascii="Arial" w:hAnsi="Arial" w:eastAsia="黑体" w:cs="Arial"/>
      <w:b/>
      <w:bCs/>
      <w:sz w:val="24"/>
      <w:szCs w:val="24"/>
    </w:rPr>
  </w:style>
  <w:style w:type="character" w:customStyle="1" w:styleId="310">
    <w:name w:val="UserStyle_62"/>
    <w:qFormat/>
    <w:uiPriority w:val="0"/>
    <w:rPr>
      <w:rFonts w:ascii="Times New Roman" w:hAnsi="Times New Roman" w:eastAsia="Times New Roman"/>
      <w:sz w:val="16"/>
    </w:rPr>
  </w:style>
  <w:style w:type="character" w:customStyle="1" w:styleId="311">
    <w:name w:val="UserStyle_63"/>
    <w:qFormat/>
    <w:uiPriority w:val="0"/>
    <w:rPr>
      <w:rFonts w:ascii="宋体" w:hAnsi="宋体" w:eastAsia="宋体"/>
    </w:rPr>
  </w:style>
  <w:style w:type="character" w:customStyle="1" w:styleId="312">
    <w:name w:val="UserStyle_64"/>
    <w:qFormat/>
    <w:uiPriority w:val="0"/>
    <w:rPr>
      <w:rFonts w:ascii="Arial" w:hAnsi="Arial" w:eastAsia="黑体"/>
      <w:sz w:val="21"/>
      <w:szCs w:val="21"/>
    </w:rPr>
  </w:style>
  <w:style w:type="character" w:customStyle="1" w:styleId="313">
    <w:name w:val="UserStyle_66"/>
    <w:qFormat/>
    <w:uiPriority w:val="0"/>
    <w:rPr>
      <w:rFonts w:ascii="Times New Roman" w:hAnsi="Times New Roman" w:eastAsia="宋体"/>
    </w:rPr>
  </w:style>
  <w:style w:type="character" w:customStyle="1" w:styleId="314">
    <w:name w:val="UserStyle_67"/>
    <w:qFormat/>
    <w:uiPriority w:val="0"/>
    <w:rPr>
      <w:rFonts w:ascii="Times New Roman" w:hAnsi="Times New Roman" w:eastAsia="宋体"/>
      <w:b/>
      <w:vanish/>
      <w:color w:val="1F8DEF"/>
      <w:sz w:val="24"/>
      <w:szCs w:val="24"/>
    </w:rPr>
  </w:style>
  <w:style w:type="character" w:customStyle="1" w:styleId="315">
    <w:name w:val="UserStyle_68"/>
    <w:qFormat/>
    <w:uiPriority w:val="0"/>
    <w:rPr>
      <w:rFonts w:ascii="Times New Roman" w:hAnsi="Times New Roman" w:eastAsia="宋体"/>
    </w:rPr>
  </w:style>
  <w:style w:type="character" w:customStyle="1" w:styleId="316">
    <w:name w:val="UserStyle_69"/>
    <w:link w:val="317"/>
    <w:qFormat/>
    <w:locked/>
    <w:uiPriority w:val="0"/>
    <w:rPr>
      <w:rFonts w:ascii="宋体" w:hAnsi="宋体"/>
      <w:kern w:val="2"/>
      <w:sz w:val="18"/>
      <w:szCs w:val="18"/>
    </w:rPr>
  </w:style>
  <w:style w:type="paragraph" w:customStyle="1" w:styleId="317">
    <w:name w:val="页脚1"/>
    <w:basedOn w:val="1"/>
    <w:link w:val="316"/>
    <w:qFormat/>
    <w:uiPriority w:val="0"/>
    <w:pPr>
      <w:widowControl/>
      <w:tabs>
        <w:tab w:val="center" w:pos="4153"/>
        <w:tab w:val="right" w:pos="8306"/>
      </w:tabs>
      <w:snapToGrid w:val="0"/>
      <w:jc w:val="left"/>
      <w:textAlignment w:val="baseline"/>
    </w:pPr>
    <w:rPr>
      <w:rFonts w:ascii="宋体" w:hAnsi="宋体"/>
      <w:sz w:val="18"/>
      <w:szCs w:val="18"/>
    </w:rPr>
  </w:style>
  <w:style w:type="character" w:customStyle="1" w:styleId="318">
    <w:name w:val="UserStyle_70"/>
    <w:qFormat/>
    <w:uiPriority w:val="0"/>
    <w:rPr>
      <w:rFonts w:ascii="Times New Roman" w:hAnsi="Times New Roman" w:eastAsia="Times New Roman"/>
      <w:w w:val="60"/>
      <w:sz w:val="26"/>
    </w:rPr>
  </w:style>
  <w:style w:type="character" w:customStyle="1" w:styleId="319">
    <w:name w:val="UserStyle_71"/>
    <w:qFormat/>
    <w:uiPriority w:val="0"/>
    <w:rPr>
      <w:rFonts w:ascii="宋体" w:hAnsi="宋体" w:eastAsia="宋体"/>
      <w:spacing w:val="20"/>
      <w:sz w:val="22"/>
    </w:rPr>
  </w:style>
  <w:style w:type="character" w:customStyle="1" w:styleId="320">
    <w:name w:val="UserStyle_72"/>
    <w:qFormat/>
    <w:uiPriority w:val="0"/>
    <w:rPr>
      <w:rFonts w:ascii="宋体" w:hAnsi="宋体" w:eastAsia="宋体"/>
      <w:b/>
      <w:sz w:val="32"/>
    </w:rPr>
  </w:style>
  <w:style w:type="character" w:customStyle="1" w:styleId="321">
    <w:name w:val="UserStyle_73"/>
    <w:qFormat/>
    <w:uiPriority w:val="0"/>
    <w:rPr>
      <w:rFonts w:cs="Times New Roman"/>
      <w:b/>
      <w:bCs/>
      <w:kern w:val="2"/>
      <w:sz w:val="21"/>
      <w:szCs w:val="24"/>
    </w:rPr>
  </w:style>
  <w:style w:type="character" w:customStyle="1" w:styleId="322">
    <w:name w:val="UserStyle_74"/>
    <w:qFormat/>
    <w:uiPriority w:val="0"/>
    <w:rPr>
      <w:rFonts w:ascii="Times New Roman" w:hAnsi="Times New Roman" w:eastAsia="宋体"/>
      <w:color w:val="000000"/>
      <w:sz w:val="18"/>
      <w:szCs w:val="18"/>
    </w:rPr>
  </w:style>
  <w:style w:type="character" w:customStyle="1" w:styleId="323">
    <w:name w:val="UserStyle_75"/>
    <w:qFormat/>
    <w:uiPriority w:val="0"/>
    <w:rPr>
      <w:rFonts w:ascii="黑体" w:hAnsi="黑体" w:eastAsia="黑体"/>
      <w:spacing w:val="10"/>
      <w:sz w:val="30"/>
    </w:rPr>
  </w:style>
  <w:style w:type="character" w:customStyle="1" w:styleId="324">
    <w:name w:val="UserStyle_77"/>
    <w:qFormat/>
    <w:uiPriority w:val="0"/>
    <w:rPr>
      <w:rFonts w:ascii="Times New Roman" w:hAnsi="Times New Roman" w:eastAsia="宋体"/>
    </w:rPr>
  </w:style>
  <w:style w:type="character" w:customStyle="1" w:styleId="325">
    <w:name w:val="UserStyle_79"/>
    <w:qFormat/>
    <w:uiPriority w:val="0"/>
    <w:rPr>
      <w:rFonts w:ascii="Times New Roman" w:hAnsi="Times New Roman" w:eastAsia="宋体"/>
    </w:rPr>
  </w:style>
  <w:style w:type="character" w:customStyle="1" w:styleId="326">
    <w:name w:val="UserStyle_80"/>
    <w:qFormat/>
    <w:uiPriority w:val="0"/>
    <w:rPr>
      <w:rFonts w:ascii="宋体" w:hAnsi="Times New Roman" w:eastAsia="宋体"/>
      <w:b/>
      <w:sz w:val="24"/>
      <w:lang w:val="en-US" w:eastAsia="zh-CN" w:bidi="ar-SA"/>
    </w:rPr>
  </w:style>
  <w:style w:type="character" w:customStyle="1" w:styleId="327">
    <w:name w:val="UserStyle_82"/>
    <w:qFormat/>
    <w:uiPriority w:val="0"/>
    <w:rPr>
      <w:rFonts w:ascii="Arail" w:hAnsi="Arail" w:eastAsia="Arail"/>
      <w:color w:val="999999"/>
      <w:sz w:val="21"/>
      <w:szCs w:val="21"/>
    </w:rPr>
  </w:style>
  <w:style w:type="character" w:customStyle="1" w:styleId="328">
    <w:name w:val="UserStyle_83"/>
    <w:qFormat/>
    <w:uiPriority w:val="0"/>
    <w:rPr>
      <w:kern w:val="2"/>
      <w:sz w:val="18"/>
      <w:szCs w:val="18"/>
    </w:rPr>
  </w:style>
  <w:style w:type="character" w:customStyle="1" w:styleId="329">
    <w:name w:val="UserStyle_86"/>
    <w:qFormat/>
    <w:uiPriority w:val="0"/>
    <w:rPr>
      <w:rFonts w:ascii="宋体" w:hAnsi="MS Sans Serif" w:eastAsia="宋体"/>
      <w:color w:val="000000"/>
      <w:sz w:val="24"/>
    </w:rPr>
  </w:style>
  <w:style w:type="character" w:customStyle="1" w:styleId="330">
    <w:name w:val="UserStyle_87"/>
    <w:qFormat/>
    <w:uiPriority w:val="0"/>
    <w:rPr>
      <w:rFonts w:ascii="Times New Roman" w:hAnsi="Times New Roman" w:eastAsia="宋体"/>
    </w:rPr>
  </w:style>
  <w:style w:type="character" w:customStyle="1" w:styleId="331">
    <w:name w:val="UserStyle_89"/>
    <w:qFormat/>
    <w:uiPriority w:val="0"/>
    <w:rPr>
      <w:rFonts w:ascii="宋体" w:hAnsi="Times New Roman" w:eastAsia="宋体"/>
      <w:b/>
      <w:sz w:val="28"/>
      <w:lang w:val="en-US" w:eastAsia="zh-CN" w:bidi="ar-SA"/>
    </w:rPr>
  </w:style>
  <w:style w:type="character" w:customStyle="1" w:styleId="332">
    <w:name w:val="UserStyle_90"/>
    <w:qFormat/>
    <w:uiPriority w:val="0"/>
    <w:rPr>
      <w:rFonts w:ascii="宋体" w:hAnsi="宋体" w:eastAsia="宋体"/>
      <w:kern w:val="2"/>
      <w:sz w:val="18"/>
      <w:szCs w:val="18"/>
      <w:lang w:val="en-US" w:eastAsia="zh-CN" w:bidi="ar-SA"/>
    </w:rPr>
  </w:style>
  <w:style w:type="character" w:customStyle="1" w:styleId="333">
    <w:name w:val="UserStyle_91"/>
    <w:qFormat/>
    <w:uiPriority w:val="0"/>
    <w:rPr>
      <w:rFonts w:ascii="Cambria" w:hAnsi="Cambria"/>
      <w:b/>
      <w:kern w:val="2"/>
      <w:sz w:val="32"/>
      <w:szCs w:val="24"/>
    </w:rPr>
  </w:style>
  <w:style w:type="character" w:customStyle="1" w:styleId="334">
    <w:name w:val="UserStyle_92"/>
    <w:qFormat/>
    <w:uiPriority w:val="0"/>
    <w:rPr>
      <w:rFonts w:ascii="Times New Roman" w:hAnsi="Times New Roman" w:eastAsia="宋体"/>
      <w:color w:val="AAAAAA"/>
      <w:sz w:val="18"/>
      <w:szCs w:val="18"/>
    </w:rPr>
  </w:style>
  <w:style w:type="character" w:customStyle="1" w:styleId="335">
    <w:name w:val="UserStyle_93"/>
    <w:qFormat/>
    <w:uiPriority w:val="0"/>
    <w:rPr>
      <w:rFonts w:ascii="宋体" w:hAnsi="宋体" w:eastAsia="宋体"/>
      <w:spacing w:val="30"/>
      <w:sz w:val="18"/>
    </w:rPr>
  </w:style>
  <w:style w:type="paragraph" w:customStyle="1" w:styleId="336">
    <w:name w:val="UserStyle_94"/>
    <w:basedOn w:val="1"/>
    <w:qFormat/>
    <w:uiPriority w:val="0"/>
    <w:pPr>
      <w:widowControl/>
      <w:textAlignment w:val="baseline"/>
    </w:pPr>
    <w:rPr>
      <w:rFonts w:ascii="Calibri" w:hAnsi="Calibri"/>
      <w:kern w:val="0"/>
      <w:sz w:val="20"/>
      <w:szCs w:val="20"/>
    </w:rPr>
  </w:style>
  <w:style w:type="paragraph" w:customStyle="1" w:styleId="337">
    <w:name w:val="UserStyle_95"/>
    <w:basedOn w:val="225"/>
    <w:qFormat/>
    <w:uiPriority w:val="0"/>
    <w:pPr>
      <w:spacing w:before="100" w:line="400" w:lineRule="exact"/>
    </w:pPr>
    <w:rPr>
      <w:rFonts w:ascii="Times New Roman" w:hAnsi="Times New Roman" w:eastAsia="黑体"/>
      <w:b w:val="0"/>
      <w:bCs w:val="0"/>
      <w:sz w:val="28"/>
      <w:szCs w:val="20"/>
    </w:rPr>
  </w:style>
  <w:style w:type="paragraph" w:customStyle="1" w:styleId="338">
    <w:name w:val="BodyText1I"/>
    <w:basedOn w:val="250"/>
    <w:qFormat/>
    <w:uiPriority w:val="0"/>
    <w:pPr>
      <w:ind w:firstLine="420"/>
    </w:pPr>
    <w:rPr>
      <w:szCs w:val="20"/>
    </w:rPr>
  </w:style>
  <w:style w:type="paragraph" w:customStyle="1" w:styleId="339">
    <w:name w:val="HtmlNormal"/>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340">
    <w:name w:val="Index1"/>
    <w:basedOn w:val="1"/>
    <w:next w:val="1"/>
    <w:qFormat/>
    <w:uiPriority w:val="0"/>
    <w:pPr>
      <w:widowControl/>
      <w:spacing w:line="220" w:lineRule="exact"/>
      <w:jc w:val="center"/>
      <w:textAlignment w:val="baseline"/>
    </w:pPr>
    <w:rPr>
      <w:rFonts w:ascii="仿宋_GB2312" w:hAnsi="Calibri" w:eastAsia="仿宋_GB2312"/>
      <w:szCs w:val="20"/>
    </w:rPr>
  </w:style>
  <w:style w:type="paragraph" w:customStyle="1" w:styleId="341">
    <w:name w:val="TOC4"/>
    <w:basedOn w:val="1"/>
    <w:next w:val="1"/>
    <w:qFormat/>
    <w:uiPriority w:val="0"/>
    <w:pPr>
      <w:widowControl/>
      <w:ind w:left="1260" w:leftChars="600"/>
      <w:textAlignment w:val="baseline"/>
    </w:pPr>
    <w:rPr>
      <w:rFonts w:ascii="Calibri" w:hAnsi="Calibri"/>
    </w:rPr>
  </w:style>
  <w:style w:type="paragraph" w:customStyle="1" w:styleId="342">
    <w:name w:val="BodyText1I2"/>
    <w:basedOn w:val="300"/>
    <w:qFormat/>
    <w:uiPriority w:val="0"/>
    <w:pPr>
      <w:ind w:firstLine="482" w:firstLineChars="200"/>
    </w:pPr>
    <w:rPr>
      <w:rFonts w:ascii="Calibri" w:hAnsi="Calibri"/>
      <w:b/>
      <w:sz w:val="24"/>
    </w:rPr>
  </w:style>
  <w:style w:type="paragraph" w:customStyle="1" w:styleId="343">
    <w:name w:val="TOC6"/>
    <w:basedOn w:val="1"/>
    <w:next w:val="1"/>
    <w:qFormat/>
    <w:uiPriority w:val="0"/>
    <w:pPr>
      <w:widowControl/>
      <w:ind w:left="2100" w:leftChars="1000"/>
      <w:textAlignment w:val="baseline"/>
    </w:pPr>
    <w:rPr>
      <w:rFonts w:ascii="Calibri" w:hAnsi="Calibri"/>
      <w:szCs w:val="22"/>
    </w:rPr>
  </w:style>
  <w:style w:type="paragraph" w:customStyle="1" w:styleId="344">
    <w:name w:val="TOC7"/>
    <w:basedOn w:val="1"/>
    <w:next w:val="1"/>
    <w:qFormat/>
    <w:uiPriority w:val="0"/>
    <w:pPr>
      <w:widowControl/>
      <w:ind w:left="2520" w:leftChars="1200"/>
      <w:textAlignment w:val="baseline"/>
    </w:pPr>
    <w:rPr>
      <w:rFonts w:ascii="Calibri" w:hAnsi="Calibri"/>
      <w:szCs w:val="22"/>
    </w:rPr>
  </w:style>
  <w:style w:type="paragraph" w:customStyle="1" w:styleId="345">
    <w:name w:val="TOC5"/>
    <w:basedOn w:val="1"/>
    <w:next w:val="1"/>
    <w:qFormat/>
    <w:uiPriority w:val="0"/>
    <w:pPr>
      <w:widowControl/>
      <w:ind w:left="1680" w:leftChars="800"/>
      <w:textAlignment w:val="baseline"/>
    </w:pPr>
    <w:rPr>
      <w:rFonts w:ascii="Calibri" w:hAnsi="Calibri"/>
      <w:szCs w:val="22"/>
    </w:rPr>
  </w:style>
  <w:style w:type="paragraph" w:customStyle="1" w:styleId="346">
    <w:name w:val="UserStyle_96"/>
    <w:basedOn w:val="1"/>
    <w:qFormat/>
    <w:uiPriority w:val="0"/>
    <w:pPr>
      <w:widowControl/>
      <w:spacing w:line="564" w:lineRule="exact"/>
      <w:ind w:hanging="115"/>
      <w:textAlignment w:val="baseline"/>
    </w:pPr>
    <w:rPr>
      <w:rFonts w:ascii="Calibri" w:hAnsi="Calibri"/>
    </w:rPr>
  </w:style>
  <w:style w:type="paragraph" w:customStyle="1" w:styleId="347">
    <w:name w:val="UserStyle_97"/>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348">
    <w:name w:val="UserStyle_98"/>
    <w:basedOn w:val="1"/>
    <w:qFormat/>
    <w:uiPriority w:val="0"/>
    <w:pPr>
      <w:widowControl/>
      <w:textAlignment w:val="baseline"/>
    </w:pPr>
    <w:rPr>
      <w:rFonts w:ascii="Calibri" w:hAnsi="Calibri"/>
    </w:rPr>
  </w:style>
  <w:style w:type="paragraph" w:customStyle="1" w:styleId="349">
    <w:name w:val="BodyText2"/>
    <w:basedOn w:val="1"/>
    <w:qFormat/>
    <w:uiPriority w:val="0"/>
    <w:pPr>
      <w:widowControl/>
      <w:spacing w:after="120" w:line="480" w:lineRule="auto"/>
      <w:textAlignment w:val="baseline"/>
    </w:pPr>
    <w:rPr>
      <w:rFonts w:ascii="Calibri" w:hAnsi="Calibri"/>
    </w:rPr>
  </w:style>
  <w:style w:type="paragraph" w:customStyle="1" w:styleId="350">
    <w:name w:val="BodyText3"/>
    <w:basedOn w:val="1"/>
    <w:qFormat/>
    <w:uiPriority w:val="0"/>
    <w:pPr>
      <w:widowControl/>
      <w:spacing w:line="410" w:lineRule="atLeast"/>
      <w:jc w:val="left"/>
      <w:textAlignment w:val="baseline"/>
    </w:pPr>
    <w:rPr>
      <w:rFonts w:ascii="宋体" w:hAnsi="Calibri"/>
      <w:color w:val="000000"/>
      <w:kern w:val="0"/>
      <w:sz w:val="24"/>
      <w:szCs w:val="20"/>
    </w:rPr>
  </w:style>
  <w:style w:type="paragraph" w:customStyle="1" w:styleId="351">
    <w:name w:val="TOC9"/>
    <w:basedOn w:val="1"/>
    <w:next w:val="1"/>
    <w:qFormat/>
    <w:uiPriority w:val="0"/>
    <w:pPr>
      <w:widowControl/>
      <w:ind w:left="3360" w:leftChars="1600"/>
      <w:textAlignment w:val="baseline"/>
    </w:pPr>
    <w:rPr>
      <w:rFonts w:ascii="Calibri" w:hAnsi="Calibri"/>
      <w:szCs w:val="22"/>
    </w:rPr>
  </w:style>
  <w:style w:type="paragraph" w:customStyle="1" w:styleId="352">
    <w:name w:val="UserStyle_99"/>
    <w:basedOn w:val="1"/>
    <w:qFormat/>
    <w:uiPriority w:val="0"/>
    <w:pPr>
      <w:widowControl/>
      <w:textAlignment w:val="baseline"/>
    </w:pPr>
    <w:rPr>
      <w:rFonts w:ascii="Calibri" w:hAnsi="Calibri"/>
    </w:rPr>
  </w:style>
  <w:style w:type="paragraph" w:customStyle="1" w:styleId="353">
    <w:name w:val="NavPane"/>
    <w:basedOn w:val="1"/>
    <w:semiHidden/>
    <w:qFormat/>
    <w:uiPriority w:val="0"/>
    <w:pPr>
      <w:widowControl/>
      <w:shd w:val="clear" w:color="auto" w:fill="000080"/>
      <w:textAlignment w:val="baseline"/>
    </w:pPr>
    <w:rPr>
      <w:rFonts w:ascii="Calibri" w:hAnsi="Calibri"/>
    </w:rPr>
  </w:style>
  <w:style w:type="paragraph" w:customStyle="1" w:styleId="354">
    <w:name w:val="TOC1"/>
    <w:basedOn w:val="1"/>
    <w:next w:val="1"/>
    <w:qFormat/>
    <w:uiPriority w:val="0"/>
    <w:pPr>
      <w:widowControl/>
      <w:tabs>
        <w:tab w:val="right" w:leader="dot" w:pos="8948"/>
      </w:tabs>
      <w:textAlignment w:val="baseline"/>
    </w:pPr>
    <w:rPr>
      <w:rFonts w:ascii="宋体" w:hAnsi="宋体"/>
    </w:rPr>
  </w:style>
  <w:style w:type="paragraph" w:customStyle="1" w:styleId="355">
    <w:name w:val="BodyTextIndent2"/>
    <w:basedOn w:val="1"/>
    <w:qFormat/>
    <w:uiPriority w:val="0"/>
    <w:pPr>
      <w:widowControl/>
      <w:spacing w:after="120" w:line="480" w:lineRule="auto"/>
      <w:ind w:left="420" w:leftChars="200"/>
      <w:textAlignment w:val="baseline"/>
    </w:pPr>
    <w:rPr>
      <w:rFonts w:ascii="Calibri" w:hAnsi="Calibri"/>
    </w:rPr>
  </w:style>
  <w:style w:type="paragraph" w:customStyle="1" w:styleId="356">
    <w:name w:val="UserStyle_100"/>
    <w:basedOn w:val="1"/>
    <w:qFormat/>
    <w:uiPriority w:val="0"/>
    <w:pPr>
      <w:widowControl/>
      <w:spacing w:line="566" w:lineRule="exact"/>
      <w:ind w:firstLine="552"/>
      <w:textAlignment w:val="baseline"/>
    </w:pPr>
    <w:rPr>
      <w:rFonts w:ascii="Calibri" w:hAnsi="Calibri"/>
    </w:rPr>
  </w:style>
  <w:style w:type="paragraph" w:customStyle="1" w:styleId="357">
    <w:name w:val="UserStyle_101"/>
    <w:basedOn w:val="1"/>
    <w:qFormat/>
    <w:uiPriority w:val="0"/>
    <w:pPr>
      <w:widowControl/>
      <w:ind w:firstLine="420"/>
      <w:textAlignment w:val="baseline"/>
    </w:pPr>
  </w:style>
  <w:style w:type="paragraph" w:customStyle="1" w:styleId="358">
    <w:name w:val="TOC8"/>
    <w:basedOn w:val="1"/>
    <w:next w:val="1"/>
    <w:qFormat/>
    <w:uiPriority w:val="0"/>
    <w:pPr>
      <w:widowControl/>
      <w:ind w:left="2940" w:leftChars="1400"/>
      <w:textAlignment w:val="baseline"/>
    </w:pPr>
    <w:rPr>
      <w:rFonts w:ascii="Calibri" w:hAnsi="Calibri"/>
      <w:szCs w:val="22"/>
    </w:rPr>
  </w:style>
  <w:style w:type="paragraph" w:customStyle="1" w:styleId="359">
    <w:name w:val="UserStyle_102"/>
    <w:basedOn w:val="1"/>
    <w:qFormat/>
    <w:uiPriority w:val="0"/>
    <w:pPr>
      <w:widowControl/>
      <w:textAlignment w:val="baseline"/>
    </w:pPr>
    <w:rPr>
      <w:rFonts w:ascii="Calibri" w:hAnsi="Calibri"/>
    </w:rPr>
  </w:style>
  <w:style w:type="paragraph" w:customStyle="1" w:styleId="360">
    <w:name w:val="HtmlPre"/>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textAlignment w:val="baseline"/>
    </w:pPr>
    <w:rPr>
      <w:rFonts w:ascii="Arial" w:hAnsi="Arial"/>
      <w:kern w:val="0"/>
      <w:sz w:val="24"/>
    </w:rPr>
  </w:style>
  <w:style w:type="paragraph" w:customStyle="1" w:styleId="361">
    <w:name w:val="TOC3"/>
    <w:basedOn w:val="1"/>
    <w:next w:val="1"/>
    <w:qFormat/>
    <w:uiPriority w:val="0"/>
    <w:pPr>
      <w:widowControl/>
      <w:ind w:left="840" w:leftChars="400"/>
      <w:textAlignment w:val="baseline"/>
    </w:pPr>
    <w:rPr>
      <w:rFonts w:ascii="Calibri" w:hAnsi="Calibri"/>
    </w:rPr>
  </w:style>
  <w:style w:type="paragraph" w:customStyle="1" w:styleId="362">
    <w:name w:val="BlockQuote"/>
    <w:basedOn w:val="1"/>
    <w:qFormat/>
    <w:uiPriority w:val="0"/>
    <w:pPr>
      <w:widowControl/>
      <w:ind w:left="1171" w:right="91" w:hanging="1080"/>
      <w:textAlignment w:val="baseline"/>
    </w:pPr>
    <w:rPr>
      <w:rFonts w:ascii="Calibri" w:hAnsi="Calibri" w:eastAsia="楷体_GB2312"/>
      <w:szCs w:val="20"/>
    </w:rPr>
  </w:style>
  <w:style w:type="paragraph" w:customStyle="1" w:styleId="363">
    <w:name w:val="NormalIndent"/>
    <w:basedOn w:val="1"/>
    <w:qFormat/>
    <w:uiPriority w:val="0"/>
    <w:pPr>
      <w:widowControl/>
      <w:ind w:firstLine="420"/>
      <w:jc w:val="left"/>
      <w:textAlignment w:val="baseline"/>
    </w:pPr>
    <w:rPr>
      <w:rFonts w:ascii="Calibri" w:hAnsi="Calibri"/>
      <w:kern w:val="0"/>
      <w:sz w:val="20"/>
      <w:szCs w:val="20"/>
    </w:rPr>
  </w:style>
  <w:style w:type="paragraph" w:customStyle="1" w:styleId="364">
    <w:name w:val="UserStyle_103"/>
    <w:basedOn w:val="1"/>
    <w:qFormat/>
    <w:uiPriority w:val="0"/>
    <w:pPr>
      <w:widowControl/>
      <w:spacing w:line="566" w:lineRule="exact"/>
      <w:ind w:firstLine="682"/>
      <w:textAlignment w:val="baseline"/>
    </w:pPr>
    <w:rPr>
      <w:rFonts w:ascii="Calibri" w:hAnsi="Calibri"/>
    </w:rPr>
  </w:style>
  <w:style w:type="paragraph" w:customStyle="1" w:styleId="365">
    <w:name w:val="TOC2"/>
    <w:basedOn w:val="1"/>
    <w:next w:val="1"/>
    <w:qFormat/>
    <w:uiPriority w:val="0"/>
    <w:pPr>
      <w:widowControl/>
      <w:ind w:left="420" w:leftChars="200"/>
      <w:textAlignment w:val="baseline"/>
    </w:pPr>
    <w:rPr>
      <w:rFonts w:ascii="Calibri" w:hAnsi="Calibri"/>
    </w:rPr>
  </w:style>
  <w:style w:type="paragraph" w:customStyle="1" w:styleId="366">
    <w:name w:val="UserStyle_104"/>
    <w:basedOn w:val="1"/>
    <w:qFormat/>
    <w:uiPriority w:val="0"/>
    <w:pPr>
      <w:widowControl/>
      <w:textAlignment w:val="baseline"/>
    </w:pPr>
    <w:rPr>
      <w:rFonts w:ascii="Calibri" w:hAnsi="Calibri"/>
    </w:rPr>
  </w:style>
  <w:style w:type="paragraph" w:customStyle="1" w:styleId="367">
    <w:name w:val="UserStyle_105"/>
    <w:basedOn w:val="1"/>
    <w:qFormat/>
    <w:uiPriority w:val="0"/>
    <w:pPr>
      <w:widowControl/>
      <w:spacing w:line="375" w:lineRule="exact"/>
      <w:textAlignment w:val="baseline"/>
    </w:pPr>
    <w:rPr>
      <w:rFonts w:ascii="Calibri" w:hAnsi="Calibri"/>
    </w:rPr>
  </w:style>
  <w:style w:type="paragraph" w:customStyle="1" w:styleId="368">
    <w:name w:val="UserStyle_106"/>
    <w:basedOn w:val="1"/>
    <w:qFormat/>
    <w:uiPriority w:val="0"/>
    <w:pPr>
      <w:widowControl/>
      <w:jc w:val="right"/>
      <w:textAlignment w:val="baseline"/>
    </w:pPr>
    <w:rPr>
      <w:rFonts w:ascii="Calibri" w:hAnsi="Calibri"/>
    </w:rPr>
  </w:style>
  <w:style w:type="paragraph" w:customStyle="1" w:styleId="369">
    <w:name w:val="UserStyle_107"/>
    <w:basedOn w:val="1"/>
    <w:qFormat/>
    <w:uiPriority w:val="0"/>
    <w:pPr>
      <w:widowControl/>
      <w:spacing w:before="100" w:after="100"/>
      <w:ind w:left="360" w:right="360"/>
      <w:jc w:val="left"/>
      <w:textAlignment w:val="baseline"/>
    </w:pPr>
    <w:rPr>
      <w:rFonts w:ascii="Calibri" w:hAnsi="Calibri"/>
      <w:kern w:val="0"/>
      <w:sz w:val="24"/>
      <w:szCs w:val="20"/>
    </w:rPr>
  </w:style>
  <w:style w:type="paragraph" w:customStyle="1" w:styleId="370">
    <w:name w:val="UserStyle_108"/>
    <w:basedOn w:val="1"/>
    <w:qFormat/>
    <w:uiPriority w:val="0"/>
    <w:pPr>
      <w:widowControl/>
      <w:textAlignment w:val="baseline"/>
    </w:pPr>
    <w:rPr>
      <w:rFonts w:ascii="Calibri" w:hAnsi="Calibri"/>
    </w:rPr>
  </w:style>
  <w:style w:type="paragraph" w:customStyle="1" w:styleId="371">
    <w:name w:val="UserStyle_109"/>
    <w:basedOn w:val="1"/>
    <w:qFormat/>
    <w:uiPriority w:val="0"/>
    <w:pPr>
      <w:widowControl/>
      <w:spacing w:line="240" w:lineRule="atLeast"/>
      <w:jc w:val="center"/>
      <w:textAlignment w:val="baseline"/>
    </w:pPr>
    <w:rPr>
      <w:rFonts w:ascii="仿宋_GB2312" w:hAnsi="宋体" w:eastAsia="仿宋_GB2312"/>
      <w:kern w:val="0"/>
      <w:szCs w:val="21"/>
    </w:rPr>
  </w:style>
  <w:style w:type="paragraph" w:customStyle="1" w:styleId="372">
    <w:name w:val="UserStyle_110"/>
    <w:basedOn w:val="1"/>
    <w:qFormat/>
    <w:uiPriority w:val="0"/>
    <w:pPr>
      <w:widowControl/>
      <w:spacing w:line="566" w:lineRule="exact"/>
      <w:jc w:val="center"/>
      <w:textAlignment w:val="baseline"/>
    </w:pPr>
    <w:rPr>
      <w:rFonts w:ascii="Calibri" w:hAnsi="Calibri"/>
    </w:rPr>
  </w:style>
  <w:style w:type="paragraph" w:customStyle="1" w:styleId="373">
    <w:name w:val="UserStyle_111"/>
    <w:basedOn w:val="1"/>
    <w:qFormat/>
    <w:uiPriority w:val="0"/>
    <w:pPr>
      <w:widowControl/>
      <w:textAlignment w:val="baseline"/>
    </w:pPr>
    <w:rPr>
      <w:rFonts w:ascii="Calibri" w:hAnsi="Calibri"/>
    </w:rPr>
  </w:style>
  <w:style w:type="paragraph" w:customStyle="1" w:styleId="374">
    <w:name w:val="UserStyle_112"/>
    <w:basedOn w:val="1"/>
    <w:qFormat/>
    <w:uiPriority w:val="0"/>
    <w:pPr>
      <w:widowControl/>
      <w:tabs>
        <w:tab w:val="left" w:pos="907"/>
      </w:tabs>
      <w:spacing w:line="360" w:lineRule="auto"/>
      <w:textAlignment w:val="baseline"/>
    </w:pPr>
    <w:rPr>
      <w:rFonts w:ascii="宋体" w:hAnsi="宋体"/>
      <w:sz w:val="24"/>
    </w:rPr>
  </w:style>
  <w:style w:type="paragraph" w:customStyle="1" w:styleId="375">
    <w:name w:val="UserStyle_113"/>
    <w:basedOn w:val="1"/>
    <w:qFormat/>
    <w:uiPriority w:val="0"/>
    <w:pPr>
      <w:widowControl/>
      <w:textAlignment w:val="baseline"/>
    </w:pPr>
    <w:rPr>
      <w:rFonts w:ascii="宋体" w:hAnsi="宋体"/>
      <w:b/>
      <w:sz w:val="28"/>
      <w:szCs w:val="28"/>
    </w:rPr>
  </w:style>
  <w:style w:type="paragraph" w:customStyle="1" w:styleId="376">
    <w:name w:val="UserStyle_114"/>
    <w:basedOn w:val="1"/>
    <w:qFormat/>
    <w:uiPriority w:val="0"/>
    <w:pPr>
      <w:widowControl/>
      <w:spacing w:after="160" w:line="240" w:lineRule="exact"/>
      <w:jc w:val="left"/>
      <w:textAlignment w:val="baseline"/>
    </w:pPr>
    <w:rPr>
      <w:rFonts w:ascii="Calibri" w:hAnsi="Calibri"/>
    </w:rPr>
  </w:style>
  <w:style w:type="paragraph" w:customStyle="1" w:styleId="377">
    <w:name w:val="UserStyle_115"/>
    <w:basedOn w:val="378"/>
    <w:qFormat/>
    <w:uiPriority w:val="0"/>
    <w:pPr>
      <w:tabs>
        <w:tab w:val="left" w:pos="360"/>
        <w:tab w:val="left" w:pos="720"/>
        <w:tab w:val="left" w:pos="6405"/>
      </w:tabs>
      <w:spacing w:after="200"/>
    </w:pPr>
    <w:rPr>
      <w:sz w:val="21"/>
    </w:rPr>
  </w:style>
  <w:style w:type="paragraph" w:customStyle="1" w:styleId="378">
    <w:name w:val="UserStyle_116"/>
    <w:next w:val="1"/>
    <w:qFormat/>
    <w:uiPriority w:val="0"/>
    <w:pPr>
      <w:shd w:val="clear" w:color="auto" w:fill="FFFFFF"/>
      <w:tabs>
        <w:tab w:val="left" w:pos="360"/>
        <w:tab w:val="left" w:pos="720"/>
      </w:tabs>
      <w:spacing w:before="640" w:after="560"/>
      <w:ind w:left="720" w:hanging="720"/>
      <w:jc w:val="center"/>
      <w:textAlignment w:val="baseline"/>
    </w:pPr>
    <w:rPr>
      <w:rFonts w:ascii="黑体" w:hAnsi="Calibri" w:eastAsia="黑体" w:cs="Times New Roman"/>
      <w:sz w:val="32"/>
      <w:lang w:val="en-US" w:eastAsia="zh-CN" w:bidi="ar-SA"/>
    </w:rPr>
  </w:style>
  <w:style w:type="paragraph" w:customStyle="1" w:styleId="379">
    <w:name w:val="UserStyle_117"/>
    <w:basedOn w:val="1"/>
    <w:qFormat/>
    <w:uiPriority w:val="0"/>
    <w:pPr>
      <w:widowControl/>
      <w:spacing w:line="557" w:lineRule="exact"/>
      <w:ind w:firstLine="1666"/>
      <w:textAlignment w:val="baseline"/>
    </w:pPr>
    <w:rPr>
      <w:rFonts w:ascii="Calibri" w:hAnsi="Calibri"/>
    </w:rPr>
  </w:style>
  <w:style w:type="paragraph" w:customStyle="1" w:styleId="380">
    <w:name w:val="UserStyle_118"/>
    <w:basedOn w:val="1"/>
    <w:qFormat/>
    <w:uiPriority w:val="0"/>
    <w:pPr>
      <w:widowControl/>
      <w:textAlignment w:val="baseline"/>
    </w:pPr>
    <w:rPr>
      <w:rFonts w:ascii="Calibri" w:hAnsi="Calibri"/>
    </w:rPr>
  </w:style>
  <w:style w:type="paragraph" w:customStyle="1" w:styleId="381">
    <w:name w:val="UserStyle_119"/>
    <w:basedOn w:val="1"/>
    <w:qFormat/>
    <w:uiPriority w:val="0"/>
    <w:pPr>
      <w:widowControl/>
      <w:textAlignment w:val="baseline"/>
    </w:pPr>
    <w:rPr>
      <w:rFonts w:ascii="Calibri" w:hAnsi="Calibri"/>
    </w:rPr>
  </w:style>
  <w:style w:type="paragraph" w:customStyle="1" w:styleId="382">
    <w:name w:val="UserStyle_120"/>
    <w:basedOn w:val="1"/>
    <w:qFormat/>
    <w:uiPriority w:val="0"/>
    <w:pPr>
      <w:widowControl/>
      <w:spacing w:line="413" w:lineRule="exact"/>
      <w:textAlignment w:val="baseline"/>
    </w:pPr>
    <w:rPr>
      <w:rFonts w:ascii="Calibri" w:hAnsi="Calibri"/>
    </w:rPr>
  </w:style>
  <w:style w:type="paragraph" w:customStyle="1" w:styleId="383">
    <w:name w:val="UserStyle_121"/>
    <w:qFormat/>
    <w:uiPriority w:val="0"/>
    <w:pPr>
      <w:jc w:val="both"/>
      <w:textAlignment w:val="baseline"/>
    </w:pPr>
    <w:rPr>
      <w:rFonts w:ascii="Calibri" w:hAnsi="Calibri" w:eastAsia="宋体" w:cs="Times New Roman"/>
      <w:kern w:val="2"/>
      <w:sz w:val="21"/>
      <w:szCs w:val="24"/>
      <w:lang w:val="en-US" w:eastAsia="zh-CN" w:bidi="ar-SA"/>
    </w:rPr>
  </w:style>
  <w:style w:type="paragraph" w:customStyle="1" w:styleId="384">
    <w:name w:val="UserStyle_122"/>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385">
    <w:name w:val="UserStyle_123"/>
    <w:basedOn w:val="1"/>
    <w:qFormat/>
    <w:uiPriority w:val="0"/>
    <w:pPr>
      <w:widowControl/>
      <w:spacing w:line="542" w:lineRule="exact"/>
      <w:ind w:firstLine="547"/>
      <w:textAlignment w:val="baseline"/>
    </w:pPr>
    <w:rPr>
      <w:rFonts w:ascii="Calibri" w:hAnsi="Calibri"/>
    </w:rPr>
  </w:style>
  <w:style w:type="paragraph" w:customStyle="1" w:styleId="386">
    <w:name w:val="UserStyle_124"/>
    <w:basedOn w:val="1"/>
    <w:qFormat/>
    <w:uiPriority w:val="0"/>
    <w:pPr>
      <w:widowControl/>
      <w:textAlignment w:val="baseline"/>
    </w:pPr>
    <w:rPr>
      <w:rFonts w:ascii="Calibri" w:hAnsi="Calibri"/>
    </w:rPr>
  </w:style>
  <w:style w:type="paragraph" w:customStyle="1" w:styleId="387">
    <w:name w:val="UserStyle_125"/>
    <w:basedOn w:val="383"/>
    <w:qFormat/>
    <w:uiPriority w:val="0"/>
  </w:style>
  <w:style w:type="paragraph" w:customStyle="1" w:styleId="388">
    <w:name w:val="UserStyle_126"/>
    <w:basedOn w:val="250"/>
    <w:qFormat/>
    <w:uiPriority w:val="0"/>
    <w:pPr>
      <w:suppressLineNumbers/>
      <w:suppressAutoHyphens/>
      <w:jc w:val="left"/>
    </w:pPr>
    <w:rPr>
      <w:kern w:val="0"/>
      <w:sz w:val="24"/>
    </w:rPr>
  </w:style>
  <w:style w:type="paragraph" w:customStyle="1" w:styleId="389">
    <w:name w:val="UserStyle_127"/>
    <w:basedOn w:val="1"/>
    <w:qFormat/>
    <w:uiPriority w:val="0"/>
    <w:pPr>
      <w:widowControl/>
      <w:textAlignment w:val="baseline"/>
    </w:pPr>
    <w:rPr>
      <w:rFonts w:ascii="Calibri" w:hAnsi="Calibri"/>
    </w:rPr>
  </w:style>
  <w:style w:type="paragraph" w:customStyle="1" w:styleId="390">
    <w:name w:val="UserStyle_128"/>
    <w:basedOn w:val="1"/>
    <w:qFormat/>
    <w:uiPriority w:val="0"/>
    <w:pPr>
      <w:widowControl/>
      <w:tabs>
        <w:tab w:val="left" w:pos="360"/>
      </w:tabs>
      <w:snapToGrid w:val="0"/>
      <w:spacing w:line="360" w:lineRule="auto"/>
      <w:textAlignment w:val="baseline"/>
    </w:pPr>
    <w:rPr>
      <w:rFonts w:ascii="Calibri" w:hAnsi="Calibri" w:eastAsia="仿宋_GB2312"/>
      <w:sz w:val="24"/>
    </w:rPr>
  </w:style>
  <w:style w:type="paragraph" w:customStyle="1" w:styleId="391">
    <w:name w:val="UserStyle_129"/>
    <w:qFormat/>
    <w:uiPriority w:val="0"/>
    <w:pPr>
      <w:textAlignment w:val="baseline"/>
    </w:pPr>
    <w:rPr>
      <w:rFonts w:ascii="黑体" w:hAnsi="Calibri" w:eastAsia="黑体" w:cs="Times New Roman"/>
      <w:lang w:val="en-US" w:eastAsia="zh-CN" w:bidi="ar-SA"/>
    </w:rPr>
  </w:style>
  <w:style w:type="paragraph" w:customStyle="1" w:styleId="392">
    <w:name w:val="UserStyle_130"/>
    <w:basedOn w:val="1"/>
    <w:qFormat/>
    <w:uiPriority w:val="0"/>
    <w:pPr>
      <w:widowControl/>
      <w:textAlignment w:val="baseline"/>
    </w:pPr>
    <w:rPr>
      <w:rFonts w:ascii="Calibri" w:hAnsi="Calibri"/>
      <w:szCs w:val="20"/>
    </w:rPr>
  </w:style>
  <w:style w:type="paragraph" w:customStyle="1" w:styleId="393">
    <w:name w:val="UserStyle_131"/>
    <w:basedOn w:val="1"/>
    <w:qFormat/>
    <w:uiPriority w:val="0"/>
    <w:pPr>
      <w:widowControl/>
      <w:textAlignment w:val="baseline"/>
    </w:pPr>
    <w:rPr>
      <w:rFonts w:ascii="Calibri" w:hAnsi="Calibri"/>
    </w:rPr>
  </w:style>
  <w:style w:type="paragraph" w:customStyle="1" w:styleId="394">
    <w:name w:val="UserStyle_132"/>
    <w:basedOn w:val="1"/>
    <w:qFormat/>
    <w:uiPriority w:val="0"/>
    <w:pPr>
      <w:widowControl/>
      <w:textAlignment w:val="baseline"/>
    </w:pPr>
    <w:rPr>
      <w:rFonts w:ascii="Calibri" w:hAnsi="Calibri"/>
    </w:rPr>
  </w:style>
  <w:style w:type="paragraph" w:customStyle="1" w:styleId="395">
    <w:name w:val="UserStyle_133"/>
    <w:basedOn w:val="1"/>
    <w:qFormat/>
    <w:uiPriority w:val="0"/>
    <w:pPr>
      <w:widowControl/>
      <w:spacing w:line="672" w:lineRule="exact"/>
      <w:textAlignment w:val="baseline"/>
    </w:pPr>
    <w:rPr>
      <w:rFonts w:ascii="Calibri" w:hAnsi="Calibri"/>
    </w:rPr>
  </w:style>
  <w:style w:type="paragraph" w:customStyle="1" w:styleId="396">
    <w:name w:val="UserStyle_134"/>
    <w:basedOn w:val="1"/>
    <w:qFormat/>
    <w:uiPriority w:val="0"/>
    <w:pPr>
      <w:widowControl/>
      <w:spacing w:line="552" w:lineRule="exact"/>
      <w:ind w:firstLine="547"/>
      <w:textAlignment w:val="baseline"/>
    </w:pPr>
    <w:rPr>
      <w:rFonts w:ascii="Calibri" w:hAnsi="Calibri"/>
    </w:rPr>
  </w:style>
  <w:style w:type="paragraph" w:customStyle="1" w:styleId="397">
    <w:name w:val="UserStyle_135"/>
    <w:basedOn w:val="1"/>
    <w:qFormat/>
    <w:uiPriority w:val="0"/>
    <w:pPr>
      <w:widowControl/>
      <w:spacing w:line="538" w:lineRule="exact"/>
      <w:ind w:firstLine="101"/>
      <w:textAlignment w:val="baseline"/>
    </w:pPr>
    <w:rPr>
      <w:rFonts w:ascii="Calibri" w:hAnsi="Calibri"/>
    </w:rPr>
  </w:style>
  <w:style w:type="paragraph" w:customStyle="1" w:styleId="398">
    <w:name w:val="UserStyle_136"/>
    <w:basedOn w:val="1"/>
    <w:qFormat/>
    <w:uiPriority w:val="0"/>
    <w:pPr>
      <w:widowControl/>
      <w:spacing w:line="547" w:lineRule="exact"/>
      <w:textAlignment w:val="baseline"/>
    </w:pPr>
    <w:rPr>
      <w:rFonts w:ascii="Calibri" w:hAnsi="Calibri"/>
    </w:rPr>
  </w:style>
  <w:style w:type="paragraph" w:customStyle="1" w:styleId="399">
    <w:name w:val="UserStyle_137"/>
    <w:basedOn w:val="223"/>
    <w:next w:val="1"/>
    <w:qFormat/>
    <w:uiPriority w:val="0"/>
    <w:pPr>
      <w:keepLines/>
      <w:spacing w:line="600" w:lineRule="auto"/>
    </w:pPr>
    <w:rPr>
      <w:rFonts w:eastAsia="黑体"/>
      <w:kern w:val="0"/>
      <w:sz w:val="32"/>
      <w:szCs w:val="32"/>
    </w:rPr>
  </w:style>
  <w:style w:type="paragraph" w:customStyle="1" w:styleId="400">
    <w:name w:val="UserStyle_138"/>
    <w:basedOn w:val="1"/>
    <w:qFormat/>
    <w:uiPriority w:val="0"/>
    <w:pPr>
      <w:widowControl/>
      <w:textAlignment w:val="baseline"/>
    </w:pPr>
    <w:rPr>
      <w:rFonts w:ascii="宋体" w:hAnsi="宋体"/>
      <w:lang w:val="zh-CN" w:bidi="zh-CN"/>
    </w:rPr>
  </w:style>
  <w:style w:type="paragraph" w:customStyle="1" w:styleId="401">
    <w:name w:val="UserStyle_139"/>
    <w:basedOn w:val="1"/>
    <w:qFormat/>
    <w:uiPriority w:val="0"/>
    <w:pPr>
      <w:widowControl/>
      <w:textAlignment w:val="baseline"/>
    </w:pPr>
    <w:rPr>
      <w:rFonts w:ascii="Calibri" w:hAnsi="Calibri"/>
    </w:rPr>
  </w:style>
  <w:style w:type="paragraph" w:customStyle="1" w:styleId="402">
    <w:name w:val="UserStyle_140"/>
    <w:basedOn w:val="1"/>
    <w:qFormat/>
    <w:uiPriority w:val="0"/>
    <w:pPr>
      <w:widowControl/>
      <w:jc w:val="left"/>
      <w:textAlignment w:val="baseline"/>
    </w:pPr>
    <w:rPr>
      <w:rFonts w:ascii="Calibri" w:hAnsi="Calibri"/>
      <w:kern w:val="0"/>
      <w:szCs w:val="21"/>
    </w:rPr>
  </w:style>
  <w:style w:type="paragraph" w:customStyle="1" w:styleId="403">
    <w:name w:val="UserStyle_141"/>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404">
    <w:name w:val="UserStyle_142"/>
    <w:basedOn w:val="1"/>
    <w:qFormat/>
    <w:uiPriority w:val="0"/>
    <w:pPr>
      <w:widowControl/>
      <w:textAlignment w:val="baseline"/>
    </w:pPr>
    <w:rPr>
      <w:rFonts w:ascii="Calibri" w:hAnsi="Calibri"/>
    </w:rPr>
  </w:style>
  <w:style w:type="paragraph" w:customStyle="1" w:styleId="405">
    <w:name w:val="UserStyle_143"/>
    <w:basedOn w:val="353"/>
    <w:qFormat/>
    <w:uiPriority w:val="0"/>
    <w:rPr>
      <w:rFonts w:ascii="Tahoma" w:hAnsi="Tahoma"/>
    </w:rPr>
  </w:style>
  <w:style w:type="paragraph" w:customStyle="1" w:styleId="406">
    <w:name w:val="UserStyle_144"/>
    <w:basedOn w:val="1"/>
    <w:qFormat/>
    <w:uiPriority w:val="0"/>
    <w:pPr>
      <w:widowControl/>
      <w:textAlignment w:val="baseline"/>
    </w:pPr>
    <w:rPr>
      <w:rFonts w:ascii="Calibri" w:hAnsi="Calibri"/>
    </w:rPr>
  </w:style>
  <w:style w:type="paragraph" w:customStyle="1" w:styleId="407">
    <w:name w:val="UserStyle_145"/>
    <w:basedOn w:val="1"/>
    <w:qFormat/>
    <w:uiPriority w:val="0"/>
    <w:pPr>
      <w:widowControl/>
      <w:textAlignment w:val="baseline"/>
    </w:pPr>
    <w:rPr>
      <w:rFonts w:ascii="Calibri" w:hAnsi="Calibri"/>
    </w:rPr>
  </w:style>
  <w:style w:type="paragraph" w:customStyle="1" w:styleId="408">
    <w:name w:val="UserStyle_146"/>
    <w:basedOn w:val="1"/>
    <w:qFormat/>
    <w:uiPriority w:val="0"/>
    <w:pPr>
      <w:widowControl/>
      <w:pBdr>
        <w:left w:val="single" w:color="000000" w:sz="4" w:space="0"/>
        <w:bottom w:val="single" w:color="000000" w:sz="4" w:space="0"/>
        <w:right w:val="double" w:color="000000" w:sz="6" w:space="0"/>
      </w:pBdr>
      <w:spacing w:before="100" w:beforeAutospacing="1" w:after="100" w:afterAutospacing="1"/>
      <w:jc w:val="center"/>
      <w:textAlignment w:val="baseline"/>
    </w:pPr>
    <w:rPr>
      <w:rFonts w:ascii="Arial Unicode MS" w:hAnsi="Arial Unicode MS" w:eastAsia="Arial Unicode MS"/>
      <w:kern w:val="0"/>
      <w:sz w:val="24"/>
    </w:rPr>
  </w:style>
  <w:style w:type="paragraph" w:customStyle="1" w:styleId="409">
    <w:name w:val="UserStyle_147"/>
    <w:basedOn w:val="1"/>
    <w:qFormat/>
    <w:uiPriority w:val="0"/>
    <w:pPr>
      <w:widowControl/>
      <w:textAlignment w:val="baseline"/>
    </w:pPr>
    <w:rPr>
      <w:rFonts w:ascii="Calibri" w:hAnsi="Calibri"/>
    </w:rPr>
  </w:style>
  <w:style w:type="paragraph" w:customStyle="1" w:styleId="410">
    <w:name w:val="UserStyle_148"/>
    <w:basedOn w:val="1"/>
    <w:qFormat/>
    <w:uiPriority w:val="0"/>
    <w:pPr>
      <w:widowControl/>
      <w:textAlignment w:val="baseline"/>
    </w:pPr>
    <w:rPr>
      <w:rFonts w:ascii="Calibri" w:hAnsi="Calibri"/>
    </w:rPr>
  </w:style>
  <w:style w:type="paragraph" w:customStyle="1" w:styleId="411">
    <w:name w:val="UserStyle_149"/>
    <w:basedOn w:val="1"/>
    <w:qFormat/>
    <w:uiPriority w:val="0"/>
    <w:pPr>
      <w:widowControl/>
      <w:spacing w:line="564" w:lineRule="exact"/>
      <w:ind w:firstLine="682"/>
      <w:textAlignment w:val="baseline"/>
    </w:pPr>
    <w:rPr>
      <w:rFonts w:ascii="Calibri" w:hAnsi="Calibri"/>
    </w:rPr>
  </w:style>
  <w:style w:type="paragraph" w:customStyle="1" w:styleId="412">
    <w:name w:val="UserStyle_150"/>
    <w:basedOn w:val="1"/>
    <w:qFormat/>
    <w:uiPriority w:val="0"/>
    <w:pPr>
      <w:widowControl/>
      <w:spacing w:line="549" w:lineRule="exact"/>
      <w:ind w:firstLine="686"/>
      <w:textAlignment w:val="baseline"/>
    </w:pPr>
    <w:rPr>
      <w:rFonts w:ascii="Calibri" w:hAnsi="Calibri"/>
    </w:rPr>
  </w:style>
  <w:style w:type="paragraph" w:customStyle="1" w:styleId="413">
    <w:name w:val="UserStyle_151"/>
    <w:basedOn w:val="1"/>
    <w:qFormat/>
    <w:uiPriority w:val="0"/>
    <w:pPr>
      <w:widowControl/>
      <w:spacing w:after="160" w:line="240" w:lineRule="exact"/>
      <w:jc w:val="left"/>
      <w:textAlignment w:val="baseline"/>
    </w:pPr>
    <w:rPr>
      <w:rFonts w:ascii="Verdana" w:hAnsi="Verdana" w:eastAsia="仿宋_GB2312"/>
      <w:kern w:val="0"/>
      <w:sz w:val="24"/>
      <w:szCs w:val="20"/>
      <w:lang w:eastAsia="en-US"/>
    </w:rPr>
  </w:style>
  <w:style w:type="paragraph" w:customStyle="1" w:styleId="414">
    <w:name w:val="UserStyle_152"/>
    <w:basedOn w:val="1"/>
    <w:qFormat/>
    <w:uiPriority w:val="0"/>
    <w:pPr>
      <w:widowControl/>
      <w:spacing w:line="566" w:lineRule="exact"/>
      <w:textAlignment w:val="baseline"/>
    </w:pPr>
    <w:rPr>
      <w:rFonts w:ascii="Calibri" w:hAnsi="Calibri"/>
    </w:rPr>
  </w:style>
  <w:style w:type="paragraph" w:customStyle="1" w:styleId="415">
    <w:name w:val="UserStyle_153"/>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416">
    <w:name w:val="UserStyle_154"/>
    <w:basedOn w:val="1"/>
    <w:qFormat/>
    <w:uiPriority w:val="0"/>
    <w:pPr>
      <w:widowControl/>
      <w:suppressAutoHyphens/>
      <w:spacing w:line="312" w:lineRule="atLeast"/>
      <w:ind w:firstLine="567"/>
      <w:jc w:val="left"/>
      <w:textAlignment w:val="baseline"/>
    </w:pPr>
    <w:rPr>
      <w:rFonts w:ascii="长城仿宋" w:hAnsi="长城仿宋" w:eastAsia="长城仿宋"/>
      <w:b/>
      <w:w w:val="80"/>
      <w:sz w:val="28"/>
      <w:szCs w:val="20"/>
    </w:rPr>
  </w:style>
  <w:style w:type="paragraph" w:customStyle="1" w:styleId="417">
    <w:name w:val="UserStyle_155"/>
    <w:basedOn w:val="1"/>
    <w:qFormat/>
    <w:uiPriority w:val="0"/>
    <w:pPr>
      <w:widowControl/>
      <w:ind w:firstLine="420" w:firstLineChars="200"/>
      <w:textAlignment w:val="baseline"/>
    </w:pPr>
    <w:rPr>
      <w:rFonts w:ascii="Calibri" w:hAnsi="Calibri"/>
      <w:szCs w:val="21"/>
    </w:rPr>
  </w:style>
  <w:style w:type="paragraph" w:customStyle="1" w:styleId="418">
    <w:name w:val="UserStyle_156"/>
    <w:basedOn w:val="1"/>
    <w:qFormat/>
    <w:uiPriority w:val="0"/>
    <w:pPr>
      <w:widowControl/>
      <w:spacing w:line="557" w:lineRule="exact"/>
      <w:ind w:firstLine="672"/>
      <w:textAlignment w:val="baseline"/>
    </w:pPr>
    <w:rPr>
      <w:rFonts w:ascii="Calibri" w:hAnsi="Calibri"/>
    </w:rPr>
  </w:style>
  <w:style w:type="paragraph" w:customStyle="1" w:styleId="419">
    <w:name w:val="UserStyle_157"/>
    <w:basedOn w:val="221"/>
    <w:qFormat/>
    <w:uiPriority w:val="0"/>
    <w:pPr>
      <w:widowControl/>
      <w:spacing w:line="240" w:lineRule="atLeast"/>
    </w:pPr>
    <w:rPr>
      <w:sz w:val="28"/>
      <w:szCs w:val="21"/>
    </w:rPr>
  </w:style>
  <w:style w:type="paragraph" w:customStyle="1" w:styleId="420">
    <w:name w:val="266"/>
    <w:basedOn w:val="223"/>
    <w:next w:val="1"/>
    <w:qFormat/>
    <w:uiPriority w:val="0"/>
    <w:pPr>
      <w:keepLines/>
      <w:spacing w:before="480" w:line="276" w:lineRule="auto"/>
      <w:jc w:val="left"/>
    </w:pPr>
    <w:rPr>
      <w:rFonts w:ascii="Cambria" w:hAnsi="Cambria"/>
      <w:color w:val="365F91"/>
      <w:kern w:val="0"/>
      <w:sz w:val="28"/>
      <w:szCs w:val="28"/>
    </w:rPr>
  </w:style>
  <w:style w:type="paragraph" w:customStyle="1" w:styleId="421">
    <w:name w:val="UserStyle_158"/>
    <w:basedOn w:val="1"/>
    <w:qFormat/>
    <w:uiPriority w:val="0"/>
    <w:pPr>
      <w:widowControl/>
      <w:ind w:firstLine="480"/>
      <w:textAlignment w:val="baseline"/>
    </w:pPr>
    <w:rPr>
      <w:rFonts w:ascii="Calibri" w:hAnsi="Calibri"/>
      <w:szCs w:val="20"/>
    </w:rPr>
  </w:style>
  <w:style w:type="paragraph" w:customStyle="1" w:styleId="422">
    <w:name w:val="UserStyle_159"/>
    <w:basedOn w:val="1"/>
    <w:qFormat/>
    <w:uiPriority w:val="0"/>
    <w:pPr>
      <w:widowControl/>
      <w:textAlignment w:val="baseline"/>
    </w:pPr>
    <w:rPr>
      <w:rFonts w:ascii="Calibri" w:hAnsi="Calibri"/>
    </w:rPr>
  </w:style>
  <w:style w:type="paragraph" w:customStyle="1" w:styleId="423">
    <w:name w:val="UserStyle_160"/>
    <w:basedOn w:val="1"/>
    <w:qFormat/>
    <w:uiPriority w:val="0"/>
    <w:pPr>
      <w:widowControl/>
      <w:textAlignment w:val="baseline"/>
    </w:pPr>
    <w:rPr>
      <w:rFonts w:ascii="Calibri" w:hAnsi="Calibri"/>
    </w:rPr>
  </w:style>
  <w:style w:type="paragraph" w:customStyle="1" w:styleId="424">
    <w:name w:val="UserStyle_161"/>
    <w:basedOn w:val="223"/>
    <w:qFormat/>
    <w:uiPriority w:val="0"/>
    <w:pPr>
      <w:spacing w:line="400" w:lineRule="exact"/>
      <w:jc w:val="both"/>
    </w:pPr>
    <w:rPr>
      <w:rFonts w:ascii="宋体" w:hAnsi="宋体"/>
      <w:kern w:val="32"/>
      <w:szCs w:val="32"/>
    </w:rPr>
  </w:style>
  <w:style w:type="paragraph" w:customStyle="1" w:styleId="425">
    <w:name w:val="UserStyle_162"/>
    <w:basedOn w:val="1"/>
    <w:qFormat/>
    <w:uiPriority w:val="0"/>
    <w:pPr>
      <w:widowControl/>
      <w:snapToGrid w:val="0"/>
      <w:spacing w:line="360" w:lineRule="auto"/>
      <w:ind w:firstLine="200" w:firstLineChars="200"/>
      <w:textAlignment w:val="baseline"/>
    </w:pPr>
    <w:rPr>
      <w:rFonts w:ascii="Calibri" w:hAnsi="Calibri" w:eastAsia="仿宋_GB2312"/>
      <w:sz w:val="24"/>
    </w:rPr>
  </w:style>
  <w:style w:type="paragraph" w:customStyle="1" w:styleId="426">
    <w:name w:val="UserStyle_163"/>
    <w:basedOn w:val="1"/>
    <w:qFormat/>
    <w:uiPriority w:val="0"/>
    <w:pPr>
      <w:widowControl/>
      <w:spacing w:line="542" w:lineRule="exact"/>
      <w:ind w:firstLine="125"/>
      <w:textAlignment w:val="baseline"/>
    </w:pPr>
    <w:rPr>
      <w:rFonts w:ascii="Calibri" w:hAnsi="Calibri"/>
    </w:rPr>
  </w:style>
  <w:style w:type="paragraph" w:customStyle="1" w:styleId="427">
    <w:name w:val="UserStyle_164"/>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428">
    <w:name w:val="UserStyle_165"/>
    <w:basedOn w:val="43"/>
    <w:qFormat/>
    <w:uiPriority w:val="0"/>
    <w:pPr>
      <w:widowControl/>
      <w:spacing w:before="240" w:after="240"/>
      <w:jc w:val="left"/>
      <w:textAlignment w:val="baseline"/>
      <w:outlineLvl w:val="9"/>
    </w:pPr>
    <w:rPr>
      <w:rFonts w:ascii="Cambria" w:hAnsi="Cambria"/>
      <w:kern w:val="2"/>
      <w:sz w:val="30"/>
      <w:szCs w:val="24"/>
    </w:rPr>
  </w:style>
  <w:style w:type="paragraph" w:customStyle="1" w:styleId="429">
    <w:name w:val="UserStyle_166"/>
    <w:basedOn w:val="1"/>
    <w:qFormat/>
    <w:uiPriority w:val="0"/>
    <w:pPr>
      <w:widowControl/>
      <w:spacing w:line="547" w:lineRule="exact"/>
      <w:ind w:firstLine="547"/>
      <w:textAlignment w:val="baseline"/>
    </w:pPr>
    <w:rPr>
      <w:rFonts w:ascii="Calibri" w:hAnsi="Calibri"/>
    </w:rPr>
  </w:style>
  <w:style w:type="paragraph" w:customStyle="1" w:styleId="430">
    <w:name w:val="UserStyle_167"/>
    <w:basedOn w:val="1"/>
    <w:qFormat/>
    <w:uiPriority w:val="0"/>
    <w:pPr>
      <w:widowControl/>
      <w:spacing w:line="538" w:lineRule="exact"/>
      <w:textAlignment w:val="baseline"/>
    </w:pPr>
    <w:rPr>
      <w:rFonts w:ascii="Calibri" w:hAnsi="Calibri"/>
    </w:rPr>
  </w:style>
  <w:style w:type="paragraph" w:customStyle="1" w:styleId="431">
    <w:name w:val="UserStyle_168"/>
    <w:basedOn w:val="225"/>
    <w:qFormat/>
    <w:uiPriority w:val="0"/>
    <w:pPr>
      <w:tabs>
        <w:tab w:val="left" w:pos="2175"/>
      </w:tabs>
      <w:spacing w:before="260" w:after="260" w:line="240" w:lineRule="auto"/>
      <w:ind w:left="2175" w:hanging="1275"/>
      <w:jc w:val="left"/>
    </w:pPr>
    <w:rPr>
      <w:rFonts w:ascii="宋体" w:hAnsi="宋体"/>
      <w:kern w:val="0"/>
      <w:sz w:val="21"/>
      <w:szCs w:val="20"/>
    </w:rPr>
  </w:style>
  <w:style w:type="paragraph" w:customStyle="1" w:styleId="432">
    <w:name w:val="UserStyle_169"/>
    <w:basedOn w:val="1"/>
    <w:qFormat/>
    <w:uiPriority w:val="0"/>
    <w:pPr>
      <w:widowControl/>
      <w:textAlignment w:val="baseline"/>
    </w:pPr>
    <w:rPr>
      <w:rFonts w:ascii="Calibri" w:hAnsi="Calibri"/>
    </w:rPr>
  </w:style>
  <w:style w:type="paragraph" w:customStyle="1" w:styleId="433">
    <w:name w:val="UserStyle_170"/>
    <w:basedOn w:val="1"/>
    <w:qFormat/>
    <w:uiPriority w:val="0"/>
    <w:pPr>
      <w:widowControl/>
      <w:textAlignment w:val="baseline"/>
    </w:pPr>
    <w:rPr>
      <w:rFonts w:ascii="Calibri" w:hAnsi="Calibri"/>
    </w:rPr>
  </w:style>
  <w:style w:type="paragraph" w:customStyle="1" w:styleId="434">
    <w:name w:val="UserStyle_171"/>
    <w:basedOn w:val="1"/>
    <w:qFormat/>
    <w:uiPriority w:val="0"/>
    <w:pPr>
      <w:widowControl/>
      <w:spacing w:after="160" w:line="240" w:lineRule="exact"/>
      <w:jc w:val="left"/>
      <w:textAlignment w:val="baseline"/>
    </w:pPr>
    <w:rPr>
      <w:rFonts w:ascii="Calibri" w:hAnsi="Calibri"/>
      <w:kern w:val="0"/>
      <w:sz w:val="24"/>
      <w:szCs w:val="20"/>
    </w:rPr>
  </w:style>
  <w:style w:type="paragraph" w:customStyle="1" w:styleId="435">
    <w:name w:val="UserStyle_172"/>
    <w:basedOn w:val="1"/>
    <w:qFormat/>
    <w:uiPriority w:val="0"/>
    <w:pPr>
      <w:widowControl/>
      <w:textAlignment w:val="baseline"/>
    </w:pPr>
    <w:rPr>
      <w:rFonts w:ascii="Calibri" w:hAnsi="Calibri"/>
      <w:szCs w:val="20"/>
    </w:rPr>
  </w:style>
  <w:style w:type="paragraph" w:customStyle="1" w:styleId="436">
    <w:name w:val="UserStyle_173"/>
    <w:basedOn w:val="1"/>
    <w:qFormat/>
    <w:uiPriority w:val="0"/>
    <w:pPr>
      <w:widowControl/>
      <w:spacing w:line="559" w:lineRule="exact"/>
      <w:ind w:firstLine="590"/>
      <w:textAlignment w:val="baseline"/>
    </w:pPr>
    <w:rPr>
      <w:rFonts w:ascii="Calibri" w:hAnsi="Calibri"/>
    </w:rPr>
  </w:style>
  <w:style w:type="paragraph" w:customStyle="1" w:styleId="437">
    <w:name w:val="UserStyle_174"/>
    <w:basedOn w:val="1"/>
    <w:qFormat/>
    <w:uiPriority w:val="0"/>
    <w:pPr>
      <w:widowControl/>
      <w:spacing w:line="538" w:lineRule="exact"/>
      <w:ind w:firstLine="533"/>
      <w:textAlignment w:val="baseline"/>
    </w:pPr>
    <w:rPr>
      <w:rFonts w:ascii="Calibri" w:hAnsi="Calibri"/>
    </w:rPr>
  </w:style>
  <w:style w:type="paragraph" w:customStyle="1" w:styleId="438">
    <w:name w:val="UserStyle_175"/>
    <w:basedOn w:val="1"/>
    <w:qFormat/>
    <w:uiPriority w:val="0"/>
    <w:pPr>
      <w:widowControl/>
      <w:pBdr>
        <w:left w:val="single" w:color="000000" w:sz="4" w:space="0"/>
        <w:right w:val="single" w:color="000000" w:sz="4" w:space="0"/>
      </w:pBdr>
      <w:spacing w:before="100" w:beforeAutospacing="1" w:after="100" w:afterAutospacing="1"/>
      <w:jc w:val="center"/>
      <w:textAlignment w:val="baseline"/>
    </w:pPr>
    <w:rPr>
      <w:rFonts w:ascii="宋体" w:hAnsi="宋体"/>
      <w:kern w:val="0"/>
      <w:sz w:val="24"/>
    </w:rPr>
  </w:style>
  <w:style w:type="paragraph" w:customStyle="1" w:styleId="439">
    <w:name w:val="178"/>
    <w:qFormat/>
    <w:uiPriority w:val="0"/>
    <w:pPr>
      <w:textAlignment w:val="baseline"/>
    </w:pPr>
    <w:rPr>
      <w:rFonts w:ascii="Calibri" w:hAnsi="Calibri" w:eastAsia="宋体" w:cs="Times New Roman"/>
      <w:kern w:val="2"/>
      <w:sz w:val="21"/>
      <w:szCs w:val="24"/>
      <w:lang w:val="en-US" w:eastAsia="zh-CN" w:bidi="ar-SA"/>
    </w:rPr>
  </w:style>
  <w:style w:type="paragraph" w:customStyle="1" w:styleId="440">
    <w:name w:val="UserStyle_176"/>
    <w:basedOn w:val="1"/>
    <w:qFormat/>
    <w:uiPriority w:val="0"/>
    <w:pPr>
      <w:widowControl/>
      <w:tabs>
        <w:tab w:val="left" w:pos="360"/>
      </w:tabs>
      <w:ind w:left="360" w:hanging="360"/>
      <w:textAlignment w:val="baseline"/>
    </w:pPr>
    <w:rPr>
      <w:rFonts w:ascii="宋体" w:hAnsi="宋体"/>
      <w:kern w:val="0"/>
      <w:szCs w:val="21"/>
    </w:rPr>
  </w:style>
  <w:style w:type="paragraph" w:customStyle="1" w:styleId="441">
    <w:name w:val="UserStyle_177"/>
    <w:basedOn w:val="1"/>
    <w:qFormat/>
    <w:uiPriority w:val="0"/>
    <w:pPr>
      <w:widowControl/>
      <w:textAlignment w:val="baseline"/>
    </w:pPr>
    <w:rPr>
      <w:rFonts w:ascii="Calibri" w:hAnsi="Calibri"/>
    </w:rPr>
  </w:style>
  <w:style w:type="paragraph" w:customStyle="1" w:styleId="442">
    <w:name w:val="UserStyle_178"/>
    <w:basedOn w:val="1"/>
    <w:qFormat/>
    <w:uiPriority w:val="0"/>
    <w:pPr>
      <w:keepNext/>
      <w:keepLines/>
      <w:widowControl/>
      <w:tabs>
        <w:tab w:val="left" w:pos="840"/>
      </w:tabs>
      <w:spacing w:before="240"/>
      <w:ind w:left="840" w:hanging="420"/>
      <w:jc w:val="left"/>
      <w:textAlignment w:val="baseline"/>
    </w:pPr>
    <w:rPr>
      <w:rFonts w:ascii="宋体" w:hAnsi="宋体"/>
      <w:b/>
      <w:bCs/>
      <w:color w:val="000000"/>
      <w:kern w:val="0"/>
      <w:szCs w:val="20"/>
    </w:rPr>
  </w:style>
  <w:style w:type="paragraph" w:customStyle="1" w:styleId="443">
    <w:name w:val="UserStyle_179"/>
    <w:basedOn w:val="1"/>
    <w:qFormat/>
    <w:uiPriority w:val="0"/>
    <w:pPr>
      <w:widowControl/>
      <w:spacing w:line="437" w:lineRule="exact"/>
      <w:textAlignment w:val="baseline"/>
    </w:pPr>
    <w:rPr>
      <w:rFonts w:ascii="Calibri" w:hAnsi="Calibri"/>
    </w:rPr>
  </w:style>
  <w:style w:type="paragraph" w:customStyle="1" w:styleId="444">
    <w:name w:val="UserStyle_180"/>
    <w:basedOn w:val="1"/>
    <w:qFormat/>
    <w:uiPriority w:val="0"/>
    <w:pPr>
      <w:widowControl/>
      <w:spacing w:line="547" w:lineRule="exact"/>
      <w:textAlignment w:val="baseline"/>
    </w:pPr>
    <w:rPr>
      <w:rFonts w:ascii="Calibri" w:hAnsi="Calibri"/>
    </w:rPr>
  </w:style>
  <w:style w:type="paragraph" w:customStyle="1" w:styleId="445">
    <w:name w:val="UserStyle_181"/>
    <w:basedOn w:val="1"/>
    <w:qFormat/>
    <w:uiPriority w:val="0"/>
    <w:pPr>
      <w:widowControl/>
      <w:spacing w:line="360" w:lineRule="auto"/>
      <w:textAlignment w:val="baseline"/>
    </w:pPr>
    <w:rPr>
      <w:rFonts w:ascii="宋体" w:hAnsi="宋体"/>
      <w:b/>
      <w:sz w:val="30"/>
      <w:szCs w:val="21"/>
    </w:rPr>
  </w:style>
  <w:style w:type="paragraph" w:customStyle="1" w:styleId="446">
    <w:name w:val="UserStyle_182"/>
    <w:basedOn w:val="1"/>
    <w:qFormat/>
    <w:uiPriority w:val="0"/>
    <w:pPr>
      <w:widowControl/>
      <w:textAlignment w:val="baseline"/>
    </w:pPr>
    <w:rPr>
      <w:rFonts w:ascii="Calibri" w:hAnsi="Calibri"/>
    </w:rPr>
  </w:style>
  <w:style w:type="paragraph" w:customStyle="1" w:styleId="447">
    <w:name w:val="179"/>
    <w:basedOn w:val="1"/>
    <w:qFormat/>
    <w:uiPriority w:val="0"/>
    <w:pPr>
      <w:widowControl/>
      <w:ind w:firstLine="420" w:firstLineChars="200"/>
      <w:textAlignment w:val="baseline"/>
    </w:pPr>
    <w:rPr>
      <w:rFonts w:ascii="Calibri" w:hAnsi="Calibri"/>
      <w:szCs w:val="22"/>
    </w:rPr>
  </w:style>
  <w:style w:type="paragraph" w:customStyle="1" w:styleId="448">
    <w:name w:val="UserStyle_183"/>
    <w:basedOn w:val="1"/>
    <w:qFormat/>
    <w:uiPriority w:val="0"/>
    <w:pPr>
      <w:widowControl/>
      <w:spacing w:line="542" w:lineRule="exact"/>
      <w:jc w:val="right"/>
      <w:textAlignment w:val="baseline"/>
    </w:pPr>
    <w:rPr>
      <w:rFonts w:ascii="Calibri" w:hAnsi="Calibri"/>
    </w:rPr>
  </w:style>
  <w:style w:type="paragraph" w:customStyle="1" w:styleId="449">
    <w:name w:val="UserStyle_184"/>
    <w:qFormat/>
    <w:uiPriority w:val="0"/>
    <w:pPr>
      <w:ind w:left="840" w:leftChars="350"/>
      <w:jc w:val="both"/>
      <w:textAlignment w:val="baseline"/>
    </w:pPr>
    <w:rPr>
      <w:rFonts w:ascii="宋体" w:hAnsi="Calibri" w:eastAsia="宋体" w:cs="Times New Roman"/>
      <w:b/>
      <w:sz w:val="24"/>
      <w:lang w:val="en-US" w:eastAsia="zh-CN" w:bidi="ar-SA"/>
    </w:rPr>
  </w:style>
  <w:style w:type="paragraph" w:customStyle="1" w:styleId="450">
    <w:name w:val="UserStyle_185"/>
    <w:basedOn w:val="1"/>
    <w:qFormat/>
    <w:uiPriority w:val="0"/>
    <w:pPr>
      <w:widowControl/>
      <w:textAlignment w:val="baseline"/>
    </w:pPr>
    <w:rPr>
      <w:rFonts w:ascii="Calibri" w:hAnsi="Calibri"/>
    </w:rPr>
  </w:style>
  <w:style w:type="paragraph" w:customStyle="1" w:styleId="451">
    <w:name w:val="UserStyle_186"/>
    <w:basedOn w:val="1"/>
    <w:qFormat/>
    <w:uiPriority w:val="0"/>
    <w:pPr>
      <w:widowControl/>
      <w:spacing w:line="682" w:lineRule="exact"/>
      <w:ind w:firstLine="557"/>
      <w:textAlignment w:val="baseline"/>
    </w:pPr>
    <w:rPr>
      <w:rFonts w:ascii="Calibri" w:hAnsi="Calibri"/>
    </w:rPr>
  </w:style>
  <w:style w:type="paragraph" w:customStyle="1" w:styleId="452">
    <w:name w:val="UserStyle_187"/>
    <w:basedOn w:val="1"/>
    <w:qFormat/>
    <w:uiPriority w:val="0"/>
    <w:pPr>
      <w:widowControl/>
      <w:textAlignment w:val="baseline"/>
    </w:pPr>
    <w:rPr>
      <w:rFonts w:ascii="Calibri" w:hAnsi="Calibri"/>
    </w:rPr>
  </w:style>
  <w:style w:type="paragraph" w:customStyle="1" w:styleId="453">
    <w:name w:val="UserStyle_188"/>
    <w:basedOn w:val="1"/>
    <w:qFormat/>
    <w:uiPriority w:val="0"/>
    <w:pPr>
      <w:widowControl/>
      <w:textAlignment w:val="baseline"/>
    </w:pPr>
    <w:rPr>
      <w:rFonts w:ascii="Calibri" w:hAnsi="Calibri"/>
    </w:rPr>
  </w:style>
  <w:style w:type="paragraph" w:customStyle="1" w:styleId="454">
    <w:name w:val="UserStyle_189"/>
    <w:basedOn w:val="1"/>
    <w:qFormat/>
    <w:uiPriority w:val="0"/>
    <w:pPr>
      <w:widowControl/>
      <w:snapToGrid w:val="0"/>
      <w:spacing w:line="300" w:lineRule="auto"/>
      <w:textAlignment w:val="baseline"/>
    </w:pPr>
    <w:rPr>
      <w:rFonts w:ascii="Calibri" w:hAnsi="Calibri"/>
      <w:sz w:val="24"/>
      <w:szCs w:val="20"/>
    </w:rPr>
  </w:style>
  <w:style w:type="paragraph" w:customStyle="1" w:styleId="455">
    <w:name w:val="UserStyle_190"/>
    <w:basedOn w:val="1"/>
    <w:qFormat/>
    <w:uiPriority w:val="0"/>
    <w:pPr>
      <w:widowControl/>
      <w:spacing w:line="533" w:lineRule="exact"/>
      <w:ind w:firstLine="581"/>
      <w:textAlignment w:val="baseline"/>
    </w:pPr>
    <w:rPr>
      <w:rFonts w:ascii="Calibri" w:hAnsi="Calibri"/>
    </w:rPr>
  </w:style>
  <w:style w:type="paragraph" w:customStyle="1" w:styleId="456">
    <w:name w:val="H1"/>
    <w:qFormat/>
    <w:uiPriority w:val="0"/>
    <w:pPr>
      <w:widowControl w:val="0"/>
      <w:adjustRightInd w:val="0"/>
      <w:spacing w:after="240"/>
      <w:textAlignment w:val="baseline"/>
    </w:pPr>
    <w:rPr>
      <w:rFonts w:ascii="Times New Roman" w:hAnsi="Times New Roman" w:eastAsia="全真中明體" w:cs="Times New Roman"/>
      <w:b/>
      <w:caps/>
      <w:spacing w:val="30"/>
      <w:sz w:val="24"/>
      <w:lang w:val="en-US" w:eastAsia="zh-TW" w:bidi="ar-SA"/>
    </w:rPr>
  </w:style>
  <w:style w:type="character" w:customStyle="1" w:styleId="457">
    <w:name w:val="日期 Char2"/>
    <w:qFormat/>
    <w:locked/>
    <w:uiPriority w:val="0"/>
    <w:rPr>
      <w:rFonts w:ascii="宋体" w:hAnsi="宋体" w:eastAsia="宋体"/>
      <w:kern w:val="2"/>
      <w:sz w:val="24"/>
      <w:lang w:val="en-US" w:eastAsia="zh-CN" w:bidi="ar-SA"/>
    </w:rPr>
  </w:style>
  <w:style w:type="character" w:customStyle="1" w:styleId="458">
    <w:name w:val="15"/>
    <w:basedOn w:val="49"/>
    <w:qFormat/>
    <w:uiPriority w:val="0"/>
    <w:rPr>
      <w:rFonts w:hint="default" w:ascii="Times New Roman" w:hAnsi="Times New Roman" w:cs="Times New Roman"/>
      <w:b/>
    </w:rPr>
  </w:style>
  <w:style w:type="paragraph" w:customStyle="1" w:styleId="459">
    <w:name w:val="正文格式"/>
    <w:basedOn w:val="1"/>
    <w:qFormat/>
    <w:uiPriority w:val="0"/>
    <w:pPr>
      <w:widowControl/>
      <w:adjustRightInd w:val="0"/>
      <w:snapToGrid w:val="0"/>
      <w:spacing w:line="400" w:lineRule="atLeast"/>
      <w:ind w:firstLine="482"/>
      <w:textAlignment w:val="baseline"/>
    </w:pPr>
    <w:rPr>
      <w:rFonts w:ascii="Calibri" w:hAnsi="Calibri"/>
      <w:kern w:val="0"/>
      <w:sz w:val="24"/>
    </w:rPr>
  </w:style>
  <w:style w:type="paragraph" w:customStyle="1" w:styleId="460">
    <w:name w:val="Normal_0_2"/>
    <w:qFormat/>
    <w:uiPriority w:val="0"/>
    <w:rPr>
      <w:rFonts w:ascii="Times New Roman" w:hAnsi="Times New Roman" w:eastAsia="Times New Roman" w:cs="Times New Roman"/>
      <w:sz w:val="24"/>
      <w:szCs w:val="24"/>
      <w:lang w:val="en-US" w:eastAsia="zh-CN" w:bidi="ar-SA"/>
    </w:rPr>
  </w:style>
  <w:style w:type="paragraph" w:customStyle="1" w:styleId="461">
    <w:name w:val="正文文本 21"/>
    <w:basedOn w:val="1"/>
    <w:qFormat/>
    <w:uiPriority w:val="0"/>
    <w:pPr>
      <w:widowControl/>
      <w:spacing w:line="480" w:lineRule="auto"/>
      <w:textAlignment w:val="baseline"/>
    </w:pPr>
    <w:rPr>
      <w:rFonts w:ascii="Calibri" w:hAnsi="Calibri"/>
    </w:rPr>
  </w:style>
  <w:style w:type="paragraph" w:customStyle="1" w:styleId="462">
    <w:name w:val="Other|1"/>
    <w:basedOn w:val="1"/>
    <w:qFormat/>
    <w:uiPriority w:val="0"/>
    <w:pPr>
      <w:spacing w:line="252" w:lineRule="exact"/>
      <w:textAlignment w:val="baseline"/>
    </w:pPr>
    <w:rPr>
      <w:rFonts w:ascii="宋体" w:hAnsi="宋体" w:cs="宋体"/>
      <w:sz w:val="20"/>
      <w:szCs w:val="20"/>
      <w:lang w:val="zh-TW" w:eastAsia="zh-TW" w:bidi="zh-TW"/>
    </w:rPr>
  </w:style>
  <w:style w:type="paragraph" w:customStyle="1" w:styleId="463">
    <w:name w:val="表 靠左"/>
    <w:basedOn w:val="1"/>
    <w:qFormat/>
    <w:uiPriority w:val="0"/>
    <w:pPr>
      <w:jc w:val="left"/>
    </w:pPr>
    <w:rPr>
      <w:sz w:val="24"/>
      <w:szCs w:val="21"/>
    </w:rPr>
  </w:style>
  <w:style w:type="paragraph" w:customStyle="1" w:styleId="464">
    <w:name w:val="AVIC1.1"/>
    <w:basedOn w:val="1"/>
    <w:qFormat/>
    <w:uiPriority w:val="0"/>
    <w:pPr>
      <w:jc w:val="left"/>
      <w:outlineLvl w:val="3"/>
    </w:pPr>
    <w:rPr>
      <w:rFonts w:ascii="宋体" w:hAnsi="宋体"/>
      <w:b/>
      <w:bCs/>
    </w:rPr>
  </w:style>
  <w:style w:type="paragraph" w:customStyle="1" w:styleId="465">
    <w:name w:val="List Paragraph1"/>
    <w:basedOn w:val="1"/>
    <w:qFormat/>
    <w:uiPriority w:val="0"/>
    <w:pPr>
      <w:widowControl/>
      <w:ind w:firstLine="420" w:firstLineChars="200"/>
      <w:jc w:val="left"/>
    </w:pPr>
    <w:rPr>
      <w:rFonts w:ascii="宋体" w:hAnsi="宋体" w:cs="宋体"/>
      <w:kern w:val="0"/>
      <w:sz w:val="24"/>
    </w:rPr>
  </w:style>
  <w:style w:type="paragraph" w:customStyle="1" w:styleId="466">
    <w:name w:val="列出段落2"/>
    <w:basedOn w:val="1"/>
    <w:qFormat/>
    <w:uiPriority w:val="0"/>
    <w:pPr>
      <w:ind w:firstLine="420" w:firstLineChars="200"/>
    </w:pPr>
    <w:rPr>
      <w:rFonts w:ascii="Calibri" w:hAnsi="Calibri"/>
      <w:szCs w:val="22"/>
    </w:rPr>
  </w:style>
  <w:style w:type="paragraph" w:customStyle="1" w:styleId="467">
    <w:name w:val="Table Text"/>
    <w:basedOn w:val="1"/>
    <w:semiHidden/>
    <w:qFormat/>
    <w:uiPriority w:val="0"/>
    <w:rPr>
      <w:rFonts w:ascii="宋体" w:hAnsi="宋体" w:cs="宋体"/>
    </w:rPr>
  </w:style>
  <w:style w:type="paragraph" w:customStyle="1" w:styleId="468">
    <w:name w:val="p12"/>
    <w:basedOn w:val="1"/>
    <w:qFormat/>
    <w:uiPriority w:val="0"/>
    <w:pPr>
      <w:widowControl/>
      <w:spacing w:before="100" w:beforeAutospacing="1" w:after="100" w:afterAutospacing="1"/>
      <w:jc w:val="left"/>
    </w:pPr>
    <w:rPr>
      <w:rFonts w:ascii="&amp;#23435;&amp;#20307;" w:hAnsi="&amp;#23435;&amp;#20307;"/>
      <w:kern w:val="0"/>
      <w:sz w:val="18"/>
      <w:szCs w:val="18"/>
    </w:rPr>
  </w:style>
  <w:style w:type="paragraph" w:customStyle="1" w:styleId="469">
    <w:name w:val="List Paragraph_c199b101-49a7-44df-a093-57b8683f2156"/>
    <w:basedOn w:val="1"/>
    <w:qFormat/>
    <w:uiPriority w:val="34"/>
    <w:pPr>
      <w:ind w:firstLine="420" w:firstLineChars="200"/>
    </w:pPr>
  </w:style>
  <w:style w:type="paragraph" w:customStyle="1" w:styleId="470">
    <w:name w:val="_Style 1"/>
    <w:basedOn w:val="1"/>
    <w:qFormat/>
    <w:uiPriority w:val="34"/>
    <w:pPr>
      <w:ind w:firstLine="420" w:firstLineChars="200"/>
    </w:pPr>
    <w:rPr>
      <w:rFonts w:ascii="Calibri" w:hAnsi="Calibri"/>
      <w:szCs w:val="22"/>
    </w:rPr>
  </w:style>
  <w:style w:type="paragraph" w:customStyle="1" w:styleId="471">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472">
    <w:name w:val="三级条标题"/>
    <w:basedOn w:val="1"/>
    <w:next w:val="471"/>
    <w:qFormat/>
    <w:uiPriority w:val="0"/>
    <w:pPr>
      <w:widowControl/>
      <w:numPr>
        <w:ilvl w:val="4"/>
        <w:numId w:val="1"/>
      </w:numPr>
      <w:jc w:val="left"/>
      <w:outlineLvl w:val="4"/>
    </w:pPr>
    <w:rPr>
      <w:rFonts w:eastAsia="黑体"/>
      <w:kern w:val="0"/>
    </w:rPr>
  </w:style>
  <w:style w:type="paragraph" w:customStyle="1" w:styleId="473">
    <w:name w:val="lei.text"/>
    <w:qFormat/>
    <w:uiPriority w:val="0"/>
    <w:pPr>
      <w:spacing w:line="360" w:lineRule="exact"/>
      <w:ind w:firstLine="200" w:firstLineChars="200"/>
    </w:pPr>
    <w:rPr>
      <w:rFonts w:ascii="宋体" w:hAnsi="Tahoma" w:eastAsia="宋体" w:cs="Times New Roman"/>
      <w:sz w:val="24"/>
      <w:lang w:val="en-US" w:eastAsia="zh-CN" w:bidi="ar-SA"/>
    </w:rPr>
  </w:style>
  <w:style w:type="table" w:customStyle="1" w:styleId="474">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475">
    <w:name w:val="Normal_0_1"/>
    <w:qFormat/>
    <w:uiPriority w:val="0"/>
    <w:rPr>
      <w:rFonts w:ascii="Times New Roman" w:hAnsi="Times New Roman" w:eastAsia="宋体" w:cs="Times New Roman"/>
      <w:sz w:val="24"/>
      <w:szCs w:val="24"/>
      <w:lang w:val="en-US" w:eastAsia="zh-CN" w:bidi="ar-SA"/>
    </w:rPr>
  </w:style>
  <w:style w:type="table" w:customStyle="1" w:styleId="476">
    <w:name w:val="网格型3"/>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77">
    <w:name w:val="标题 11"/>
    <w:basedOn w:val="105"/>
    <w:next w:val="105"/>
    <w:qFormat/>
    <w:uiPriority w:val="0"/>
    <w:pPr>
      <w:keepNext/>
      <w:jc w:val="center"/>
      <w:outlineLvl w:val="0"/>
    </w:pPr>
    <w:rPr>
      <w:b/>
      <w:bCs/>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139</Pages>
  <Words>91328</Words>
  <Characters>101471</Characters>
  <Lines>451</Lines>
  <Paragraphs>127</Paragraphs>
  <TotalTime>1</TotalTime>
  <ScaleCrop>false</ScaleCrop>
  <LinksUpToDate>false</LinksUpToDate>
  <CharactersWithSpaces>104790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2025-07-01T03:24:00Z</dcterms:created>
  <dc:creator>admin</dc:creator>
  <cp:lastModifiedBy>爽</cp:lastModifiedBy>
  <cp:lastPrinted>2025-04-21T08:28:00Z</cp:lastPrinted>
  <dcterms:modified xsi:type="dcterms:W3CDTF">2026-09-24T05:43:42Z</dcterms:modified>
  <dc:title>政府采购</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C109626FB7ED42A1A35376B81763465E_13</vt:lpwstr>
  </property>
  <property fmtid="{D5CDD505-2E9C-101B-9397-08002B2CF9AE}" pid="4" name="KSOTemplateDocerSaveRecord">
    <vt:lpwstr>eyJoZGlkIjoiMGZmZWE1YWIyMTJjY2E4NDczYzVkNzBiMGRkYWVmOTEiLCJ1c2VySWQiOiI1MTY2MjkyNTgifQ==</vt:lpwstr>
  </property>
</Properties>
</file>