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utoSpaceDE w:val="0"/>
        <w:autoSpaceDN w:val="0"/>
        <w:adjustRightInd w:val="0"/>
        <w:spacing w:line="240" w:lineRule="auto"/>
        <w:jc w:val="center"/>
        <w:rPr>
          <w:rFonts w:hint="eastAsia" w:ascii="宋体" w:hAnsi="宋体" w:eastAsia="宋体" w:cs="宋体"/>
          <w:color w:val="auto"/>
          <w:kern w:val="0"/>
          <w:sz w:val="84"/>
          <w:szCs w:val="84"/>
          <w:highlight w:val="none"/>
        </w:rPr>
      </w:pPr>
      <w:bookmarkStart w:id="0" w:name="OLE_LINK52"/>
      <w:r>
        <w:rPr>
          <w:rFonts w:ascii="宋体" w:hAnsi="宋体" w:eastAsia="宋体" w:cs="宋体"/>
          <w:bCs/>
          <w:color w:val="auto"/>
          <w:kern w:val="0"/>
          <w:sz w:val="72"/>
          <w:szCs w:val="72"/>
          <w:highlight w:val="none"/>
        </w:rPr>
        <w:t>【郴州电子非标】</w:t>
      </w:r>
    </w:p>
    <w:p>
      <w:pPr>
        <w:widowControl w:val="0"/>
        <w:spacing w:line="240" w:lineRule="auto"/>
        <w:ind w:left="2940"/>
        <w:jc w:val="both"/>
        <w:rPr>
          <w:rFonts w:hint="eastAsia" w:ascii="宋体" w:hAnsi="宋体" w:eastAsia="宋体" w:cs="宋体"/>
          <w:color w:val="auto"/>
          <w:kern w:val="0"/>
          <w:szCs w:val="20"/>
          <w:highlight w:val="none"/>
        </w:rPr>
      </w:pPr>
    </w:p>
    <w:p>
      <w:pPr>
        <w:widowControl w:val="0"/>
        <w:spacing w:line="240" w:lineRule="auto"/>
        <w:jc w:val="center"/>
        <w:rPr>
          <w:rFonts w:hint="eastAsia" w:ascii="宋体" w:hAnsi="宋体" w:eastAsia="宋体" w:cs="宋体"/>
          <w:color w:val="auto"/>
          <w:sz w:val="72"/>
          <w:szCs w:val="72"/>
          <w:highlight w:val="none"/>
        </w:rPr>
      </w:pPr>
      <w:r>
        <w:rPr>
          <w:rFonts w:ascii="宋体" w:hAnsi="宋体" w:eastAsia="宋体" w:cs="宋体"/>
          <w:color w:val="auto"/>
          <w:sz w:val="72"/>
          <w:szCs w:val="72"/>
          <w:highlight w:val="none"/>
        </w:rPr>
        <w:t>政府采购-竞争性</w:t>
      </w:r>
      <w:r>
        <w:rPr>
          <w:rFonts w:hint="eastAsia" w:ascii="宋体" w:hAnsi="宋体" w:eastAsia="宋体" w:cs="宋体"/>
          <w:color w:val="auto"/>
          <w:sz w:val="72"/>
          <w:szCs w:val="72"/>
          <w:highlight w:val="none"/>
        </w:rPr>
        <w:t>谈判</w:t>
      </w:r>
      <w:bookmarkEnd w:id="0"/>
    </w:p>
    <w:p>
      <w:pPr>
        <w:widowControl w:val="0"/>
        <w:adjustRightInd w:val="0"/>
        <w:snapToGrid w:val="0"/>
        <w:spacing w:line="360" w:lineRule="auto"/>
        <w:rPr>
          <w:rFonts w:hint="eastAsia" w:ascii="宋体" w:hAnsi="宋体" w:eastAsia="宋体" w:cs="宋体"/>
          <w:color w:val="auto"/>
          <w:sz w:val="32"/>
          <w:szCs w:val="32"/>
          <w:highlight w:val="none"/>
        </w:rPr>
      </w:pPr>
    </w:p>
    <w:p>
      <w:pPr>
        <w:widowControl w:val="0"/>
        <w:adjustRightInd w:val="0"/>
        <w:snapToGrid w:val="0"/>
        <w:spacing w:line="360" w:lineRule="auto"/>
        <w:rPr>
          <w:rFonts w:hint="eastAsia" w:ascii="宋体" w:hAnsi="宋体" w:eastAsia="宋体" w:cs="宋体"/>
          <w:b/>
          <w:color w:val="auto"/>
          <w:sz w:val="32"/>
          <w:szCs w:val="32"/>
          <w:highlight w:val="none"/>
        </w:rPr>
      </w:pPr>
    </w:p>
    <w:p>
      <w:pPr>
        <w:widowControl w:val="0"/>
        <w:spacing w:after="120" w:line="480" w:lineRule="auto"/>
        <w:rPr>
          <w:rFonts w:ascii="Times New Roman" w:hAnsi="Times New Roman" w:eastAsia="宋体" w:cs="Times New Roman"/>
          <w:color w:val="auto"/>
          <w:sz w:val="32"/>
          <w:szCs w:val="32"/>
          <w:highlight w:val="none"/>
        </w:rPr>
      </w:pPr>
    </w:p>
    <w:p>
      <w:pPr>
        <w:widowControl w:val="0"/>
        <w:adjustRightInd w:val="0"/>
        <w:snapToGrid w:val="0"/>
        <w:spacing w:line="360" w:lineRule="auto"/>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谈判</w:t>
      </w:r>
      <w:r>
        <w:rPr>
          <w:rFonts w:ascii="宋体" w:hAnsi="宋体" w:eastAsia="宋体" w:cs="宋体"/>
          <w:color w:val="auto"/>
          <w:sz w:val="84"/>
          <w:szCs w:val="84"/>
          <w:highlight w:val="none"/>
        </w:rPr>
        <w:t>文件</w:t>
      </w:r>
    </w:p>
    <w:p>
      <w:pPr>
        <w:widowControl w:val="0"/>
        <w:adjustRightInd w:val="0"/>
        <w:snapToGrid w:val="0"/>
        <w:spacing w:line="360" w:lineRule="auto"/>
        <w:jc w:val="center"/>
        <w:rPr>
          <w:rFonts w:hint="eastAsia" w:ascii="宋体" w:hAnsi="宋体" w:eastAsia="宋体" w:cs="宋体"/>
          <w:color w:val="auto"/>
          <w:sz w:val="32"/>
          <w:szCs w:val="32"/>
          <w:highlight w:val="none"/>
        </w:rPr>
      </w:pPr>
      <w:r>
        <w:rPr>
          <w:rFonts w:ascii="Segoe UI Symbol" w:hAnsi="Segoe UI Symbol" w:eastAsia="宋体" w:cs="Segoe UI Symbol"/>
          <w:color w:val="auto"/>
          <w:kern w:val="0"/>
          <w:sz w:val="32"/>
          <w:szCs w:val="32"/>
          <w:highlight w:val="none"/>
        </w:rPr>
        <w:sym w:font="Wingdings 2" w:char="F052"/>
      </w:r>
      <w:r>
        <w:rPr>
          <w:rFonts w:ascii="宋体" w:hAnsi="宋体" w:eastAsia="宋体" w:cs="宋体"/>
          <w:color w:val="auto"/>
          <w:sz w:val="32"/>
          <w:szCs w:val="32"/>
          <w:highlight w:val="none"/>
        </w:rPr>
        <w:t xml:space="preserve">货物类      </w:t>
      </w:r>
      <w:r>
        <w:rPr>
          <w:rFonts w:ascii="Segoe UI Symbol" w:hAnsi="Segoe UI Symbol" w:eastAsia="宋体" w:cs="Segoe UI Symbol"/>
          <w:color w:val="auto"/>
          <w:kern w:val="0"/>
          <w:sz w:val="32"/>
          <w:szCs w:val="32"/>
          <w:highlight w:val="none"/>
        </w:rPr>
        <w:t>□</w:t>
      </w:r>
      <w:r>
        <w:rPr>
          <w:rFonts w:ascii="宋体" w:hAnsi="宋体" w:eastAsia="宋体" w:cs="宋体"/>
          <w:color w:val="auto"/>
          <w:sz w:val="32"/>
          <w:szCs w:val="32"/>
          <w:highlight w:val="none"/>
        </w:rPr>
        <w:t xml:space="preserve">服务类     </w:t>
      </w:r>
      <w:r>
        <w:rPr>
          <w:rFonts w:ascii="Segoe UI Symbol" w:hAnsi="Segoe UI Symbol" w:eastAsia="宋体" w:cs="Segoe UI Symbol"/>
          <w:color w:val="auto"/>
          <w:kern w:val="0"/>
          <w:sz w:val="32"/>
          <w:szCs w:val="32"/>
          <w:highlight w:val="none"/>
        </w:rPr>
        <w:t>□</w:t>
      </w:r>
      <w:r>
        <w:rPr>
          <w:rFonts w:ascii="宋体" w:hAnsi="宋体" w:eastAsia="宋体" w:cs="宋体"/>
          <w:color w:val="auto"/>
          <w:sz w:val="32"/>
          <w:szCs w:val="32"/>
          <w:highlight w:val="none"/>
        </w:rPr>
        <w:t>工程类</w:t>
      </w:r>
    </w:p>
    <w:p>
      <w:pPr>
        <w:widowControl w:val="0"/>
        <w:adjustRightInd w:val="0"/>
        <w:snapToGrid w:val="0"/>
        <w:spacing w:line="360" w:lineRule="auto"/>
        <w:ind w:left="2563" w:leftChars="554" w:hanging="1400" w:hangingChars="700"/>
        <w:jc w:val="both"/>
        <w:rPr>
          <w:rFonts w:ascii="Tahoma" w:hAnsi="Tahoma" w:eastAsia="宋体" w:cs="Tahoma"/>
          <w:color w:val="auto"/>
          <w:sz w:val="20"/>
          <w:szCs w:val="20"/>
          <w:highlight w:val="none"/>
        </w:rPr>
      </w:pPr>
    </w:p>
    <w:p>
      <w:pPr>
        <w:widowControl w:val="0"/>
        <w:adjustRightInd w:val="0"/>
        <w:snapToGrid w:val="0"/>
        <w:spacing w:line="360" w:lineRule="auto"/>
        <w:ind w:left="2563" w:leftChars="554" w:hanging="1400" w:hangingChars="700"/>
        <w:jc w:val="both"/>
        <w:rPr>
          <w:rFonts w:ascii="Tahoma" w:hAnsi="Tahoma" w:eastAsia="宋体" w:cs="Tahoma"/>
          <w:color w:val="auto"/>
          <w:sz w:val="20"/>
          <w:szCs w:val="20"/>
          <w:highlight w:val="none"/>
        </w:rPr>
      </w:pPr>
    </w:p>
    <w:p>
      <w:pPr>
        <w:widowControl w:val="0"/>
        <w:adjustRightInd w:val="0"/>
        <w:snapToGrid w:val="0"/>
        <w:spacing w:line="360" w:lineRule="auto"/>
        <w:ind w:left="2563" w:leftChars="554" w:hanging="1400" w:hangingChars="700"/>
        <w:jc w:val="both"/>
        <w:rPr>
          <w:rFonts w:ascii="Tahoma" w:hAnsi="Tahoma" w:eastAsia="宋体" w:cs="Tahoma"/>
          <w:color w:val="auto"/>
          <w:sz w:val="20"/>
          <w:szCs w:val="20"/>
          <w:highlight w:val="none"/>
        </w:rPr>
      </w:pPr>
    </w:p>
    <w:p>
      <w:pPr>
        <w:widowControl w:val="0"/>
        <w:adjustRightInd w:val="0"/>
        <w:snapToGrid w:val="0"/>
        <w:spacing w:line="360" w:lineRule="auto"/>
        <w:ind w:left="2563" w:leftChars="554" w:hanging="1400" w:hangingChars="700"/>
        <w:jc w:val="both"/>
        <w:rPr>
          <w:rFonts w:ascii="Tahoma" w:hAnsi="Tahoma" w:eastAsia="宋体" w:cs="Tahoma"/>
          <w:color w:val="auto"/>
          <w:sz w:val="20"/>
          <w:szCs w:val="20"/>
          <w:highlight w:val="none"/>
        </w:rPr>
      </w:pPr>
    </w:p>
    <w:p>
      <w:pPr>
        <w:widowControl w:val="0"/>
        <w:adjustRightInd w:val="0"/>
        <w:snapToGrid w:val="0"/>
        <w:spacing w:line="360" w:lineRule="auto"/>
        <w:ind w:firstLine="1124" w:firstLineChars="350"/>
        <w:jc w:val="both"/>
        <w:rPr>
          <w:rFonts w:hint="eastAsia" w:ascii="Times New Roman" w:hAnsi="Times New Roman" w:eastAsia="宋体" w:cs="Times New Roman"/>
          <w:b/>
          <w:color w:val="auto"/>
          <w:szCs w:val="21"/>
          <w:highlight w:val="none"/>
          <w:lang w:eastAsia="zh-CN"/>
        </w:rPr>
      </w:pPr>
      <w:r>
        <w:rPr>
          <w:rFonts w:hint="eastAsia" w:ascii="Times New Roman" w:hAnsi="宋体" w:eastAsia="宋体" w:cs="Times New Roman"/>
          <w:b/>
          <w:color w:val="auto"/>
          <w:sz w:val="32"/>
          <w:szCs w:val="32"/>
          <w:highlight w:val="none"/>
        </w:rPr>
        <w:t>采购项目名称：</w:t>
      </w:r>
      <w:r>
        <w:rPr>
          <w:rFonts w:hint="eastAsia" w:ascii="Times New Roman" w:hAnsi="宋体" w:eastAsia="宋体" w:cs="Times New Roman"/>
          <w:b/>
          <w:color w:val="auto"/>
          <w:sz w:val="32"/>
          <w:szCs w:val="32"/>
          <w:highlight w:val="none"/>
          <w:u w:val="single"/>
          <w:lang w:eastAsia="zh-CN"/>
        </w:rPr>
        <w:t>2026年度苗木采购</w:t>
      </w:r>
    </w:p>
    <w:p>
      <w:pPr>
        <w:widowControl w:val="0"/>
        <w:adjustRightInd w:val="0"/>
        <w:snapToGrid w:val="0"/>
        <w:spacing w:line="360" w:lineRule="auto"/>
        <w:ind w:firstLine="1124" w:firstLineChars="350"/>
        <w:jc w:val="both"/>
        <w:rPr>
          <w:rFonts w:hint="eastAsia" w:ascii="Times New Roman" w:hAnsi="宋体" w:eastAsia="宋体" w:cs="Times New Roman"/>
          <w:b/>
          <w:color w:val="auto"/>
          <w:sz w:val="32"/>
          <w:szCs w:val="32"/>
          <w:highlight w:val="none"/>
          <w:lang w:eastAsia="zh-CN"/>
        </w:rPr>
      </w:pPr>
      <w:r>
        <w:rPr>
          <w:rFonts w:hint="eastAsia" w:ascii="Times New Roman" w:hAnsi="宋体" w:eastAsia="宋体" w:cs="Times New Roman"/>
          <w:b/>
          <w:color w:val="auto"/>
          <w:sz w:val="32"/>
          <w:szCs w:val="32"/>
          <w:highlight w:val="none"/>
        </w:rPr>
        <w:t>政府采购计划编号：</w:t>
      </w:r>
      <w:r>
        <w:rPr>
          <w:rFonts w:hint="eastAsia" w:ascii="Times New Roman" w:hAnsi="宋体" w:eastAsia="宋体" w:cs="Times New Roman"/>
          <w:b/>
          <w:color w:val="auto"/>
          <w:sz w:val="32"/>
          <w:szCs w:val="32"/>
          <w:highlight w:val="none"/>
          <w:u w:val="single"/>
          <w:lang w:eastAsia="zh-CN"/>
        </w:rPr>
        <w:t>(2026)431000000276-1</w:t>
      </w:r>
    </w:p>
    <w:p>
      <w:pPr>
        <w:widowControl w:val="0"/>
        <w:adjustRightInd w:val="0"/>
        <w:snapToGrid w:val="0"/>
        <w:spacing w:line="360" w:lineRule="auto"/>
        <w:ind w:firstLine="1124" w:firstLineChars="350"/>
        <w:jc w:val="both"/>
        <w:rPr>
          <w:rFonts w:hint="eastAsia" w:ascii="Times New Roman" w:hAnsi="宋体" w:eastAsia="宋体" w:cs="Times New Roman"/>
          <w:b/>
          <w:color w:val="auto"/>
          <w:sz w:val="32"/>
          <w:szCs w:val="32"/>
          <w:highlight w:val="none"/>
          <w:u w:val="single"/>
          <w:lang w:eastAsia="zh-CN"/>
        </w:rPr>
      </w:pPr>
      <w:r>
        <w:rPr>
          <w:rFonts w:hint="eastAsia" w:ascii="Times New Roman" w:hAnsi="宋体" w:eastAsia="宋体" w:cs="Times New Roman"/>
          <w:b/>
          <w:color w:val="auto"/>
          <w:sz w:val="32"/>
          <w:szCs w:val="32"/>
          <w:highlight w:val="none"/>
        </w:rPr>
        <w:t>委托代理编号：</w:t>
      </w:r>
      <w:r>
        <w:rPr>
          <w:rFonts w:hint="eastAsia" w:ascii="Times New Roman" w:hAnsi="宋体" w:eastAsia="宋体" w:cs="Times New Roman"/>
          <w:b/>
          <w:color w:val="auto"/>
          <w:sz w:val="32"/>
          <w:szCs w:val="32"/>
          <w:highlight w:val="none"/>
          <w:u w:val="single"/>
          <w:lang w:eastAsia="zh-CN"/>
        </w:rPr>
        <w:t>ZCBS2026-CZ-018</w:t>
      </w:r>
    </w:p>
    <w:p>
      <w:pPr>
        <w:widowControl w:val="0"/>
        <w:adjustRightInd w:val="0"/>
        <w:snapToGrid w:val="0"/>
        <w:spacing w:line="360" w:lineRule="auto"/>
        <w:ind w:firstLine="1124" w:firstLineChars="350"/>
        <w:jc w:val="both"/>
        <w:rPr>
          <w:rFonts w:hint="eastAsia" w:ascii="Times New Roman" w:hAnsi="宋体" w:eastAsia="宋体" w:cs="Times New Roman"/>
          <w:b/>
          <w:color w:val="auto"/>
          <w:sz w:val="32"/>
          <w:szCs w:val="32"/>
          <w:highlight w:val="none"/>
          <w:u w:val="single"/>
          <w:lang w:eastAsia="zh-CN"/>
        </w:rPr>
      </w:pPr>
      <w:r>
        <w:rPr>
          <w:rFonts w:hint="eastAsia" w:ascii="Times New Roman" w:hAnsi="宋体" w:eastAsia="宋体" w:cs="Times New Roman"/>
          <w:b/>
          <w:color w:val="auto"/>
          <w:sz w:val="32"/>
          <w:szCs w:val="32"/>
          <w:highlight w:val="none"/>
          <w:lang w:val="en-US" w:eastAsia="zh-CN"/>
        </w:rPr>
        <w:t>采购项目编号：</w:t>
      </w:r>
      <w:r>
        <w:rPr>
          <w:rFonts w:hint="eastAsia" w:ascii="Times New Roman" w:hAnsi="宋体" w:eastAsia="宋体" w:cs="Times New Roman"/>
          <w:b/>
          <w:color w:val="auto"/>
          <w:sz w:val="32"/>
          <w:szCs w:val="32"/>
          <w:highlight w:val="none"/>
          <w:u w:val="single"/>
          <w:lang w:eastAsia="zh-CN"/>
        </w:rPr>
        <w:t>CGXM2026431000000292</w:t>
      </w:r>
    </w:p>
    <w:p>
      <w:pPr>
        <w:widowControl w:val="0"/>
        <w:adjustRightInd w:val="0"/>
        <w:snapToGrid w:val="0"/>
        <w:spacing w:line="360" w:lineRule="auto"/>
        <w:ind w:firstLine="1124" w:firstLineChars="350"/>
        <w:jc w:val="both"/>
        <w:rPr>
          <w:rFonts w:hint="eastAsia" w:ascii="Times New Roman" w:hAnsi="宋体" w:eastAsia="宋体" w:cs="Times New Roman"/>
          <w:b/>
          <w:color w:val="auto"/>
          <w:sz w:val="32"/>
          <w:szCs w:val="32"/>
          <w:highlight w:val="none"/>
          <w:u w:val="single"/>
        </w:rPr>
      </w:pPr>
      <w:r>
        <w:rPr>
          <w:rFonts w:hint="eastAsia" w:ascii="Times New Roman" w:hAnsi="宋体" w:eastAsia="宋体" w:cs="Times New Roman"/>
          <w:b/>
          <w:color w:val="auto"/>
          <w:sz w:val="32"/>
          <w:szCs w:val="32"/>
          <w:highlight w:val="none"/>
        </w:rPr>
        <w:t>采</w:t>
      </w:r>
      <w:r>
        <w:rPr>
          <w:rFonts w:ascii="Times New Roman" w:hAnsi="宋体" w:eastAsia="宋体" w:cs="Times New Roman"/>
          <w:b/>
          <w:color w:val="auto"/>
          <w:sz w:val="32"/>
          <w:szCs w:val="32"/>
          <w:highlight w:val="none"/>
        </w:rPr>
        <w:t xml:space="preserve">   </w:t>
      </w:r>
      <w:r>
        <w:rPr>
          <w:rFonts w:hint="eastAsia" w:ascii="Times New Roman" w:hAnsi="宋体" w:eastAsia="宋体" w:cs="Times New Roman"/>
          <w:b/>
          <w:color w:val="auto"/>
          <w:sz w:val="32"/>
          <w:szCs w:val="32"/>
          <w:highlight w:val="none"/>
        </w:rPr>
        <w:t>购</w:t>
      </w:r>
      <w:r>
        <w:rPr>
          <w:rFonts w:ascii="Times New Roman" w:hAnsi="宋体" w:eastAsia="宋体" w:cs="Times New Roman"/>
          <w:b/>
          <w:color w:val="auto"/>
          <w:sz w:val="32"/>
          <w:szCs w:val="32"/>
          <w:highlight w:val="none"/>
        </w:rPr>
        <w:t xml:space="preserve">   </w:t>
      </w:r>
      <w:r>
        <w:rPr>
          <w:rFonts w:hint="eastAsia" w:ascii="Times New Roman" w:hAnsi="宋体" w:eastAsia="宋体" w:cs="Times New Roman"/>
          <w:b/>
          <w:color w:val="auto"/>
          <w:sz w:val="32"/>
          <w:szCs w:val="32"/>
          <w:highlight w:val="none"/>
        </w:rPr>
        <w:t>人：</w:t>
      </w:r>
      <w:r>
        <w:rPr>
          <w:rFonts w:hint="eastAsia" w:ascii="Times New Roman" w:hAnsi="宋体" w:eastAsia="宋体" w:cs="Times New Roman"/>
          <w:b/>
          <w:color w:val="auto"/>
          <w:sz w:val="32"/>
          <w:szCs w:val="32"/>
          <w:highlight w:val="none"/>
          <w:u w:val="single"/>
        </w:rPr>
        <w:t>郴州市园林绿化服务中心</w:t>
      </w:r>
    </w:p>
    <w:p>
      <w:pPr>
        <w:widowControl w:val="0"/>
        <w:adjustRightInd w:val="0"/>
        <w:snapToGrid w:val="0"/>
        <w:spacing w:line="360" w:lineRule="auto"/>
        <w:ind w:firstLine="1124" w:firstLineChars="350"/>
        <w:jc w:val="both"/>
        <w:rPr>
          <w:rFonts w:hint="eastAsia" w:ascii="Times New Roman" w:hAnsi="宋体" w:eastAsia="宋体" w:cs="Times New Roman"/>
          <w:color w:val="auto"/>
          <w:sz w:val="32"/>
          <w:szCs w:val="32"/>
          <w:highlight w:val="none"/>
          <w:lang w:eastAsia="zh-CN"/>
        </w:rPr>
      </w:pPr>
      <w:r>
        <w:rPr>
          <w:rFonts w:hint="eastAsia" w:ascii="宋体" w:hAnsi="Times New Roman" w:eastAsia="宋体" w:cs="Times New Roman"/>
          <w:b/>
          <w:color w:val="auto"/>
          <w:sz w:val="32"/>
          <w:szCs w:val="21"/>
          <w:highlight w:val="none"/>
        </w:rPr>
        <w:t>采购代理机构：</w:t>
      </w:r>
      <w:r>
        <w:rPr>
          <w:rFonts w:hint="eastAsia" w:ascii="宋体" w:hAnsi="Times New Roman" w:eastAsia="宋体" w:cs="Times New Roman"/>
          <w:b/>
          <w:color w:val="auto"/>
          <w:sz w:val="32"/>
          <w:szCs w:val="21"/>
          <w:highlight w:val="none"/>
          <w:u w:val="single"/>
          <w:lang w:eastAsia="zh-CN"/>
        </w:rPr>
        <w:t>中辰八盛工程项目管理有限公司</w:t>
      </w:r>
    </w:p>
    <w:p>
      <w:pPr>
        <w:widowControl w:val="0"/>
        <w:adjustRightInd w:val="0"/>
        <w:snapToGrid w:val="0"/>
        <w:spacing w:line="360" w:lineRule="auto"/>
        <w:ind w:left="645" w:leftChars="307"/>
        <w:jc w:val="center"/>
        <w:rPr>
          <w:rFonts w:ascii="宋体" w:hAnsi="Courier New" w:eastAsia="宋体" w:cs="Courier New"/>
          <w:b/>
          <w:color w:val="auto"/>
          <w:sz w:val="32"/>
          <w:szCs w:val="32"/>
          <w:highlight w:val="none"/>
        </w:rPr>
      </w:pPr>
    </w:p>
    <w:p>
      <w:pPr>
        <w:widowControl w:val="0"/>
        <w:adjustRightInd w:val="0"/>
        <w:snapToGrid w:val="0"/>
        <w:spacing w:line="360" w:lineRule="auto"/>
        <w:jc w:val="center"/>
        <w:rPr>
          <w:rFonts w:hint="eastAsia" w:ascii="仿宋_GB2312" w:hAnsi="宋体" w:eastAsia="仿宋_GB2312" w:cs="Courier New"/>
          <w:b/>
          <w:color w:val="auto"/>
          <w:sz w:val="32"/>
          <w:szCs w:val="21"/>
          <w:highlight w:val="none"/>
        </w:rPr>
      </w:pPr>
    </w:p>
    <w:p>
      <w:pPr>
        <w:widowControl w:val="0"/>
        <w:adjustRightInd w:val="0"/>
        <w:snapToGrid w:val="0"/>
        <w:spacing w:line="360" w:lineRule="auto"/>
        <w:jc w:val="center"/>
        <w:rPr>
          <w:rFonts w:hint="eastAsia" w:ascii="宋体" w:hAnsi="宋体" w:eastAsia="宋体" w:cs="Courier New"/>
          <w:b/>
          <w:color w:val="auto"/>
          <w:sz w:val="32"/>
          <w:szCs w:val="21"/>
          <w:highlight w:val="none"/>
        </w:rPr>
      </w:pPr>
      <w:r>
        <w:rPr>
          <w:rFonts w:hint="eastAsia" w:ascii="宋体" w:hAnsi="宋体" w:eastAsia="宋体" w:cs="Courier New"/>
          <w:b/>
          <w:color w:val="auto"/>
          <w:sz w:val="32"/>
          <w:szCs w:val="21"/>
          <w:highlight w:val="none"/>
          <w:lang w:eastAsia="zh-CN"/>
        </w:rPr>
        <w:t>2026年</w:t>
      </w:r>
      <w:r>
        <w:rPr>
          <w:rFonts w:hint="eastAsia" w:ascii="宋体" w:hAnsi="宋体" w:eastAsia="宋体" w:cs="Courier New"/>
          <w:b/>
          <w:color w:val="auto"/>
          <w:sz w:val="32"/>
          <w:szCs w:val="21"/>
          <w:highlight w:val="none"/>
          <w:lang w:val="en-US" w:eastAsia="zh-CN"/>
        </w:rPr>
        <w:t>10</w:t>
      </w:r>
      <w:r>
        <w:rPr>
          <w:rFonts w:hint="eastAsia" w:ascii="宋体" w:hAnsi="宋体" w:eastAsia="宋体" w:cs="Courier New"/>
          <w:b/>
          <w:color w:val="auto"/>
          <w:sz w:val="32"/>
          <w:szCs w:val="21"/>
          <w:highlight w:val="none"/>
          <w:lang w:eastAsia="zh-CN"/>
        </w:rPr>
        <w:t>月</w:t>
      </w:r>
      <w:r>
        <w:rPr>
          <w:rFonts w:hint="eastAsia" w:ascii="黑体" w:hAnsi="宋体" w:eastAsia="黑体" w:cs="Courier New"/>
          <w:b/>
          <w:color w:val="auto"/>
          <w:spacing w:val="160"/>
          <w:sz w:val="32"/>
          <w:szCs w:val="32"/>
          <w:highlight w:val="none"/>
        </w:rPr>
        <w:br w:type="page"/>
      </w:r>
    </w:p>
    <w:p>
      <w:pPr>
        <w:widowControl w:val="0"/>
        <w:spacing w:after="156" w:afterLines="50" w:line="360" w:lineRule="auto"/>
        <w:jc w:val="center"/>
        <w:rPr>
          <w:rFonts w:hint="eastAsia" w:ascii="宋体" w:hAnsi="宋体" w:eastAsia="宋体" w:cs="宋体"/>
          <w:b/>
          <w:bCs/>
          <w:color w:val="auto"/>
          <w:sz w:val="32"/>
          <w:szCs w:val="32"/>
          <w:highlight w:val="none"/>
        </w:rPr>
      </w:pPr>
      <w:r>
        <w:rPr>
          <w:rFonts w:ascii="宋体" w:hAnsi="宋体" w:eastAsia="宋体" w:cs="宋体"/>
          <w:b/>
          <w:bCs/>
          <w:color w:val="auto"/>
          <w:sz w:val="32"/>
          <w:szCs w:val="32"/>
          <w:highlight w:val="none"/>
        </w:rPr>
        <w:t>电子非标的相关规定</w:t>
      </w:r>
    </w:p>
    <w:p>
      <w:pPr>
        <w:widowControl w:val="0"/>
        <w:numPr>
          <w:ilvl w:val="0"/>
          <w:numId w:val="1"/>
        </w:numPr>
        <w:adjustRightInd w:val="0"/>
        <w:snapToGrid w:val="0"/>
        <w:spacing w:line="360" w:lineRule="auto"/>
        <w:ind w:firstLine="480" w:firstLineChars="200"/>
        <w:jc w:val="both"/>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本项目采用电子非标方式，谈判文件的下载、上传、解密、开标、评审、视频谈判均通过互联网操作，电子谈判文件免费提供。</w:t>
      </w:r>
    </w:p>
    <w:p>
      <w:pPr>
        <w:widowControl w:val="0"/>
        <w:numPr>
          <w:ilvl w:val="0"/>
          <w:numId w:val="1"/>
        </w:numPr>
        <w:tabs>
          <w:tab w:val="left" w:pos="3500"/>
        </w:tabs>
        <w:wordWrap w:val="0"/>
        <w:autoSpaceDE w:val="0"/>
        <w:autoSpaceDN w:val="0"/>
        <w:adjustRightInd w:val="0"/>
        <w:snapToGrid w:val="0"/>
        <w:spacing w:line="360" w:lineRule="auto"/>
        <w:ind w:firstLine="480" w:firstLineChars="200"/>
        <w:jc w:val="both"/>
        <w:rPr>
          <w:rFonts w:hint="eastAsia" w:ascii="宋体" w:hAnsi="宋体" w:eastAsia="宋体" w:cs="宋体"/>
          <w:color w:val="auto"/>
          <w:sz w:val="24"/>
          <w:szCs w:val="24"/>
          <w:highlight w:val="none"/>
        </w:rPr>
      </w:pPr>
      <w:r>
        <w:rPr>
          <w:rFonts w:ascii="宋体" w:hAnsi="宋体" w:eastAsia="宋体" w:cs="宋体"/>
          <w:color w:val="auto"/>
          <w:kern w:val="0"/>
          <w:sz w:val="24"/>
          <w:szCs w:val="24"/>
          <w:highlight w:val="none"/>
        </w:rPr>
        <w:t>本项目采购信息</w:t>
      </w:r>
      <w:r>
        <w:rPr>
          <w:rFonts w:ascii="宋体" w:hAnsi="宋体" w:eastAsia="宋体" w:cs="宋体"/>
          <w:color w:val="auto"/>
          <w:sz w:val="24"/>
          <w:szCs w:val="24"/>
          <w:highlight w:val="none"/>
        </w:rPr>
        <w:t>在中国湖南政府采购网（网址：http://www.ccgp-hunan.gov.cn）、郴州市公共资源交易中心网（网址：</w:t>
      </w:r>
      <w:r>
        <w:rPr>
          <w:color w:val="auto"/>
          <w:highlight w:val="none"/>
        </w:rPr>
        <w:fldChar w:fldCharType="begin"/>
      </w:r>
      <w:r>
        <w:rPr>
          <w:color w:val="auto"/>
          <w:highlight w:val="none"/>
        </w:rPr>
        <w:instrText xml:space="preserve"> HYPERLINK "http://czggzy.czs.gov.cn/）m" </w:instrText>
      </w:r>
      <w:r>
        <w:rPr>
          <w:color w:val="auto"/>
          <w:highlight w:val="none"/>
        </w:rPr>
        <w:fldChar w:fldCharType="separate"/>
      </w:r>
      <w:r>
        <w:rPr>
          <w:rFonts w:ascii="宋体" w:hAnsi="宋体" w:eastAsia="宋体" w:cs="宋体"/>
          <w:color w:val="auto"/>
          <w:sz w:val="24"/>
          <w:szCs w:val="24"/>
          <w:highlight w:val="none"/>
        </w:rPr>
        <w:t>http://czggzy.czs.gov.cn/）</w:t>
      </w:r>
      <w:r>
        <w:rPr>
          <w:rFonts w:ascii="宋体" w:hAnsi="宋体" w:eastAsia="宋体" w:cs="宋体"/>
          <w:color w:val="auto"/>
          <w:sz w:val="24"/>
          <w:szCs w:val="24"/>
          <w:highlight w:val="none"/>
        </w:rPr>
        <w:fldChar w:fldCharType="end"/>
      </w:r>
      <w:r>
        <w:rPr>
          <w:rFonts w:ascii="宋体" w:hAnsi="宋体" w:eastAsia="宋体" w:cs="宋体"/>
          <w:color w:val="auto"/>
          <w:sz w:val="24"/>
          <w:szCs w:val="24"/>
          <w:highlight w:val="none"/>
        </w:rPr>
        <w:t>同时发布。供应商应仔细阅读本谈判文件第二章《谈判须知》，并在郴州市公共资源交易中心网“下载中心”下载“政府采购电子标操作手册”进行学习，供应商使用电子标遇到问题时，请及时向交易平台客服咨询，联系方式：平台客服电话400-112-9919，客服QQ800182906@qq.com。</w:t>
      </w:r>
    </w:p>
    <w:p>
      <w:pPr>
        <w:widowControl w:val="0"/>
        <w:wordWrap w:val="0"/>
        <w:adjustRightInd w:val="0"/>
        <w:snapToGrid w:val="0"/>
        <w:spacing w:line="360" w:lineRule="auto"/>
        <w:ind w:firstLine="480" w:firstLineChars="200"/>
        <w:jc w:val="both"/>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三、供应商应在本项目获取谈判文件截止时间前登录湖南省公共资源交易统一注册平台（网址：</w:t>
      </w:r>
      <w:r>
        <w:rPr>
          <w:color w:val="auto"/>
          <w:highlight w:val="none"/>
        </w:rPr>
        <w:fldChar w:fldCharType="begin"/>
      </w:r>
      <w:r>
        <w:rPr>
          <w:color w:val="auto"/>
          <w:highlight w:val="none"/>
        </w:rPr>
        <w:instrText xml:space="preserve"> HYPERLINK "http://222.240.80.14:8888/G2/register!verification.do?systemId=4028c7b35a8cfff2015a8df8bba001fc）k" </w:instrText>
      </w:r>
      <w:r>
        <w:rPr>
          <w:color w:val="auto"/>
          <w:highlight w:val="none"/>
        </w:rPr>
        <w:fldChar w:fldCharType="separate"/>
      </w:r>
      <w:r>
        <w:rPr>
          <w:rFonts w:ascii="宋体" w:hAnsi="宋体" w:eastAsia="宋体" w:cs="宋体"/>
          <w:color w:val="auto"/>
          <w:sz w:val="24"/>
          <w:szCs w:val="24"/>
          <w:highlight w:val="none"/>
        </w:rPr>
        <w:t>http://222.240.80.14:8888/G2/register!verification.do?systemId=4028c7b35a8cfff2015a8df8bba001fc）</w:t>
      </w:r>
      <w:r>
        <w:rPr>
          <w:rFonts w:ascii="宋体" w:hAnsi="宋体" w:eastAsia="宋体" w:cs="宋体"/>
          <w:color w:val="auto"/>
          <w:sz w:val="24"/>
          <w:szCs w:val="24"/>
          <w:highlight w:val="none"/>
        </w:rPr>
        <w:fldChar w:fldCharType="end"/>
      </w:r>
      <w:r>
        <w:rPr>
          <w:rFonts w:ascii="宋体" w:hAnsi="宋体" w:eastAsia="宋体" w:cs="宋体"/>
          <w:color w:val="auto"/>
          <w:sz w:val="24"/>
          <w:szCs w:val="24"/>
          <w:highlight w:val="none"/>
        </w:rPr>
        <w:t>中进行账号注册和数字证书申请。</w:t>
      </w:r>
    </w:p>
    <w:p>
      <w:pPr>
        <w:widowControl w:val="0"/>
        <w:adjustRightInd w:val="0"/>
        <w:snapToGrid w:val="0"/>
        <w:spacing w:line="360" w:lineRule="auto"/>
        <w:ind w:firstLine="480" w:firstLineChars="200"/>
        <w:jc w:val="both"/>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四、</w:t>
      </w:r>
      <w:r>
        <w:rPr>
          <w:rFonts w:ascii="宋体" w:hAnsi="宋体" w:eastAsia="宋体" w:cs="宋体"/>
          <w:bCs/>
          <w:color w:val="auto"/>
          <w:sz w:val="24"/>
          <w:szCs w:val="24"/>
          <w:highlight w:val="none"/>
        </w:rPr>
        <w:t>首次响应文件的递交方式：供应商应在本项目获取谈判文件截止时间前登录</w:t>
      </w:r>
      <w:r>
        <w:rPr>
          <w:rFonts w:ascii="宋体" w:hAnsi="宋体" w:eastAsia="宋体" w:cs="宋体"/>
          <w:color w:val="auto"/>
          <w:sz w:val="24"/>
          <w:szCs w:val="24"/>
          <w:highlight w:val="none"/>
        </w:rPr>
        <w:t>郴州市政府采购（非标）电子交易平台（网址：</w:t>
      </w:r>
      <w:r>
        <w:rPr>
          <w:color w:val="auto"/>
          <w:highlight w:val="none"/>
        </w:rPr>
        <w:fldChar w:fldCharType="begin"/>
      </w:r>
      <w:r>
        <w:rPr>
          <w:color w:val="auto"/>
          <w:highlight w:val="none"/>
        </w:rPr>
        <w:instrText xml:space="preserve"> HYPERLINK "http://cz.hbncp.com.cn/" \l "/）免费获取及下载电子磋商文件。" </w:instrText>
      </w:r>
      <w:r>
        <w:rPr>
          <w:color w:val="auto"/>
          <w:highlight w:val="none"/>
        </w:rPr>
        <w:fldChar w:fldCharType="separate"/>
      </w:r>
      <w:r>
        <w:rPr>
          <w:rFonts w:ascii="宋体" w:hAnsi="宋体" w:eastAsia="宋体" w:cs="宋体"/>
          <w:color w:val="auto"/>
          <w:sz w:val="24"/>
          <w:szCs w:val="24"/>
          <w:highlight w:val="none"/>
        </w:rPr>
        <w:t>http://cz.hbncp.com.cn/#/）</w:t>
      </w:r>
      <w:r>
        <w:rPr>
          <w:rFonts w:ascii="宋体" w:hAnsi="宋体" w:eastAsia="宋体" w:cs="宋体"/>
          <w:color w:val="auto"/>
          <w:sz w:val="24"/>
          <w:szCs w:val="24"/>
          <w:highlight w:val="none"/>
        </w:rPr>
        <w:fldChar w:fldCharType="end"/>
      </w:r>
      <w:r>
        <w:rPr>
          <w:rFonts w:ascii="宋体" w:hAnsi="宋体" w:eastAsia="宋体" w:cs="宋体"/>
          <w:color w:val="auto"/>
          <w:sz w:val="24"/>
          <w:szCs w:val="24"/>
          <w:highlight w:val="none"/>
        </w:rPr>
        <w:t>进行线上上传。</w:t>
      </w:r>
    </w:p>
    <w:p>
      <w:pPr>
        <w:widowControl w:val="0"/>
        <w:adjustRightInd w:val="0"/>
        <w:snapToGrid w:val="0"/>
        <w:spacing w:line="360" w:lineRule="auto"/>
        <w:ind w:firstLine="480" w:firstLineChars="200"/>
        <w:jc w:val="both"/>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五、本项目实行全流程电子化，供应商应在规定时间内使用电脑自行远程解密开启文件，并参加网上开标活动。电子响应文件解密时限30分钟。请供应商确保响应文件如期解密。</w:t>
      </w:r>
    </w:p>
    <w:p>
      <w:pPr>
        <w:widowControl w:val="0"/>
        <w:spacing w:line="360" w:lineRule="auto"/>
        <w:ind w:firstLine="480" w:firstLineChars="200"/>
        <w:jc w:val="both"/>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六、为保证本项目的顺利进行，供应商应在投递页面填写本项目</w:t>
      </w:r>
      <w:r>
        <w:rPr>
          <w:rFonts w:ascii="宋体" w:hAnsi="宋体" w:eastAsia="宋体" w:cs="宋体"/>
          <w:color w:val="auto"/>
          <w:kern w:val="0"/>
          <w:sz w:val="24"/>
          <w:szCs w:val="24"/>
          <w:highlight w:val="none"/>
        </w:rPr>
        <w:t>谈判的代表（法定代表人或授权代表人）</w:t>
      </w:r>
      <w:r>
        <w:rPr>
          <w:rFonts w:ascii="宋体" w:hAnsi="宋体" w:eastAsia="宋体" w:cs="宋体"/>
          <w:color w:val="auto"/>
          <w:sz w:val="24"/>
          <w:szCs w:val="24"/>
          <w:highlight w:val="none"/>
        </w:rPr>
        <w:t>的手机号码，以便顺利进行视频会议邀请通知。如果资格审查符合性审查均满足谈判文件规定，将在视频邀请谈判之前，提前用系统机器人电话通知供应商准备视频会议（0371-56843608默认拨打注册手机号），供应商应及时接听，以免错过视频会议。</w:t>
      </w:r>
      <w:r>
        <w:rPr>
          <w:rFonts w:ascii="宋体" w:hAnsi="宋体" w:eastAsia="宋体" w:cs="宋体"/>
          <w:color w:val="auto"/>
          <w:kern w:val="0"/>
          <w:sz w:val="24"/>
          <w:szCs w:val="24"/>
          <w:highlight w:val="none"/>
        </w:rPr>
        <w:t>若参与谈判的代表（法定代表人或授权代表人）身边没有电脑，或者电脑不具备摄像头、麦克风等视频条件时，可以选择使用微信小程序。详见</w:t>
      </w:r>
      <w:r>
        <w:rPr>
          <w:rFonts w:ascii="宋体" w:hAnsi="宋体" w:eastAsia="宋体" w:cs="宋体"/>
          <w:color w:val="auto"/>
          <w:sz w:val="24"/>
          <w:szCs w:val="24"/>
          <w:highlight w:val="none"/>
        </w:rPr>
        <w:t>本谈判文件第二章《谈判须知》第24条款。</w:t>
      </w:r>
    </w:p>
    <w:p>
      <w:pPr>
        <w:widowControl w:val="0"/>
        <w:spacing w:line="360" w:lineRule="auto"/>
        <w:ind w:firstLine="480" w:firstLineChars="200"/>
        <w:jc w:val="both"/>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七、</w:t>
      </w:r>
      <w:r>
        <w:rPr>
          <w:rFonts w:ascii="宋体" w:hAnsi="宋体" w:eastAsia="宋体" w:cs="宋体"/>
          <w:color w:val="auto"/>
          <w:kern w:val="0"/>
          <w:sz w:val="24"/>
          <w:szCs w:val="24"/>
          <w:highlight w:val="none"/>
        </w:rPr>
        <w:t>首次谈判用户可以拨打客服帮助电话400-112-9919或添加QQ800182906好友预约一对一的开标陪护。</w:t>
      </w:r>
    </w:p>
    <w:p>
      <w:pPr>
        <w:widowControl w:val="0"/>
        <w:adjustRightInd w:val="0"/>
        <w:snapToGrid w:val="0"/>
        <w:spacing w:line="360" w:lineRule="auto"/>
        <w:jc w:val="center"/>
        <w:rPr>
          <w:rFonts w:hint="eastAsia" w:ascii="黑体" w:hAnsi="宋体" w:eastAsia="黑体" w:cs="Courier New"/>
          <w:b/>
          <w:color w:val="auto"/>
          <w:spacing w:val="160"/>
          <w:sz w:val="32"/>
          <w:szCs w:val="32"/>
          <w:highlight w:val="none"/>
        </w:rPr>
        <w:sectPr>
          <w:footerReference r:id="rId5" w:type="default"/>
          <w:pgSz w:w="11906" w:h="16838"/>
          <w:pgMar w:top="1474" w:right="1474" w:bottom="1474" w:left="1588" w:header="851" w:footer="992" w:gutter="0"/>
          <w:cols w:space="720" w:num="1"/>
          <w:docGrid w:type="lines" w:linePitch="312" w:charSpace="0"/>
        </w:sectPr>
      </w:pPr>
    </w:p>
    <w:p>
      <w:pPr>
        <w:widowControl w:val="0"/>
        <w:adjustRightInd w:val="0"/>
        <w:snapToGrid w:val="0"/>
        <w:spacing w:line="360" w:lineRule="auto"/>
        <w:jc w:val="center"/>
        <w:rPr>
          <w:rFonts w:hint="eastAsia" w:ascii="黑体" w:hAnsi="宋体" w:eastAsia="黑体" w:cs="Courier New"/>
          <w:b/>
          <w:color w:val="auto"/>
          <w:spacing w:val="160"/>
          <w:sz w:val="32"/>
          <w:szCs w:val="32"/>
          <w:highlight w:val="none"/>
        </w:rPr>
      </w:pPr>
      <w:r>
        <w:rPr>
          <w:rFonts w:hint="eastAsia" w:ascii="黑体" w:hAnsi="宋体" w:eastAsia="黑体" w:cs="Courier New"/>
          <w:b/>
          <w:color w:val="auto"/>
          <w:spacing w:val="160"/>
          <w:sz w:val="32"/>
          <w:szCs w:val="32"/>
          <w:highlight w:val="none"/>
        </w:rPr>
        <w:t>目录</w:t>
      </w:r>
    </w:p>
    <w:p>
      <w:pPr>
        <w:pStyle w:val="29"/>
        <w:tabs>
          <w:tab w:val="right" w:leader="dot" w:pos="8834"/>
        </w:tabs>
        <w:rPr>
          <w:rFonts w:hint="eastAsia" w:cstheme="minorBidi"/>
          <w:b w:val="0"/>
          <w:bCs/>
          <w:color w:val="auto"/>
          <w:sz w:val="21"/>
          <w:highlight w:val="none"/>
          <w14:ligatures w14:val="standardContextual"/>
        </w:rPr>
      </w:pPr>
      <w:r>
        <w:rPr>
          <w:bCs/>
          <w:color w:val="auto"/>
          <w:sz w:val="28"/>
          <w:highlight w:val="none"/>
        </w:rPr>
        <w:fldChar w:fldCharType="begin"/>
      </w:r>
      <w:r>
        <w:rPr>
          <w:bCs/>
          <w:color w:val="auto"/>
          <w:sz w:val="28"/>
          <w:highlight w:val="none"/>
        </w:rPr>
        <w:instrText xml:space="preserve"> TOC \o "1-3" \h \z \u </w:instrText>
      </w:r>
      <w:r>
        <w:rPr>
          <w:bCs/>
          <w:color w:val="auto"/>
          <w:sz w:val="28"/>
          <w:highlight w:val="none"/>
        </w:rPr>
        <w:fldChar w:fldCharType="separate"/>
      </w:r>
      <w:r>
        <w:rPr>
          <w:color w:val="auto"/>
          <w:highlight w:val="none"/>
        </w:rPr>
        <w:fldChar w:fldCharType="begin"/>
      </w:r>
      <w:r>
        <w:rPr>
          <w:color w:val="auto"/>
          <w:highlight w:val="none"/>
        </w:rPr>
        <w:instrText xml:space="preserve"> HYPERLINK \l "_Toc214954885" </w:instrText>
      </w:r>
      <w:r>
        <w:rPr>
          <w:color w:val="auto"/>
          <w:highlight w:val="none"/>
        </w:rPr>
        <w:fldChar w:fldCharType="separate"/>
      </w:r>
      <w:r>
        <w:rPr>
          <w:rStyle w:val="53"/>
          <w:rFonts w:hint="eastAsia"/>
          <w:b w:val="0"/>
          <w:bCs/>
          <w:color w:val="auto"/>
          <w:sz w:val="21"/>
          <w:highlight w:val="none"/>
        </w:rPr>
        <w:t>第一章 谈判邀请公告</w:t>
      </w:r>
      <w:r>
        <w:rPr>
          <w:rFonts w:hint="eastAsia"/>
          <w:b w:val="0"/>
          <w:bCs/>
          <w:color w:val="auto"/>
          <w:sz w:val="21"/>
          <w:highlight w:val="none"/>
        </w:rPr>
        <w:tab/>
      </w:r>
      <w:r>
        <w:rPr>
          <w:rFonts w:hint="eastAsia"/>
          <w:b w:val="0"/>
          <w:bCs/>
          <w:color w:val="auto"/>
          <w:sz w:val="21"/>
          <w:highlight w:val="none"/>
        </w:rPr>
        <w:fldChar w:fldCharType="begin"/>
      </w:r>
      <w:r>
        <w:rPr>
          <w:rFonts w:hint="eastAsia"/>
          <w:b w:val="0"/>
          <w:bCs/>
          <w:color w:val="auto"/>
          <w:sz w:val="21"/>
          <w:highlight w:val="none"/>
        </w:rPr>
        <w:instrText xml:space="preserve"> </w:instrText>
      </w:r>
      <w:r>
        <w:rPr>
          <w:b w:val="0"/>
          <w:bCs/>
          <w:color w:val="auto"/>
          <w:sz w:val="21"/>
          <w:highlight w:val="none"/>
        </w:rPr>
        <w:instrText xml:space="preserve">PAGEREF _Toc214954885 \h</w:instrText>
      </w:r>
      <w:r>
        <w:rPr>
          <w:rFonts w:hint="eastAsia"/>
          <w:b w:val="0"/>
          <w:bCs/>
          <w:color w:val="auto"/>
          <w:sz w:val="21"/>
          <w:highlight w:val="none"/>
        </w:rPr>
        <w:instrText xml:space="preserve"> </w:instrText>
      </w:r>
      <w:r>
        <w:rPr>
          <w:rFonts w:hint="eastAsia"/>
          <w:b w:val="0"/>
          <w:bCs/>
          <w:color w:val="auto"/>
          <w:sz w:val="21"/>
          <w:highlight w:val="none"/>
        </w:rPr>
        <w:fldChar w:fldCharType="separate"/>
      </w:r>
      <w:r>
        <w:rPr>
          <w:rFonts w:hint="eastAsia"/>
          <w:b w:val="0"/>
          <w:bCs/>
          <w:color w:val="auto"/>
          <w:sz w:val="21"/>
          <w:highlight w:val="none"/>
        </w:rPr>
        <w:t>3</w:t>
      </w:r>
      <w:r>
        <w:rPr>
          <w:rFonts w:hint="eastAsia"/>
          <w:b w:val="0"/>
          <w:bCs/>
          <w:color w:val="auto"/>
          <w:sz w:val="21"/>
          <w:highlight w:val="none"/>
        </w:rPr>
        <w:fldChar w:fldCharType="end"/>
      </w:r>
      <w:r>
        <w:rPr>
          <w:rFonts w:hint="eastAsia"/>
          <w:b w:val="0"/>
          <w:bCs/>
          <w:color w:val="auto"/>
          <w:sz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"_Toc214954886" </w:instrText>
      </w:r>
      <w:r>
        <w:rPr>
          <w:color w:val="auto"/>
          <w:highlight w:val="none"/>
        </w:rPr>
        <w:fldChar w:fldCharType="separate"/>
      </w:r>
      <w:r>
        <w:rPr>
          <w:rStyle w:val="53"/>
          <w:rFonts w:hint="eastAsia" w:ascii="宋体" w:hAnsi="宋体"/>
          <w:b w:val="0"/>
          <w:bCs/>
          <w:color w:val="auto"/>
          <w:szCs w:val="21"/>
          <w:highlight w:val="none"/>
        </w:rPr>
        <w:t>一、采购项目基本情况</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_Toc214954886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3</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"_Toc214954887" </w:instrText>
      </w:r>
      <w:r>
        <w:rPr>
          <w:color w:val="auto"/>
          <w:highlight w:val="none"/>
        </w:rPr>
        <w:fldChar w:fldCharType="separate"/>
      </w:r>
      <w:r>
        <w:rPr>
          <w:rStyle w:val="53"/>
          <w:rFonts w:hint="eastAsia" w:ascii="宋体" w:hAnsi="宋体"/>
          <w:b w:val="0"/>
          <w:bCs/>
          <w:color w:val="auto"/>
          <w:szCs w:val="21"/>
          <w:highlight w:val="none"/>
        </w:rPr>
        <w:t>二、采购需求</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_Toc214954887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3</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"_Toc214954888" </w:instrText>
      </w:r>
      <w:r>
        <w:rPr>
          <w:color w:val="auto"/>
          <w:highlight w:val="none"/>
        </w:rPr>
        <w:fldChar w:fldCharType="separate"/>
      </w:r>
      <w:r>
        <w:rPr>
          <w:rStyle w:val="53"/>
          <w:rFonts w:hint="eastAsia" w:ascii="宋体" w:hAnsi="宋体"/>
          <w:b w:val="0"/>
          <w:bCs/>
          <w:color w:val="auto"/>
          <w:szCs w:val="21"/>
          <w:highlight w:val="none"/>
        </w:rPr>
        <w:t>三、采购项目需落实的政府采购政策</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_Toc214954888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3</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"_Toc214954889" </w:instrText>
      </w:r>
      <w:r>
        <w:rPr>
          <w:color w:val="auto"/>
          <w:highlight w:val="none"/>
        </w:rPr>
        <w:fldChar w:fldCharType="separate"/>
      </w:r>
      <w:r>
        <w:rPr>
          <w:rStyle w:val="53"/>
          <w:rFonts w:hint="eastAsia" w:ascii="宋体" w:hAnsi="宋体"/>
          <w:b w:val="0"/>
          <w:bCs/>
          <w:color w:val="auto"/>
          <w:szCs w:val="21"/>
          <w:highlight w:val="none"/>
        </w:rPr>
        <w:t>四、供应商的资格要求</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_Toc214954889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3</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"_Toc214954890" </w:instrText>
      </w:r>
      <w:r>
        <w:rPr>
          <w:color w:val="auto"/>
          <w:highlight w:val="none"/>
        </w:rPr>
        <w:fldChar w:fldCharType="separate"/>
      </w:r>
      <w:r>
        <w:rPr>
          <w:rStyle w:val="53"/>
          <w:rFonts w:hint="eastAsia" w:ascii="宋体" w:hAnsi="宋体"/>
          <w:b w:val="0"/>
          <w:bCs/>
          <w:color w:val="auto"/>
          <w:szCs w:val="21"/>
          <w:highlight w:val="none"/>
        </w:rPr>
        <w:t>五、获取谈判文件的时间、地点及方式</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_Toc214954890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4</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"_Toc214954891" </w:instrText>
      </w:r>
      <w:r>
        <w:rPr>
          <w:color w:val="auto"/>
          <w:highlight w:val="none"/>
        </w:rPr>
        <w:fldChar w:fldCharType="separate"/>
      </w:r>
      <w:r>
        <w:rPr>
          <w:rStyle w:val="53"/>
          <w:rFonts w:hint="eastAsia" w:ascii="宋体" w:hAnsi="宋体"/>
          <w:b w:val="0"/>
          <w:bCs/>
          <w:color w:val="auto"/>
          <w:szCs w:val="21"/>
          <w:highlight w:val="none"/>
        </w:rPr>
        <w:t>六、响应文件提交的截止时间、开启时间及地点</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_Toc214954891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5</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"_Toc214954892" </w:instrText>
      </w:r>
      <w:r>
        <w:rPr>
          <w:color w:val="auto"/>
          <w:highlight w:val="none"/>
        </w:rPr>
        <w:fldChar w:fldCharType="separate"/>
      </w:r>
      <w:r>
        <w:rPr>
          <w:rStyle w:val="53"/>
          <w:rFonts w:hint="eastAsia" w:ascii="宋体" w:hAnsi="宋体"/>
          <w:b w:val="0"/>
          <w:bCs/>
          <w:color w:val="auto"/>
          <w:szCs w:val="21"/>
          <w:highlight w:val="none"/>
        </w:rPr>
        <w:t>七、公告期限</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_Toc214954892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5</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"_Toc214954893" </w:instrText>
      </w:r>
      <w:r>
        <w:rPr>
          <w:color w:val="auto"/>
          <w:highlight w:val="none"/>
        </w:rPr>
        <w:fldChar w:fldCharType="separate"/>
      </w:r>
      <w:r>
        <w:rPr>
          <w:rStyle w:val="53"/>
          <w:rFonts w:hint="eastAsia" w:ascii="宋体" w:hAnsi="宋体"/>
          <w:b w:val="0"/>
          <w:bCs/>
          <w:color w:val="auto"/>
          <w:szCs w:val="21"/>
          <w:highlight w:val="none"/>
        </w:rPr>
        <w:t>八、确定邀请供应商</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_Toc214954893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5</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"_Toc214954894" </w:instrText>
      </w:r>
      <w:r>
        <w:rPr>
          <w:color w:val="auto"/>
          <w:highlight w:val="none"/>
        </w:rPr>
        <w:fldChar w:fldCharType="separate"/>
      </w:r>
      <w:r>
        <w:rPr>
          <w:rStyle w:val="53"/>
          <w:rFonts w:hint="eastAsia" w:ascii="宋体" w:hAnsi="宋体"/>
          <w:b w:val="0"/>
          <w:bCs/>
          <w:color w:val="auto"/>
          <w:szCs w:val="21"/>
          <w:highlight w:val="none"/>
        </w:rPr>
        <w:t>九、询问及质疑</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_Toc214954894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6</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"_Toc214954895" </w:instrText>
      </w:r>
      <w:r>
        <w:rPr>
          <w:color w:val="auto"/>
          <w:highlight w:val="none"/>
        </w:rPr>
        <w:fldChar w:fldCharType="separate"/>
      </w:r>
      <w:r>
        <w:rPr>
          <w:rStyle w:val="53"/>
          <w:rFonts w:hint="eastAsia" w:ascii="宋体" w:hAnsi="宋体"/>
          <w:b w:val="0"/>
          <w:bCs/>
          <w:color w:val="auto"/>
          <w:szCs w:val="21"/>
          <w:highlight w:val="none"/>
        </w:rPr>
        <w:t>十、采购项目联系人姓名和电话</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_Toc214954895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6</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"_Toc214954896" </w:instrText>
      </w:r>
      <w:r>
        <w:rPr>
          <w:color w:val="auto"/>
          <w:highlight w:val="none"/>
        </w:rPr>
        <w:fldChar w:fldCharType="separate"/>
      </w:r>
      <w:r>
        <w:rPr>
          <w:rStyle w:val="53"/>
          <w:rFonts w:hint="eastAsia" w:ascii="宋体" w:hAnsi="宋体"/>
          <w:b w:val="0"/>
          <w:bCs/>
          <w:color w:val="auto"/>
          <w:szCs w:val="21"/>
          <w:highlight w:val="none"/>
        </w:rPr>
        <w:t>十一、采购人、采购代理机构的名称、地址和联系方法</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_Toc214954896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6</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"_Toc214954897" </w:instrText>
      </w:r>
      <w:r>
        <w:rPr>
          <w:color w:val="auto"/>
          <w:highlight w:val="none"/>
        </w:rPr>
        <w:fldChar w:fldCharType="separate"/>
      </w:r>
      <w:r>
        <w:rPr>
          <w:rStyle w:val="53"/>
          <w:rFonts w:hint="eastAsia" w:ascii="宋体" w:hAnsi="宋体"/>
          <w:b w:val="0"/>
          <w:bCs/>
          <w:color w:val="auto"/>
          <w:kern w:val="0"/>
          <w:szCs w:val="21"/>
          <w:highlight w:val="none"/>
        </w:rPr>
        <w:t>十二、其他补充事宜</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_Toc214954897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6</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9"/>
        <w:tabs>
          <w:tab w:val="right" w:leader="dot" w:pos="8834"/>
        </w:tabs>
        <w:rPr>
          <w:rFonts w:hint="eastAsia" w:cstheme="minorBidi"/>
          <w:b w:val="0"/>
          <w:bCs/>
          <w:color w:val="auto"/>
          <w:sz w:val="21"/>
          <w:highlight w:val="none"/>
          <w14:ligatures w14:val="standardContextual"/>
        </w:rPr>
      </w:pPr>
      <w:r>
        <w:rPr>
          <w:color w:val="auto"/>
          <w:highlight w:val="none"/>
        </w:rPr>
        <w:fldChar w:fldCharType="begin"/>
      </w:r>
      <w:r>
        <w:rPr>
          <w:color w:val="auto"/>
          <w:highlight w:val="none"/>
        </w:rPr>
        <w:instrText xml:space="preserve"> HYPERLINK \l "_Toc214954898" </w:instrText>
      </w:r>
      <w:r>
        <w:rPr>
          <w:color w:val="auto"/>
          <w:highlight w:val="none"/>
        </w:rPr>
        <w:fldChar w:fldCharType="separate"/>
      </w:r>
      <w:r>
        <w:rPr>
          <w:rStyle w:val="53"/>
          <w:rFonts w:hint="eastAsia"/>
          <w:b w:val="0"/>
          <w:bCs/>
          <w:color w:val="auto"/>
          <w:sz w:val="21"/>
          <w:highlight w:val="none"/>
        </w:rPr>
        <w:t>第二章 谈判须知</w:t>
      </w:r>
      <w:r>
        <w:rPr>
          <w:rFonts w:hint="eastAsia"/>
          <w:b w:val="0"/>
          <w:bCs/>
          <w:color w:val="auto"/>
          <w:sz w:val="21"/>
          <w:highlight w:val="none"/>
        </w:rPr>
        <w:tab/>
      </w:r>
      <w:r>
        <w:rPr>
          <w:rFonts w:hint="eastAsia"/>
          <w:b w:val="0"/>
          <w:bCs/>
          <w:color w:val="auto"/>
          <w:sz w:val="21"/>
          <w:highlight w:val="none"/>
        </w:rPr>
        <w:fldChar w:fldCharType="begin"/>
      </w:r>
      <w:r>
        <w:rPr>
          <w:rFonts w:hint="eastAsia"/>
          <w:b w:val="0"/>
          <w:bCs/>
          <w:color w:val="auto"/>
          <w:sz w:val="21"/>
          <w:highlight w:val="none"/>
        </w:rPr>
        <w:instrText xml:space="preserve"> </w:instrText>
      </w:r>
      <w:r>
        <w:rPr>
          <w:b w:val="0"/>
          <w:bCs/>
          <w:color w:val="auto"/>
          <w:sz w:val="21"/>
          <w:highlight w:val="none"/>
        </w:rPr>
        <w:instrText xml:space="preserve">PAGEREF _Toc214954898 \h</w:instrText>
      </w:r>
      <w:r>
        <w:rPr>
          <w:rFonts w:hint="eastAsia"/>
          <w:b w:val="0"/>
          <w:bCs/>
          <w:color w:val="auto"/>
          <w:sz w:val="21"/>
          <w:highlight w:val="none"/>
        </w:rPr>
        <w:instrText xml:space="preserve"> </w:instrText>
      </w:r>
      <w:r>
        <w:rPr>
          <w:rFonts w:hint="eastAsia"/>
          <w:b w:val="0"/>
          <w:bCs/>
          <w:color w:val="auto"/>
          <w:sz w:val="21"/>
          <w:highlight w:val="none"/>
        </w:rPr>
        <w:fldChar w:fldCharType="separate"/>
      </w:r>
      <w:r>
        <w:rPr>
          <w:rFonts w:hint="eastAsia"/>
          <w:b w:val="0"/>
          <w:bCs/>
          <w:color w:val="auto"/>
          <w:sz w:val="21"/>
          <w:highlight w:val="none"/>
        </w:rPr>
        <w:t>9</w:t>
      </w:r>
      <w:r>
        <w:rPr>
          <w:rFonts w:hint="eastAsia"/>
          <w:b w:val="0"/>
          <w:bCs/>
          <w:color w:val="auto"/>
          <w:sz w:val="21"/>
          <w:highlight w:val="none"/>
        </w:rPr>
        <w:fldChar w:fldCharType="end"/>
      </w:r>
      <w:r>
        <w:rPr>
          <w:rFonts w:hint="eastAsia"/>
          <w:b w:val="0"/>
          <w:bCs/>
          <w:color w:val="auto"/>
          <w:sz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"_Toc214954899" </w:instrText>
      </w:r>
      <w:r>
        <w:rPr>
          <w:color w:val="auto"/>
          <w:highlight w:val="none"/>
        </w:rPr>
        <w:fldChar w:fldCharType="separate"/>
      </w:r>
      <w:r>
        <w:rPr>
          <w:rStyle w:val="53"/>
          <w:rFonts w:hint="eastAsia" w:ascii="宋体" w:hAnsi="宋体"/>
          <w:b w:val="0"/>
          <w:bCs/>
          <w:color w:val="auto"/>
          <w:szCs w:val="21"/>
          <w:highlight w:val="none"/>
        </w:rPr>
        <w:t>第一节 谈判须知前附表</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_Toc214954899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9</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1"/>
        <w:tabs>
          <w:tab w:val="right" w:leader="dot" w:pos="8834"/>
        </w:tabs>
        <w:ind w:left="84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"_Toc214954900" </w:instrText>
      </w:r>
      <w:r>
        <w:rPr>
          <w:color w:val="auto"/>
          <w:highlight w:val="none"/>
        </w:rPr>
        <w:fldChar w:fldCharType="separate"/>
      </w:r>
      <w:r>
        <w:rPr>
          <w:rStyle w:val="53"/>
          <w:rFonts w:hint="eastAsia" w:ascii="宋体" w:hAnsi="宋体" w:cs="宋体"/>
          <w:b w:val="0"/>
          <w:bCs/>
          <w:color w:val="auto"/>
          <w:kern w:val="0"/>
          <w:szCs w:val="21"/>
          <w:highlight w:val="none"/>
        </w:rPr>
        <w:t>附表1 资格审查表</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_Toc214954900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15</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1"/>
        <w:tabs>
          <w:tab w:val="right" w:leader="dot" w:pos="8834"/>
        </w:tabs>
        <w:ind w:left="84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"_Toc214954901" </w:instrText>
      </w:r>
      <w:r>
        <w:rPr>
          <w:color w:val="auto"/>
          <w:highlight w:val="none"/>
        </w:rPr>
        <w:fldChar w:fldCharType="separate"/>
      </w:r>
      <w:r>
        <w:rPr>
          <w:rStyle w:val="53"/>
          <w:rFonts w:hint="eastAsia" w:ascii="宋体" w:hAnsi="宋体" w:cs="宋体"/>
          <w:b w:val="0"/>
          <w:bCs/>
          <w:color w:val="auto"/>
          <w:kern w:val="0"/>
          <w:szCs w:val="21"/>
          <w:highlight w:val="none"/>
        </w:rPr>
        <w:t>附表2 符合性审查表</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_Toc214954901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17</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"_Toc214954902" </w:instrText>
      </w:r>
      <w:r>
        <w:rPr>
          <w:color w:val="auto"/>
          <w:highlight w:val="none"/>
        </w:rPr>
        <w:fldChar w:fldCharType="separate"/>
      </w:r>
      <w:r>
        <w:rPr>
          <w:rStyle w:val="53"/>
          <w:rFonts w:hint="eastAsia" w:ascii="宋体" w:hAnsi="宋体"/>
          <w:b w:val="0"/>
          <w:bCs/>
          <w:color w:val="auto"/>
          <w:szCs w:val="21"/>
          <w:highlight w:val="none"/>
        </w:rPr>
        <w:t>第二节 谈判须知正文</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_Toc214954902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18</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1"/>
        <w:tabs>
          <w:tab w:val="right" w:leader="dot" w:pos="8834"/>
        </w:tabs>
        <w:ind w:left="84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"_Toc214954903" </w:instrText>
      </w:r>
      <w:r>
        <w:rPr>
          <w:color w:val="auto"/>
          <w:highlight w:val="none"/>
        </w:rPr>
        <w:fldChar w:fldCharType="separate"/>
      </w:r>
      <w:r>
        <w:rPr>
          <w:rStyle w:val="53"/>
          <w:rFonts w:hint="eastAsia" w:ascii="宋体" w:hAnsi="宋体"/>
          <w:b w:val="0"/>
          <w:bCs/>
          <w:color w:val="auto"/>
          <w:szCs w:val="21"/>
          <w:highlight w:val="none"/>
        </w:rPr>
        <w:t>一、说明</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_Toc214954903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18</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1"/>
        <w:tabs>
          <w:tab w:val="right" w:leader="dot" w:pos="8834"/>
        </w:tabs>
        <w:ind w:left="84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"_Toc214954904" </w:instrText>
      </w:r>
      <w:r>
        <w:rPr>
          <w:color w:val="auto"/>
          <w:highlight w:val="none"/>
        </w:rPr>
        <w:fldChar w:fldCharType="separate"/>
      </w:r>
      <w:r>
        <w:rPr>
          <w:rStyle w:val="53"/>
          <w:rFonts w:hint="eastAsia" w:ascii="宋体" w:hAnsi="宋体"/>
          <w:b w:val="0"/>
          <w:bCs/>
          <w:color w:val="auto"/>
          <w:szCs w:val="21"/>
          <w:highlight w:val="none"/>
        </w:rPr>
        <w:t>二、谈判文件</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_Toc214954904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19</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1"/>
        <w:tabs>
          <w:tab w:val="right" w:leader="dot" w:pos="8834"/>
        </w:tabs>
        <w:ind w:left="84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"_Toc214954905" </w:instrText>
      </w:r>
      <w:r>
        <w:rPr>
          <w:color w:val="auto"/>
          <w:highlight w:val="none"/>
        </w:rPr>
        <w:fldChar w:fldCharType="separate"/>
      </w:r>
      <w:r>
        <w:rPr>
          <w:rStyle w:val="53"/>
          <w:rFonts w:hint="eastAsia" w:ascii="宋体" w:hAnsi="宋体"/>
          <w:b w:val="0"/>
          <w:bCs/>
          <w:color w:val="auto"/>
          <w:szCs w:val="21"/>
          <w:highlight w:val="none"/>
        </w:rPr>
        <w:t>三、响应文件</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_Toc214954905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19</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1"/>
        <w:tabs>
          <w:tab w:val="right" w:leader="dot" w:pos="8834"/>
        </w:tabs>
        <w:ind w:left="84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"_Toc214954906" </w:instrText>
      </w:r>
      <w:r>
        <w:rPr>
          <w:color w:val="auto"/>
          <w:highlight w:val="none"/>
        </w:rPr>
        <w:fldChar w:fldCharType="separate"/>
      </w:r>
      <w:r>
        <w:rPr>
          <w:rStyle w:val="53"/>
          <w:rFonts w:hint="eastAsia" w:ascii="宋体" w:hAnsi="宋体"/>
          <w:b w:val="0"/>
          <w:bCs/>
          <w:color w:val="auto"/>
          <w:szCs w:val="21"/>
          <w:highlight w:val="none"/>
        </w:rPr>
        <w:t>四、响应文件的递交</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_Toc214954906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22</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1"/>
        <w:tabs>
          <w:tab w:val="right" w:leader="dot" w:pos="8834"/>
        </w:tabs>
        <w:ind w:left="84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"_Toc214954907" </w:instrText>
      </w:r>
      <w:r>
        <w:rPr>
          <w:color w:val="auto"/>
          <w:highlight w:val="none"/>
        </w:rPr>
        <w:fldChar w:fldCharType="separate"/>
      </w:r>
      <w:r>
        <w:rPr>
          <w:rStyle w:val="53"/>
          <w:rFonts w:hint="eastAsia" w:ascii="宋体" w:hAnsi="宋体"/>
          <w:b w:val="0"/>
          <w:bCs/>
          <w:color w:val="auto"/>
          <w:szCs w:val="21"/>
          <w:highlight w:val="none"/>
        </w:rPr>
        <w:t>五、响应文件的评审与谈判</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_Toc214954907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22</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1"/>
        <w:tabs>
          <w:tab w:val="right" w:leader="dot" w:pos="8834"/>
        </w:tabs>
        <w:ind w:left="84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"_Toc214954908" </w:instrText>
      </w:r>
      <w:r>
        <w:rPr>
          <w:color w:val="auto"/>
          <w:highlight w:val="none"/>
        </w:rPr>
        <w:fldChar w:fldCharType="separate"/>
      </w:r>
      <w:r>
        <w:rPr>
          <w:rStyle w:val="53"/>
          <w:rFonts w:hint="eastAsia" w:ascii="宋体" w:hAnsi="宋体"/>
          <w:b w:val="0"/>
          <w:bCs/>
          <w:color w:val="auto"/>
          <w:szCs w:val="21"/>
          <w:highlight w:val="none"/>
        </w:rPr>
        <w:t>六、成交结果信息公布与授予合同</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_Toc214954908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27</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1"/>
        <w:tabs>
          <w:tab w:val="right" w:leader="dot" w:pos="8834"/>
        </w:tabs>
        <w:ind w:left="84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"_Toc214954909" </w:instrText>
      </w:r>
      <w:r>
        <w:rPr>
          <w:color w:val="auto"/>
          <w:highlight w:val="none"/>
        </w:rPr>
        <w:fldChar w:fldCharType="separate"/>
      </w:r>
      <w:r>
        <w:rPr>
          <w:rStyle w:val="53"/>
          <w:rFonts w:hint="eastAsia" w:ascii="宋体" w:hAnsi="宋体"/>
          <w:b w:val="0"/>
          <w:bCs/>
          <w:color w:val="auto"/>
          <w:szCs w:val="21"/>
          <w:highlight w:val="none"/>
        </w:rPr>
        <w:t>七、政府采购政策</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_Toc214954909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28</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1"/>
        <w:tabs>
          <w:tab w:val="right" w:leader="dot" w:pos="8834"/>
        </w:tabs>
        <w:ind w:left="84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"_Toc214954910" </w:instrText>
      </w:r>
      <w:r>
        <w:rPr>
          <w:color w:val="auto"/>
          <w:highlight w:val="none"/>
        </w:rPr>
        <w:fldChar w:fldCharType="separate"/>
      </w:r>
      <w:r>
        <w:rPr>
          <w:rStyle w:val="53"/>
          <w:rFonts w:hint="eastAsia" w:ascii="宋体" w:hAnsi="宋体"/>
          <w:b w:val="0"/>
          <w:bCs/>
          <w:color w:val="auto"/>
          <w:szCs w:val="21"/>
          <w:highlight w:val="none"/>
        </w:rPr>
        <w:t>八、其他规定</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_Toc214954910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31</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9"/>
        <w:tabs>
          <w:tab w:val="right" w:leader="dot" w:pos="8834"/>
        </w:tabs>
        <w:rPr>
          <w:rFonts w:hint="eastAsia" w:cstheme="minorBidi"/>
          <w:b w:val="0"/>
          <w:bCs/>
          <w:color w:val="auto"/>
          <w:sz w:val="21"/>
          <w:highlight w:val="none"/>
          <w14:ligatures w14:val="standardContextual"/>
        </w:rPr>
      </w:pPr>
      <w:r>
        <w:rPr>
          <w:color w:val="auto"/>
          <w:highlight w:val="none"/>
        </w:rPr>
        <w:fldChar w:fldCharType="begin"/>
      </w:r>
      <w:r>
        <w:rPr>
          <w:color w:val="auto"/>
          <w:highlight w:val="none"/>
        </w:rPr>
        <w:instrText xml:space="preserve"> HYPERLINK \l "_Toc214954911" </w:instrText>
      </w:r>
      <w:r>
        <w:rPr>
          <w:color w:val="auto"/>
          <w:highlight w:val="none"/>
        </w:rPr>
        <w:fldChar w:fldCharType="separate"/>
      </w:r>
      <w:r>
        <w:rPr>
          <w:rStyle w:val="53"/>
          <w:rFonts w:hint="eastAsia"/>
          <w:b w:val="0"/>
          <w:bCs/>
          <w:color w:val="auto"/>
          <w:sz w:val="21"/>
          <w:highlight w:val="none"/>
        </w:rPr>
        <w:t>第三章 采购需求</w:t>
      </w:r>
      <w:r>
        <w:rPr>
          <w:rFonts w:hint="eastAsia"/>
          <w:b w:val="0"/>
          <w:bCs/>
          <w:color w:val="auto"/>
          <w:sz w:val="21"/>
          <w:highlight w:val="none"/>
        </w:rPr>
        <w:tab/>
      </w:r>
      <w:r>
        <w:rPr>
          <w:rFonts w:hint="eastAsia"/>
          <w:b w:val="0"/>
          <w:bCs/>
          <w:color w:val="auto"/>
          <w:sz w:val="21"/>
          <w:highlight w:val="none"/>
        </w:rPr>
        <w:fldChar w:fldCharType="begin"/>
      </w:r>
      <w:r>
        <w:rPr>
          <w:rFonts w:hint="eastAsia"/>
          <w:b w:val="0"/>
          <w:bCs/>
          <w:color w:val="auto"/>
          <w:sz w:val="21"/>
          <w:highlight w:val="none"/>
        </w:rPr>
        <w:instrText xml:space="preserve"> </w:instrText>
      </w:r>
      <w:r>
        <w:rPr>
          <w:b w:val="0"/>
          <w:bCs/>
          <w:color w:val="auto"/>
          <w:sz w:val="21"/>
          <w:highlight w:val="none"/>
        </w:rPr>
        <w:instrText xml:space="preserve">PAGEREF _Toc214954911 \h</w:instrText>
      </w:r>
      <w:r>
        <w:rPr>
          <w:rFonts w:hint="eastAsia"/>
          <w:b w:val="0"/>
          <w:bCs/>
          <w:color w:val="auto"/>
          <w:sz w:val="21"/>
          <w:highlight w:val="none"/>
        </w:rPr>
        <w:instrText xml:space="preserve"> </w:instrText>
      </w:r>
      <w:r>
        <w:rPr>
          <w:rFonts w:hint="eastAsia"/>
          <w:b w:val="0"/>
          <w:bCs/>
          <w:color w:val="auto"/>
          <w:sz w:val="21"/>
          <w:highlight w:val="none"/>
        </w:rPr>
        <w:fldChar w:fldCharType="separate"/>
      </w:r>
      <w:r>
        <w:rPr>
          <w:rFonts w:hint="eastAsia"/>
          <w:b w:val="0"/>
          <w:bCs/>
          <w:color w:val="auto"/>
          <w:sz w:val="21"/>
          <w:highlight w:val="none"/>
        </w:rPr>
        <w:t>32</w:t>
      </w:r>
      <w:r>
        <w:rPr>
          <w:rFonts w:hint="eastAsia"/>
          <w:b w:val="0"/>
          <w:bCs/>
          <w:color w:val="auto"/>
          <w:sz w:val="21"/>
          <w:highlight w:val="none"/>
        </w:rPr>
        <w:fldChar w:fldCharType="end"/>
      </w:r>
      <w:r>
        <w:rPr>
          <w:rFonts w:hint="eastAsia"/>
          <w:b w:val="0"/>
          <w:bCs/>
          <w:color w:val="auto"/>
          <w:sz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"_Toc214954912" </w:instrText>
      </w:r>
      <w:r>
        <w:rPr>
          <w:color w:val="auto"/>
          <w:highlight w:val="none"/>
        </w:rPr>
        <w:fldChar w:fldCharType="separate"/>
      </w:r>
      <w:r>
        <w:rPr>
          <w:rStyle w:val="53"/>
          <w:rFonts w:hint="eastAsia" w:ascii="宋体" w:hAnsi="宋体"/>
          <w:b w:val="0"/>
          <w:bCs/>
          <w:color w:val="auto"/>
          <w:szCs w:val="21"/>
          <w:highlight w:val="none"/>
        </w:rPr>
        <w:t>第一节 采购清单一览表</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_Toc214954912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32</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"_Toc214954913" </w:instrText>
      </w:r>
      <w:r>
        <w:rPr>
          <w:color w:val="auto"/>
          <w:highlight w:val="none"/>
        </w:rPr>
        <w:fldChar w:fldCharType="separate"/>
      </w:r>
      <w:r>
        <w:rPr>
          <w:rStyle w:val="53"/>
          <w:rFonts w:hint="eastAsia" w:ascii="宋体" w:hAnsi="宋体"/>
          <w:b w:val="0"/>
          <w:bCs/>
          <w:color w:val="auto"/>
          <w:szCs w:val="21"/>
          <w:highlight w:val="none"/>
        </w:rPr>
        <w:t>第二节 技术要求</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_Toc214954913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39</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"_Toc214954914" </w:instrText>
      </w:r>
      <w:r>
        <w:rPr>
          <w:color w:val="auto"/>
          <w:highlight w:val="none"/>
        </w:rPr>
        <w:fldChar w:fldCharType="separate"/>
      </w:r>
      <w:r>
        <w:rPr>
          <w:rStyle w:val="53"/>
          <w:rFonts w:hint="eastAsia" w:ascii="宋体" w:hAnsi="宋体"/>
          <w:b w:val="0"/>
          <w:bCs/>
          <w:color w:val="auto"/>
          <w:szCs w:val="21"/>
          <w:highlight w:val="none"/>
        </w:rPr>
        <w:t>第三节 商务要求</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_Toc214954914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41</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9"/>
        <w:tabs>
          <w:tab w:val="right" w:leader="dot" w:pos="8834"/>
        </w:tabs>
        <w:rPr>
          <w:rFonts w:hint="eastAsia" w:cstheme="minorBidi"/>
          <w:b w:val="0"/>
          <w:bCs/>
          <w:color w:val="auto"/>
          <w:sz w:val="21"/>
          <w:highlight w:val="none"/>
          <w14:ligatures w14:val="standardContextual"/>
        </w:rPr>
      </w:pPr>
      <w:r>
        <w:rPr>
          <w:color w:val="auto"/>
          <w:highlight w:val="none"/>
        </w:rPr>
        <w:fldChar w:fldCharType="begin"/>
      </w:r>
      <w:r>
        <w:rPr>
          <w:color w:val="auto"/>
          <w:highlight w:val="none"/>
        </w:rPr>
        <w:instrText xml:space="preserve"> HYPERLINK \l "_Toc214954915" </w:instrText>
      </w:r>
      <w:r>
        <w:rPr>
          <w:color w:val="auto"/>
          <w:highlight w:val="none"/>
        </w:rPr>
        <w:fldChar w:fldCharType="separate"/>
      </w:r>
      <w:r>
        <w:rPr>
          <w:rStyle w:val="53"/>
          <w:rFonts w:hint="eastAsia"/>
          <w:b w:val="0"/>
          <w:bCs/>
          <w:color w:val="auto"/>
          <w:sz w:val="21"/>
          <w:highlight w:val="none"/>
        </w:rPr>
        <w:t>第四章 合同草案条款</w:t>
      </w:r>
      <w:r>
        <w:rPr>
          <w:rFonts w:hint="eastAsia"/>
          <w:b w:val="0"/>
          <w:bCs/>
          <w:color w:val="auto"/>
          <w:sz w:val="21"/>
          <w:highlight w:val="none"/>
        </w:rPr>
        <w:tab/>
      </w:r>
      <w:r>
        <w:rPr>
          <w:rFonts w:hint="eastAsia"/>
          <w:b w:val="0"/>
          <w:bCs/>
          <w:color w:val="auto"/>
          <w:sz w:val="21"/>
          <w:highlight w:val="none"/>
        </w:rPr>
        <w:fldChar w:fldCharType="begin"/>
      </w:r>
      <w:r>
        <w:rPr>
          <w:rFonts w:hint="eastAsia"/>
          <w:b w:val="0"/>
          <w:bCs/>
          <w:color w:val="auto"/>
          <w:sz w:val="21"/>
          <w:highlight w:val="none"/>
        </w:rPr>
        <w:instrText xml:space="preserve"> </w:instrText>
      </w:r>
      <w:r>
        <w:rPr>
          <w:b w:val="0"/>
          <w:bCs/>
          <w:color w:val="auto"/>
          <w:sz w:val="21"/>
          <w:highlight w:val="none"/>
        </w:rPr>
        <w:instrText xml:space="preserve">PAGEREF _Toc214954915 \h</w:instrText>
      </w:r>
      <w:r>
        <w:rPr>
          <w:rFonts w:hint="eastAsia"/>
          <w:b w:val="0"/>
          <w:bCs/>
          <w:color w:val="auto"/>
          <w:sz w:val="21"/>
          <w:highlight w:val="none"/>
        </w:rPr>
        <w:instrText xml:space="preserve"> </w:instrText>
      </w:r>
      <w:r>
        <w:rPr>
          <w:rFonts w:hint="eastAsia"/>
          <w:b w:val="0"/>
          <w:bCs/>
          <w:color w:val="auto"/>
          <w:sz w:val="21"/>
          <w:highlight w:val="none"/>
        </w:rPr>
        <w:fldChar w:fldCharType="separate"/>
      </w:r>
      <w:r>
        <w:rPr>
          <w:rFonts w:hint="eastAsia"/>
          <w:b w:val="0"/>
          <w:bCs/>
          <w:color w:val="auto"/>
          <w:sz w:val="21"/>
          <w:highlight w:val="none"/>
        </w:rPr>
        <w:t>42</w:t>
      </w:r>
      <w:r>
        <w:rPr>
          <w:rFonts w:hint="eastAsia"/>
          <w:b w:val="0"/>
          <w:bCs/>
          <w:color w:val="auto"/>
          <w:sz w:val="21"/>
          <w:highlight w:val="none"/>
        </w:rPr>
        <w:fldChar w:fldCharType="end"/>
      </w:r>
      <w:r>
        <w:rPr>
          <w:rFonts w:hint="eastAsia"/>
          <w:b w:val="0"/>
          <w:bCs/>
          <w:color w:val="auto"/>
          <w:sz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"_Toc214954916" </w:instrText>
      </w:r>
      <w:r>
        <w:rPr>
          <w:color w:val="auto"/>
          <w:highlight w:val="none"/>
        </w:rPr>
        <w:fldChar w:fldCharType="separate"/>
      </w:r>
      <w:r>
        <w:rPr>
          <w:rStyle w:val="53"/>
          <w:rFonts w:hint="eastAsia" w:ascii="宋体" w:hAnsi="宋体"/>
          <w:b w:val="0"/>
          <w:bCs/>
          <w:color w:val="auto"/>
          <w:szCs w:val="21"/>
          <w:highlight w:val="none"/>
        </w:rPr>
        <w:t>第一节 合同协议书</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_Toc214954916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42</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"_Toc214954917" </w:instrText>
      </w:r>
      <w:r>
        <w:rPr>
          <w:color w:val="auto"/>
          <w:highlight w:val="none"/>
        </w:rPr>
        <w:fldChar w:fldCharType="separate"/>
      </w:r>
      <w:r>
        <w:rPr>
          <w:rStyle w:val="53"/>
          <w:rFonts w:hint="eastAsia" w:ascii="宋体" w:hAnsi="宋体"/>
          <w:b w:val="0"/>
          <w:bCs/>
          <w:color w:val="auto"/>
          <w:szCs w:val="21"/>
          <w:highlight w:val="none"/>
        </w:rPr>
        <w:t>第二节 政府采购合同通用条款</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_Toc214954917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45</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"_Toc214954918" </w:instrText>
      </w:r>
      <w:r>
        <w:rPr>
          <w:color w:val="auto"/>
          <w:highlight w:val="none"/>
        </w:rPr>
        <w:fldChar w:fldCharType="separate"/>
      </w:r>
      <w:r>
        <w:rPr>
          <w:rStyle w:val="53"/>
          <w:rFonts w:hint="eastAsia" w:ascii="宋体" w:hAnsi="宋体"/>
          <w:b w:val="0"/>
          <w:bCs/>
          <w:color w:val="auto"/>
          <w:szCs w:val="21"/>
          <w:highlight w:val="none"/>
        </w:rPr>
        <w:t>第三节 采购合同专用条款</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_Toc214954918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51</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29"/>
        <w:tabs>
          <w:tab w:val="right" w:leader="dot" w:pos="8834"/>
        </w:tabs>
        <w:rPr>
          <w:rFonts w:hint="eastAsia" w:cstheme="minorBidi"/>
          <w:b w:val="0"/>
          <w:bCs/>
          <w:color w:val="auto"/>
          <w:sz w:val="21"/>
          <w:highlight w:val="none"/>
          <w14:ligatures w14:val="standardContextual"/>
        </w:rPr>
      </w:pPr>
      <w:r>
        <w:rPr>
          <w:color w:val="auto"/>
          <w:highlight w:val="none"/>
        </w:rPr>
        <w:fldChar w:fldCharType="begin"/>
      </w:r>
      <w:r>
        <w:rPr>
          <w:color w:val="auto"/>
          <w:highlight w:val="none"/>
        </w:rPr>
        <w:instrText xml:space="preserve"> HYPERLINK \l "_Toc214954919" </w:instrText>
      </w:r>
      <w:r>
        <w:rPr>
          <w:color w:val="auto"/>
          <w:highlight w:val="none"/>
        </w:rPr>
        <w:fldChar w:fldCharType="separate"/>
      </w:r>
      <w:r>
        <w:rPr>
          <w:rStyle w:val="53"/>
          <w:rFonts w:hint="eastAsia"/>
          <w:b w:val="0"/>
          <w:bCs/>
          <w:color w:val="auto"/>
          <w:sz w:val="21"/>
          <w:highlight w:val="none"/>
        </w:rPr>
        <w:t>第五章 响应文件组成</w:t>
      </w:r>
      <w:r>
        <w:rPr>
          <w:rFonts w:hint="eastAsia"/>
          <w:b w:val="0"/>
          <w:bCs/>
          <w:color w:val="auto"/>
          <w:sz w:val="21"/>
          <w:highlight w:val="none"/>
        </w:rPr>
        <w:tab/>
      </w:r>
      <w:r>
        <w:rPr>
          <w:rFonts w:hint="eastAsia"/>
          <w:b w:val="0"/>
          <w:bCs/>
          <w:color w:val="auto"/>
          <w:sz w:val="21"/>
          <w:highlight w:val="none"/>
        </w:rPr>
        <w:fldChar w:fldCharType="begin"/>
      </w:r>
      <w:r>
        <w:rPr>
          <w:rFonts w:hint="eastAsia"/>
          <w:b w:val="0"/>
          <w:bCs/>
          <w:color w:val="auto"/>
          <w:sz w:val="21"/>
          <w:highlight w:val="none"/>
        </w:rPr>
        <w:instrText xml:space="preserve"> </w:instrText>
      </w:r>
      <w:r>
        <w:rPr>
          <w:b w:val="0"/>
          <w:bCs/>
          <w:color w:val="auto"/>
          <w:sz w:val="21"/>
          <w:highlight w:val="none"/>
        </w:rPr>
        <w:instrText xml:space="preserve">PAGEREF _Toc214954919 \h</w:instrText>
      </w:r>
      <w:r>
        <w:rPr>
          <w:rFonts w:hint="eastAsia"/>
          <w:b w:val="0"/>
          <w:bCs/>
          <w:color w:val="auto"/>
          <w:sz w:val="21"/>
          <w:highlight w:val="none"/>
        </w:rPr>
        <w:instrText xml:space="preserve"> </w:instrText>
      </w:r>
      <w:r>
        <w:rPr>
          <w:rFonts w:hint="eastAsia"/>
          <w:b w:val="0"/>
          <w:bCs/>
          <w:color w:val="auto"/>
          <w:sz w:val="21"/>
          <w:highlight w:val="none"/>
        </w:rPr>
        <w:fldChar w:fldCharType="separate"/>
      </w:r>
      <w:r>
        <w:rPr>
          <w:rFonts w:hint="eastAsia"/>
          <w:b w:val="0"/>
          <w:bCs/>
          <w:color w:val="auto"/>
          <w:sz w:val="21"/>
          <w:highlight w:val="none"/>
        </w:rPr>
        <w:t>52</w:t>
      </w:r>
      <w:r>
        <w:rPr>
          <w:rFonts w:hint="eastAsia"/>
          <w:b w:val="0"/>
          <w:bCs/>
          <w:color w:val="auto"/>
          <w:sz w:val="21"/>
          <w:highlight w:val="none"/>
        </w:rPr>
        <w:fldChar w:fldCharType="end"/>
      </w:r>
      <w:r>
        <w:rPr>
          <w:rFonts w:hint="eastAsia"/>
          <w:b w:val="0"/>
          <w:bCs/>
          <w:color w:val="auto"/>
          <w:sz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"_Toc214954920" </w:instrText>
      </w:r>
      <w:r>
        <w:rPr>
          <w:color w:val="auto"/>
          <w:highlight w:val="none"/>
        </w:rPr>
        <w:fldChar w:fldCharType="separate"/>
      </w:r>
      <w:r>
        <w:rPr>
          <w:rStyle w:val="53"/>
          <w:rFonts w:hint="eastAsia" w:ascii="宋体" w:hAnsi="宋体"/>
          <w:b w:val="0"/>
          <w:bCs/>
          <w:color w:val="auto"/>
          <w:szCs w:val="21"/>
          <w:highlight w:val="none"/>
        </w:rPr>
        <w:t>一、首次报价表及报价文件(格式)</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_Toc214954920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54</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"_Toc214954924" </w:instrText>
      </w:r>
      <w:r>
        <w:rPr>
          <w:color w:val="auto"/>
          <w:highlight w:val="none"/>
        </w:rPr>
        <w:fldChar w:fldCharType="separate"/>
      </w:r>
      <w:r>
        <w:rPr>
          <w:rStyle w:val="53"/>
          <w:rFonts w:hint="eastAsia" w:ascii="宋体" w:hAnsi="宋体"/>
          <w:b w:val="0"/>
          <w:bCs/>
          <w:color w:val="auto"/>
          <w:szCs w:val="21"/>
          <w:highlight w:val="none"/>
        </w:rPr>
        <w:t>二、谈判响应声明(格式)</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_Toc214954924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56</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"_Toc214954925" </w:instrText>
      </w:r>
      <w:r>
        <w:rPr>
          <w:color w:val="auto"/>
          <w:highlight w:val="none"/>
        </w:rPr>
        <w:fldChar w:fldCharType="separate"/>
      </w:r>
      <w:r>
        <w:rPr>
          <w:rStyle w:val="53"/>
          <w:rFonts w:hint="eastAsia" w:ascii="宋体" w:hAnsi="宋体"/>
          <w:b w:val="0"/>
          <w:bCs/>
          <w:color w:val="auto"/>
          <w:szCs w:val="21"/>
          <w:highlight w:val="none"/>
        </w:rPr>
        <w:t>三、法定代表人（单位负责人）身份证明(格式)</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_Toc214954925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57</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"_Toc214954926" </w:instrText>
      </w:r>
      <w:r>
        <w:rPr>
          <w:color w:val="auto"/>
          <w:highlight w:val="none"/>
        </w:rPr>
        <w:fldChar w:fldCharType="separate"/>
      </w:r>
      <w:r>
        <w:rPr>
          <w:rStyle w:val="53"/>
          <w:rFonts w:hint="eastAsia" w:ascii="宋体" w:hAnsi="宋体"/>
          <w:b w:val="0"/>
          <w:bCs/>
          <w:color w:val="auto"/>
          <w:szCs w:val="21"/>
          <w:highlight w:val="none"/>
        </w:rPr>
        <w:t>授权委托书(格式)</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_Toc214954926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58</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"_Toc214954927" </w:instrText>
      </w:r>
      <w:r>
        <w:rPr>
          <w:color w:val="auto"/>
          <w:highlight w:val="none"/>
        </w:rPr>
        <w:fldChar w:fldCharType="separate"/>
      </w:r>
      <w:r>
        <w:rPr>
          <w:rStyle w:val="53"/>
          <w:rFonts w:hint="eastAsia" w:ascii="宋体" w:hAnsi="宋体"/>
          <w:b w:val="0"/>
          <w:bCs/>
          <w:color w:val="auto"/>
          <w:szCs w:val="21"/>
          <w:highlight w:val="none"/>
        </w:rPr>
        <w:t>四、供应商资格审查材料</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_Toc214954927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59</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"_Toc214954933" </w:instrText>
      </w:r>
      <w:r>
        <w:rPr>
          <w:color w:val="auto"/>
          <w:highlight w:val="none"/>
        </w:rPr>
        <w:fldChar w:fldCharType="separate"/>
      </w:r>
      <w:r>
        <w:rPr>
          <w:rStyle w:val="53"/>
          <w:rFonts w:hint="eastAsia" w:ascii="宋体" w:hAnsi="宋体"/>
          <w:b w:val="0"/>
          <w:bCs/>
          <w:color w:val="auto"/>
          <w:szCs w:val="21"/>
          <w:highlight w:val="none"/>
        </w:rPr>
        <w:t>五、采购需求的响应</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_Toc214954933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65</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"_Toc214954935" </w:instrText>
      </w:r>
      <w:r>
        <w:rPr>
          <w:color w:val="auto"/>
          <w:highlight w:val="none"/>
        </w:rPr>
        <w:fldChar w:fldCharType="separate"/>
      </w:r>
      <w:r>
        <w:rPr>
          <w:rStyle w:val="53"/>
          <w:rFonts w:hint="eastAsia" w:ascii="宋体" w:hAnsi="宋体"/>
          <w:b w:val="0"/>
          <w:bCs/>
          <w:color w:val="auto"/>
          <w:szCs w:val="21"/>
          <w:highlight w:val="none"/>
        </w:rPr>
        <w:t>六、合同条款偏离表</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_Toc214954935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66</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"_Toc214954936" </w:instrText>
      </w:r>
      <w:r>
        <w:rPr>
          <w:color w:val="auto"/>
          <w:highlight w:val="none"/>
        </w:rPr>
        <w:fldChar w:fldCharType="separate"/>
      </w:r>
      <w:r>
        <w:rPr>
          <w:rStyle w:val="53"/>
          <w:rFonts w:hint="eastAsia" w:ascii="宋体" w:hAnsi="宋体"/>
          <w:b w:val="0"/>
          <w:bCs/>
          <w:color w:val="auto"/>
          <w:szCs w:val="21"/>
          <w:highlight w:val="none"/>
        </w:rPr>
        <w:t>七、采购需求偏离表</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_Toc214954936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67</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"_Toc214954937" </w:instrText>
      </w:r>
      <w:r>
        <w:rPr>
          <w:color w:val="auto"/>
          <w:highlight w:val="none"/>
        </w:rPr>
        <w:fldChar w:fldCharType="separate"/>
      </w:r>
      <w:r>
        <w:rPr>
          <w:rStyle w:val="53"/>
          <w:rFonts w:hint="eastAsia" w:ascii="宋体" w:hAnsi="宋体"/>
          <w:b w:val="0"/>
          <w:bCs/>
          <w:color w:val="auto"/>
          <w:szCs w:val="21"/>
          <w:highlight w:val="none"/>
        </w:rPr>
        <w:t>八、享受政府采购政策优惠的证明资料</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_Toc214954937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68</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"_Toc214954942" </w:instrText>
      </w:r>
      <w:r>
        <w:rPr>
          <w:color w:val="auto"/>
          <w:highlight w:val="none"/>
        </w:rPr>
        <w:fldChar w:fldCharType="separate"/>
      </w:r>
      <w:r>
        <w:rPr>
          <w:rStyle w:val="53"/>
          <w:rFonts w:hint="eastAsia" w:ascii="宋体" w:hAnsi="宋体"/>
          <w:b w:val="0"/>
          <w:bCs/>
          <w:color w:val="auto"/>
          <w:szCs w:val="21"/>
          <w:highlight w:val="none"/>
        </w:rPr>
        <w:t>九、响应标的符合谈判文件规定的证明文件</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_Toc214954942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73</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宋体" w:hAnsi="宋体" w:cstheme="minorBidi"/>
          <w:b w:val="0"/>
          <w:bCs/>
          <w:color w:val="auto"/>
          <w:szCs w:val="21"/>
          <w:highlight w:val="none"/>
          <w14:ligatures w14:val="standardContextual"/>
        </w:rPr>
      </w:pPr>
      <w:r>
        <w:rPr>
          <w:color w:val="auto"/>
          <w:highlight w:val="none"/>
        </w:rPr>
        <w:fldChar w:fldCharType="begin"/>
      </w:r>
      <w:r>
        <w:rPr>
          <w:color w:val="auto"/>
          <w:highlight w:val="none"/>
        </w:rPr>
        <w:instrText xml:space="preserve"> HYPERLINK \l "_Toc214954943" </w:instrText>
      </w:r>
      <w:r>
        <w:rPr>
          <w:color w:val="auto"/>
          <w:highlight w:val="none"/>
        </w:rPr>
        <w:fldChar w:fldCharType="separate"/>
      </w:r>
      <w:r>
        <w:rPr>
          <w:rStyle w:val="53"/>
          <w:rFonts w:hint="eastAsia" w:ascii="宋体" w:hAnsi="宋体"/>
          <w:b w:val="0"/>
          <w:bCs/>
          <w:color w:val="auto"/>
          <w:szCs w:val="21"/>
          <w:highlight w:val="none"/>
        </w:rPr>
        <w:t>十、供应商认为需提供的其他资料</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_Toc214954943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74</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pStyle w:val="35"/>
        <w:tabs>
          <w:tab w:val="right" w:leader="dot" w:pos="8834"/>
        </w:tabs>
        <w:ind w:left="420"/>
        <w:rPr>
          <w:rFonts w:hint="eastAsia" w:asciiTheme="minorHAnsi" w:hAnsiTheme="minorHAnsi" w:eastAsiaTheme="minorEastAsia" w:cstheme="minorBidi"/>
          <w:b w:val="0"/>
          <w:color w:val="auto"/>
          <w:sz w:val="22"/>
          <w:highlight w:val="none"/>
          <w14:ligatures w14:val="standardContextual"/>
        </w:rPr>
      </w:pPr>
      <w:r>
        <w:rPr>
          <w:color w:val="auto"/>
          <w:highlight w:val="none"/>
        </w:rPr>
        <w:fldChar w:fldCharType="begin"/>
      </w:r>
      <w:r>
        <w:rPr>
          <w:color w:val="auto"/>
          <w:highlight w:val="none"/>
        </w:rPr>
        <w:instrText xml:space="preserve"> HYPERLINK \l "_Toc214954944" </w:instrText>
      </w:r>
      <w:r>
        <w:rPr>
          <w:color w:val="auto"/>
          <w:highlight w:val="none"/>
        </w:rPr>
        <w:fldChar w:fldCharType="separate"/>
      </w:r>
      <w:r>
        <w:rPr>
          <w:rStyle w:val="53"/>
          <w:rFonts w:hint="eastAsia" w:ascii="宋体" w:hAnsi="宋体"/>
          <w:b w:val="0"/>
          <w:bCs/>
          <w:color w:val="auto"/>
          <w:szCs w:val="21"/>
          <w:highlight w:val="none"/>
        </w:rPr>
        <w:t>十一、多轮或最后报价</w:t>
      </w:r>
      <w:r>
        <w:rPr>
          <w:rFonts w:hint="eastAsia" w:ascii="宋体" w:hAnsi="宋体"/>
          <w:b w:val="0"/>
          <w:bCs/>
          <w:color w:val="auto"/>
          <w:szCs w:val="21"/>
          <w:highlight w:val="none"/>
        </w:rPr>
        <w:tab/>
      </w:r>
      <w:r>
        <w:rPr>
          <w:rFonts w:hint="eastAsia" w:ascii="宋体" w:hAnsi="宋体"/>
          <w:b w:val="0"/>
          <w:bCs/>
          <w:color w:val="auto"/>
          <w:szCs w:val="21"/>
          <w:highlight w:val="none"/>
        </w:rPr>
        <w:fldChar w:fldCharType="begin"/>
      </w:r>
      <w:r>
        <w:rPr>
          <w:rFonts w:hint="eastAsia" w:ascii="宋体" w:hAnsi="宋体"/>
          <w:b w:val="0"/>
          <w:bCs/>
          <w:color w:val="auto"/>
          <w:szCs w:val="21"/>
          <w:highlight w:val="none"/>
        </w:rPr>
        <w:instrText xml:space="preserve"> </w:instrText>
      </w:r>
      <w:r>
        <w:rPr>
          <w:rFonts w:ascii="宋体" w:hAnsi="宋体"/>
          <w:b w:val="0"/>
          <w:bCs/>
          <w:color w:val="auto"/>
          <w:szCs w:val="21"/>
          <w:highlight w:val="none"/>
        </w:rPr>
        <w:instrText xml:space="preserve">PAGEREF _Toc214954944 \h</w:instrText>
      </w:r>
      <w:r>
        <w:rPr>
          <w:rFonts w:hint="eastAsia" w:ascii="宋体" w:hAnsi="宋体"/>
          <w:b w:val="0"/>
          <w:bCs/>
          <w:color w:val="auto"/>
          <w:szCs w:val="21"/>
          <w:highlight w:val="none"/>
        </w:rPr>
        <w:instrText xml:space="preserve"> </w:instrText>
      </w:r>
      <w:r>
        <w:rPr>
          <w:rFonts w:hint="eastAsia" w:ascii="宋体" w:hAnsi="宋体"/>
          <w:b w:val="0"/>
          <w:bCs/>
          <w:color w:val="auto"/>
          <w:szCs w:val="21"/>
          <w:highlight w:val="none"/>
        </w:rPr>
        <w:fldChar w:fldCharType="separate"/>
      </w:r>
      <w:r>
        <w:rPr>
          <w:rFonts w:hint="eastAsia" w:ascii="宋体" w:hAnsi="宋体"/>
          <w:b w:val="0"/>
          <w:bCs/>
          <w:color w:val="auto"/>
          <w:szCs w:val="21"/>
          <w:highlight w:val="none"/>
        </w:rPr>
        <w:t>75</w:t>
      </w:r>
      <w:r>
        <w:rPr>
          <w:rFonts w:hint="eastAsia" w:ascii="宋体" w:hAnsi="宋体"/>
          <w:b w:val="0"/>
          <w:bCs/>
          <w:color w:val="auto"/>
          <w:szCs w:val="21"/>
          <w:highlight w:val="none"/>
        </w:rPr>
        <w:fldChar w:fldCharType="end"/>
      </w:r>
      <w:r>
        <w:rPr>
          <w:rFonts w:hint="eastAsia" w:ascii="宋体" w:hAnsi="宋体"/>
          <w:b w:val="0"/>
          <w:bCs/>
          <w:color w:val="auto"/>
          <w:szCs w:val="21"/>
          <w:highlight w:val="none"/>
        </w:rPr>
        <w:fldChar w:fldCharType="end"/>
      </w:r>
    </w:p>
    <w:p>
      <w:pPr>
        <w:widowControl w:val="0"/>
        <w:spacing w:line="240" w:lineRule="auto"/>
        <w:jc w:val="both"/>
        <w:rPr>
          <w:rFonts w:ascii="Times New Roman" w:hAnsi="Times New Roman" w:eastAsia="宋体" w:cs="Times New Roman"/>
          <w:color w:val="auto"/>
          <w:szCs w:val="24"/>
          <w:highlight w:val="none"/>
        </w:rPr>
      </w:pPr>
      <w:r>
        <w:rPr>
          <w:rFonts w:ascii="Times New Roman" w:hAnsi="Times New Roman" w:eastAsia="宋体" w:cs="Times New Roman"/>
          <w:color w:val="auto"/>
          <w:szCs w:val="24"/>
          <w:highlight w:val="none"/>
        </w:rPr>
        <w:fldChar w:fldCharType="end"/>
      </w:r>
    </w:p>
    <w:p>
      <w:pPr>
        <w:widowControl w:val="0"/>
        <w:spacing w:line="240" w:lineRule="auto"/>
        <w:jc w:val="both"/>
        <w:rPr>
          <w:rFonts w:ascii="Times New Roman" w:hAnsi="Times New Roman" w:eastAsia="宋体" w:cs="Times New Roman"/>
          <w:color w:val="auto"/>
          <w:szCs w:val="24"/>
          <w:highlight w:val="none"/>
        </w:rPr>
        <w:sectPr>
          <w:footerReference r:id="rId6" w:type="default"/>
          <w:pgSz w:w="11906" w:h="16838"/>
          <w:pgMar w:top="1474" w:right="1474" w:bottom="1474" w:left="1588" w:header="851" w:footer="992" w:gutter="0"/>
          <w:pgNumType w:start="1"/>
          <w:cols w:space="720" w:num="1"/>
          <w:docGrid w:type="lines" w:linePitch="312" w:charSpace="0"/>
        </w:sectPr>
      </w:pPr>
    </w:p>
    <w:p>
      <w:pPr>
        <w:keepNext/>
        <w:widowControl w:val="0"/>
        <w:adjustRightInd w:val="0"/>
        <w:snapToGrid w:val="0"/>
        <w:spacing w:before="156" w:beforeLines="50" w:line="360" w:lineRule="auto"/>
        <w:jc w:val="center"/>
        <w:outlineLvl w:val="0"/>
        <w:rPr>
          <w:rFonts w:hint="eastAsia" w:ascii="黑体" w:hAnsi="黑体" w:eastAsia="黑体" w:cs="Times New Roman"/>
          <w:b/>
          <w:bCs/>
          <w:color w:val="auto"/>
          <w:sz w:val="32"/>
          <w:szCs w:val="32"/>
          <w:highlight w:val="none"/>
        </w:rPr>
      </w:pPr>
      <w:bookmarkStart w:id="1" w:name="_Toc214954885"/>
      <w:r>
        <w:rPr>
          <w:rFonts w:hint="eastAsia" w:ascii="黑体" w:hAnsi="黑体" w:eastAsia="黑体" w:cs="Times New Roman"/>
          <w:b/>
          <w:bCs/>
          <w:color w:val="auto"/>
          <w:sz w:val="32"/>
          <w:szCs w:val="32"/>
          <w:highlight w:val="none"/>
        </w:rPr>
        <w:t>第一章 谈判邀请公告</w:t>
      </w:r>
      <w:bookmarkEnd w:id="1"/>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bookmarkStart w:id="2" w:name="_Hlk214613468"/>
      <w:r>
        <w:rPr>
          <w:rFonts w:hint="eastAsia" w:ascii="宋体" w:hAnsi="宋体" w:eastAsia="宋体" w:cs="Times New Roman"/>
          <w:color w:val="auto"/>
          <w:szCs w:val="21"/>
          <w:highlight w:val="none"/>
          <w:u w:val="single"/>
        </w:rPr>
        <w:t>郴州市园林绿化服务中心</w:t>
      </w:r>
      <w:bookmarkEnd w:id="2"/>
      <w:r>
        <w:rPr>
          <w:rFonts w:hint="eastAsia" w:ascii="宋体" w:hAnsi="宋体" w:eastAsia="宋体" w:cs="Times New Roman"/>
          <w:color w:val="auto"/>
          <w:szCs w:val="21"/>
          <w:highlight w:val="none"/>
        </w:rPr>
        <w:t>（采购人名称）的</w:t>
      </w:r>
      <w:r>
        <w:rPr>
          <w:rFonts w:hint="eastAsia" w:ascii="宋体" w:hAnsi="宋体" w:eastAsia="宋体" w:cs="Times New Roman"/>
          <w:color w:val="auto"/>
          <w:szCs w:val="21"/>
          <w:highlight w:val="none"/>
          <w:u w:val="single"/>
          <w:lang w:eastAsia="zh-CN"/>
        </w:rPr>
        <w:t>2026年度苗木采购</w:t>
      </w:r>
      <w:r>
        <w:rPr>
          <w:rFonts w:hint="eastAsia" w:ascii="宋体" w:hAnsi="宋体" w:eastAsia="宋体" w:cs="Times New Roman"/>
          <w:color w:val="auto"/>
          <w:szCs w:val="21"/>
          <w:highlight w:val="none"/>
        </w:rPr>
        <w:t xml:space="preserve"> (项目名称)进行竞争性谈判采购，现采用发布公告方式，邀请符合资格条件的供应商参与竞争性谈判活动。</w:t>
      </w:r>
    </w:p>
    <w:p>
      <w:pPr>
        <w:keepNext/>
        <w:keepLines/>
        <w:widowControl w:val="0"/>
        <w:adjustRightInd w:val="0"/>
        <w:snapToGrid w:val="0"/>
        <w:spacing w:before="156" w:beforeLines="50" w:line="360" w:lineRule="auto"/>
        <w:jc w:val="both"/>
        <w:outlineLvl w:val="1"/>
        <w:rPr>
          <w:rFonts w:hint="eastAsia" w:ascii="黑体" w:hAnsi="黑体" w:eastAsia="黑体" w:cs="Times New Roman"/>
          <w:b/>
          <w:bCs/>
          <w:color w:val="auto"/>
          <w:sz w:val="24"/>
          <w:szCs w:val="32"/>
          <w:highlight w:val="none"/>
        </w:rPr>
      </w:pPr>
      <w:bookmarkStart w:id="3" w:name="_Toc22201055"/>
      <w:bookmarkStart w:id="4" w:name="_Toc214954886"/>
      <w:r>
        <w:rPr>
          <w:rFonts w:hint="eastAsia" w:ascii="黑体" w:hAnsi="黑体" w:eastAsia="黑体" w:cs="Times New Roman"/>
          <w:b/>
          <w:bCs/>
          <w:color w:val="auto"/>
          <w:sz w:val="24"/>
          <w:szCs w:val="32"/>
          <w:highlight w:val="none"/>
        </w:rPr>
        <w:t>一、采购项目</w:t>
      </w:r>
      <w:bookmarkEnd w:id="3"/>
      <w:r>
        <w:rPr>
          <w:rFonts w:hint="eastAsia" w:ascii="黑体" w:hAnsi="黑体" w:eastAsia="黑体" w:cs="Times New Roman"/>
          <w:b/>
          <w:bCs/>
          <w:color w:val="auto"/>
          <w:sz w:val="24"/>
          <w:szCs w:val="32"/>
          <w:highlight w:val="none"/>
        </w:rPr>
        <w:t>基本情况</w:t>
      </w:r>
      <w:bookmarkEnd w:id="4"/>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1、采购项目名称：</w:t>
      </w:r>
      <w:r>
        <w:rPr>
          <w:rFonts w:hint="eastAsia" w:ascii="宋体" w:hAnsi="宋体" w:eastAsia="宋体" w:cs="Times New Roman"/>
          <w:color w:val="auto"/>
          <w:szCs w:val="21"/>
          <w:highlight w:val="none"/>
          <w:u w:val="single"/>
          <w:lang w:eastAsia="zh-CN"/>
        </w:rPr>
        <w:t>2026年度苗木采购</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2、政府采购计划编号：</w:t>
      </w:r>
      <w:r>
        <w:rPr>
          <w:rFonts w:hint="eastAsia" w:ascii="宋体" w:hAnsi="宋体" w:eastAsia="宋体" w:cs="Times New Roman"/>
          <w:color w:val="auto"/>
          <w:szCs w:val="21"/>
          <w:highlight w:val="none"/>
          <w:u w:val="single"/>
          <w:lang w:eastAsia="zh-CN"/>
        </w:rPr>
        <w:t>(2026)431000000276-1</w:t>
      </w:r>
    </w:p>
    <w:p>
      <w:pPr>
        <w:widowControl w:val="0"/>
        <w:adjustRightInd w:val="0"/>
        <w:snapToGrid w:val="0"/>
        <w:spacing w:line="360" w:lineRule="auto"/>
        <w:ind w:firstLine="420" w:firstLineChars="200"/>
        <w:jc w:val="both"/>
        <w:rPr>
          <w:rFonts w:hint="default" w:ascii="宋体" w:hAnsi="宋体" w:eastAsia="宋体" w:cs="Times New Roman"/>
          <w:color w:val="auto"/>
          <w:szCs w:val="21"/>
          <w:highlight w:val="none"/>
          <w:u w:val="single"/>
          <w:lang w:val="en-US" w:eastAsia="zh-CN"/>
        </w:rPr>
      </w:pPr>
      <w:r>
        <w:rPr>
          <w:rFonts w:hint="eastAsia" w:ascii="宋体" w:hAnsi="宋体" w:eastAsia="宋体" w:cs="Times New Roman"/>
          <w:color w:val="auto"/>
          <w:szCs w:val="21"/>
          <w:highlight w:val="none"/>
        </w:rPr>
        <w:t>3、委托代理编号：</w:t>
      </w:r>
      <w:r>
        <w:rPr>
          <w:rFonts w:hint="eastAsia" w:ascii="宋体" w:hAnsi="宋体" w:eastAsia="宋体" w:cs="Times New Roman"/>
          <w:color w:val="auto"/>
          <w:szCs w:val="21"/>
          <w:highlight w:val="none"/>
          <w:u w:val="single"/>
          <w:lang w:eastAsia="zh-CN"/>
        </w:rPr>
        <w:t>ZCBS2026-CZ-018</w:t>
      </w:r>
      <w:r>
        <w:rPr>
          <w:rFonts w:hint="eastAsia" w:ascii="宋体" w:hAnsi="宋体" w:eastAsia="宋体" w:cs="Times New Roman"/>
          <w:color w:val="auto"/>
          <w:szCs w:val="21"/>
          <w:highlight w:val="none"/>
          <w:lang w:val="en-US" w:eastAsia="zh-CN"/>
        </w:rPr>
        <w:t>采购项目编号：</w:t>
      </w:r>
      <w:r>
        <w:rPr>
          <w:rFonts w:hint="eastAsia" w:ascii="宋体" w:hAnsi="宋体" w:eastAsia="宋体" w:cs="Times New Roman"/>
          <w:color w:val="auto"/>
          <w:szCs w:val="21"/>
          <w:highlight w:val="none"/>
          <w:u w:val="single"/>
          <w:lang w:eastAsia="zh-CN"/>
        </w:rPr>
        <w:t>CGXM2026431000000292</w:t>
      </w:r>
    </w:p>
    <w:p>
      <w:pPr>
        <w:widowControl w:val="0"/>
        <w:adjustRightInd w:val="0"/>
        <w:snapToGrid w:val="0"/>
        <w:spacing w:line="360" w:lineRule="auto"/>
        <w:ind w:firstLine="420" w:firstLineChars="200"/>
        <w:jc w:val="both"/>
        <w:rPr>
          <w:rFonts w:hint="eastAsia" w:ascii="宋体" w:hAnsi="宋体" w:eastAsia="宋体" w:cs="Times New Roman"/>
          <w:bCs/>
          <w:color w:val="auto"/>
          <w:szCs w:val="21"/>
          <w:highlight w:val="none"/>
        </w:rPr>
      </w:pPr>
      <w:bookmarkStart w:id="5" w:name="_Toc22201056"/>
      <w:r>
        <w:rPr>
          <w:rFonts w:hint="eastAsia" w:ascii="宋体" w:hAnsi="宋体" w:eastAsia="宋体" w:cs="Times New Roman"/>
          <w:bCs/>
          <w:color w:val="auto"/>
          <w:szCs w:val="21"/>
          <w:highlight w:val="none"/>
        </w:rPr>
        <w:t>4、采购项目预算：</w:t>
      </w:r>
      <w:bookmarkStart w:id="6" w:name="OLE_LINK7"/>
      <w:r>
        <w:rPr>
          <w:rFonts w:hint="eastAsia" w:ascii="宋体" w:hAnsi="宋体" w:eastAsia="宋体" w:cs="Times New Roman"/>
          <w:bCs/>
          <w:color w:val="auto"/>
          <w:szCs w:val="21"/>
          <w:highlight w:val="none"/>
          <w:u w:val="single"/>
          <w:lang w:eastAsia="zh-CN"/>
        </w:rPr>
        <w:t>657650.00</w:t>
      </w:r>
      <w:r>
        <w:rPr>
          <w:rFonts w:hint="eastAsia" w:ascii="宋体" w:hAnsi="宋体" w:eastAsia="宋体" w:cs="Times New Roman"/>
          <w:bCs/>
          <w:color w:val="auto"/>
          <w:szCs w:val="21"/>
          <w:highlight w:val="none"/>
          <w:u w:val="single"/>
        </w:rPr>
        <w:t>元</w:t>
      </w:r>
      <w:bookmarkEnd w:id="6"/>
    </w:p>
    <w:p>
      <w:pPr>
        <w:widowControl w:val="0"/>
        <w:adjustRightInd w:val="0"/>
        <w:snapToGrid w:val="0"/>
        <w:spacing w:line="360" w:lineRule="auto"/>
        <w:ind w:firstLine="630" w:firstLineChars="300"/>
        <w:jc w:val="both"/>
        <w:rPr>
          <w:rFonts w:hint="eastAsia" w:ascii="宋体" w:hAnsi="宋体" w:eastAsia="宋体" w:cs="Times New Roman"/>
          <w:bCs/>
          <w:color w:val="auto"/>
          <w:szCs w:val="21"/>
          <w:highlight w:val="none"/>
          <w:u w:val="single"/>
        </w:rPr>
      </w:pP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支持</w:t>
      </w:r>
      <w:r>
        <w:rPr>
          <w:rFonts w:hint="eastAsia" w:ascii="宋体" w:hAnsi="宋体" w:eastAsia="宋体" w:cs="Times New Roman"/>
          <w:bCs/>
          <w:color w:val="auto"/>
          <w:szCs w:val="21"/>
          <w:highlight w:val="none"/>
        </w:rPr>
        <w:t>预付款，预付比例：</w:t>
      </w:r>
      <w:r>
        <w:rPr>
          <w:rFonts w:hint="eastAsia" w:ascii="宋体" w:hAnsi="宋体" w:eastAsia="宋体" w:cs="Times New Roman"/>
          <w:bCs/>
          <w:color w:val="auto"/>
          <w:szCs w:val="21"/>
          <w:highlight w:val="none"/>
          <w:u w:val="single"/>
        </w:rPr>
        <w:t xml:space="preserve">  /  </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u w:val="single"/>
        </w:rPr>
      </w:pPr>
      <w:r>
        <w:rPr>
          <w:rFonts w:hint="eastAsia" w:ascii="宋体" w:hAnsi="宋体" w:eastAsia="宋体" w:cs="Times New Roman"/>
          <w:bCs/>
          <w:color w:val="auto"/>
          <w:szCs w:val="21"/>
          <w:highlight w:val="none"/>
        </w:rPr>
        <w:t>5、本项目</w:t>
      </w:r>
      <w:r>
        <w:rPr>
          <w:rFonts w:hint="eastAsia" w:ascii="宋体" w:hAnsi="宋体" w:eastAsia="宋体" w:cs="Times New Roman"/>
          <w:color w:val="auto"/>
          <w:szCs w:val="21"/>
          <w:highlight w:val="none"/>
        </w:rPr>
        <w:t>对应的中小企业划分标准所属行业：</w:t>
      </w:r>
      <w:r>
        <w:rPr>
          <w:rFonts w:hint="eastAsia" w:ascii="宋体" w:hAnsi="宋体" w:eastAsia="宋体" w:cs="Times New Roman"/>
          <w:color w:val="auto"/>
          <w:szCs w:val="21"/>
          <w:highlight w:val="none"/>
          <w:u w:val="single"/>
        </w:rPr>
        <w:t>农、林、牧、渔业</w:t>
      </w:r>
    </w:p>
    <w:p>
      <w:pPr>
        <w:widowControl w:val="0"/>
        <w:adjustRightInd w:val="0"/>
        <w:snapToGrid w:val="0"/>
        <w:spacing w:line="360" w:lineRule="auto"/>
        <w:ind w:firstLine="420" w:firstLineChars="200"/>
        <w:jc w:val="both"/>
        <w:rPr>
          <w:rFonts w:hint="eastAsia" w:ascii="宋体" w:hAnsi="宋体" w:eastAsia="宋体" w:cs="Times New Roman"/>
          <w:bCs/>
          <w:color w:val="auto"/>
          <w:szCs w:val="21"/>
          <w:highlight w:val="none"/>
          <w:u w:val="single"/>
        </w:rPr>
      </w:pPr>
      <w:r>
        <w:rPr>
          <w:rFonts w:hint="eastAsia" w:ascii="宋体" w:hAnsi="宋体" w:eastAsia="宋体" w:cs="Times New Roman"/>
          <w:bCs/>
          <w:color w:val="auto"/>
          <w:szCs w:val="21"/>
          <w:highlight w:val="none"/>
        </w:rPr>
        <w:t>6、合同定价方式：</w:t>
      </w:r>
      <w:bookmarkStart w:id="7" w:name="OLE_LINK14"/>
      <w:r>
        <w:rPr>
          <w:rFonts w:hint="eastAsia" w:ascii="宋体" w:hAnsi="宋体" w:eastAsia="宋体" w:cs="Times New Roman"/>
          <w:iCs/>
          <w:color w:val="auto"/>
          <w:szCs w:val="21"/>
          <w:highlight w:val="none"/>
        </w:rPr>
        <w:t xml:space="preserve"> </w:t>
      </w:r>
      <w:bookmarkEnd w:id="7"/>
      <w:r>
        <w:rPr>
          <w:rFonts w:hint="eastAsia" w:ascii="宋体" w:hAnsi="宋体" w:eastAsia="宋体" w:cs="Times New Roman"/>
          <w:iCs/>
          <w:color w:val="auto"/>
          <w:kern w:val="0"/>
          <w:szCs w:val="21"/>
          <w:highlight w:val="none"/>
        </w:rPr>
        <w:sym w:font="Wingdings" w:char="F0A8"/>
      </w:r>
      <w:r>
        <w:rPr>
          <w:rFonts w:hint="eastAsia" w:ascii="宋体" w:hAnsi="宋体" w:eastAsia="宋体" w:cs="Times New Roman"/>
          <w:iCs/>
          <w:color w:val="auto"/>
          <w:szCs w:val="21"/>
          <w:highlight w:val="none"/>
        </w:rPr>
        <w:t xml:space="preserve">固定总价 </w:t>
      </w:r>
      <w:r>
        <w:rPr>
          <w:rFonts w:hint="eastAsia" w:ascii="宋体" w:hAnsi="宋体" w:eastAsia="宋体" w:cs="Times New Roman"/>
          <w:iCs/>
          <w:color w:val="auto"/>
          <w:szCs w:val="21"/>
          <w:highlight w:val="none"/>
        </w:rPr>
        <w:sym w:font="Wingdings" w:char="F0FE"/>
      </w:r>
      <w:r>
        <w:rPr>
          <w:rFonts w:hint="eastAsia" w:ascii="宋体" w:hAnsi="宋体" w:eastAsia="宋体" w:cs="Times New Roman"/>
          <w:iCs/>
          <w:color w:val="auto"/>
          <w:szCs w:val="21"/>
          <w:highlight w:val="none"/>
        </w:rPr>
        <w:t xml:space="preserve">固定单价 </w:t>
      </w:r>
      <w:bookmarkStart w:id="8" w:name="OLE_LINK15"/>
      <w:r>
        <w:rPr>
          <w:rFonts w:hint="eastAsia" w:ascii="宋体" w:hAnsi="宋体" w:eastAsia="宋体" w:cs="Times New Roman"/>
          <w:iCs/>
          <w:color w:val="auto"/>
          <w:szCs w:val="21"/>
          <w:highlight w:val="none"/>
        </w:rPr>
        <w:sym w:font="Wingdings" w:char="00A8"/>
      </w:r>
      <w:bookmarkEnd w:id="8"/>
      <w:r>
        <w:rPr>
          <w:rFonts w:hint="eastAsia" w:ascii="宋体" w:hAnsi="宋体" w:eastAsia="宋体" w:cs="Times New Roman"/>
          <w:iCs/>
          <w:color w:val="auto"/>
          <w:szCs w:val="21"/>
          <w:highlight w:val="none"/>
        </w:rPr>
        <w:t xml:space="preserve">成本补偿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绩效激励</w:t>
      </w:r>
    </w:p>
    <w:p>
      <w:pPr>
        <w:widowControl w:val="0"/>
        <w:adjustRightInd w:val="0"/>
        <w:snapToGrid w:val="0"/>
        <w:spacing w:line="360" w:lineRule="auto"/>
        <w:ind w:firstLine="420" w:firstLineChars="200"/>
        <w:jc w:val="both"/>
        <w:rPr>
          <w:rFonts w:hint="eastAsia" w:ascii="宋体" w:hAnsi="宋体" w:eastAsia="宋体" w:cs="Times New Roman"/>
          <w:bCs/>
          <w:color w:val="auto"/>
          <w:szCs w:val="21"/>
          <w:highlight w:val="none"/>
          <w:u w:val="single"/>
        </w:rPr>
      </w:pPr>
      <w:r>
        <w:rPr>
          <w:rFonts w:hint="eastAsia" w:ascii="宋体" w:hAnsi="宋体" w:eastAsia="宋体" w:cs="Times New Roman"/>
          <w:bCs/>
          <w:color w:val="auto"/>
          <w:szCs w:val="21"/>
          <w:highlight w:val="none"/>
        </w:rPr>
        <w:t>7、合同履行期限：</w:t>
      </w:r>
      <w:r>
        <w:rPr>
          <w:rFonts w:hint="eastAsia" w:ascii="宋体" w:hAnsi="宋体" w:eastAsia="宋体" w:cs="Times New Roman"/>
          <w:bCs/>
          <w:color w:val="auto"/>
          <w:szCs w:val="21"/>
          <w:highlight w:val="none"/>
          <w:u w:val="single"/>
        </w:rPr>
        <w:t>一年</w:t>
      </w:r>
      <w:r>
        <w:rPr>
          <w:rFonts w:hint="eastAsia" w:ascii="宋体" w:hAnsi="宋体" w:eastAsia="宋体" w:cs="Times New Roman"/>
          <w:iCs/>
          <w:color w:val="auto"/>
          <w:szCs w:val="21"/>
          <w:highlight w:val="none"/>
        </w:rPr>
        <w:t>。</w:t>
      </w:r>
    </w:p>
    <w:p>
      <w:pPr>
        <w:widowControl w:val="0"/>
        <w:spacing w:line="276" w:lineRule="auto"/>
        <w:ind w:firstLine="420" w:firstLineChars="200"/>
        <w:jc w:val="both"/>
        <w:rPr>
          <w:rFonts w:hint="eastAsia" w:ascii="宋体" w:hAnsi="宋体" w:eastAsia="宋体" w:cs="Times New Roman"/>
          <w:iCs/>
          <w:color w:val="auto"/>
          <w:szCs w:val="21"/>
          <w:highlight w:val="none"/>
        </w:rPr>
      </w:pPr>
      <w:r>
        <w:rPr>
          <w:rFonts w:hint="eastAsia" w:ascii="宋体" w:hAnsi="宋体" w:eastAsia="宋体" w:cs="Times New Roman"/>
          <w:bCs/>
          <w:color w:val="auto"/>
          <w:szCs w:val="21"/>
          <w:highlight w:val="none"/>
        </w:rPr>
        <w:t>8、</w:t>
      </w:r>
      <w:bookmarkStart w:id="9" w:name="OLE_LINK3"/>
      <w:r>
        <w:rPr>
          <w:rFonts w:hint="eastAsia" w:ascii="Times New Roman" w:hAnsi="Times New Roman" w:eastAsia="宋体" w:cs="Times New Roman"/>
          <w:color w:val="auto"/>
          <w:szCs w:val="21"/>
          <w:highlight w:val="none"/>
        </w:rPr>
        <w:t>根据《关于进一步优化政府采购领域营商环境的通知》郴财采资〔2024〕6号文件精神，本项目取消投标保证金及履约保证金。</w:t>
      </w:r>
      <w:bookmarkEnd w:id="9"/>
    </w:p>
    <w:p>
      <w:pPr>
        <w:keepNext/>
        <w:keepLines/>
        <w:widowControl w:val="0"/>
        <w:adjustRightInd w:val="0"/>
        <w:snapToGrid w:val="0"/>
        <w:spacing w:before="156" w:beforeLines="50" w:line="360" w:lineRule="auto"/>
        <w:jc w:val="both"/>
        <w:outlineLvl w:val="1"/>
        <w:rPr>
          <w:rFonts w:hint="eastAsia" w:ascii="黑体" w:hAnsi="黑体" w:eastAsia="黑体" w:cs="Times New Roman"/>
          <w:b/>
          <w:bCs/>
          <w:color w:val="auto"/>
          <w:sz w:val="24"/>
          <w:szCs w:val="32"/>
          <w:highlight w:val="none"/>
        </w:rPr>
      </w:pPr>
      <w:bookmarkStart w:id="10" w:name="_Toc214954887"/>
      <w:r>
        <w:rPr>
          <w:rFonts w:hint="eastAsia" w:ascii="黑体" w:hAnsi="黑体" w:eastAsia="黑体" w:cs="Times New Roman"/>
          <w:b/>
          <w:bCs/>
          <w:color w:val="auto"/>
          <w:sz w:val="24"/>
          <w:szCs w:val="32"/>
          <w:highlight w:val="none"/>
        </w:rPr>
        <w:t>二、采购需求</w:t>
      </w:r>
      <w:bookmarkEnd w:id="5"/>
      <w:bookmarkEnd w:id="10"/>
    </w:p>
    <w:tbl>
      <w:tblPr>
        <w:tblStyle w:val="44"/>
        <w:tblW w:w="990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34"/>
        <w:gridCol w:w="1701"/>
        <w:gridCol w:w="1701"/>
        <w:gridCol w:w="1134"/>
        <w:gridCol w:w="850"/>
        <w:gridCol w:w="1276"/>
        <w:gridCol w:w="1233"/>
        <w:gridCol w:w="750"/>
        <w:gridCol w:w="729"/>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22" w:hRule="atLeast"/>
        </w:trPr>
        <w:tc>
          <w:tcPr>
            <w:tcW w:w="534" w:type="dxa"/>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包号</w:t>
            </w:r>
          </w:p>
        </w:tc>
        <w:tc>
          <w:tcPr>
            <w:tcW w:w="1701" w:type="dxa"/>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包名称</w:t>
            </w:r>
          </w:p>
        </w:tc>
        <w:tc>
          <w:tcPr>
            <w:tcW w:w="1701" w:type="dxa"/>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标的名称</w:t>
            </w:r>
          </w:p>
        </w:tc>
        <w:tc>
          <w:tcPr>
            <w:tcW w:w="1134" w:type="dxa"/>
            <w:tcBorders>
              <w:left w:val="single" w:color="auto" w:sz="4" w:space="0"/>
            </w:tcBorders>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简要技术要求</w:t>
            </w:r>
          </w:p>
        </w:tc>
        <w:tc>
          <w:tcPr>
            <w:tcW w:w="850" w:type="dxa"/>
            <w:tcBorders>
              <w:left w:val="single" w:color="auto" w:sz="4" w:space="0"/>
            </w:tcBorders>
            <w:vAlign w:val="center"/>
          </w:tcPr>
          <w:p>
            <w:pPr>
              <w:widowControl w:val="0"/>
              <w:adjustRightInd w:val="0"/>
              <w:snapToGrid w:val="0"/>
              <w:spacing w:line="240" w:lineRule="auto"/>
              <w:jc w:val="center"/>
              <w:rPr>
                <w:rFonts w:hint="eastAsia" w:ascii="宋体" w:hAnsi="宋体" w:eastAsia="宋体" w:cs="宋体"/>
                <w:color w:val="auto"/>
                <w:kern w:val="0"/>
                <w:szCs w:val="21"/>
                <w:highlight w:val="none"/>
              </w:rPr>
            </w:pPr>
            <w:r>
              <w:rPr>
                <w:rFonts w:hint="eastAsia" w:ascii="Times New Roman" w:hAnsi="Times New Roman" w:eastAsia="宋体" w:cs="Times New Roman"/>
                <w:color w:val="auto"/>
                <w:szCs w:val="21"/>
                <w:highlight w:val="none"/>
              </w:rPr>
              <w:t>数量</w:t>
            </w:r>
          </w:p>
        </w:tc>
        <w:tc>
          <w:tcPr>
            <w:tcW w:w="1276" w:type="dxa"/>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标的预算（元）</w:t>
            </w:r>
          </w:p>
        </w:tc>
        <w:tc>
          <w:tcPr>
            <w:tcW w:w="1233" w:type="dxa"/>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最高限价（元）</w:t>
            </w:r>
          </w:p>
        </w:tc>
        <w:tc>
          <w:tcPr>
            <w:tcW w:w="750" w:type="dxa"/>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节能产品</w:t>
            </w:r>
          </w:p>
        </w:tc>
        <w:tc>
          <w:tcPr>
            <w:tcW w:w="729" w:type="dxa"/>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进口产品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7" w:hRule="atLeast"/>
        </w:trPr>
        <w:tc>
          <w:tcPr>
            <w:tcW w:w="534" w:type="dxa"/>
            <w:vAlign w:val="center"/>
          </w:tcPr>
          <w:p>
            <w:pPr>
              <w:widowControl w:val="0"/>
              <w:adjustRightInd w:val="0"/>
              <w:snapToGrid w:val="0"/>
              <w:spacing w:before="156" w:beforeLines="50" w:line="36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p>
        </w:tc>
        <w:tc>
          <w:tcPr>
            <w:tcW w:w="1701" w:type="dxa"/>
            <w:vAlign w:val="center"/>
          </w:tcPr>
          <w:p>
            <w:pPr>
              <w:widowControl w:val="0"/>
              <w:adjustRightInd w:val="0"/>
              <w:snapToGrid w:val="0"/>
              <w:spacing w:before="156" w:beforeLines="50" w:line="360" w:lineRule="auto"/>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2026年度苗木采购</w:t>
            </w:r>
          </w:p>
        </w:tc>
        <w:tc>
          <w:tcPr>
            <w:tcW w:w="1701" w:type="dxa"/>
            <w:vAlign w:val="center"/>
          </w:tcPr>
          <w:p>
            <w:pPr>
              <w:widowControl w:val="0"/>
              <w:adjustRightInd w:val="0"/>
              <w:snapToGrid w:val="0"/>
              <w:spacing w:before="156" w:beforeLines="50" w:line="360" w:lineRule="auto"/>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2026年度苗木采购</w:t>
            </w:r>
          </w:p>
        </w:tc>
        <w:tc>
          <w:tcPr>
            <w:tcW w:w="1134" w:type="dxa"/>
            <w:tcBorders>
              <w:left w:val="single" w:color="auto" w:sz="4" w:space="0"/>
            </w:tcBorders>
            <w:vAlign w:val="center"/>
          </w:tcPr>
          <w:p>
            <w:pPr>
              <w:widowControl w:val="0"/>
              <w:adjustRightInd w:val="0"/>
              <w:snapToGrid w:val="0"/>
              <w:spacing w:before="156" w:beforeLines="50" w:line="360" w:lineRule="auto"/>
              <w:jc w:val="both"/>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详见采购需求</w:t>
            </w:r>
          </w:p>
        </w:tc>
        <w:tc>
          <w:tcPr>
            <w:tcW w:w="850" w:type="dxa"/>
            <w:tcBorders>
              <w:left w:val="single" w:color="auto" w:sz="4" w:space="0"/>
            </w:tcBorders>
            <w:vAlign w:val="center"/>
          </w:tcPr>
          <w:p>
            <w:pPr>
              <w:widowControl w:val="0"/>
              <w:adjustRightInd w:val="0"/>
              <w:snapToGrid w:val="0"/>
              <w:spacing w:before="156" w:beforeLines="50" w:line="36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1项</w:t>
            </w:r>
          </w:p>
        </w:tc>
        <w:tc>
          <w:tcPr>
            <w:tcW w:w="1276" w:type="dxa"/>
            <w:vAlign w:val="center"/>
          </w:tcPr>
          <w:p>
            <w:pPr>
              <w:widowControl w:val="0"/>
              <w:adjustRightInd w:val="0"/>
              <w:snapToGrid w:val="0"/>
              <w:spacing w:before="156" w:beforeLines="50" w:line="360" w:lineRule="auto"/>
              <w:jc w:val="center"/>
              <w:rPr>
                <w:rFonts w:ascii="Times New Roman" w:hAnsi="Times New Roman" w:eastAsia="宋体" w:cs="Times New Roman"/>
                <w:color w:val="auto"/>
                <w:szCs w:val="21"/>
                <w:highlight w:val="none"/>
              </w:rPr>
            </w:pPr>
            <w:bookmarkStart w:id="11" w:name="OLE_LINK12"/>
            <w:r>
              <w:rPr>
                <w:rFonts w:hint="eastAsia" w:ascii="Times New Roman" w:hAnsi="Times New Roman" w:eastAsia="宋体" w:cs="Times New Roman"/>
                <w:color w:val="auto"/>
                <w:szCs w:val="21"/>
                <w:highlight w:val="none"/>
                <w:lang w:eastAsia="zh-CN"/>
              </w:rPr>
              <w:t>657650.00</w:t>
            </w:r>
            <w:r>
              <w:rPr>
                <w:rFonts w:hint="eastAsia" w:ascii="Times New Roman" w:hAnsi="Times New Roman" w:eastAsia="宋体" w:cs="Times New Roman"/>
                <w:color w:val="auto"/>
                <w:szCs w:val="21"/>
                <w:highlight w:val="none"/>
              </w:rPr>
              <w:t>元</w:t>
            </w:r>
            <w:bookmarkEnd w:id="11"/>
          </w:p>
        </w:tc>
        <w:tc>
          <w:tcPr>
            <w:tcW w:w="1233" w:type="dxa"/>
            <w:vAlign w:val="center"/>
          </w:tcPr>
          <w:p>
            <w:pPr>
              <w:widowControl w:val="0"/>
              <w:adjustRightInd w:val="0"/>
              <w:snapToGrid w:val="0"/>
              <w:spacing w:before="156" w:beforeLines="50" w:line="360" w:lineRule="auto"/>
              <w:jc w:val="center"/>
              <w:rPr>
                <w:rFonts w:hint="eastAsia" w:ascii="宋体" w:hAnsi="宋体" w:eastAsia="宋体" w:cs="Times New Roman"/>
                <w:iCs/>
                <w:color w:val="auto"/>
                <w:kern w:val="0"/>
                <w:szCs w:val="21"/>
                <w:highlight w:val="none"/>
              </w:rPr>
            </w:pPr>
            <w:r>
              <w:rPr>
                <w:rFonts w:hint="eastAsia" w:ascii="Times New Roman" w:hAnsi="Times New Roman" w:eastAsia="宋体" w:cs="Times New Roman"/>
                <w:color w:val="auto"/>
                <w:szCs w:val="21"/>
                <w:highlight w:val="none"/>
                <w:lang w:eastAsia="zh-CN"/>
              </w:rPr>
              <w:t>657650.00</w:t>
            </w:r>
            <w:r>
              <w:rPr>
                <w:rFonts w:hint="eastAsia" w:ascii="Times New Roman" w:hAnsi="Times New Roman" w:eastAsia="宋体" w:cs="Times New Roman"/>
                <w:color w:val="auto"/>
                <w:szCs w:val="21"/>
                <w:highlight w:val="none"/>
              </w:rPr>
              <w:t>元</w:t>
            </w:r>
          </w:p>
        </w:tc>
        <w:tc>
          <w:tcPr>
            <w:tcW w:w="750" w:type="dxa"/>
            <w:vAlign w:val="center"/>
          </w:tcPr>
          <w:p>
            <w:pPr>
              <w:widowControl w:val="0"/>
              <w:adjustRightInd w:val="0"/>
              <w:snapToGrid w:val="0"/>
              <w:spacing w:before="156" w:beforeLines="50" w:line="360" w:lineRule="auto"/>
              <w:jc w:val="center"/>
              <w:rPr>
                <w:rFonts w:ascii="Times New Roman" w:hAnsi="Times New Roman" w:eastAsia="宋体" w:cs="Times New Roman"/>
                <w:color w:val="auto"/>
                <w:szCs w:val="21"/>
                <w:highlight w:val="none"/>
              </w:rPr>
            </w:pPr>
            <w:r>
              <w:rPr>
                <w:rFonts w:hint="eastAsia" w:ascii="宋体" w:hAnsi="宋体" w:eastAsia="宋体" w:cs="Times New Roman"/>
                <w:iCs/>
                <w:color w:val="auto"/>
                <w:kern w:val="0"/>
                <w:szCs w:val="21"/>
                <w:highlight w:val="none"/>
              </w:rPr>
              <w:sym w:font="Wingdings" w:char="F0A8"/>
            </w:r>
          </w:p>
        </w:tc>
        <w:tc>
          <w:tcPr>
            <w:tcW w:w="729" w:type="dxa"/>
            <w:vAlign w:val="center"/>
          </w:tcPr>
          <w:p>
            <w:pPr>
              <w:widowControl w:val="0"/>
              <w:adjustRightInd w:val="0"/>
              <w:snapToGrid w:val="0"/>
              <w:spacing w:before="156" w:beforeLines="50" w:line="360" w:lineRule="auto"/>
              <w:jc w:val="center"/>
              <w:rPr>
                <w:rFonts w:ascii="Times New Roman" w:hAnsi="Times New Roman" w:eastAsia="宋体" w:cs="Times New Roman"/>
                <w:color w:val="auto"/>
                <w:szCs w:val="21"/>
                <w:highlight w:val="none"/>
              </w:rPr>
            </w:pPr>
            <w:r>
              <w:rPr>
                <w:rFonts w:hint="eastAsia" w:ascii="宋体" w:hAnsi="宋体" w:eastAsia="宋体" w:cs="Times New Roman"/>
                <w:iCs/>
                <w:color w:val="auto"/>
                <w:kern w:val="0"/>
                <w:szCs w:val="21"/>
                <w:highlight w:val="none"/>
              </w:rPr>
              <w:sym w:font="Wingdings" w:char="F0A8"/>
            </w:r>
          </w:p>
        </w:tc>
      </w:tr>
    </w:tbl>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说明：</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1.节能产品实行强制采购的，需提供国家认证机构出具的、处于有效期内的节能产品证书。</w:t>
      </w:r>
    </w:p>
    <w:p>
      <w:pPr>
        <w:widowControl w:val="0"/>
        <w:adjustRightInd w:val="0"/>
        <w:snapToGrid w:val="0"/>
        <w:spacing w:line="360" w:lineRule="auto"/>
        <w:ind w:firstLine="420" w:firstLineChars="200"/>
        <w:jc w:val="both"/>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2.同意购买进口产品的，不限制满足采购需求的国内产品参与谈判。</w:t>
      </w:r>
    </w:p>
    <w:p>
      <w:pPr>
        <w:keepNext/>
        <w:keepLines/>
        <w:widowControl w:val="0"/>
        <w:adjustRightInd w:val="0"/>
        <w:snapToGrid w:val="0"/>
        <w:spacing w:line="360" w:lineRule="auto"/>
        <w:jc w:val="both"/>
        <w:outlineLvl w:val="1"/>
        <w:rPr>
          <w:rFonts w:hint="eastAsia" w:ascii="黑体" w:hAnsi="黑体" w:eastAsia="黑体" w:cs="Times New Roman"/>
          <w:b/>
          <w:bCs/>
          <w:color w:val="auto"/>
          <w:sz w:val="24"/>
          <w:szCs w:val="32"/>
          <w:highlight w:val="none"/>
        </w:rPr>
      </w:pPr>
      <w:bookmarkStart w:id="12" w:name="_Toc214954888"/>
      <w:r>
        <w:rPr>
          <w:rFonts w:hint="eastAsia" w:ascii="黑体" w:hAnsi="黑体" w:eastAsia="黑体" w:cs="Times New Roman"/>
          <w:b/>
          <w:bCs/>
          <w:color w:val="auto"/>
          <w:sz w:val="24"/>
          <w:szCs w:val="32"/>
          <w:highlight w:val="none"/>
        </w:rPr>
        <w:t>三、采购项目需落实的政府采购政策</w:t>
      </w:r>
      <w:bookmarkEnd w:id="12"/>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bookmarkStart w:id="13" w:name="_Toc62225405"/>
      <w:bookmarkStart w:id="14" w:name="_Toc28359090"/>
      <w:bookmarkStart w:id="15" w:name="_Toc35393630"/>
      <w:bookmarkStart w:id="16" w:name="_Toc28359013"/>
      <w:bookmarkStart w:id="17" w:name="_Toc35393799"/>
      <w:bookmarkStart w:id="18" w:name="_Toc107997941"/>
      <w:r>
        <w:rPr>
          <w:rFonts w:hint="eastAsia" w:ascii="宋体" w:hAnsi="宋体" w:eastAsia="宋体" w:cs="Times New Roman"/>
          <w:color w:val="auto"/>
          <w:szCs w:val="21"/>
          <w:highlight w:val="none"/>
        </w:rPr>
        <w:t>1、优先采购：节能产品、环境标志产品、两型产品享受加分或价格折扣。</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2、支持中小企业：中小企业享受预留采购份额或价格折扣。</w:t>
      </w:r>
    </w:p>
    <w:p>
      <w:pPr>
        <w:keepNext/>
        <w:keepLines/>
        <w:widowControl w:val="0"/>
        <w:adjustRightInd w:val="0"/>
        <w:snapToGrid w:val="0"/>
        <w:spacing w:line="360" w:lineRule="auto"/>
        <w:jc w:val="both"/>
        <w:outlineLvl w:val="1"/>
        <w:rPr>
          <w:rFonts w:hint="eastAsia" w:ascii="黑体" w:hAnsi="黑体" w:eastAsia="黑体" w:cs="Times New Roman"/>
          <w:b/>
          <w:bCs/>
          <w:color w:val="auto"/>
          <w:sz w:val="24"/>
          <w:szCs w:val="32"/>
          <w:highlight w:val="none"/>
        </w:rPr>
      </w:pPr>
      <w:bookmarkStart w:id="19" w:name="_Toc214954889"/>
      <w:r>
        <w:rPr>
          <w:rFonts w:hint="eastAsia" w:ascii="黑体" w:hAnsi="黑体" w:eastAsia="黑体" w:cs="Times New Roman"/>
          <w:b/>
          <w:bCs/>
          <w:color w:val="auto"/>
          <w:sz w:val="24"/>
          <w:szCs w:val="32"/>
          <w:highlight w:val="none"/>
        </w:rPr>
        <w:t>四、供应商的资格要求</w:t>
      </w:r>
      <w:bookmarkEnd w:id="13"/>
      <w:bookmarkEnd w:id="14"/>
      <w:bookmarkEnd w:id="15"/>
      <w:bookmarkEnd w:id="16"/>
      <w:bookmarkEnd w:id="17"/>
      <w:bookmarkEnd w:id="18"/>
      <w:bookmarkEnd w:id="19"/>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bookmarkStart w:id="20" w:name="_Hlk206693027"/>
      <w:r>
        <w:rPr>
          <w:rFonts w:hint="eastAsia" w:ascii="宋体" w:hAnsi="宋体" w:eastAsia="宋体" w:cs="Times New Roman"/>
          <w:color w:val="auto"/>
          <w:szCs w:val="21"/>
          <w:highlight w:val="none"/>
        </w:rPr>
        <w:t>1、满足《中华人民共和国政府采购法》第二十二条规定；</w:t>
      </w:r>
    </w:p>
    <w:p>
      <w:pPr>
        <w:spacing w:line="360" w:lineRule="auto"/>
        <w:ind w:firstLine="420"/>
        <w:rPr>
          <w:rFonts w:hint="eastAsia" w:ascii="宋体" w:hAnsi="宋体" w:eastAsia="宋体" w:cs="Times New Roman"/>
          <w:color w:val="0000FF"/>
          <w:kern w:val="0"/>
          <w:szCs w:val="21"/>
          <w:highlight w:val="none"/>
        </w:rPr>
      </w:pPr>
      <w:bookmarkStart w:id="21" w:name="_Hlk206693675"/>
      <w:r>
        <w:rPr>
          <w:rFonts w:ascii="宋体" w:hAnsi="宋体" w:eastAsia="宋体" w:cs="Times New Roman"/>
          <w:color w:val="0000FF"/>
          <w:kern w:val="0"/>
          <w:szCs w:val="21"/>
          <w:highlight w:val="none"/>
        </w:rPr>
        <w:t>1.1具有独立承担民事责任的能力；</w:t>
      </w:r>
    </w:p>
    <w:p>
      <w:pPr>
        <w:spacing w:line="360" w:lineRule="auto"/>
        <w:ind w:firstLine="420"/>
        <w:rPr>
          <w:rFonts w:hint="eastAsia" w:ascii="宋体" w:hAnsi="宋体" w:eastAsia="宋体" w:cs="Times New Roman"/>
          <w:color w:val="0000FF"/>
          <w:kern w:val="0"/>
          <w:szCs w:val="21"/>
          <w:highlight w:val="none"/>
        </w:rPr>
      </w:pPr>
      <w:r>
        <w:rPr>
          <w:rFonts w:ascii="宋体" w:hAnsi="宋体" w:eastAsia="宋体" w:cs="Times New Roman"/>
          <w:color w:val="0000FF"/>
          <w:kern w:val="0"/>
          <w:szCs w:val="21"/>
          <w:highlight w:val="none"/>
        </w:rPr>
        <w:t>1.2具有良好的商业信誉和健全的财务会计制度；</w:t>
      </w:r>
    </w:p>
    <w:p>
      <w:pPr>
        <w:spacing w:line="360" w:lineRule="auto"/>
        <w:ind w:firstLine="420"/>
        <w:rPr>
          <w:rFonts w:hint="eastAsia" w:ascii="宋体" w:hAnsi="宋体" w:eastAsia="宋体" w:cs="Times New Roman"/>
          <w:color w:val="0000FF"/>
          <w:kern w:val="0"/>
          <w:szCs w:val="21"/>
          <w:highlight w:val="none"/>
        </w:rPr>
      </w:pPr>
      <w:r>
        <w:rPr>
          <w:rFonts w:ascii="宋体" w:hAnsi="宋体" w:eastAsia="宋体" w:cs="Times New Roman"/>
          <w:color w:val="0000FF"/>
          <w:kern w:val="0"/>
          <w:szCs w:val="21"/>
          <w:highlight w:val="none"/>
        </w:rPr>
        <w:t>1.3具有履行合同所必需的设备和专业技术能力；</w:t>
      </w:r>
    </w:p>
    <w:p>
      <w:pPr>
        <w:spacing w:line="360" w:lineRule="auto"/>
        <w:ind w:firstLine="420"/>
        <w:rPr>
          <w:rFonts w:hint="eastAsia" w:ascii="宋体" w:hAnsi="宋体" w:eastAsia="宋体" w:cs="Times New Roman"/>
          <w:color w:val="0000FF"/>
          <w:kern w:val="0"/>
          <w:szCs w:val="21"/>
          <w:highlight w:val="none"/>
        </w:rPr>
      </w:pPr>
      <w:r>
        <w:rPr>
          <w:rFonts w:ascii="宋体" w:hAnsi="宋体" w:eastAsia="宋体" w:cs="Times New Roman"/>
          <w:color w:val="0000FF"/>
          <w:kern w:val="0"/>
          <w:szCs w:val="21"/>
          <w:highlight w:val="none"/>
        </w:rPr>
        <w:t>1.4有依法缴纳税收和社会保障资金的良好记录；</w:t>
      </w:r>
    </w:p>
    <w:p>
      <w:pPr>
        <w:spacing w:line="360" w:lineRule="auto"/>
        <w:ind w:firstLine="420"/>
        <w:rPr>
          <w:rFonts w:hint="eastAsia" w:ascii="宋体" w:hAnsi="宋体" w:eastAsia="宋体" w:cs="Times New Roman"/>
          <w:color w:val="auto"/>
          <w:kern w:val="0"/>
          <w:szCs w:val="21"/>
          <w:highlight w:val="none"/>
        </w:rPr>
      </w:pPr>
      <w:r>
        <w:rPr>
          <w:rFonts w:ascii="宋体" w:hAnsi="宋体" w:eastAsia="宋体" w:cs="Times New Roman"/>
          <w:color w:val="auto"/>
          <w:kern w:val="0"/>
          <w:szCs w:val="21"/>
          <w:highlight w:val="none"/>
        </w:rPr>
        <w:t>1.5参加政府采购活动前三年内，在经营活动中没有重大违法记录；</w:t>
      </w:r>
    </w:p>
    <w:p>
      <w:pPr>
        <w:spacing w:line="360" w:lineRule="auto"/>
        <w:ind w:firstLine="420"/>
        <w:rPr>
          <w:rFonts w:hint="eastAsia" w:ascii="宋体" w:hAnsi="宋体" w:eastAsia="宋体" w:cs="Times New Roman"/>
          <w:color w:val="auto"/>
          <w:kern w:val="0"/>
          <w:szCs w:val="21"/>
          <w:highlight w:val="none"/>
        </w:rPr>
      </w:pPr>
      <w:r>
        <w:rPr>
          <w:rFonts w:ascii="宋体" w:hAnsi="宋体" w:eastAsia="宋体" w:cs="Times New Roman"/>
          <w:color w:val="auto"/>
          <w:kern w:val="0"/>
          <w:szCs w:val="21"/>
          <w:highlight w:val="none"/>
        </w:rPr>
        <w:t>1.6法律、行政法规规定的其他条件。</w:t>
      </w:r>
    </w:p>
    <w:p>
      <w:pPr>
        <w:widowControl w:val="0"/>
        <w:adjustRightInd w:val="0"/>
        <w:snapToGrid w:val="0"/>
        <w:spacing w:line="360" w:lineRule="auto"/>
        <w:ind w:firstLine="420" w:firstLineChars="200"/>
        <w:jc w:val="both"/>
        <w:rPr>
          <w:rFonts w:hint="eastAsia" w:ascii="宋体" w:hAnsi="宋体" w:eastAsia="宋体" w:cs="Times New Roman"/>
          <w:color w:val="auto"/>
          <w:kern w:val="0"/>
          <w:szCs w:val="21"/>
          <w:highlight w:val="none"/>
        </w:rPr>
      </w:pPr>
      <w:r>
        <w:rPr>
          <w:rFonts w:ascii="宋体" w:hAnsi="宋体" w:eastAsia="宋体" w:cs="Times New Roman"/>
          <w:color w:val="auto"/>
          <w:kern w:val="0"/>
          <w:szCs w:val="21"/>
          <w:highlight w:val="none"/>
        </w:rPr>
        <w:t>注：根据《湖南省财政厅关于政府采购促进中小企业发展有关措施的通知》（湘财购[2022]17号）相关规定，符合法定条件的供应商凭《湖南省政府采购供应商资格承诺函》参与政府采购活动，无需提供财务状况、缴纳税收和社会保障资金等资格证明材料。</w:t>
      </w:r>
    </w:p>
    <w:bookmarkEnd w:id="20"/>
    <w:bookmarkEnd w:id="21"/>
    <w:p>
      <w:pPr>
        <w:widowControl w:val="0"/>
        <w:shd w:val="clear" w:color="auto" w:fill="FFFFFF"/>
        <w:spacing w:after="150" w:line="410" w:lineRule="atLeast"/>
        <w:ind w:firstLine="420"/>
        <w:jc w:val="both"/>
        <w:rPr>
          <w:rFonts w:hint="eastAsia" w:ascii="宋体" w:hAnsi="宋体" w:eastAsia="宋体" w:cs="宋体"/>
          <w:color w:val="auto"/>
          <w:szCs w:val="21"/>
          <w:highlight w:val="none"/>
        </w:rPr>
      </w:pPr>
      <w:bookmarkStart w:id="22" w:name="_Toc22201058"/>
      <w:r>
        <w:rPr>
          <w:rFonts w:ascii="宋体" w:hAnsi="宋体" w:eastAsia="宋体" w:cs="宋体"/>
          <w:color w:val="auto"/>
          <w:szCs w:val="21"/>
          <w:highlight w:val="none"/>
        </w:rPr>
        <w:t>2、被“信用中国”“信用湖南”“信用郴州”网站列入失信被执行人和重大税收违法案件当事人名单的、被“中国政府采购网”“湖南省政府采购网”网站列入政府采购严重违法失信行为记录名单（处罚期限尚未届满的），不得参与本项目的政府采购活动。</w:t>
      </w:r>
    </w:p>
    <w:p>
      <w:pPr>
        <w:widowControl w:val="0"/>
        <w:adjustRightInd w:val="0"/>
        <w:snapToGrid w:val="0"/>
        <w:spacing w:line="360" w:lineRule="auto"/>
        <w:ind w:firstLine="420" w:firstLineChars="200"/>
        <w:jc w:val="both"/>
        <w:rPr>
          <w:rFonts w:hint="eastAsia" w:ascii="宋体" w:hAnsi="宋体" w:eastAsia="宋体" w:cs="宋体"/>
          <w:color w:val="auto"/>
          <w:szCs w:val="21"/>
          <w:highlight w:val="none"/>
        </w:rPr>
      </w:pPr>
      <w:r>
        <w:rPr>
          <w:rFonts w:ascii="宋体" w:hAnsi="宋体" w:eastAsia="宋体" w:cs="宋体"/>
          <w:color w:val="auto"/>
          <w:szCs w:val="21"/>
          <w:highlight w:val="none"/>
        </w:rPr>
        <w:t>3、落实政府采购政策需满足的资格要求：</w:t>
      </w:r>
    </w:p>
    <w:p>
      <w:pPr>
        <w:widowControl w:val="0"/>
        <w:adjustRightInd w:val="0"/>
        <w:snapToGrid w:val="0"/>
        <w:spacing w:line="360" w:lineRule="auto"/>
        <w:ind w:firstLine="630" w:firstLineChars="300"/>
        <w:jc w:val="both"/>
        <w:rPr>
          <w:rFonts w:hint="eastAsia" w:ascii="宋体" w:hAnsi="宋体" w:eastAsia="宋体" w:cs="宋体"/>
          <w:color w:val="auto"/>
          <w:szCs w:val="21"/>
          <w:highlight w:val="none"/>
        </w:rPr>
      </w:pPr>
      <w:r>
        <w:rPr>
          <w:rFonts w:ascii="Wingdings" w:hAnsi="Wingdings" w:eastAsia="宋体" w:cs="Times New Roman"/>
          <w:color w:val="auto"/>
          <w:kern w:val="0"/>
          <w:szCs w:val="21"/>
          <w:highlight w:val="none"/>
        </w:rPr>
        <w:sym w:font="Wingdings 2" w:char="F052"/>
      </w:r>
      <w:r>
        <w:rPr>
          <w:rFonts w:ascii="宋体" w:hAnsi="宋体" w:eastAsia="宋体" w:cs="宋体"/>
          <w:iCs/>
          <w:color w:val="auto"/>
          <w:szCs w:val="21"/>
          <w:highlight w:val="none"/>
        </w:rPr>
        <w:t>专门面向</w:t>
      </w:r>
      <w:r>
        <w:rPr>
          <w:rFonts w:ascii="宋体" w:hAnsi="宋体" w:eastAsia="宋体" w:cs="宋体"/>
          <w:bCs/>
          <w:color w:val="auto"/>
          <w:szCs w:val="21"/>
          <w:highlight w:val="none"/>
        </w:rPr>
        <w:t>：</w:t>
      </w:r>
      <w:r>
        <w:rPr>
          <w:rFonts w:ascii="Wingdings" w:hAnsi="Wingdings" w:eastAsia="宋体" w:cs="Times New Roman"/>
          <w:color w:val="auto"/>
          <w:kern w:val="0"/>
          <w:szCs w:val="21"/>
          <w:highlight w:val="none"/>
        </w:rPr>
        <w:sym w:font="Wingdings 2" w:char="F052"/>
      </w:r>
      <w:r>
        <w:rPr>
          <w:rFonts w:ascii="宋体" w:hAnsi="宋体" w:eastAsia="宋体" w:cs="宋体"/>
          <w:iCs/>
          <w:color w:val="auto"/>
          <w:szCs w:val="21"/>
          <w:highlight w:val="none"/>
        </w:rPr>
        <w:t xml:space="preserve">中小企业  </w:t>
      </w:r>
      <w:r>
        <w:rPr>
          <w:rFonts w:ascii="Wingdings" w:hAnsi="Wingdings" w:eastAsia="宋体" w:cs="Times New Roman"/>
          <w:color w:val="auto"/>
          <w:kern w:val="0"/>
          <w:szCs w:val="21"/>
          <w:highlight w:val="none"/>
        </w:rPr>
        <w:sym w:font="Wingdings 2" w:char="F052"/>
      </w:r>
      <w:r>
        <w:rPr>
          <w:rFonts w:ascii="宋体" w:hAnsi="宋体" w:eastAsia="宋体" w:cs="宋体"/>
          <w:iCs/>
          <w:color w:val="auto"/>
          <w:szCs w:val="21"/>
          <w:highlight w:val="none"/>
        </w:rPr>
        <w:t xml:space="preserve">小微企业  </w:t>
      </w:r>
      <w:r>
        <w:rPr>
          <w:rFonts w:ascii="宋体" w:hAnsi="宋体" w:eastAsia="宋体" w:cs="Times New Roman"/>
          <w:color w:val="auto"/>
          <w:kern w:val="0"/>
          <w:szCs w:val="21"/>
          <w:highlight w:val="none"/>
        </w:rPr>
        <w:t>□</w:t>
      </w:r>
      <w:r>
        <w:rPr>
          <w:rFonts w:ascii="宋体" w:hAnsi="宋体" w:eastAsia="宋体" w:cs="宋体"/>
          <w:iCs/>
          <w:color w:val="auto"/>
          <w:szCs w:val="21"/>
          <w:highlight w:val="none"/>
        </w:rPr>
        <w:t xml:space="preserve">监狱企业  </w:t>
      </w:r>
      <w:r>
        <w:rPr>
          <w:rFonts w:ascii="宋体" w:hAnsi="宋体" w:eastAsia="宋体" w:cs="Times New Roman"/>
          <w:color w:val="auto"/>
          <w:kern w:val="0"/>
          <w:szCs w:val="21"/>
          <w:highlight w:val="none"/>
        </w:rPr>
        <w:t>□</w:t>
      </w:r>
      <w:r>
        <w:rPr>
          <w:rFonts w:ascii="宋体" w:hAnsi="宋体" w:eastAsia="宋体" w:cs="宋体"/>
          <w:iCs/>
          <w:color w:val="auto"/>
          <w:szCs w:val="21"/>
          <w:highlight w:val="none"/>
        </w:rPr>
        <w:t>福利性单位。</w:t>
      </w:r>
    </w:p>
    <w:p>
      <w:pPr>
        <w:widowControl w:val="0"/>
        <w:adjustRightInd w:val="0"/>
        <w:snapToGrid w:val="0"/>
        <w:spacing w:line="360" w:lineRule="auto"/>
        <w:ind w:firstLine="630" w:firstLineChars="300"/>
        <w:jc w:val="both"/>
        <w:rPr>
          <w:rFonts w:hint="eastAsia" w:ascii="宋体" w:hAnsi="宋体" w:eastAsia="宋体" w:cs="宋体"/>
          <w:bCs/>
          <w:color w:val="auto"/>
          <w:szCs w:val="21"/>
          <w:highlight w:val="none"/>
        </w:rPr>
      </w:pPr>
      <w:r>
        <w:rPr>
          <w:rFonts w:ascii="宋体" w:hAnsi="宋体" w:eastAsia="宋体" w:cs="Times New Roman"/>
          <w:color w:val="auto"/>
          <w:kern w:val="0"/>
          <w:szCs w:val="21"/>
          <w:highlight w:val="none"/>
        </w:rPr>
        <w:t>□</w:t>
      </w:r>
      <w:r>
        <w:rPr>
          <w:rFonts w:ascii="宋体" w:hAnsi="宋体" w:eastAsia="宋体" w:cs="宋体"/>
          <w:iCs/>
          <w:color w:val="auto"/>
          <w:szCs w:val="21"/>
          <w:highlight w:val="none"/>
        </w:rPr>
        <w:t>强制</w:t>
      </w:r>
      <w:r>
        <w:rPr>
          <w:rFonts w:ascii="宋体" w:hAnsi="宋体" w:eastAsia="宋体" w:cs="宋体"/>
          <w:bCs/>
          <w:color w:val="auto"/>
          <w:szCs w:val="21"/>
          <w:highlight w:val="none"/>
        </w:rPr>
        <w:t>分包：大型企业应将采购份额的</w:t>
      </w:r>
      <w:r>
        <w:rPr>
          <w:rFonts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u w:val="single"/>
        </w:rPr>
        <w:t>/</w:t>
      </w:r>
      <w:r>
        <w:rPr>
          <w:rFonts w:ascii="宋体" w:hAnsi="宋体" w:eastAsia="宋体" w:cs="宋体"/>
          <w:bCs/>
          <w:color w:val="auto"/>
          <w:szCs w:val="21"/>
          <w:highlight w:val="none"/>
          <w:u w:val="single"/>
        </w:rPr>
        <w:t xml:space="preserve">  </w:t>
      </w:r>
      <w:r>
        <w:rPr>
          <w:rFonts w:ascii="宋体" w:hAnsi="宋体" w:eastAsia="宋体" w:cs="宋体"/>
          <w:bCs/>
          <w:color w:val="auto"/>
          <w:szCs w:val="21"/>
          <w:highlight w:val="none"/>
        </w:rPr>
        <w:t>%分包给中小企业。</w:t>
      </w:r>
    </w:p>
    <w:p>
      <w:pPr>
        <w:widowControl w:val="0"/>
        <w:numPr>
          <w:ilvl w:val="0"/>
          <w:numId w:val="2"/>
        </w:numPr>
        <w:adjustRightInd w:val="0"/>
        <w:snapToGrid w:val="0"/>
        <w:spacing w:line="360" w:lineRule="auto"/>
        <w:ind w:firstLine="420" w:firstLineChars="200"/>
        <w:jc w:val="both"/>
        <w:rPr>
          <w:rFonts w:hint="eastAsia" w:ascii="宋体" w:hAnsi="宋体" w:eastAsia="宋体" w:cs="宋体"/>
          <w:bCs/>
          <w:color w:val="auto"/>
          <w:szCs w:val="21"/>
          <w:highlight w:val="none"/>
        </w:rPr>
      </w:pPr>
      <w:r>
        <w:rPr>
          <w:rFonts w:ascii="宋体" w:hAnsi="宋体" w:eastAsia="宋体" w:cs="宋体"/>
          <w:bCs/>
          <w:color w:val="auto"/>
          <w:szCs w:val="21"/>
          <w:highlight w:val="none"/>
        </w:rPr>
        <w:t>供应商的特定资格条件：</w:t>
      </w:r>
      <w:r>
        <w:rPr>
          <w:rFonts w:ascii="宋体" w:hAnsi="宋体" w:eastAsia="宋体" w:cs="Times New Roman"/>
          <w:color w:val="auto"/>
          <w:kern w:val="0"/>
          <w:szCs w:val="21"/>
          <w:highlight w:val="none"/>
        </w:rPr>
        <w:t>无</w:t>
      </w:r>
      <w:r>
        <w:rPr>
          <w:rFonts w:ascii="宋体" w:hAnsi="宋体" w:eastAsia="宋体" w:cs="宋体"/>
          <w:bCs/>
          <w:color w:val="auto"/>
          <w:szCs w:val="21"/>
          <w:highlight w:val="none"/>
        </w:rPr>
        <w:t>。</w:t>
      </w:r>
    </w:p>
    <w:p>
      <w:pPr>
        <w:widowControl w:val="0"/>
        <w:adjustRightInd w:val="0"/>
        <w:snapToGrid w:val="0"/>
        <w:spacing w:line="360" w:lineRule="auto"/>
        <w:ind w:firstLine="420" w:firstLineChars="200"/>
        <w:jc w:val="both"/>
        <w:rPr>
          <w:rFonts w:hint="eastAsia" w:ascii="宋体" w:hAnsi="宋体" w:eastAsia="宋体" w:cs="宋体"/>
          <w:color w:val="auto"/>
          <w:szCs w:val="21"/>
          <w:highlight w:val="none"/>
        </w:rPr>
      </w:pPr>
      <w:r>
        <w:rPr>
          <w:rFonts w:ascii="宋体" w:hAnsi="宋体" w:eastAsia="宋体" w:cs="宋体"/>
          <w:color w:val="auto"/>
          <w:szCs w:val="21"/>
          <w:highlight w:val="none"/>
        </w:rPr>
        <w:t>5、单位负责人为同一人或者存在直接控股、管理关系的不同供应商，不得参加同一合同项下的政府采购活动。</w:t>
      </w:r>
    </w:p>
    <w:p>
      <w:pPr>
        <w:widowControl w:val="0"/>
        <w:adjustRightInd w:val="0"/>
        <w:snapToGrid w:val="0"/>
        <w:spacing w:line="360" w:lineRule="auto"/>
        <w:ind w:firstLine="420" w:firstLineChars="200"/>
        <w:jc w:val="both"/>
        <w:rPr>
          <w:rFonts w:hint="eastAsia" w:ascii="宋体" w:hAnsi="宋体" w:eastAsia="宋体" w:cs="宋体"/>
          <w:color w:val="auto"/>
          <w:szCs w:val="21"/>
          <w:highlight w:val="none"/>
        </w:rPr>
      </w:pPr>
      <w:r>
        <w:rPr>
          <w:rFonts w:ascii="宋体" w:hAnsi="宋体" w:eastAsia="宋体" w:cs="宋体"/>
          <w:color w:val="auto"/>
          <w:szCs w:val="21"/>
          <w:highlight w:val="none"/>
        </w:rPr>
        <w:t>6、为本采购项目提供整体设计、规范编制或者项目管理、监理、检测等服务的，不得再参加此项目的其他采购活动。</w:t>
      </w:r>
    </w:p>
    <w:p>
      <w:pPr>
        <w:widowControl w:val="0"/>
        <w:adjustRightInd w:val="0"/>
        <w:snapToGrid w:val="0"/>
        <w:spacing w:line="360" w:lineRule="auto"/>
        <w:ind w:firstLine="420" w:firstLineChars="200"/>
        <w:jc w:val="both"/>
        <w:rPr>
          <w:rFonts w:hint="eastAsia" w:ascii="宋体" w:hAnsi="宋体" w:eastAsia="宋体" w:cs="宋体"/>
          <w:color w:val="auto"/>
          <w:szCs w:val="21"/>
          <w:highlight w:val="none"/>
        </w:rPr>
      </w:pPr>
      <w:r>
        <w:rPr>
          <w:rFonts w:ascii="宋体" w:hAnsi="宋体" w:eastAsia="宋体" w:cs="宋体"/>
          <w:color w:val="auto"/>
          <w:szCs w:val="21"/>
          <w:highlight w:val="none"/>
        </w:rPr>
        <w:t>7、本次采购</w:t>
      </w:r>
      <w:r>
        <w:rPr>
          <w:rFonts w:ascii="宋体" w:hAnsi="宋体" w:eastAsia="宋体" w:cs="宋体"/>
          <w:color w:val="auto"/>
          <w:szCs w:val="21"/>
          <w:highlight w:val="none"/>
          <w:u w:val="single"/>
        </w:rPr>
        <w:t>不接受</w:t>
      </w:r>
      <w:r>
        <w:rPr>
          <w:rFonts w:ascii="宋体" w:hAnsi="宋体" w:eastAsia="宋体" w:cs="宋体"/>
          <w:color w:val="auto"/>
          <w:szCs w:val="21"/>
          <w:highlight w:val="none"/>
        </w:rPr>
        <w:t>联合体响应。</w:t>
      </w:r>
    </w:p>
    <w:p>
      <w:pPr>
        <w:widowControl w:val="0"/>
        <w:adjustRightInd w:val="0"/>
        <w:snapToGrid w:val="0"/>
        <w:spacing w:line="360" w:lineRule="auto"/>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8、如果是法定代表人</w:t>
      </w:r>
      <w:r>
        <w:rPr>
          <w:rFonts w:hint="eastAsia" w:ascii="宋体" w:hAnsi="宋体" w:eastAsia="宋体" w:cs="Times New Roman"/>
          <w:color w:val="auto"/>
          <w:szCs w:val="21"/>
          <w:highlight w:val="none"/>
        </w:rPr>
        <w:t>（单位负责人）</w:t>
      </w:r>
      <w:r>
        <w:rPr>
          <w:rFonts w:hint="eastAsia" w:ascii="宋体" w:hAnsi="宋体" w:eastAsia="宋体" w:cs="宋体"/>
          <w:color w:val="auto"/>
          <w:szCs w:val="21"/>
          <w:highlight w:val="none"/>
        </w:rPr>
        <w:t>直接参与投标的，</w:t>
      </w:r>
      <w:r>
        <w:rPr>
          <w:rFonts w:hint="eastAsia" w:ascii="宋体" w:hAnsi="宋体" w:eastAsia="宋体" w:cs="Times New Roman"/>
          <w:color w:val="auto"/>
          <w:szCs w:val="21"/>
          <w:highlight w:val="none"/>
        </w:rPr>
        <w:t>提供法定代表人（单位负责人）身份证明（格式），如果是委托代理人参加的,提供法定代表人身份证明（格式）和授权委托书（格式）。</w:t>
      </w:r>
    </w:p>
    <w:p>
      <w:pPr>
        <w:keepNext/>
        <w:keepLines/>
        <w:widowControl w:val="0"/>
        <w:adjustRightInd w:val="0"/>
        <w:snapToGrid w:val="0"/>
        <w:spacing w:before="156" w:beforeLines="50" w:line="360" w:lineRule="auto"/>
        <w:jc w:val="both"/>
        <w:outlineLvl w:val="1"/>
        <w:rPr>
          <w:rFonts w:hint="eastAsia" w:ascii="黑体" w:hAnsi="黑体" w:eastAsia="黑体" w:cs="Times New Roman"/>
          <w:b/>
          <w:bCs/>
          <w:color w:val="auto"/>
          <w:sz w:val="24"/>
          <w:szCs w:val="32"/>
          <w:highlight w:val="none"/>
        </w:rPr>
      </w:pPr>
      <w:bookmarkStart w:id="23" w:name="_Toc214954890"/>
      <w:r>
        <w:rPr>
          <w:rFonts w:hint="eastAsia" w:ascii="黑体" w:hAnsi="黑体" w:eastAsia="黑体" w:cs="Times New Roman"/>
          <w:b/>
          <w:bCs/>
          <w:color w:val="auto"/>
          <w:sz w:val="24"/>
          <w:szCs w:val="32"/>
          <w:highlight w:val="none"/>
        </w:rPr>
        <w:t>五、获取谈判文件的时间、地点及方式</w:t>
      </w:r>
      <w:bookmarkEnd w:id="22"/>
      <w:bookmarkEnd w:id="23"/>
    </w:p>
    <w:p>
      <w:pPr>
        <w:shd w:val="clear" w:color="auto" w:fill="FFFFFF"/>
        <w:spacing w:line="360" w:lineRule="auto"/>
        <w:ind w:firstLine="420"/>
        <w:rPr>
          <w:rFonts w:ascii="Times New Roman" w:hAnsi="Times New Roman" w:eastAsia="宋体" w:cs="Times New Roman"/>
          <w:color w:val="auto"/>
          <w:kern w:val="0"/>
          <w:szCs w:val="21"/>
          <w:highlight w:val="none"/>
        </w:rPr>
      </w:pPr>
      <w:bookmarkStart w:id="24" w:name="_Toc22201059"/>
      <w:r>
        <w:rPr>
          <w:rFonts w:ascii="宋体" w:hAnsi="宋体" w:eastAsia="宋体" w:cs="Times New Roman"/>
          <w:color w:val="auto"/>
          <w:kern w:val="0"/>
          <w:szCs w:val="21"/>
          <w:highlight w:val="none"/>
          <w:shd w:val="clear" w:color="auto" w:fill="FFFFFF"/>
        </w:rPr>
        <w:t>1、竞争性谈判文件的获取时间：凡符合投标资格要求并有意参加竞争性谈判活动的，可在公告发布之日起至提交响应文件截止之日通过郴州市政府采购（非标）电子交易平台（网址：http://cz.hbncp.com.cn/#/）免费获取及下载电子谈判文件。</w:t>
      </w:r>
    </w:p>
    <w:p>
      <w:pPr>
        <w:shd w:val="clear" w:color="auto" w:fill="FFFFFF"/>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shd w:val="clear" w:color="auto" w:fill="FFFFFF"/>
        </w:rPr>
        <w:t>2、谈判文件及修改、澄清文件的获取方式：</w:t>
      </w:r>
    </w:p>
    <w:p>
      <w:pPr>
        <w:shd w:val="clear" w:color="auto" w:fill="FFFFFF"/>
        <w:wordWrap w:val="0"/>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shd w:val="clear" w:color="auto" w:fill="FFFFFF"/>
        </w:rPr>
        <w:t>2.1供应商应在本项目获取谈判文件截止时间前登录湖南省公共资源交易统一注册平台（网址：http://222.240.80.14:8888/G2/register!verification.do?systemId=4028c7b35a8cfff2015a8df8bba001fc）中进行账号注册和数字证书申请。</w:t>
      </w:r>
    </w:p>
    <w:p>
      <w:pPr>
        <w:shd w:val="clear" w:color="auto" w:fill="FFFFFF"/>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shd w:val="clear" w:color="auto" w:fill="FFFFFF"/>
        </w:rPr>
        <w:t>2.2已完成审核的供应商应在本项目获取谈判文件截止时间前登录郴州市政府采购（非标）电子交易平台（网址：http://cz.hbncp.com.cn/#/）中进行“公告”--“立即投递”--“下载文件”的操作，逾期将不能获取文件。未按照相关程序操作的供应商，所产生的后果由供应商自行承担全部责任。修改、澄清后的谈判文件请供应商自行在以上网站下载或查阅，恕不另行通知，如有遗漏，由供应商自行承担全部责任。</w:t>
      </w:r>
    </w:p>
    <w:p>
      <w:pPr>
        <w:shd w:val="clear" w:color="auto" w:fill="FFFFFF"/>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shd w:val="clear" w:color="auto" w:fill="FFFFFF"/>
        </w:rPr>
        <w:t>3、通过网络下载，其谈判文件与备案的书面谈判文件具有同等法律效力。供应商应及时关注网上相关采购信息，如有遗漏（包括但不限于文件未下载或下载不完整），采购人概不负责，所造成的投标失败或损失由供应商自行承担。</w:t>
      </w:r>
    </w:p>
    <w:p>
      <w:pPr>
        <w:keepNext/>
        <w:keepLines/>
        <w:widowControl w:val="0"/>
        <w:adjustRightInd w:val="0"/>
        <w:snapToGrid w:val="0"/>
        <w:spacing w:before="156" w:beforeLines="50" w:line="360" w:lineRule="auto"/>
        <w:jc w:val="both"/>
        <w:outlineLvl w:val="1"/>
        <w:rPr>
          <w:rFonts w:hint="eastAsia" w:ascii="黑体" w:hAnsi="黑体" w:eastAsia="黑体" w:cs="Times New Roman"/>
          <w:b/>
          <w:bCs/>
          <w:color w:val="auto"/>
          <w:sz w:val="24"/>
          <w:szCs w:val="32"/>
          <w:highlight w:val="none"/>
        </w:rPr>
      </w:pPr>
      <w:bookmarkStart w:id="25" w:name="_Toc214954891"/>
      <w:r>
        <w:rPr>
          <w:rFonts w:hint="eastAsia" w:ascii="黑体" w:hAnsi="黑体" w:eastAsia="黑体" w:cs="Times New Roman"/>
          <w:b/>
          <w:bCs/>
          <w:color w:val="auto"/>
          <w:sz w:val="24"/>
          <w:szCs w:val="32"/>
          <w:highlight w:val="none"/>
        </w:rPr>
        <w:t>六、响应文件提交的截止时间、开启时间及地点</w:t>
      </w:r>
      <w:bookmarkEnd w:id="24"/>
      <w:bookmarkEnd w:id="25"/>
    </w:p>
    <w:p>
      <w:pPr>
        <w:spacing w:line="360" w:lineRule="auto"/>
        <w:ind w:firstLine="420"/>
        <w:rPr>
          <w:rFonts w:ascii="Times New Roman" w:hAnsi="Times New Roman" w:eastAsia="宋体" w:cs="Times New Roman"/>
          <w:color w:val="auto"/>
          <w:kern w:val="0"/>
          <w:szCs w:val="21"/>
          <w:highlight w:val="none"/>
        </w:rPr>
      </w:pPr>
      <w:bookmarkStart w:id="26" w:name="_Toc206583319"/>
      <w:r>
        <w:rPr>
          <w:rFonts w:ascii="宋体" w:hAnsi="宋体" w:eastAsia="宋体" w:cs="Times New Roman"/>
          <w:color w:val="auto"/>
          <w:kern w:val="0"/>
          <w:szCs w:val="21"/>
          <w:highlight w:val="none"/>
        </w:rPr>
        <w:t>1、响应文件的提交方式：供应商应在本项目获取谈判文件截止时间前登录郴州市公共资源（非标）电子交易平台（网址：</w:t>
      </w:r>
      <w:r>
        <w:rPr>
          <w:rFonts w:ascii="宋体" w:hAnsi="宋体" w:eastAsia="宋体" w:cs="Times New Roman"/>
          <w:color w:val="auto"/>
          <w:kern w:val="0"/>
          <w:szCs w:val="21"/>
          <w:highlight w:val="none"/>
          <w:u w:val="single"/>
        </w:rPr>
        <w:t>http://cz.hbncp.com.cn/#/</w:t>
      </w:r>
      <w:r>
        <w:rPr>
          <w:rFonts w:ascii="宋体" w:hAnsi="宋体" w:eastAsia="宋体" w:cs="Times New Roman"/>
          <w:color w:val="auto"/>
          <w:kern w:val="0"/>
          <w:szCs w:val="21"/>
          <w:highlight w:val="none"/>
        </w:rPr>
        <w:t>）进行线上上传。</w:t>
      </w:r>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2、首次响应文件的提交截止时间：</w:t>
      </w:r>
      <w:r>
        <w:rPr>
          <w:rFonts w:hint="eastAsia" w:ascii="宋体" w:hAnsi="宋体" w:eastAsia="宋体" w:cs="Times New Roman"/>
          <w:color w:val="auto"/>
          <w:kern w:val="0"/>
          <w:szCs w:val="21"/>
          <w:highlight w:val="none"/>
          <w:lang w:eastAsia="zh-CN"/>
        </w:rPr>
        <w:t>2026年</w:t>
      </w:r>
      <w:r>
        <w:rPr>
          <w:rFonts w:hint="eastAsia" w:ascii="宋体" w:hAnsi="宋体" w:eastAsia="宋体" w:cs="Times New Roman"/>
          <w:color w:val="auto"/>
          <w:kern w:val="0"/>
          <w:szCs w:val="21"/>
          <w:highlight w:val="none"/>
          <w:lang w:val="en-US" w:eastAsia="zh-CN"/>
        </w:rPr>
        <w:t>10</w:t>
      </w:r>
      <w:r>
        <w:rPr>
          <w:rFonts w:hint="eastAsia" w:ascii="宋体" w:hAnsi="宋体" w:eastAsia="宋体" w:cs="Times New Roman"/>
          <w:color w:val="auto"/>
          <w:kern w:val="0"/>
          <w:szCs w:val="21"/>
          <w:highlight w:val="none"/>
          <w:lang w:eastAsia="zh-CN"/>
        </w:rPr>
        <w:t xml:space="preserve"> 月</w:t>
      </w:r>
      <w:r>
        <w:rPr>
          <w:rFonts w:hint="eastAsia" w:ascii="宋体" w:hAnsi="宋体" w:eastAsia="宋体" w:cs="Times New Roman"/>
          <w:color w:val="auto"/>
          <w:kern w:val="0"/>
          <w:szCs w:val="21"/>
          <w:highlight w:val="none"/>
          <w:lang w:val="en-US" w:eastAsia="zh-CN"/>
        </w:rPr>
        <w:t>22</w:t>
      </w:r>
      <w:r>
        <w:rPr>
          <w:rFonts w:hint="eastAsia" w:ascii="宋体" w:hAnsi="宋体" w:eastAsia="宋体" w:cs="Times New Roman"/>
          <w:color w:val="auto"/>
          <w:kern w:val="0"/>
          <w:szCs w:val="21"/>
          <w:highlight w:val="none"/>
          <w:lang w:eastAsia="zh-CN"/>
        </w:rPr>
        <w:t>日</w:t>
      </w:r>
      <w:r>
        <w:rPr>
          <w:rFonts w:ascii="宋体" w:hAnsi="宋体" w:eastAsia="宋体" w:cs="Times New Roman"/>
          <w:color w:val="auto"/>
          <w:kern w:val="0"/>
          <w:szCs w:val="21"/>
          <w:highlight w:val="none"/>
        </w:rPr>
        <w:t>上午</w:t>
      </w:r>
      <w:r>
        <w:rPr>
          <w:rFonts w:hint="eastAsia" w:ascii="宋体" w:hAnsi="宋体" w:eastAsia="宋体" w:cs="Times New Roman"/>
          <w:color w:val="auto"/>
          <w:kern w:val="0"/>
          <w:szCs w:val="21"/>
          <w:highlight w:val="none"/>
          <w:lang w:val="en-US" w:eastAsia="zh-CN"/>
        </w:rPr>
        <w:t>9</w:t>
      </w:r>
      <w:r>
        <w:rPr>
          <w:rFonts w:ascii="宋体" w:hAnsi="宋体" w:eastAsia="宋体" w:cs="Times New Roman"/>
          <w:color w:val="auto"/>
          <w:kern w:val="0"/>
          <w:szCs w:val="21"/>
          <w:highlight w:val="none"/>
        </w:rPr>
        <w:t xml:space="preserve">时30分（北京时间），超过截止时间的投标将被拒绝。 </w:t>
      </w:r>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3、首次响应文件的开启时间：</w:t>
      </w:r>
      <w:r>
        <w:rPr>
          <w:rFonts w:hint="eastAsia" w:ascii="宋体" w:hAnsi="宋体" w:eastAsia="宋体" w:cs="Times New Roman"/>
          <w:color w:val="auto"/>
          <w:kern w:val="0"/>
          <w:szCs w:val="21"/>
          <w:highlight w:val="none"/>
          <w:lang w:eastAsia="zh-CN"/>
        </w:rPr>
        <w:t>2026年</w:t>
      </w:r>
      <w:r>
        <w:rPr>
          <w:rFonts w:hint="eastAsia" w:ascii="宋体" w:hAnsi="宋体" w:eastAsia="宋体" w:cs="Times New Roman"/>
          <w:color w:val="auto"/>
          <w:kern w:val="0"/>
          <w:szCs w:val="21"/>
          <w:highlight w:val="none"/>
          <w:lang w:val="en-US" w:eastAsia="zh-CN"/>
        </w:rPr>
        <w:t>10</w:t>
      </w:r>
      <w:r>
        <w:rPr>
          <w:rFonts w:hint="eastAsia" w:ascii="宋体" w:hAnsi="宋体" w:eastAsia="宋体" w:cs="Times New Roman"/>
          <w:color w:val="auto"/>
          <w:kern w:val="0"/>
          <w:szCs w:val="21"/>
          <w:highlight w:val="none"/>
          <w:lang w:eastAsia="zh-CN"/>
        </w:rPr>
        <w:t xml:space="preserve"> 月</w:t>
      </w:r>
      <w:r>
        <w:rPr>
          <w:rFonts w:hint="eastAsia" w:ascii="宋体" w:hAnsi="宋体" w:eastAsia="宋体" w:cs="Times New Roman"/>
          <w:color w:val="auto"/>
          <w:kern w:val="0"/>
          <w:szCs w:val="21"/>
          <w:highlight w:val="none"/>
          <w:lang w:val="en-US" w:eastAsia="zh-CN"/>
        </w:rPr>
        <w:t>22</w:t>
      </w:r>
      <w:r>
        <w:rPr>
          <w:rFonts w:hint="eastAsia" w:ascii="宋体" w:hAnsi="宋体" w:eastAsia="宋体" w:cs="Times New Roman"/>
          <w:color w:val="auto"/>
          <w:kern w:val="0"/>
          <w:szCs w:val="21"/>
          <w:highlight w:val="none"/>
          <w:lang w:eastAsia="zh-CN"/>
        </w:rPr>
        <w:t>日</w:t>
      </w:r>
      <w:r>
        <w:rPr>
          <w:rFonts w:ascii="宋体" w:hAnsi="宋体" w:eastAsia="宋体" w:cs="Times New Roman"/>
          <w:color w:val="auto"/>
          <w:kern w:val="0"/>
          <w:szCs w:val="21"/>
          <w:highlight w:val="none"/>
        </w:rPr>
        <w:t>上午</w:t>
      </w:r>
      <w:r>
        <w:rPr>
          <w:rFonts w:hint="eastAsia" w:ascii="宋体" w:hAnsi="宋体" w:eastAsia="宋体" w:cs="Times New Roman"/>
          <w:color w:val="auto"/>
          <w:kern w:val="0"/>
          <w:szCs w:val="21"/>
          <w:highlight w:val="none"/>
          <w:lang w:val="en-US" w:eastAsia="zh-CN"/>
        </w:rPr>
        <w:t>9</w:t>
      </w:r>
      <w:r>
        <w:rPr>
          <w:rFonts w:ascii="宋体" w:hAnsi="宋体" w:eastAsia="宋体" w:cs="Times New Roman"/>
          <w:color w:val="auto"/>
          <w:kern w:val="0"/>
          <w:szCs w:val="21"/>
          <w:highlight w:val="none"/>
        </w:rPr>
        <w:t>时30分（北京时间）。</w:t>
      </w:r>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4、首次响应文件的开启地点：郴州市市民服务中心</w:t>
      </w:r>
      <w:r>
        <w:rPr>
          <w:rFonts w:hint="eastAsia" w:ascii="宋体" w:hAnsi="宋体" w:eastAsia="宋体" w:cs="Times New Roman"/>
          <w:color w:val="auto"/>
          <w:kern w:val="0"/>
          <w:szCs w:val="21"/>
          <w:highlight w:val="none"/>
        </w:rPr>
        <w:t>4</w:t>
      </w:r>
      <w:r>
        <w:rPr>
          <w:rFonts w:ascii="宋体" w:hAnsi="宋体" w:eastAsia="宋体" w:cs="Times New Roman"/>
          <w:color w:val="auto"/>
          <w:kern w:val="0"/>
          <w:szCs w:val="21"/>
          <w:highlight w:val="none"/>
        </w:rPr>
        <w:t>楼市公共资源交易中心第</w:t>
      </w:r>
      <w:r>
        <w:rPr>
          <w:rFonts w:hint="eastAsia" w:ascii="宋体" w:hAnsi="宋体" w:eastAsia="宋体" w:cs="Times New Roman"/>
          <w:color w:val="auto"/>
          <w:kern w:val="0"/>
          <w:szCs w:val="21"/>
          <w:highlight w:val="none"/>
          <w:lang w:val="en-US" w:eastAsia="zh-CN"/>
        </w:rPr>
        <w:t>3</w:t>
      </w:r>
      <w:r>
        <w:rPr>
          <w:rFonts w:ascii="宋体" w:hAnsi="宋体" w:eastAsia="宋体" w:cs="Times New Roman"/>
          <w:color w:val="auto"/>
          <w:kern w:val="0"/>
          <w:szCs w:val="21"/>
          <w:highlight w:val="none"/>
        </w:rPr>
        <w:t>开标室。</w:t>
      </w:r>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5、本项目实行全流程电子化，供应商应在规定时间内使用电脑自行远程解密开启文件，并参加网上开标活动。电子响应文件解密时限：30分钟。请供应商确保响应文件如期解密。</w:t>
      </w:r>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6、首次响应文件的开启时间与提交首次响应文件的截止时间为同一时间。</w:t>
      </w:r>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7、本项目电子响应文件容量应当控制在100MB以内（如文件大小超过100M，请联系系统客服协助），请供应商注意控制文件大小，若因响应文件容量较大而影响投标的，其责任由供应商自行承担。</w:t>
      </w:r>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8、为保证本项目的顺利进行，供应商应在投递页面填写本项目的谈判授权代表的手机号码，以便顺利通过视频会议进行谈判。</w:t>
      </w:r>
    </w:p>
    <w:p>
      <w:pPr>
        <w:keepNext/>
        <w:keepLines/>
        <w:widowControl w:val="0"/>
        <w:adjustRightInd w:val="0"/>
        <w:snapToGrid w:val="0"/>
        <w:spacing w:before="156" w:beforeLines="50" w:line="360" w:lineRule="auto"/>
        <w:jc w:val="both"/>
        <w:outlineLvl w:val="1"/>
        <w:rPr>
          <w:rFonts w:hint="eastAsia" w:ascii="黑体" w:hAnsi="黑体" w:eastAsia="黑体" w:cs="Times New Roman"/>
          <w:b/>
          <w:bCs/>
          <w:color w:val="auto"/>
          <w:sz w:val="24"/>
          <w:szCs w:val="32"/>
          <w:highlight w:val="none"/>
        </w:rPr>
      </w:pPr>
      <w:bookmarkStart w:id="27" w:name="_Toc214954892"/>
      <w:r>
        <w:rPr>
          <w:rFonts w:hint="eastAsia" w:ascii="黑体" w:hAnsi="黑体" w:eastAsia="黑体" w:cs="Times New Roman"/>
          <w:b/>
          <w:bCs/>
          <w:color w:val="auto"/>
          <w:sz w:val="24"/>
          <w:szCs w:val="32"/>
          <w:highlight w:val="none"/>
        </w:rPr>
        <w:t>七、</w:t>
      </w:r>
      <w:bookmarkEnd w:id="26"/>
      <w:r>
        <w:rPr>
          <w:rFonts w:hint="eastAsia" w:ascii="黑体" w:hAnsi="黑体" w:eastAsia="黑体" w:cs="Times New Roman"/>
          <w:b/>
          <w:bCs/>
          <w:color w:val="auto"/>
          <w:sz w:val="24"/>
          <w:szCs w:val="32"/>
          <w:highlight w:val="none"/>
        </w:rPr>
        <w:t>公告期限</w:t>
      </w:r>
      <w:bookmarkEnd w:id="27"/>
    </w:p>
    <w:p>
      <w:pPr>
        <w:spacing w:line="360" w:lineRule="auto"/>
        <w:ind w:firstLine="420"/>
        <w:rPr>
          <w:rFonts w:ascii="Times New Roman" w:hAnsi="Times New Roman" w:eastAsia="宋体" w:cs="Times New Roman"/>
          <w:color w:val="auto"/>
          <w:kern w:val="0"/>
          <w:szCs w:val="21"/>
          <w:highlight w:val="none"/>
        </w:rPr>
      </w:pPr>
      <w:bookmarkStart w:id="28" w:name="_Toc22201061"/>
      <w:r>
        <w:rPr>
          <w:rFonts w:ascii="宋体" w:hAnsi="宋体" w:eastAsia="宋体" w:cs="Times New Roman"/>
          <w:color w:val="auto"/>
          <w:kern w:val="0"/>
          <w:szCs w:val="21"/>
          <w:highlight w:val="none"/>
          <w:shd w:val="clear" w:color="auto" w:fill="FFFFFF"/>
        </w:rPr>
        <w:t>1、本</w:t>
      </w:r>
      <w:r>
        <w:rPr>
          <w:rFonts w:hint="eastAsia" w:ascii="宋体" w:hAnsi="宋体" w:eastAsia="宋体" w:cs="Times New Roman"/>
          <w:color w:val="auto"/>
          <w:kern w:val="0"/>
          <w:szCs w:val="21"/>
          <w:highlight w:val="none"/>
          <w:shd w:val="clear" w:color="auto" w:fill="FFFFFF"/>
        </w:rPr>
        <w:t>谈判邀请</w:t>
      </w:r>
      <w:r>
        <w:rPr>
          <w:rFonts w:ascii="宋体" w:hAnsi="宋体" w:eastAsia="宋体" w:cs="Times New Roman"/>
          <w:color w:val="auto"/>
          <w:kern w:val="0"/>
          <w:szCs w:val="21"/>
          <w:highlight w:val="none"/>
          <w:shd w:val="clear" w:color="auto" w:fill="FFFFFF"/>
        </w:rPr>
        <w:t>公告在中国湖南政府采购网（网址：http://www.ccgp-hunan.gov.cn/）和郴州市公共资源交易中心网（网址：http://czggzy.czs.gov.cn/）发布。公告期限从本公告发布之日起</w:t>
      </w:r>
      <w:r>
        <w:rPr>
          <w:rFonts w:hint="eastAsia" w:ascii="宋体" w:hAnsi="宋体" w:eastAsia="宋体" w:cs="Times New Roman"/>
          <w:color w:val="auto"/>
          <w:kern w:val="0"/>
          <w:szCs w:val="21"/>
          <w:highlight w:val="none"/>
          <w:shd w:val="clear" w:color="auto" w:fill="FFFFFF"/>
        </w:rPr>
        <w:t>3</w:t>
      </w:r>
      <w:r>
        <w:rPr>
          <w:rFonts w:ascii="宋体" w:hAnsi="宋体" w:eastAsia="宋体" w:cs="Times New Roman"/>
          <w:color w:val="auto"/>
          <w:kern w:val="0"/>
          <w:szCs w:val="21"/>
          <w:highlight w:val="none"/>
          <w:shd w:val="clear" w:color="auto" w:fill="FFFFFF"/>
        </w:rPr>
        <w:t>个工作日。</w:t>
      </w:r>
    </w:p>
    <w:p>
      <w:pPr>
        <w:spacing w:line="360" w:lineRule="auto"/>
        <w:ind w:firstLine="420"/>
        <w:rPr>
          <w:rFonts w:hint="eastAsia" w:ascii="宋体" w:hAnsi="宋体" w:eastAsia="宋体" w:cs="Times New Roman"/>
          <w:color w:val="auto"/>
          <w:kern w:val="0"/>
          <w:szCs w:val="21"/>
          <w:highlight w:val="none"/>
        </w:rPr>
      </w:pPr>
      <w:r>
        <w:rPr>
          <w:rFonts w:ascii="宋体" w:hAnsi="宋体" w:eastAsia="宋体" w:cs="Times New Roman"/>
          <w:color w:val="auto"/>
          <w:kern w:val="0"/>
          <w:szCs w:val="21"/>
          <w:highlight w:val="none"/>
        </w:rPr>
        <w:t>2、在其他媒体发布的</w:t>
      </w:r>
      <w:r>
        <w:rPr>
          <w:rFonts w:hint="eastAsia" w:ascii="宋体" w:hAnsi="宋体" w:eastAsia="宋体" w:cs="Times New Roman"/>
          <w:color w:val="auto"/>
          <w:kern w:val="0"/>
          <w:szCs w:val="21"/>
          <w:highlight w:val="none"/>
        </w:rPr>
        <w:t>谈判邀请</w:t>
      </w:r>
      <w:r>
        <w:rPr>
          <w:rFonts w:ascii="宋体" w:hAnsi="宋体" w:eastAsia="宋体" w:cs="Times New Roman"/>
          <w:color w:val="auto"/>
          <w:kern w:val="0"/>
          <w:szCs w:val="21"/>
          <w:highlight w:val="none"/>
        </w:rPr>
        <w:t>公告，公告内容以本</w:t>
      </w:r>
      <w:r>
        <w:rPr>
          <w:rFonts w:hint="eastAsia" w:ascii="宋体" w:hAnsi="宋体" w:eastAsia="宋体" w:cs="Times New Roman"/>
          <w:color w:val="auto"/>
          <w:kern w:val="0"/>
          <w:szCs w:val="21"/>
          <w:highlight w:val="none"/>
        </w:rPr>
        <w:t>谈判邀请</w:t>
      </w:r>
      <w:r>
        <w:rPr>
          <w:rFonts w:ascii="宋体" w:hAnsi="宋体" w:eastAsia="宋体" w:cs="Times New Roman"/>
          <w:color w:val="auto"/>
          <w:kern w:val="0"/>
          <w:szCs w:val="21"/>
          <w:highlight w:val="none"/>
        </w:rPr>
        <w:t>公告指定媒体发布的公告为准；公告期限自本</w:t>
      </w:r>
      <w:r>
        <w:rPr>
          <w:rFonts w:hint="eastAsia" w:ascii="宋体" w:hAnsi="宋体" w:eastAsia="宋体" w:cs="Times New Roman"/>
          <w:color w:val="auto"/>
          <w:kern w:val="0"/>
          <w:szCs w:val="21"/>
          <w:highlight w:val="none"/>
        </w:rPr>
        <w:t>谈判邀请</w:t>
      </w:r>
      <w:r>
        <w:rPr>
          <w:rFonts w:ascii="宋体" w:hAnsi="宋体" w:eastAsia="宋体" w:cs="Times New Roman"/>
          <w:color w:val="auto"/>
          <w:kern w:val="0"/>
          <w:szCs w:val="21"/>
          <w:highlight w:val="none"/>
        </w:rPr>
        <w:t>公告指定媒体最先发布公告之日起算。</w:t>
      </w:r>
    </w:p>
    <w:p>
      <w:pPr>
        <w:keepNext/>
        <w:keepLines/>
        <w:widowControl w:val="0"/>
        <w:adjustRightInd w:val="0"/>
        <w:snapToGrid w:val="0"/>
        <w:spacing w:before="156" w:beforeLines="50" w:line="360" w:lineRule="auto"/>
        <w:jc w:val="both"/>
        <w:outlineLvl w:val="1"/>
        <w:rPr>
          <w:rFonts w:hint="eastAsia" w:ascii="黑体" w:hAnsi="黑体" w:eastAsia="黑体" w:cs="Times New Roman"/>
          <w:b/>
          <w:bCs/>
          <w:color w:val="auto"/>
          <w:sz w:val="24"/>
          <w:szCs w:val="32"/>
          <w:highlight w:val="none"/>
        </w:rPr>
      </w:pPr>
      <w:bookmarkStart w:id="29" w:name="_Toc214954893"/>
      <w:bookmarkStart w:id="30" w:name="_Toc212820426"/>
      <w:r>
        <w:rPr>
          <w:rFonts w:ascii="黑体" w:hAnsi="黑体" w:eastAsia="黑体" w:cs="Times New Roman"/>
          <w:b/>
          <w:bCs/>
          <w:color w:val="auto"/>
          <w:sz w:val="24"/>
          <w:szCs w:val="32"/>
          <w:highlight w:val="none"/>
        </w:rPr>
        <w:t>八、确定邀请供应商</w:t>
      </w:r>
      <w:bookmarkEnd w:id="29"/>
      <w:bookmarkEnd w:id="30"/>
    </w:p>
    <w:p>
      <w:pPr>
        <w:spacing w:line="360" w:lineRule="auto"/>
        <w:ind w:firstLine="420"/>
        <w:rPr>
          <w:rFonts w:ascii="Times New Roman" w:hAnsi="Times New Roman" w:eastAsia="宋体" w:cs="Times New Roman"/>
          <w:color w:val="auto"/>
          <w:kern w:val="0"/>
          <w:szCs w:val="21"/>
          <w:highlight w:val="none"/>
        </w:rPr>
      </w:pPr>
      <w:r>
        <w:rPr>
          <w:rFonts w:hint="eastAsia" w:ascii="宋体" w:hAnsi="宋体" w:eastAsia="宋体" w:cs="Times New Roman"/>
          <w:color w:val="auto"/>
          <w:kern w:val="0"/>
          <w:szCs w:val="21"/>
          <w:highlight w:val="none"/>
        </w:rPr>
        <w:t>谈判</w:t>
      </w:r>
      <w:r>
        <w:rPr>
          <w:rFonts w:ascii="宋体" w:hAnsi="宋体" w:eastAsia="宋体" w:cs="Times New Roman"/>
          <w:color w:val="auto"/>
          <w:kern w:val="0"/>
          <w:szCs w:val="21"/>
          <w:highlight w:val="none"/>
        </w:rPr>
        <w:t>小组确定所有符合相应资格条件的供应商参与竞争性</w:t>
      </w:r>
      <w:r>
        <w:rPr>
          <w:rFonts w:hint="eastAsia" w:ascii="宋体" w:hAnsi="宋体" w:eastAsia="宋体" w:cs="Times New Roman"/>
          <w:color w:val="auto"/>
          <w:kern w:val="0"/>
          <w:szCs w:val="21"/>
          <w:highlight w:val="none"/>
        </w:rPr>
        <w:t>谈判</w:t>
      </w:r>
      <w:r>
        <w:rPr>
          <w:rFonts w:ascii="宋体" w:hAnsi="宋体" w:eastAsia="宋体" w:cs="Times New Roman"/>
          <w:color w:val="auto"/>
          <w:kern w:val="0"/>
          <w:szCs w:val="21"/>
          <w:highlight w:val="none"/>
        </w:rPr>
        <w:t>采购活动。</w:t>
      </w:r>
    </w:p>
    <w:p>
      <w:pPr>
        <w:keepNext/>
        <w:keepLines/>
        <w:widowControl w:val="0"/>
        <w:adjustRightInd w:val="0"/>
        <w:snapToGrid w:val="0"/>
        <w:spacing w:before="156" w:beforeLines="50" w:line="360" w:lineRule="auto"/>
        <w:jc w:val="both"/>
        <w:outlineLvl w:val="1"/>
        <w:rPr>
          <w:rFonts w:hint="eastAsia" w:ascii="黑体" w:hAnsi="黑体" w:eastAsia="黑体" w:cs="Times New Roman"/>
          <w:b/>
          <w:bCs/>
          <w:color w:val="auto"/>
          <w:sz w:val="24"/>
          <w:szCs w:val="32"/>
          <w:highlight w:val="none"/>
        </w:rPr>
      </w:pPr>
      <w:bookmarkStart w:id="31" w:name="_Toc214954894"/>
      <w:bookmarkStart w:id="32" w:name="_Toc212820427"/>
      <w:r>
        <w:rPr>
          <w:rFonts w:ascii="黑体" w:hAnsi="黑体" w:eastAsia="黑体" w:cs="Times New Roman"/>
          <w:b/>
          <w:bCs/>
          <w:color w:val="auto"/>
          <w:sz w:val="24"/>
          <w:szCs w:val="32"/>
          <w:highlight w:val="none"/>
        </w:rPr>
        <w:t>九、询问及质疑</w:t>
      </w:r>
      <w:bookmarkEnd w:id="31"/>
      <w:bookmarkEnd w:id="32"/>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1、供应商对政府采购活动事项如有疑问的，可以向采购人、采购代理机构提出询问。采购人、采购代理机构将在3个工作日内作出答复。</w:t>
      </w:r>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2、供应商认为谈判文件或竞争性谈判邀请公告使自己的合法权益受到损害的，可以在收到谈判文件之日或竞争性谈判邀请公告期限届满之日起7个工作日内，按《湖南省财政厅关于印发＜政府采购质疑答复和投诉处理操作规程＞的通知》(湘财购〔2024〕67号)规定，以纸质书面形式向采购人、采购代理机构提出质疑。</w:t>
      </w:r>
    </w:p>
    <w:bookmarkEnd w:id="28"/>
    <w:p>
      <w:pPr>
        <w:keepNext/>
        <w:keepLines/>
        <w:widowControl w:val="0"/>
        <w:adjustRightInd w:val="0"/>
        <w:snapToGrid w:val="0"/>
        <w:spacing w:line="360" w:lineRule="auto"/>
        <w:jc w:val="both"/>
        <w:outlineLvl w:val="1"/>
        <w:rPr>
          <w:rFonts w:hint="eastAsia" w:ascii="黑体" w:hAnsi="黑体" w:eastAsia="黑体" w:cs="Times New Roman"/>
          <w:b/>
          <w:bCs/>
          <w:color w:val="auto"/>
          <w:sz w:val="24"/>
          <w:szCs w:val="32"/>
          <w:highlight w:val="none"/>
        </w:rPr>
      </w:pPr>
      <w:bookmarkStart w:id="33" w:name="_Toc214954895"/>
      <w:r>
        <w:rPr>
          <w:rFonts w:hint="eastAsia" w:ascii="黑体" w:hAnsi="黑体" w:eastAsia="黑体" w:cs="Times New Roman"/>
          <w:b/>
          <w:bCs/>
          <w:color w:val="auto"/>
          <w:sz w:val="24"/>
          <w:szCs w:val="32"/>
          <w:highlight w:val="none"/>
        </w:rPr>
        <w:t>十、</w:t>
      </w:r>
      <w:r>
        <w:rPr>
          <w:rFonts w:hint="eastAsia" w:ascii="黑体" w:hAnsi="黑体" w:eastAsia="黑体" w:cs="Times New Roman"/>
          <w:b/>
          <w:bCs/>
          <w:color w:val="auto"/>
          <w:sz w:val="24"/>
          <w:szCs w:val="21"/>
          <w:highlight w:val="none"/>
        </w:rPr>
        <w:t>采购项目联系人姓名和电话</w:t>
      </w:r>
      <w:bookmarkEnd w:id="33"/>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bookmarkStart w:id="34" w:name="_Hlk206694213"/>
      <w:r>
        <w:rPr>
          <w:rFonts w:hint="eastAsia" w:ascii="宋体" w:hAnsi="宋体" w:eastAsia="宋体" w:cs="Times New Roman"/>
          <w:color w:val="auto"/>
          <w:szCs w:val="21"/>
          <w:highlight w:val="none"/>
        </w:rPr>
        <w:t>1、联系人姓名：</w:t>
      </w:r>
      <w:r>
        <w:rPr>
          <w:rFonts w:hint="eastAsia" w:ascii="宋体" w:hAnsi="宋体" w:eastAsia="宋体" w:cs="Times New Roman"/>
          <w:color w:val="auto"/>
          <w:szCs w:val="21"/>
          <w:highlight w:val="none"/>
          <w:u w:val="single"/>
          <w:lang w:eastAsia="zh-CN"/>
        </w:rPr>
        <w:t>刘雪琼</w:t>
      </w:r>
      <w:r>
        <w:rPr>
          <w:rFonts w:hint="eastAsia" w:ascii="宋体" w:hAnsi="宋体" w:eastAsia="宋体" w:cs="Times New Roman"/>
          <w:color w:val="auto"/>
          <w:szCs w:val="21"/>
          <w:highlight w:val="none"/>
        </w:rPr>
        <w:t xml:space="preserve"> </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2、电话：</w:t>
      </w:r>
      <w:r>
        <w:rPr>
          <w:rFonts w:hint="eastAsia" w:ascii="宋体" w:hAnsi="宋体" w:eastAsia="宋体" w:cs="Times New Roman"/>
          <w:color w:val="auto"/>
          <w:szCs w:val="21"/>
          <w:highlight w:val="none"/>
          <w:u w:val="single"/>
          <w:lang w:eastAsia="zh-CN"/>
        </w:rPr>
        <w:t>0735-2226555/18229332202</w:t>
      </w:r>
    </w:p>
    <w:bookmarkEnd w:id="34"/>
    <w:p>
      <w:pPr>
        <w:keepNext/>
        <w:keepLines/>
        <w:widowControl w:val="0"/>
        <w:adjustRightInd w:val="0"/>
        <w:snapToGrid w:val="0"/>
        <w:spacing w:line="360" w:lineRule="auto"/>
        <w:jc w:val="both"/>
        <w:outlineLvl w:val="1"/>
        <w:rPr>
          <w:rFonts w:hint="eastAsia" w:ascii="黑体" w:hAnsi="黑体" w:eastAsia="黑体" w:cs="Times New Roman"/>
          <w:b/>
          <w:bCs/>
          <w:color w:val="auto"/>
          <w:sz w:val="24"/>
          <w:szCs w:val="32"/>
          <w:highlight w:val="none"/>
        </w:rPr>
      </w:pPr>
      <w:bookmarkStart w:id="35" w:name="_Toc214954896"/>
      <w:r>
        <w:rPr>
          <w:rFonts w:hint="eastAsia" w:ascii="黑体" w:hAnsi="黑体" w:eastAsia="黑体" w:cs="Times New Roman"/>
          <w:b/>
          <w:bCs/>
          <w:color w:val="auto"/>
          <w:sz w:val="24"/>
          <w:szCs w:val="32"/>
          <w:highlight w:val="none"/>
        </w:rPr>
        <w:t>十一、采购人、采购代理机构的名称、地址和联系方法</w:t>
      </w:r>
      <w:bookmarkEnd w:id="35"/>
    </w:p>
    <w:p>
      <w:pPr>
        <w:widowControl w:val="0"/>
        <w:adjustRightInd w:val="0"/>
        <w:snapToGrid w:val="0"/>
        <w:spacing w:line="360" w:lineRule="auto"/>
        <w:ind w:firstLine="411" w:firstLineChars="196"/>
        <w:jc w:val="both"/>
        <w:rPr>
          <w:rFonts w:hint="eastAsia" w:ascii="宋体" w:hAnsi="宋体" w:eastAsia="宋体" w:cs="Times New Roman"/>
          <w:b/>
          <w:bCs/>
          <w:color w:val="auto"/>
          <w:szCs w:val="21"/>
          <w:highlight w:val="none"/>
        </w:rPr>
      </w:pPr>
      <w:bookmarkStart w:id="36" w:name="_Hlk206694239"/>
      <w:r>
        <w:rPr>
          <w:rFonts w:hint="eastAsia" w:ascii="宋体" w:hAnsi="宋体" w:eastAsia="宋体" w:cs="Times New Roman"/>
          <w:b/>
          <w:bCs/>
          <w:color w:val="auto"/>
          <w:szCs w:val="21"/>
          <w:highlight w:val="none"/>
        </w:rPr>
        <w:t>1</w:t>
      </w:r>
      <w:r>
        <w:rPr>
          <w:rFonts w:hint="eastAsia" w:ascii="宋体" w:hAnsi="宋体" w:eastAsia="宋体" w:cs="Times New Roman"/>
          <w:color w:val="auto"/>
          <w:szCs w:val="21"/>
          <w:highlight w:val="none"/>
        </w:rPr>
        <w:t>、</w:t>
      </w:r>
      <w:r>
        <w:rPr>
          <w:rFonts w:hint="eastAsia" w:ascii="宋体" w:hAnsi="宋体" w:eastAsia="宋体" w:cs="Times New Roman"/>
          <w:b/>
          <w:bCs/>
          <w:color w:val="auto"/>
          <w:szCs w:val="21"/>
          <w:highlight w:val="none"/>
        </w:rPr>
        <w:t>采购人信息</w:t>
      </w:r>
    </w:p>
    <w:p>
      <w:pPr>
        <w:widowControl w:val="0"/>
        <w:adjustRightInd w:val="0"/>
        <w:snapToGrid w:val="0"/>
        <w:spacing w:line="360" w:lineRule="auto"/>
        <w:ind w:firstLine="411" w:firstLineChars="196"/>
        <w:jc w:val="both"/>
        <w:rPr>
          <w:rFonts w:hint="eastAsia" w:ascii="宋体" w:hAnsi="宋体" w:eastAsia="宋体" w:cs="Times New Roman"/>
          <w:color w:val="auto"/>
          <w:szCs w:val="21"/>
          <w:highlight w:val="none"/>
        </w:rPr>
      </w:pPr>
      <w:bookmarkStart w:id="37" w:name="OLE_LINK10"/>
      <w:r>
        <w:rPr>
          <w:rFonts w:hint="eastAsia" w:ascii="宋体" w:hAnsi="宋体" w:eastAsia="宋体" w:cs="Times New Roman"/>
          <w:color w:val="auto"/>
          <w:szCs w:val="21"/>
          <w:highlight w:val="none"/>
        </w:rPr>
        <w:t>（1）</w:t>
      </w:r>
      <w:r>
        <w:rPr>
          <w:rFonts w:hint="eastAsia" w:ascii="宋体" w:hAnsi="宋体" w:eastAsia="宋体" w:cs="Times New Roman"/>
          <w:bCs/>
          <w:color w:val="auto"/>
          <w:szCs w:val="21"/>
          <w:highlight w:val="none"/>
        </w:rPr>
        <w:t>名  称：</w:t>
      </w:r>
      <w:r>
        <w:rPr>
          <w:rFonts w:hint="eastAsia" w:ascii="宋体" w:hAnsi="宋体" w:eastAsia="宋体" w:cs="Times New Roman"/>
          <w:color w:val="auto"/>
          <w:szCs w:val="21"/>
          <w:highlight w:val="none"/>
          <w:u w:val="single"/>
        </w:rPr>
        <w:t>郴州市园林绿化服务中心</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（2）地  址：</w:t>
      </w:r>
      <w:r>
        <w:rPr>
          <w:rFonts w:hint="eastAsia" w:ascii="宋体" w:hAnsi="宋体" w:eastAsia="宋体" w:cs="Times New Roman"/>
          <w:color w:val="auto"/>
          <w:szCs w:val="21"/>
          <w:highlight w:val="none"/>
          <w:u w:val="single"/>
        </w:rPr>
        <w:t>郴州市北湖区民权路五岭公园管理所内</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（3）联系人：</w:t>
      </w:r>
      <w:r>
        <w:rPr>
          <w:rFonts w:hint="eastAsia" w:ascii="宋体" w:hAnsi="宋体" w:eastAsia="宋体" w:cs="Times New Roman"/>
          <w:color w:val="auto"/>
          <w:szCs w:val="21"/>
          <w:highlight w:val="none"/>
          <w:u w:val="single"/>
        </w:rPr>
        <w:t>刘婕</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（4）邮  编：</w:t>
      </w:r>
      <w:r>
        <w:rPr>
          <w:rFonts w:hint="eastAsia" w:ascii="宋体" w:hAnsi="宋体" w:eastAsia="宋体" w:cs="Times New Roman"/>
          <w:color w:val="auto"/>
          <w:szCs w:val="21"/>
          <w:highlight w:val="none"/>
          <w:u w:val="single"/>
        </w:rPr>
        <w:t>423000</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（5）电  话：</w:t>
      </w:r>
      <w:r>
        <w:rPr>
          <w:rFonts w:hint="eastAsia" w:ascii="宋体" w:hAnsi="宋体" w:eastAsia="宋体" w:cs="Times New Roman"/>
          <w:color w:val="auto"/>
          <w:szCs w:val="21"/>
          <w:highlight w:val="none"/>
          <w:u w:val="single"/>
        </w:rPr>
        <w:t>0735-2326509</w:t>
      </w:r>
      <w:r>
        <w:rPr>
          <w:rFonts w:hint="eastAsia" w:ascii="宋体" w:hAnsi="宋体" w:eastAsia="宋体" w:cs="Times New Roman"/>
          <w:color w:val="auto"/>
          <w:szCs w:val="21"/>
          <w:highlight w:val="none"/>
        </w:rPr>
        <w:t xml:space="preserve"> </w:t>
      </w:r>
    </w:p>
    <w:bookmarkEnd w:id="37"/>
    <w:p>
      <w:pPr>
        <w:widowControl w:val="0"/>
        <w:adjustRightInd w:val="0"/>
        <w:snapToGrid w:val="0"/>
        <w:spacing w:line="360" w:lineRule="auto"/>
        <w:ind w:firstLine="411" w:firstLineChars="196"/>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2</w:t>
      </w:r>
      <w:r>
        <w:rPr>
          <w:rFonts w:hint="eastAsia" w:ascii="宋体" w:hAnsi="宋体" w:eastAsia="宋体" w:cs="Times New Roman"/>
          <w:color w:val="auto"/>
          <w:szCs w:val="21"/>
          <w:highlight w:val="none"/>
        </w:rPr>
        <w:t>、</w:t>
      </w:r>
      <w:r>
        <w:rPr>
          <w:rFonts w:hint="eastAsia" w:ascii="宋体" w:hAnsi="宋体" w:eastAsia="宋体" w:cs="Times New Roman"/>
          <w:b/>
          <w:bCs/>
          <w:color w:val="auto"/>
          <w:szCs w:val="21"/>
          <w:highlight w:val="none"/>
        </w:rPr>
        <w:t>采购代理机构信息</w:t>
      </w:r>
    </w:p>
    <w:p>
      <w:pPr>
        <w:widowControl w:val="0"/>
        <w:adjustRightInd w:val="0"/>
        <w:snapToGrid w:val="0"/>
        <w:spacing w:line="360" w:lineRule="auto"/>
        <w:ind w:firstLine="411" w:firstLineChars="196"/>
        <w:jc w:val="both"/>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（1）</w:t>
      </w:r>
      <w:r>
        <w:rPr>
          <w:rFonts w:hint="eastAsia" w:ascii="宋体" w:hAnsi="宋体" w:eastAsia="宋体" w:cs="Times New Roman"/>
          <w:bCs/>
          <w:color w:val="auto"/>
          <w:szCs w:val="21"/>
          <w:highlight w:val="none"/>
        </w:rPr>
        <w:t>名  称：</w:t>
      </w:r>
      <w:r>
        <w:rPr>
          <w:rFonts w:hint="eastAsia" w:ascii="宋体" w:hAnsi="宋体" w:eastAsia="宋体" w:cs="Times New Roman"/>
          <w:color w:val="auto"/>
          <w:szCs w:val="21"/>
          <w:highlight w:val="none"/>
          <w:u w:val="single"/>
          <w:lang w:eastAsia="zh-CN"/>
        </w:rPr>
        <w:t>中辰八盛工程项目管理有限公司</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（2）地  址：</w:t>
      </w:r>
      <w:r>
        <w:rPr>
          <w:rFonts w:hint="eastAsia" w:ascii="宋体" w:hAnsi="宋体" w:eastAsia="宋体" w:cs="Times New Roman"/>
          <w:color w:val="auto"/>
          <w:szCs w:val="21"/>
          <w:highlight w:val="none"/>
          <w:u w:val="single"/>
          <w:lang w:eastAsia="zh-CN"/>
        </w:rPr>
        <w:t>湖南省郴州市苏仙区王仙岭街道爱莲湖社区郴江路313号爱莲花园2栋102号</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（3）联系人：</w:t>
      </w:r>
      <w:r>
        <w:rPr>
          <w:rFonts w:hint="eastAsia" w:ascii="宋体" w:hAnsi="宋体" w:eastAsia="宋体" w:cs="Times New Roman"/>
          <w:color w:val="auto"/>
          <w:szCs w:val="21"/>
          <w:highlight w:val="none"/>
          <w:u w:val="single"/>
          <w:lang w:eastAsia="zh-CN"/>
        </w:rPr>
        <w:t>刘雪琼、陈湘燕</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（4）邮  编：</w:t>
      </w:r>
      <w:r>
        <w:rPr>
          <w:rFonts w:hint="eastAsia" w:ascii="宋体" w:hAnsi="宋体" w:eastAsia="宋体" w:cs="Times New Roman"/>
          <w:color w:val="auto"/>
          <w:szCs w:val="21"/>
          <w:highlight w:val="none"/>
          <w:u w:val="single"/>
        </w:rPr>
        <w:t>423000</w:t>
      </w:r>
      <w:bookmarkEnd w:id="36"/>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w:t>
      </w:r>
      <w:bookmarkStart w:id="38" w:name="OLE_LINK5"/>
      <w:r>
        <w:rPr>
          <w:rFonts w:hint="eastAsia" w:ascii="宋体" w:hAnsi="宋体" w:eastAsia="宋体" w:cs="Times New Roman"/>
          <w:color w:val="auto"/>
          <w:szCs w:val="21"/>
          <w:highlight w:val="none"/>
        </w:rPr>
        <w:t>电  话：</w:t>
      </w:r>
      <w:bookmarkEnd w:id="38"/>
      <w:r>
        <w:rPr>
          <w:rFonts w:hint="eastAsia" w:ascii="宋体" w:hAnsi="宋体" w:eastAsia="宋体" w:cs="Times New Roman"/>
          <w:color w:val="auto"/>
          <w:szCs w:val="21"/>
          <w:highlight w:val="none"/>
          <w:u w:val="single"/>
          <w:lang w:eastAsia="zh-CN"/>
        </w:rPr>
        <w:t>0735-2226555/18229332202</w:t>
      </w:r>
      <w:r>
        <w:rPr>
          <w:rFonts w:hint="eastAsia" w:ascii="宋体" w:hAnsi="宋体" w:eastAsia="宋体" w:cs="Times New Roman"/>
          <w:color w:val="auto"/>
          <w:szCs w:val="21"/>
          <w:highlight w:val="none"/>
        </w:rPr>
        <w:t xml:space="preserve"> </w:t>
      </w:r>
    </w:p>
    <w:p>
      <w:pPr>
        <w:spacing w:line="360" w:lineRule="auto"/>
        <w:ind w:firstLine="422"/>
        <w:jc w:val="both"/>
        <w:rPr>
          <w:rFonts w:ascii="Times New Roman" w:hAnsi="Times New Roman" w:eastAsia="宋体" w:cs="Times New Roman"/>
          <w:color w:val="auto"/>
          <w:kern w:val="0"/>
          <w:szCs w:val="21"/>
          <w:highlight w:val="none"/>
        </w:rPr>
      </w:pPr>
      <w:r>
        <w:rPr>
          <w:rFonts w:ascii="宋体" w:hAnsi="宋体" w:eastAsia="宋体" w:cs="Times New Roman"/>
          <w:b/>
          <w:bCs/>
          <w:color w:val="auto"/>
          <w:kern w:val="0"/>
          <w:szCs w:val="21"/>
          <w:highlight w:val="none"/>
        </w:rPr>
        <w:t>3、电子交易平台服务机构信息</w:t>
      </w:r>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（1）名  称：郴州市公共资源交易中心</w:t>
      </w:r>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（2）联系人：政府采购科</w:t>
      </w:r>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（3）电  话：0735-2299020</w:t>
      </w:r>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（4）电子邮箱：/</w:t>
      </w:r>
    </w:p>
    <w:p>
      <w:pPr>
        <w:spacing w:line="360" w:lineRule="auto"/>
        <w:jc w:val="both"/>
        <w:outlineLvl w:val="1"/>
        <w:rPr>
          <w:rFonts w:hint="eastAsia" w:ascii="宋体" w:hAnsi="宋体" w:eastAsia="宋体" w:cs="Times New Roman"/>
          <w:b/>
          <w:bCs/>
          <w:color w:val="auto"/>
          <w:kern w:val="0"/>
          <w:szCs w:val="21"/>
          <w:highlight w:val="none"/>
        </w:rPr>
      </w:pPr>
      <w:bookmarkStart w:id="39" w:name="_Toc214954897"/>
      <w:bookmarkStart w:id="40" w:name="_Toc212820430"/>
      <w:r>
        <w:rPr>
          <w:rFonts w:ascii="宋体" w:hAnsi="宋体" w:eastAsia="宋体" w:cs="Times New Roman"/>
          <w:b/>
          <w:bCs/>
          <w:color w:val="auto"/>
          <w:kern w:val="0"/>
          <w:szCs w:val="21"/>
          <w:highlight w:val="none"/>
        </w:rPr>
        <w:t>十二、其他补充事宜</w:t>
      </w:r>
      <w:bookmarkEnd w:id="39"/>
      <w:bookmarkEnd w:id="40"/>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1、本公告选项：</w:t>
      </w:r>
      <w:r>
        <w:rPr>
          <w:rFonts w:ascii="Wingdings" w:hAnsi="Wingdings" w:eastAsia="宋体" w:cs="Times New Roman"/>
          <w:color w:val="auto"/>
          <w:kern w:val="0"/>
          <w:szCs w:val="21"/>
          <w:highlight w:val="none"/>
        </w:rPr>
        <w:sym w:font="Wingdings 2" w:char="F052"/>
      </w:r>
      <w:r>
        <w:rPr>
          <w:rFonts w:ascii="宋体" w:hAnsi="宋体" w:eastAsia="宋体" w:cs="Times New Roman"/>
          <w:color w:val="auto"/>
          <w:kern w:val="0"/>
          <w:szCs w:val="21"/>
          <w:highlight w:val="none"/>
        </w:rPr>
        <w:t>表示选择，</w:t>
      </w:r>
      <w:r>
        <w:rPr>
          <w:rFonts w:ascii="仿宋" w:hAnsi="仿宋" w:eastAsia="仿宋" w:cs="Times New Roman"/>
          <w:color w:val="auto"/>
          <w:kern w:val="0"/>
          <w:szCs w:val="21"/>
          <w:highlight w:val="none"/>
        </w:rPr>
        <w:t>□</w:t>
      </w:r>
      <w:r>
        <w:rPr>
          <w:rFonts w:ascii="宋体" w:hAnsi="宋体" w:eastAsia="宋体" w:cs="Times New Roman"/>
          <w:color w:val="auto"/>
          <w:kern w:val="0"/>
          <w:szCs w:val="21"/>
          <w:highlight w:val="none"/>
        </w:rPr>
        <w:t>表示未选择。</w:t>
      </w:r>
    </w:p>
    <w:p>
      <w:pPr>
        <w:spacing w:line="360" w:lineRule="auto"/>
        <w:ind w:firstLine="42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2、供应商参与政府采购活动，无需向采购人、代理机构、交易平台缴纳任何费用。</w:t>
      </w:r>
    </w:p>
    <w:p>
      <w:pPr>
        <w:spacing w:line="360" w:lineRule="auto"/>
        <w:ind w:firstLine="420" w:firstLineChars="20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3、采购代理服务费和专家评审费由采购人支付，代理服务费：</w:t>
      </w:r>
      <w:r>
        <w:rPr>
          <w:rFonts w:hint="eastAsia" w:ascii="宋体" w:hAnsi="宋体" w:eastAsia="宋体" w:cs="Times New Roman"/>
          <w:color w:val="auto"/>
          <w:kern w:val="0"/>
          <w:szCs w:val="21"/>
          <w:highlight w:val="none"/>
          <w:u w:val="single"/>
          <w:lang w:val="en-US" w:eastAsia="zh-CN"/>
        </w:rPr>
        <w:t>7000.00</w:t>
      </w:r>
      <w:r>
        <w:rPr>
          <w:rFonts w:ascii="宋体" w:hAnsi="宋体" w:eastAsia="宋体" w:cs="Times New Roman"/>
          <w:color w:val="auto"/>
          <w:kern w:val="0"/>
          <w:szCs w:val="21"/>
          <w:highlight w:val="none"/>
        </w:rPr>
        <w:t>元。</w:t>
      </w:r>
    </w:p>
    <w:p>
      <w:pPr>
        <w:spacing w:line="360" w:lineRule="auto"/>
        <w:ind w:firstLine="420" w:firstLineChars="20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4、各供应商可在郴州市公共资源交易中心网“下载中心”中下载“政府采购电子标操作手册”。</w:t>
      </w:r>
    </w:p>
    <w:p>
      <w:pPr>
        <w:spacing w:line="360" w:lineRule="auto"/>
        <w:ind w:firstLine="420" w:firstLineChars="20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5、若因供应商对网上招投标操作不熟悉或自身电脑、个人网络等原因导致不能在投标截止时间之前完成响应文件上传的，所造成的投标失败或损失由供应商自行承担。建议在各供应商在工作时间段内上传响应文件，在操作系统过程中有疑问或困难请及时进行咨询。</w:t>
      </w:r>
    </w:p>
    <w:p>
      <w:pPr>
        <w:spacing w:line="360" w:lineRule="auto"/>
        <w:ind w:firstLine="420" w:firstLineChars="20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6、若开标时出现网络故障、交易系统技术故障等情形，导致解密无法完成而影响采购活动开展的，采购人有权采取非加密文件上传或者将项目延期、延长响应文件解密时间等相应措施，以保障采购活动的公开、公平和公正，供应商不得对此持有异议。</w:t>
      </w:r>
    </w:p>
    <w:p>
      <w:pPr>
        <w:spacing w:line="360" w:lineRule="auto"/>
        <w:ind w:firstLine="420" w:firstLineChars="20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7、交易平台技术支持联系方式：</w:t>
      </w:r>
    </w:p>
    <w:p>
      <w:pPr>
        <w:spacing w:line="360" w:lineRule="auto"/>
        <w:ind w:firstLine="420" w:firstLineChars="200"/>
        <w:rPr>
          <w:rFonts w:ascii="Times New Roman" w:hAnsi="Times New Roman" w:eastAsia="宋体" w:cs="Times New Roman"/>
          <w:color w:val="auto"/>
          <w:kern w:val="0"/>
          <w:szCs w:val="21"/>
          <w:highlight w:val="none"/>
        </w:rPr>
      </w:pPr>
      <w:r>
        <w:rPr>
          <w:rFonts w:ascii="宋体" w:hAnsi="宋体" w:eastAsia="宋体" w:cs="Times New Roman"/>
          <w:color w:val="auto"/>
          <w:kern w:val="0"/>
          <w:szCs w:val="21"/>
          <w:highlight w:val="none"/>
        </w:rPr>
        <w:t>平台客服电话：400-112-9919；客服QQ：800182906。</w:t>
      </w:r>
    </w:p>
    <w:p>
      <w:pPr>
        <w:rPr>
          <w:rFonts w:hint="eastAsia" w:ascii="黑体" w:hAnsi="黑体" w:eastAsia="黑体" w:cs="Times New Roman"/>
          <w:b/>
          <w:bCs/>
          <w:color w:val="auto"/>
          <w:sz w:val="32"/>
          <w:szCs w:val="32"/>
          <w:highlight w:val="none"/>
        </w:rPr>
      </w:pPr>
      <w:r>
        <w:rPr>
          <w:rFonts w:ascii="黑体" w:hAnsi="黑体" w:eastAsia="黑体" w:cs="Times New Roman"/>
          <w:b/>
          <w:bCs/>
          <w:color w:val="auto"/>
          <w:sz w:val="32"/>
          <w:szCs w:val="32"/>
          <w:highlight w:val="none"/>
        </w:rPr>
        <w:br w:type="page"/>
      </w:r>
    </w:p>
    <w:p>
      <w:pPr>
        <w:widowControl w:val="0"/>
        <w:spacing w:line="360" w:lineRule="auto"/>
        <w:ind w:left="420" w:leftChars="200"/>
        <w:jc w:val="both"/>
        <w:rPr>
          <w:rFonts w:ascii="Times New Roman" w:hAnsi="Times New Roman" w:eastAsia="宋体" w:cs="Times New Roman"/>
          <w:color w:val="auto"/>
          <w:sz w:val="24"/>
          <w:szCs w:val="32"/>
          <w:highlight w:val="none"/>
        </w:rPr>
      </w:pPr>
      <w:r>
        <w:rPr>
          <w:rFonts w:hint="eastAsia" w:ascii="宋体" w:hAnsi="宋体" w:eastAsia="宋体" w:cs="宋体"/>
          <w:b/>
          <w:color w:val="auto"/>
          <w:kern w:val="0"/>
          <w:szCs w:val="21"/>
          <w:highlight w:val="none"/>
        </w:rPr>
        <w:t>附件1</w:t>
      </w:r>
    </w:p>
    <w:p>
      <w:pPr>
        <w:adjustRightInd w:val="0"/>
        <w:snapToGrid w:val="0"/>
        <w:spacing w:before="468" w:beforeLines="150" w:line="360" w:lineRule="auto"/>
        <w:jc w:val="center"/>
        <w:rPr>
          <w:rFonts w:hint="eastAsia" w:ascii="宋体" w:hAnsi="宋体" w:eastAsia="宋体" w:cs="宋体"/>
          <w:color w:val="auto"/>
          <w:szCs w:val="21"/>
          <w:highlight w:val="none"/>
        </w:rPr>
      </w:pPr>
      <w:r>
        <w:rPr>
          <w:rFonts w:hint="eastAsia" w:ascii="宋体" w:hAnsi="宋体" w:eastAsia="宋体" w:cs="宋体"/>
          <w:b/>
          <w:color w:val="auto"/>
          <w:sz w:val="28"/>
          <w:szCs w:val="28"/>
          <w:highlight w:val="none"/>
        </w:rPr>
        <w:t>湖南省政府采购供应商资格承诺函(格式)</w:t>
      </w:r>
    </w:p>
    <w:p>
      <w:pPr>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pPr>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按照《政府采购促进中小企业发展管理办法》(财库〔2020〕46号),本公司企业规模为: 大型口中型口小型□微型□。</w:t>
      </w:r>
    </w:p>
    <w:p>
      <w:pPr>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□本公司自愿入驻湖南省政府采购电子卖场,遵守《湖南省政府采购电子卖场管理办法》(湘财购〔2019〕27号),如违反承诺,同意金融机构将增信保证划缴国库(非电子卖场采购活动项目不需勾选)。</w:t>
      </w:r>
    </w:p>
    <w:p>
      <w:pPr>
        <w:spacing w:before="156" w:beforeLines="50" w:line="360" w:lineRule="auto"/>
        <w:ind w:firstLine="420" w:firstLineChars="200"/>
        <w:rPr>
          <w:rFonts w:hint="eastAsia" w:ascii="宋体" w:hAnsi="宋体" w:eastAsia="宋体" w:cs="宋体"/>
          <w:color w:val="auto"/>
          <w:szCs w:val="21"/>
          <w:highlight w:val="none"/>
        </w:rPr>
      </w:pPr>
    </w:p>
    <w:p>
      <w:pPr>
        <w:spacing w:before="156" w:beforeLines="50" w:line="360" w:lineRule="auto"/>
        <w:ind w:firstLine="420" w:firstLineChars="20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公司(单位)名称(盖章)：</w:t>
      </w:r>
    </w:p>
    <w:p>
      <w:pPr>
        <w:spacing w:before="156" w:beforeLines="50" w:line="360" w:lineRule="auto"/>
        <w:ind w:firstLine="420" w:firstLineChars="200"/>
        <w:rPr>
          <w:rFonts w:hint="eastAsia" w:ascii="宋体" w:hAnsi="宋体" w:eastAsia="宋体" w:cs="宋体"/>
          <w:color w:val="auto"/>
          <w:szCs w:val="21"/>
          <w:highlight w:val="none"/>
        </w:rPr>
      </w:pPr>
    </w:p>
    <w:p>
      <w:pPr>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机构代码、注册登记机构、日期、有效期、注册资本、地 址、经济行业、经济性质</w:t>
      </w:r>
    </w:p>
    <w:p>
      <w:pPr>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法定代表人(负责人)姓名(签字)、身份证号、手机号:</w:t>
      </w:r>
    </w:p>
    <w:p>
      <w:pPr>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授权代表人姓名(签字)、身份证号、手机号:</w:t>
      </w:r>
    </w:p>
    <w:p>
      <w:pPr>
        <w:rPr>
          <w:rFonts w:hint="eastAsia" w:ascii="黑体" w:hAnsi="黑体" w:eastAsia="黑体" w:cs="Times New Roman"/>
          <w:b/>
          <w:bCs/>
          <w:color w:val="auto"/>
          <w:sz w:val="32"/>
          <w:szCs w:val="32"/>
          <w:highlight w:val="none"/>
        </w:rPr>
      </w:pPr>
    </w:p>
    <w:p>
      <w:pPr>
        <w:rPr>
          <w:rFonts w:hint="eastAsia" w:ascii="黑体" w:hAnsi="黑体" w:eastAsia="黑体" w:cs="Times New Roman"/>
          <w:b/>
          <w:bCs/>
          <w:color w:val="auto"/>
          <w:sz w:val="32"/>
          <w:szCs w:val="32"/>
          <w:highlight w:val="none"/>
        </w:rPr>
      </w:pPr>
      <w:r>
        <w:rPr>
          <w:rFonts w:ascii="黑体" w:hAnsi="黑体" w:eastAsia="黑体" w:cs="Times New Roman"/>
          <w:b/>
          <w:bCs/>
          <w:color w:val="auto"/>
          <w:sz w:val="32"/>
          <w:szCs w:val="32"/>
          <w:highlight w:val="none"/>
        </w:rPr>
        <w:br w:type="page"/>
      </w:r>
    </w:p>
    <w:p>
      <w:pPr>
        <w:keepNext/>
        <w:widowControl w:val="0"/>
        <w:adjustRightInd w:val="0"/>
        <w:snapToGrid w:val="0"/>
        <w:spacing w:before="156" w:beforeLines="50" w:line="360" w:lineRule="auto"/>
        <w:jc w:val="center"/>
        <w:outlineLvl w:val="0"/>
        <w:rPr>
          <w:rFonts w:hint="eastAsia" w:ascii="黑体" w:hAnsi="黑体" w:eastAsia="黑体" w:cs="Times New Roman"/>
          <w:b/>
          <w:bCs/>
          <w:color w:val="auto"/>
          <w:sz w:val="32"/>
          <w:szCs w:val="32"/>
          <w:highlight w:val="none"/>
        </w:rPr>
      </w:pPr>
      <w:bookmarkStart w:id="41" w:name="_Toc214954898"/>
      <w:r>
        <w:rPr>
          <w:rFonts w:hint="eastAsia" w:ascii="黑体" w:hAnsi="黑体" w:eastAsia="黑体" w:cs="Times New Roman"/>
          <w:b/>
          <w:bCs/>
          <w:color w:val="auto"/>
          <w:sz w:val="32"/>
          <w:szCs w:val="32"/>
          <w:highlight w:val="none"/>
        </w:rPr>
        <w:t>第二章 谈判须知</w:t>
      </w:r>
      <w:bookmarkEnd w:id="41"/>
    </w:p>
    <w:p>
      <w:pPr>
        <w:keepNext/>
        <w:keepLines/>
        <w:widowControl w:val="0"/>
        <w:adjustRightInd w:val="0"/>
        <w:snapToGrid w:val="0"/>
        <w:spacing w:before="156" w:beforeLines="50" w:line="360" w:lineRule="auto"/>
        <w:jc w:val="center"/>
        <w:outlineLvl w:val="1"/>
        <w:rPr>
          <w:rFonts w:hint="eastAsia" w:ascii="黑体" w:hAnsi="黑体" w:eastAsia="黑体" w:cs="Times New Roman"/>
          <w:b/>
          <w:bCs/>
          <w:color w:val="auto"/>
          <w:sz w:val="28"/>
          <w:szCs w:val="28"/>
          <w:highlight w:val="none"/>
        </w:rPr>
      </w:pPr>
      <w:bookmarkStart w:id="42" w:name="_Toc214954899"/>
      <w:r>
        <w:rPr>
          <w:rFonts w:hint="eastAsia" w:ascii="黑体" w:hAnsi="黑体" w:eastAsia="黑体" w:cs="Times New Roman"/>
          <w:b/>
          <w:bCs/>
          <w:color w:val="auto"/>
          <w:sz w:val="28"/>
          <w:szCs w:val="28"/>
          <w:highlight w:val="none"/>
        </w:rPr>
        <w:t>第一节 谈判须知前附表</w:t>
      </w:r>
      <w:bookmarkEnd w:id="42"/>
    </w:p>
    <w:tbl>
      <w:tblPr>
        <w:tblStyle w:val="44"/>
        <w:tblW w:w="92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3005"/>
        <w:gridCol w:w="4625"/>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tblHeader/>
          <w:jc w:val="center"/>
        </w:trPr>
        <w:tc>
          <w:tcPr>
            <w:tcW w:w="1622" w:type="dxa"/>
            <w:vAlign w:val="center"/>
          </w:tcPr>
          <w:p>
            <w:pPr>
              <w:widowControl w:val="0"/>
              <w:adjustRightInd w:val="0"/>
              <w:snapToGrid w:val="0"/>
              <w:spacing w:before="156" w:beforeLines="50" w:line="360" w:lineRule="auto"/>
              <w:jc w:val="center"/>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条款号</w:t>
            </w:r>
          </w:p>
        </w:tc>
        <w:tc>
          <w:tcPr>
            <w:tcW w:w="3005" w:type="dxa"/>
            <w:vAlign w:val="center"/>
          </w:tcPr>
          <w:p>
            <w:pPr>
              <w:widowControl w:val="0"/>
              <w:adjustRightInd w:val="0"/>
              <w:snapToGrid w:val="0"/>
              <w:spacing w:before="156" w:beforeLines="50" w:line="360" w:lineRule="auto"/>
              <w:jc w:val="center"/>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条款名称</w:t>
            </w:r>
          </w:p>
        </w:tc>
        <w:tc>
          <w:tcPr>
            <w:tcW w:w="4625" w:type="dxa"/>
            <w:vAlign w:val="center"/>
          </w:tcPr>
          <w:p>
            <w:pPr>
              <w:widowControl w:val="0"/>
              <w:adjustRightInd w:val="0"/>
              <w:snapToGrid w:val="0"/>
              <w:spacing w:before="156" w:beforeLines="50" w:line="360" w:lineRule="auto"/>
              <w:jc w:val="center"/>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编列内容规定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b/>
                <w:color w:val="auto"/>
                <w:szCs w:val="21"/>
                <w:highlight w:val="none"/>
              </w:rPr>
              <w:t>一、说明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第1.1款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采购项目</w:t>
            </w:r>
          </w:p>
        </w:tc>
        <w:tc>
          <w:tcPr>
            <w:tcW w:w="462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2026年度苗木采购</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第1.2款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是否预留采购份额</w:t>
            </w:r>
          </w:p>
        </w:tc>
        <w:tc>
          <w:tcPr>
            <w:tcW w:w="4625" w:type="dxa"/>
            <w:vAlign w:val="center"/>
          </w:tcPr>
          <w:p>
            <w:pPr>
              <w:widowControl w:val="0"/>
              <w:spacing w:line="276" w:lineRule="auto"/>
              <w:jc w:val="both"/>
              <w:rPr>
                <w:rFonts w:hint="eastAsia" w:ascii="宋体" w:hAnsi="宋体" w:eastAsia="宋体" w:cs="宋体"/>
                <w:color w:val="auto"/>
                <w:szCs w:val="21"/>
                <w:highlight w:val="none"/>
              </w:rPr>
            </w:pPr>
            <w:r>
              <w:rPr>
                <w:rFonts w:ascii="宋体" w:hAnsi="宋体" w:eastAsia="宋体" w:cs="宋体"/>
                <w:color w:val="auto"/>
                <w:szCs w:val="21"/>
                <w:highlight w:val="none"/>
              </w:rPr>
              <w:sym w:font="Wingdings" w:char="00FE"/>
            </w:r>
            <w:r>
              <w:rPr>
                <w:rFonts w:ascii="宋体" w:hAnsi="宋体" w:eastAsia="宋体" w:cs="宋体"/>
                <w:color w:val="auto"/>
                <w:szCs w:val="21"/>
                <w:highlight w:val="none"/>
              </w:rPr>
              <w:t xml:space="preserve"> 是。本项目为：</w:t>
            </w:r>
          </w:p>
          <w:p>
            <w:pPr>
              <w:widowControl w:val="0"/>
              <w:spacing w:line="276" w:lineRule="auto"/>
              <w:ind w:firstLine="420" w:firstLineChars="200"/>
              <w:jc w:val="both"/>
              <w:rPr>
                <w:rFonts w:hint="eastAsia" w:ascii="宋体" w:hAnsi="宋体" w:eastAsia="宋体" w:cs="宋体"/>
                <w:color w:val="auto"/>
                <w:szCs w:val="21"/>
                <w:highlight w:val="none"/>
              </w:rPr>
            </w:pPr>
            <w:r>
              <w:rPr>
                <w:rFonts w:ascii="宋体" w:hAnsi="宋体" w:eastAsia="宋体" w:cs="宋体"/>
                <w:color w:val="auto"/>
                <w:szCs w:val="21"/>
                <w:highlight w:val="none"/>
              </w:rPr>
              <w:sym w:font="Wingdings" w:char="00FE"/>
            </w:r>
            <w:r>
              <w:rPr>
                <w:rFonts w:ascii="宋体" w:hAnsi="宋体" w:eastAsia="宋体" w:cs="宋体"/>
                <w:color w:val="auto"/>
                <w:szCs w:val="21"/>
                <w:highlight w:val="none"/>
              </w:rPr>
              <w:t xml:space="preserve"> 专门面向中小企业采购。</w:t>
            </w:r>
          </w:p>
          <w:p>
            <w:pPr>
              <w:widowControl w:val="0"/>
              <w:spacing w:line="276" w:lineRule="auto"/>
              <w:ind w:firstLine="420" w:firstLineChars="200"/>
              <w:jc w:val="both"/>
              <w:rPr>
                <w:rFonts w:hint="eastAsia" w:ascii="宋体" w:hAnsi="宋体" w:eastAsia="宋体" w:cs="宋体"/>
                <w:color w:val="auto"/>
                <w:szCs w:val="21"/>
                <w:highlight w:val="none"/>
              </w:rPr>
            </w:pPr>
            <w:r>
              <w:rPr>
                <w:rFonts w:ascii="宋体" w:hAnsi="宋体" w:eastAsia="宋体" w:cs="宋体"/>
                <w:color w:val="auto"/>
                <w:szCs w:val="21"/>
                <w:highlight w:val="none"/>
              </w:rPr>
              <w:sym w:font="Wingdings" w:char="00A8"/>
            </w:r>
            <w:r>
              <w:rPr>
                <w:rFonts w:ascii="宋体" w:hAnsi="宋体" w:eastAsia="宋体" w:cs="宋体"/>
                <w:color w:val="auto"/>
                <w:szCs w:val="21"/>
                <w:highlight w:val="none"/>
              </w:rPr>
              <w:t xml:space="preserve"> </w:t>
            </w:r>
            <w:r>
              <w:rPr>
                <w:rFonts w:ascii="宋体" w:hAnsi="宋体" w:eastAsia="宋体" w:cs="宋体"/>
                <w:color w:val="auto"/>
                <w:szCs w:val="21"/>
                <w:highlight w:val="none"/>
                <w:u w:val="single"/>
              </w:rPr>
              <w:t xml:space="preserve">   /  （采购包）</w:t>
            </w:r>
            <w:r>
              <w:rPr>
                <w:rFonts w:ascii="宋体" w:hAnsi="宋体" w:eastAsia="宋体" w:cs="宋体"/>
                <w:color w:val="auto"/>
                <w:szCs w:val="21"/>
                <w:highlight w:val="none"/>
              </w:rPr>
              <w:t>专门面向中小企业采购。</w:t>
            </w:r>
          </w:p>
          <w:p>
            <w:pPr>
              <w:widowControl w:val="0"/>
              <w:adjustRightInd w:val="0"/>
              <w:snapToGrid w:val="0"/>
              <w:spacing w:line="276"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sym w:font="Wingdings" w:char="00A8"/>
            </w:r>
            <w:r>
              <w:rPr>
                <w:rFonts w:ascii="宋体" w:hAnsi="宋体" w:eastAsia="宋体" w:cs="宋体"/>
                <w:color w:val="auto"/>
                <w:szCs w:val="21"/>
                <w:highlight w:val="none"/>
              </w:rPr>
              <w:t xml:space="preserve"> 要求以联合体形式或合同分包形式参加。联合体协议或者分包意向协议中中小企业合同份额应占到合同总份额的</w:t>
            </w:r>
            <w:r>
              <w:rPr>
                <w:rFonts w:ascii="宋体" w:hAnsi="宋体" w:eastAsia="宋体" w:cs="宋体"/>
                <w:color w:val="auto"/>
                <w:szCs w:val="21"/>
                <w:highlight w:val="none"/>
                <w:u w:val="single"/>
              </w:rPr>
              <w:t xml:space="preserve"> / </w:t>
            </w:r>
            <w:r>
              <w:rPr>
                <w:rFonts w:ascii="宋体" w:hAnsi="宋体" w:eastAsia="宋体" w:cs="宋体"/>
                <w:color w:val="auto"/>
                <w:szCs w:val="21"/>
                <w:highlight w:val="none"/>
              </w:rPr>
              <w:t>%。</w:t>
            </w:r>
          </w:p>
          <w:p>
            <w:pPr>
              <w:widowControl w:val="0"/>
              <w:adjustRightInd w:val="0"/>
              <w:snapToGrid w:val="0"/>
              <w:spacing w:before="50" w:line="360" w:lineRule="auto"/>
              <w:jc w:val="both"/>
              <w:rPr>
                <w:rFonts w:hint="eastAsia" w:ascii="宋体" w:hAnsi="宋体" w:eastAsia="宋体" w:cs="宋体"/>
                <w:color w:val="auto"/>
                <w:szCs w:val="21"/>
                <w:highlight w:val="none"/>
              </w:rPr>
            </w:pPr>
            <w:r>
              <w:rPr>
                <w:rFonts w:ascii="宋体" w:hAnsi="宋体" w:eastAsia="宋体" w:cs="宋体"/>
                <w:color w:val="auto"/>
                <w:szCs w:val="21"/>
                <w:highlight w:val="none"/>
              </w:rPr>
              <w:t>注：预留份额部分不再享受本章第41条“价格评审优惠”的小微企业扶持政策。</w:t>
            </w:r>
          </w:p>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ascii="宋体" w:hAnsi="宋体" w:eastAsia="宋体" w:cs="宋体"/>
                <w:color w:val="auto"/>
                <w:szCs w:val="21"/>
                <w:highlight w:val="none"/>
              </w:rPr>
              <w:sym w:font="Wingdings" w:char="00A8"/>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否</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第2.1款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采购项目联系人姓名和电话</w:t>
            </w:r>
          </w:p>
        </w:tc>
        <w:tc>
          <w:tcPr>
            <w:tcW w:w="4625" w:type="dxa"/>
            <w:vAlign w:val="center"/>
          </w:tcPr>
          <w:p>
            <w:pPr>
              <w:widowControl w:val="0"/>
              <w:adjustRightInd w:val="0"/>
              <w:snapToGrid w:val="0"/>
              <w:spacing w:before="50" w:line="276"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联系人姓名：</w:t>
            </w:r>
            <w:r>
              <w:rPr>
                <w:rFonts w:hint="eastAsia" w:ascii="宋体" w:hAnsi="宋体" w:eastAsia="宋体" w:cs="Times New Roman"/>
                <w:color w:val="auto"/>
                <w:szCs w:val="21"/>
                <w:highlight w:val="none"/>
                <w:lang w:eastAsia="zh-CN"/>
              </w:rPr>
              <w:t>刘雪琼</w:t>
            </w:r>
            <w:r>
              <w:rPr>
                <w:rFonts w:hint="eastAsia" w:ascii="宋体" w:hAnsi="宋体" w:eastAsia="宋体" w:cs="Times New Roman"/>
                <w:color w:val="auto"/>
                <w:szCs w:val="21"/>
                <w:highlight w:val="none"/>
              </w:rPr>
              <w:t xml:space="preserve"> </w:t>
            </w:r>
          </w:p>
          <w:p>
            <w:pPr>
              <w:widowControl w:val="0"/>
              <w:adjustRightInd w:val="0"/>
              <w:snapToGrid w:val="0"/>
              <w:spacing w:before="50" w:line="276" w:lineRule="auto"/>
              <w:jc w:val="both"/>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电话：</w:t>
            </w:r>
            <w:r>
              <w:rPr>
                <w:rFonts w:hint="eastAsia" w:ascii="宋体" w:hAnsi="宋体" w:eastAsia="宋体" w:cs="Times New Roman"/>
                <w:color w:val="auto"/>
                <w:szCs w:val="21"/>
                <w:highlight w:val="none"/>
                <w:lang w:eastAsia="zh-CN"/>
              </w:rPr>
              <w:t>0735-2226555/18229332202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第2.2款</w:t>
            </w:r>
          </w:p>
        </w:tc>
        <w:tc>
          <w:tcPr>
            <w:tcW w:w="3005" w:type="dxa"/>
            <w:vAlign w:val="center"/>
          </w:tcPr>
          <w:p>
            <w:pPr>
              <w:widowControl w:val="0"/>
              <w:adjustRightInd w:val="0"/>
              <w:snapToGrid w:val="0"/>
              <w:spacing w:before="50" w:line="360" w:lineRule="auto"/>
              <w:jc w:val="both"/>
              <w:rPr>
                <w:rFonts w:ascii="Times New Roman" w:hAnsi="Times New Roman" w:eastAsia="宋体" w:cs="Times New Roman"/>
                <w:color w:val="auto"/>
                <w:szCs w:val="24"/>
                <w:highlight w:val="none"/>
              </w:rPr>
            </w:pPr>
            <w:r>
              <w:rPr>
                <w:rFonts w:hint="eastAsia" w:ascii="Times New Roman" w:hAnsi="Times New Roman" w:eastAsia="宋体" w:cs="Times New Roman"/>
                <w:color w:val="auto"/>
                <w:szCs w:val="24"/>
                <w:highlight w:val="none"/>
              </w:rPr>
              <w:t>采购人名称、地址、电话、联系人</w:t>
            </w:r>
          </w:p>
        </w:tc>
        <w:tc>
          <w:tcPr>
            <w:tcW w:w="4625" w:type="dxa"/>
            <w:vAlign w:val="center"/>
          </w:tcPr>
          <w:p>
            <w:pPr>
              <w:widowControl w:val="0"/>
              <w:adjustRightInd w:val="0"/>
              <w:snapToGrid w:val="0"/>
              <w:spacing w:line="276" w:lineRule="auto"/>
              <w:jc w:val="both"/>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名  称：</w:t>
            </w:r>
            <w:r>
              <w:rPr>
                <w:rFonts w:hint="eastAsia" w:ascii="宋体" w:hAnsi="宋体" w:eastAsia="宋体" w:cs="Times New Roman"/>
                <w:color w:val="auto"/>
                <w:szCs w:val="21"/>
                <w:highlight w:val="none"/>
              </w:rPr>
              <w:t>郴州市园林绿化服务中心</w:t>
            </w:r>
          </w:p>
          <w:p>
            <w:pPr>
              <w:widowControl w:val="0"/>
              <w:adjustRightInd w:val="0"/>
              <w:snapToGrid w:val="0"/>
              <w:spacing w:line="276"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地  址：郴州市北湖区民权路五岭公园管理所内</w:t>
            </w:r>
          </w:p>
          <w:p>
            <w:pPr>
              <w:widowControl w:val="0"/>
              <w:adjustRightInd w:val="0"/>
              <w:snapToGrid w:val="0"/>
              <w:spacing w:line="276"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电  话：0735-2326509</w:t>
            </w:r>
          </w:p>
          <w:p>
            <w:pPr>
              <w:widowControl w:val="0"/>
              <w:adjustRightInd w:val="0"/>
              <w:snapToGrid w:val="0"/>
              <w:spacing w:line="276"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联系人：刘婕</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第2.3款</w:t>
            </w:r>
          </w:p>
        </w:tc>
        <w:tc>
          <w:tcPr>
            <w:tcW w:w="3005" w:type="dxa"/>
            <w:vAlign w:val="center"/>
          </w:tcPr>
          <w:p>
            <w:pPr>
              <w:widowControl w:val="0"/>
              <w:adjustRightInd w:val="0"/>
              <w:snapToGrid w:val="0"/>
              <w:spacing w:before="50" w:line="360" w:lineRule="auto"/>
              <w:jc w:val="both"/>
              <w:rPr>
                <w:rFonts w:ascii="Times New Roman" w:hAnsi="Times New Roman" w:eastAsia="宋体" w:cs="Times New Roman"/>
                <w:color w:val="auto"/>
                <w:szCs w:val="24"/>
                <w:highlight w:val="none"/>
              </w:rPr>
            </w:pPr>
            <w:r>
              <w:rPr>
                <w:rFonts w:hint="eastAsia" w:ascii="Times New Roman" w:hAnsi="Times New Roman" w:eastAsia="宋体" w:cs="Times New Roman"/>
                <w:color w:val="auto"/>
                <w:szCs w:val="24"/>
                <w:highlight w:val="none"/>
              </w:rPr>
              <w:t>采购代理机构名称、地址、电话、联系人</w:t>
            </w:r>
          </w:p>
        </w:tc>
        <w:tc>
          <w:tcPr>
            <w:tcW w:w="4625" w:type="dxa"/>
            <w:vAlign w:val="center"/>
          </w:tcPr>
          <w:p>
            <w:pPr>
              <w:widowControl w:val="0"/>
              <w:adjustRightInd w:val="0"/>
              <w:snapToGrid w:val="0"/>
              <w:spacing w:line="276" w:lineRule="auto"/>
              <w:jc w:val="both"/>
              <w:rPr>
                <w:rFonts w:hint="eastAsia" w:ascii="宋体" w:hAnsi="宋体" w:eastAsia="宋体" w:cs="Times New Roman"/>
                <w:color w:val="auto"/>
                <w:szCs w:val="21"/>
                <w:highlight w:val="none"/>
                <w:lang w:eastAsia="zh-CN"/>
              </w:rPr>
            </w:pPr>
            <w:r>
              <w:rPr>
                <w:rFonts w:hint="eastAsia" w:ascii="宋体" w:hAnsi="宋体" w:eastAsia="宋体" w:cs="Times New Roman"/>
                <w:bCs/>
                <w:color w:val="auto"/>
                <w:szCs w:val="21"/>
                <w:highlight w:val="none"/>
              </w:rPr>
              <w:t>名  称：</w:t>
            </w:r>
            <w:r>
              <w:rPr>
                <w:rFonts w:hint="eastAsia" w:ascii="宋体" w:hAnsi="宋体" w:eastAsia="宋体" w:cs="Times New Roman"/>
                <w:color w:val="auto"/>
                <w:szCs w:val="21"/>
                <w:highlight w:val="none"/>
                <w:lang w:eastAsia="zh-CN"/>
              </w:rPr>
              <w:t>中辰八盛工程项目管理有限公司</w:t>
            </w:r>
          </w:p>
          <w:p>
            <w:pPr>
              <w:widowControl w:val="0"/>
              <w:adjustRightInd w:val="0"/>
              <w:snapToGrid w:val="0"/>
              <w:spacing w:line="276" w:lineRule="auto"/>
              <w:jc w:val="both"/>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地  址：</w:t>
            </w:r>
            <w:r>
              <w:rPr>
                <w:rFonts w:hint="eastAsia" w:ascii="宋体" w:hAnsi="宋体" w:eastAsia="宋体" w:cs="Times New Roman"/>
                <w:color w:val="auto"/>
                <w:szCs w:val="21"/>
                <w:highlight w:val="none"/>
                <w:lang w:eastAsia="zh-CN"/>
              </w:rPr>
              <w:t>湖南省郴州市苏仙区王仙岭街道爱莲湖社区郴江路313号爱莲花园2栋102号</w:t>
            </w:r>
          </w:p>
          <w:p>
            <w:pPr>
              <w:widowControl w:val="0"/>
              <w:adjustRightInd w:val="0"/>
              <w:snapToGrid w:val="0"/>
              <w:spacing w:line="276" w:lineRule="auto"/>
              <w:jc w:val="both"/>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电  话：</w:t>
            </w:r>
            <w:r>
              <w:rPr>
                <w:rFonts w:hint="eastAsia" w:ascii="宋体" w:hAnsi="宋体" w:eastAsia="宋体" w:cs="Times New Roman"/>
                <w:color w:val="auto"/>
                <w:szCs w:val="21"/>
                <w:highlight w:val="none"/>
                <w:lang w:eastAsia="zh-CN"/>
              </w:rPr>
              <w:t>0735-2226555/18229332202</w:t>
            </w:r>
          </w:p>
          <w:p>
            <w:pPr>
              <w:widowControl w:val="0"/>
              <w:adjustRightInd w:val="0"/>
              <w:snapToGrid w:val="0"/>
              <w:spacing w:line="276"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联系人：</w:t>
            </w:r>
            <w:r>
              <w:rPr>
                <w:rFonts w:hint="eastAsia" w:ascii="宋体" w:hAnsi="宋体" w:eastAsia="宋体" w:cs="Times New Roman"/>
                <w:color w:val="auto"/>
                <w:szCs w:val="21"/>
                <w:highlight w:val="none"/>
                <w:lang w:eastAsia="zh-CN"/>
              </w:rPr>
              <w:t>刘雪琼、陈湘燕</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ascii="宋体" w:hAnsi="宋体" w:eastAsia="宋体" w:cs="宋体"/>
                <w:color w:val="auto"/>
                <w:szCs w:val="21"/>
                <w:highlight w:val="none"/>
              </w:rPr>
              <w:t>第2.4款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4"/>
                <w:highlight w:val="none"/>
              </w:rPr>
            </w:pPr>
            <w:r>
              <w:rPr>
                <w:rFonts w:ascii="宋体" w:hAnsi="宋体" w:eastAsia="宋体" w:cs="宋体"/>
                <w:color w:val="auto"/>
                <w:kern w:val="0"/>
                <w:szCs w:val="21"/>
                <w:highlight w:val="none"/>
              </w:rPr>
              <w:t>供应商的</w:t>
            </w:r>
            <w:r>
              <w:rPr>
                <w:rFonts w:ascii="宋体" w:hAnsi="宋体" w:eastAsia="宋体" w:cs="宋体"/>
                <w:color w:val="auto"/>
                <w:szCs w:val="21"/>
                <w:highlight w:val="none"/>
              </w:rPr>
              <w:t>邀请方式</w:t>
            </w:r>
          </w:p>
        </w:tc>
        <w:tc>
          <w:tcPr>
            <w:tcW w:w="4625" w:type="dxa"/>
            <w:vAlign w:val="center"/>
          </w:tcPr>
          <w:p>
            <w:pPr>
              <w:adjustRightInd w:val="0"/>
              <w:snapToGrid w:val="0"/>
              <w:spacing w:line="276" w:lineRule="auto"/>
              <w:rPr>
                <w:rFonts w:hint="eastAsia" w:ascii="宋体" w:hAnsi="宋体" w:eastAsia="宋体"/>
                <w:bCs/>
                <w:color w:val="auto"/>
                <w:szCs w:val="21"/>
                <w:highlight w:val="none"/>
              </w:rPr>
            </w:pPr>
            <w:r>
              <w:rPr>
                <w:rFonts w:ascii="宋体" w:hAnsi="宋体" w:eastAsia="宋体" w:cs="MS Mincho"/>
                <w:bCs/>
                <w:color w:val="auto"/>
                <w:szCs w:val="21"/>
                <w:highlight w:val="none"/>
              </w:rPr>
              <w:sym w:font="Wingdings 2" w:char="0052"/>
            </w:r>
            <w:r>
              <w:rPr>
                <w:rFonts w:ascii="宋体" w:hAnsi="宋体" w:eastAsia="宋体"/>
                <w:bCs/>
                <w:color w:val="auto"/>
                <w:szCs w:val="21"/>
                <w:highlight w:val="none"/>
              </w:rPr>
              <w:t xml:space="preserve"> 发布公告</w:t>
            </w:r>
          </w:p>
          <w:p>
            <w:pPr>
              <w:adjustRightInd w:val="0"/>
              <w:snapToGrid w:val="0"/>
              <w:spacing w:line="276" w:lineRule="auto"/>
              <w:rPr>
                <w:rFonts w:hint="eastAsia" w:ascii="宋体" w:hAnsi="宋体" w:eastAsia="宋体"/>
                <w:bCs/>
                <w:color w:val="auto"/>
                <w:szCs w:val="21"/>
                <w:highlight w:val="none"/>
              </w:rPr>
            </w:pPr>
            <w:r>
              <w:rPr>
                <w:rFonts w:ascii="宋体" w:hAnsi="宋体" w:eastAsia="宋体"/>
                <w:bCs/>
                <w:color w:val="auto"/>
                <w:szCs w:val="21"/>
                <w:highlight w:val="none"/>
              </w:rPr>
              <w:sym w:font="Wingdings 2" w:char="00A3"/>
            </w:r>
            <w:r>
              <w:rPr>
                <w:rFonts w:ascii="宋体" w:hAnsi="宋体" w:eastAsia="宋体"/>
                <w:bCs/>
                <w:color w:val="auto"/>
                <w:szCs w:val="21"/>
                <w:highlight w:val="none"/>
              </w:rPr>
              <w:t xml:space="preserve"> 从省级以上财政部门建立的供应商库中随机抽取</w:t>
            </w:r>
          </w:p>
          <w:p>
            <w:pPr>
              <w:widowControl w:val="0"/>
              <w:adjustRightInd w:val="0"/>
              <w:snapToGrid w:val="0"/>
              <w:spacing w:line="276" w:lineRule="auto"/>
              <w:jc w:val="both"/>
              <w:rPr>
                <w:rFonts w:hint="eastAsia" w:ascii="宋体" w:hAnsi="宋体" w:eastAsia="宋体" w:cs="Times New Roman"/>
                <w:bCs/>
                <w:color w:val="auto"/>
                <w:szCs w:val="21"/>
                <w:highlight w:val="none"/>
              </w:rPr>
            </w:pPr>
            <w:r>
              <w:rPr>
                <w:rFonts w:ascii="宋体" w:hAnsi="宋体" w:eastAsia="宋体"/>
                <w:bCs/>
                <w:color w:val="auto"/>
                <w:szCs w:val="21"/>
                <w:highlight w:val="none"/>
              </w:rPr>
              <w:sym w:font="Wingdings 2" w:char="00A3"/>
            </w:r>
            <w:r>
              <w:rPr>
                <w:rFonts w:ascii="宋体" w:hAnsi="宋体" w:eastAsia="宋体"/>
                <w:bCs/>
                <w:color w:val="auto"/>
                <w:szCs w:val="21"/>
                <w:highlight w:val="none"/>
              </w:rPr>
              <w:t xml:space="preserve"> 采购人和评审专家分别书面推荐的方式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622" w:type="dxa"/>
            <w:tcBorders>
              <w:bottom w:val="single" w:color="auto" w:sz="4" w:space="0"/>
            </w:tcBorders>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第3.1款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供应商</w:t>
            </w:r>
            <w:r>
              <w:rPr>
                <w:rFonts w:hint="eastAsia" w:ascii="宋体" w:hAnsi="宋体" w:eastAsia="宋体" w:cs="Times New Roman"/>
                <w:color w:val="auto"/>
                <w:szCs w:val="21"/>
                <w:highlight w:val="none"/>
              </w:rPr>
              <w:t>资格条件</w:t>
            </w:r>
          </w:p>
        </w:tc>
        <w:tc>
          <w:tcPr>
            <w:tcW w:w="4625" w:type="dxa"/>
            <w:vAlign w:val="center"/>
          </w:tcPr>
          <w:p>
            <w:pPr>
              <w:widowControl w:val="0"/>
              <w:adjustRightInd w:val="0"/>
              <w:snapToGrid w:val="0"/>
              <w:spacing w:line="276"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详见第一章谈判邀请公告</w:t>
            </w:r>
          </w:p>
          <w:p>
            <w:pPr>
              <w:widowControl w:val="0"/>
              <w:spacing w:line="276" w:lineRule="auto"/>
              <w:jc w:val="both"/>
              <w:rPr>
                <w:rFonts w:ascii="Calibri" w:hAnsi="Calibri" w:eastAsia="宋体" w:cs="Times New Roman"/>
                <w:color w:val="auto"/>
                <w:szCs w:val="21"/>
                <w:highlight w:val="none"/>
              </w:rPr>
            </w:pPr>
            <w:r>
              <w:rPr>
                <w:rFonts w:ascii="Calibri" w:hAnsi="Calibri" w:eastAsia="宋体" w:cs="Times New Roman"/>
                <w:b/>
                <w:bCs/>
                <w:color w:val="auto"/>
                <w:szCs w:val="21"/>
                <w:highlight w:val="none"/>
              </w:rPr>
              <w:t>供应商有下列情形之一的，视为无效投标</w:t>
            </w:r>
            <w:r>
              <w:rPr>
                <w:rFonts w:ascii="Calibri" w:hAnsi="Calibri" w:eastAsia="宋体" w:cs="Times New Roman"/>
                <w:color w:val="auto"/>
                <w:szCs w:val="21"/>
                <w:highlight w:val="none"/>
              </w:rPr>
              <w:t>（</w:t>
            </w:r>
            <w:r>
              <w:rPr>
                <w:rFonts w:ascii="Segoe UI Symbol" w:hAnsi="Segoe UI Symbol" w:eastAsia="宋体" w:cs="Segoe UI Symbol"/>
                <w:color w:val="auto"/>
                <w:szCs w:val="21"/>
                <w:highlight w:val="none"/>
              </w:rPr>
              <w:t>★</w:t>
            </w:r>
            <w:r>
              <w:rPr>
                <w:rFonts w:ascii="Calibri" w:hAnsi="Calibri" w:eastAsia="宋体" w:cs="Times New Roman"/>
                <w:color w:val="auto"/>
                <w:szCs w:val="21"/>
                <w:highlight w:val="none"/>
              </w:rPr>
              <w:t>）：</w:t>
            </w:r>
          </w:p>
          <w:p>
            <w:pPr>
              <w:widowControl w:val="0"/>
              <w:spacing w:line="276" w:lineRule="auto"/>
              <w:jc w:val="both"/>
              <w:rPr>
                <w:rFonts w:ascii="Calibri" w:hAnsi="Calibri" w:eastAsia="宋体" w:cs="Times New Roman"/>
                <w:color w:val="auto"/>
                <w:szCs w:val="21"/>
                <w:highlight w:val="none"/>
              </w:rPr>
            </w:pPr>
            <w:bookmarkStart w:id="43" w:name="_Toc25423"/>
            <w:bookmarkStart w:id="44" w:name="_Toc25941"/>
            <w:bookmarkStart w:id="45" w:name="_Toc4526"/>
            <w:bookmarkStart w:id="46" w:name="_Toc84587201"/>
            <w:r>
              <w:rPr>
                <w:rFonts w:ascii="Calibri" w:hAnsi="Calibri" w:eastAsia="宋体" w:cs="Times New Roman"/>
                <w:color w:val="auto"/>
                <w:szCs w:val="21"/>
                <w:highlight w:val="none"/>
              </w:rPr>
              <w:t>（1）有一项资格证明文件未提交的；</w:t>
            </w:r>
            <w:bookmarkEnd w:id="43"/>
            <w:bookmarkEnd w:id="44"/>
            <w:bookmarkEnd w:id="45"/>
            <w:bookmarkEnd w:id="46"/>
          </w:p>
          <w:p>
            <w:pPr>
              <w:widowControl w:val="0"/>
              <w:spacing w:line="276" w:lineRule="auto"/>
              <w:jc w:val="both"/>
              <w:rPr>
                <w:rFonts w:ascii="Calibri" w:hAnsi="Calibri" w:eastAsia="宋体" w:cs="Times New Roman"/>
                <w:color w:val="auto"/>
                <w:szCs w:val="21"/>
                <w:highlight w:val="none"/>
              </w:rPr>
            </w:pPr>
            <w:bookmarkStart w:id="47" w:name="_Toc17416"/>
            <w:bookmarkStart w:id="48" w:name="_Toc11133"/>
            <w:bookmarkStart w:id="49" w:name="_Toc84587202"/>
            <w:bookmarkStart w:id="50" w:name="_Toc13196"/>
            <w:r>
              <w:rPr>
                <w:rFonts w:ascii="Calibri" w:hAnsi="Calibri" w:eastAsia="宋体" w:cs="Times New Roman"/>
                <w:color w:val="auto"/>
                <w:szCs w:val="21"/>
                <w:highlight w:val="none"/>
              </w:rPr>
              <w:t>（2）提供不符合要求或虚假资格证明文件的；</w:t>
            </w:r>
            <w:bookmarkEnd w:id="47"/>
            <w:bookmarkEnd w:id="48"/>
            <w:bookmarkEnd w:id="49"/>
            <w:bookmarkEnd w:id="50"/>
          </w:p>
          <w:p>
            <w:pPr>
              <w:widowControl w:val="0"/>
              <w:spacing w:line="276" w:lineRule="auto"/>
              <w:jc w:val="both"/>
              <w:rPr>
                <w:rFonts w:ascii="Calibri" w:hAnsi="Calibri" w:eastAsia="宋体" w:cs="Times New Roman"/>
                <w:color w:val="auto"/>
                <w:szCs w:val="21"/>
                <w:highlight w:val="none"/>
              </w:rPr>
            </w:pPr>
            <w:bookmarkStart w:id="51" w:name="_Toc2077"/>
            <w:bookmarkStart w:id="52" w:name="_Toc84587203"/>
            <w:bookmarkStart w:id="53" w:name="_Toc28506"/>
            <w:bookmarkStart w:id="54" w:name="_Toc15352"/>
            <w:r>
              <w:rPr>
                <w:rFonts w:ascii="Calibri" w:hAnsi="Calibri" w:eastAsia="宋体" w:cs="Times New Roman"/>
                <w:color w:val="auto"/>
                <w:szCs w:val="21"/>
                <w:highlight w:val="none"/>
              </w:rPr>
              <w:t>（3）资格证明文件过了有效期或未年审年检的；</w:t>
            </w:r>
            <w:bookmarkEnd w:id="51"/>
            <w:bookmarkEnd w:id="52"/>
            <w:bookmarkEnd w:id="53"/>
            <w:bookmarkEnd w:id="54"/>
          </w:p>
          <w:p>
            <w:pPr>
              <w:widowControl w:val="0"/>
              <w:adjustRightInd w:val="0"/>
              <w:snapToGrid w:val="0"/>
              <w:spacing w:line="276" w:lineRule="auto"/>
              <w:jc w:val="both"/>
              <w:rPr>
                <w:rFonts w:hint="eastAsia" w:ascii="宋体" w:hAnsi="宋体" w:eastAsia="宋体" w:cs="Times New Roman"/>
                <w:color w:val="auto"/>
                <w:szCs w:val="21"/>
                <w:highlight w:val="none"/>
              </w:rPr>
            </w:pPr>
            <w:bookmarkStart w:id="55" w:name="_Toc84587204"/>
            <w:bookmarkStart w:id="56" w:name="_Toc13816"/>
            <w:bookmarkStart w:id="57" w:name="_Toc24950"/>
            <w:bookmarkStart w:id="58" w:name="_Toc4902"/>
            <w:r>
              <w:rPr>
                <w:rFonts w:ascii="Calibri" w:hAnsi="Calibri" w:eastAsia="宋体" w:cs="Times New Roman"/>
                <w:color w:val="auto"/>
                <w:szCs w:val="21"/>
                <w:highlight w:val="none"/>
              </w:rPr>
              <w:t>（4）资格证明文件复印件未加盖供应商公章的。</w:t>
            </w:r>
            <w:bookmarkEnd w:id="55"/>
            <w:bookmarkEnd w:id="56"/>
            <w:bookmarkEnd w:id="57"/>
            <w:bookmarkEnd w:id="58"/>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622" w:type="dxa"/>
            <w:tcBorders>
              <w:bottom w:val="single" w:color="auto" w:sz="4" w:space="0"/>
            </w:tcBorders>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第3.2款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是否接受联合体形式</w:t>
            </w:r>
          </w:p>
        </w:tc>
        <w:tc>
          <w:tcPr>
            <w:tcW w:w="4625" w:type="dxa"/>
            <w:vAlign w:val="center"/>
          </w:tcPr>
          <w:p>
            <w:pPr>
              <w:widowControl w:val="0"/>
              <w:adjustRightInd w:val="0"/>
              <w:snapToGrid w:val="0"/>
              <w:spacing w:line="276" w:lineRule="auto"/>
              <w:jc w:val="both"/>
              <w:rPr>
                <w:rFonts w:hint="eastAsia" w:ascii="宋体" w:hAnsi="宋体" w:eastAsia="宋体" w:cs="Times New Roman"/>
                <w:color w:val="auto"/>
                <w:szCs w:val="21"/>
                <w:highlight w:val="none"/>
              </w:rPr>
            </w:pPr>
            <w:r>
              <w:rPr>
                <w:rFonts w:ascii="MS Mincho" w:hAnsi="MS Mincho" w:eastAsia="宋体" w:cs="MS Mincho"/>
                <w:bCs/>
                <w:color w:val="auto"/>
                <w:szCs w:val="21"/>
                <w:highlight w:val="none"/>
              </w:rPr>
              <w:sym w:font="Wingdings 2" w:char="0052"/>
            </w:r>
            <w:r>
              <w:rPr>
                <w:rFonts w:ascii="MS Mincho" w:hAnsi="MS Mincho" w:eastAsia="宋体" w:cs="MS Mincho"/>
                <w:bCs/>
                <w:color w:val="auto"/>
                <w:szCs w:val="21"/>
                <w:highlight w:val="none"/>
              </w:rPr>
              <w:t xml:space="preserve"> </w:t>
            </w:r>
            <w:r>
              <w:rPr>
                <w:rFonts w:ascii="宋体" w:hAnsi="宋体" w:eastAsia="宋体" w:cs="Times New Roman"/>
                <w:color w:val="auto"/>
                <w:szCs w:val="21"/>
                <w:highlight w:val="none"/>
              </w:rPr>
              <w:t>不接受</w:t>
            </w:r>
          </w:p>
          <w:p>
            <w:pPr>
              <w:widowControl w:val="0"/>
              <w:adjustRightInd w:val="0"/>
              <w:snapToGrid w:val="0"/>
              <w:spacing w:line="360" w:lineRule="auto"/>
              <w:jc w:val="both"/>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sym w:font="Wingdings 2" w:char="00A3"/>
            </w:r>
            <w:r>
              <w:rPr>
                <w:rFonts w:ascii="宋体" w:hAnsi="宋体" w:eastAsia="宋体" w:cs="Times New Roman"/>
                <w:color w:val="auto"/>
                <w:szCs w:val="21"/>
                <w:highlight w:val="none"/>
              </w:rPr>
              <w:t xml:space="preserve"> 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第5.1款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现场勘察</w:t>
            </w:r>
          </w:p>
        </w:tc>
        <w:tc>
          <w:tcPr>
            <w:tcW w:w="4625" w:type="dxa"/>
            <w:vAlign w:val="center"/>
          </w:tcPr>
          <w:p>
            <w:pPr>
              <w:widowControl w:val="0"/>
              <w:adjustRightInd w:val="0"/>
              <w:snapToGrid w:val="0"/>
              <w:spacing w:line="276" w:lineRule="auto"/>
              <w:jc w:val="both"/>
              <w:rPr>
                <w:rFonts w:ascii="Calibri" w:hAnsi="Calibri" w:eastAsia="宋体" w:cs="Times New Roman"/>
                <w:color w:val="auto"/>
                <w:szCs w:val="24"/>
                <w:highlight w:val="none"/>
              </w:rPr>
            </w:pPr>
            <w:r>
              <w:rPr>
                <w:rFonts w:ascii="Calibri" w:hAnsi="Calibri" w:eastAsia="宋体" w:cs="Times New Roman"/>
                <w:color w:val="auto"/>
                <w:szCs w:val="24"/>
                <w:highlight w:val="none"/>
              </w:rPr>
              <w:sym w:font="Wingdings 2" w:char="0052"/>
            </w:r>
            <w:r>
              <w:rPr>
                <w:rFonts w:ascii="Calibri" w:hAnsi="Calibri" w:eastAsia="宋体" w:cs="Times New Roman"/>
                <w:color w:val="auto"/>
                <w:szCs w:val="24"/>
                <w:highlight w:val="none"/>
              </w:rPr>
              <w:t xml:space="preserve"> 不组织。</w:t>
            </w:r>
          </w:p>
          <w:p>
            <w:pPr>
              <w:widowControl w:val="0"/>
              <w:adjustRightInd w:val="0"/>
              <w:snapToGrid w:val="0"/>
              <w:spacing w:line="276" w:lineRule="auto"/>
              <w:ind w:firstLine="210" w:firstLineChars="100"/>
              <w:jc w:val="both"/>
              <w:rPr>
                <w:rFonts w:ascii="Calibri" w:hAnsi="Calibri" w:eastAsia="宋体" w:cs="Times New Roman"/>
                <w:color w:val="auto"/>
                <w:szCs w:val="24"/>
                <w:highlight w:val="none"/>
              </w:rPr>
            </w:pPr>
            <w:r>
              <w:rPr>
                <w:rFonts w:ascii="Calibri" w:hAnsi="Calibri" w:eastAsia="宋体" w:cs="Times New Roman"/>
                <w:color w:val="auto"/>
                <w:szCs w:val="24"/>
                <w:highlight w:val="none"/>
              </w:rPr>
              <w:t>供应商在参加采购活动前，可自行与采购人了解情况，有关费用自理，踏勘期间发生的意外自负。</w:t>
            </w:r>
          </w:p>
          <w:p>
            <w:pPr>
              <w:widowControl w:val="0"/>
              <w:spacing w:line="240" w:lineRule="auto"/>
              <w:jc w:val="both"/>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sym w:font="Wingdings 2" w:char="00A3"/>
            </w:r>
            <w:r>
              <w:rPr>
                <w:rFonts w:ascii="宋体" w:hAnsi="宋体" w:eastAsia="宋体" w:cs="Times New Roman"/>
                <w:color w:val="auto"/>
                <w:szCs w:val="21"/>
                <w:highlight w:val="none"/>
              </w:rPr>
              <w:t xml:space="preserve"> 组织</w:t>
            </w:r>
          </w:p>
          <w:p>
            <w:pPr>
              <w:widowControl w:val="0"/>
              <w:spacing w:line="240" w:lineRule="auto"/>
              <w:ind w:firstLine="210" w:firstLineChars="100"/>
              <w:jc w:val="both"/>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勘察时间：</w:t>
            </w:r>
          </w:p>
          <w:p>
            <w:pPr>
              <w:widowControl w:val="0"/>
              <w:adjustRightInd w:val="0"/>
              <w:snapToGrid w:val="0"/>
              <w:spacing w:before="50" w:line="276" w:lineRule="auto"/>
              <w:jc w:val="both"/>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勘察地点: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252" w:type="dxa"/>
            <w:gridSpan w:val="3"/>
            <w:vAlign w:val="center"/>
          </w:tcPr>
          <w:p>
            <w:pPr>
              <w:widowControl w:val="0"/>
              <w:adjustRightInd w:val="0"/>
              <w:snapToGrid w:val="0"/>
              <w:spacing w:before="50" w:line="360" w:lineRule="auto"/>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二、谈判文件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第6.3款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谈判文件的实质性变动内容</w:t>
            </w:r>
          </w:p>
        </w:tc>
        <w:tc>
          <w:tcPr>
            <w:tcW w:w="4625" w:type="dxa"/>
            <w:vAlign w:val="center"/>
          </w:tcPr>
          <w:p>
            <w:pPr>
              <w:widowControl w:val="0"/>
              <w:adjustRightInd w:val="0"/>
              <w:snapToGrid w:val="0"/>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sym w:font="Wingdings 2" w:char="00A3"/>
            </w:r>
            <w:r>
              <w:rPr>
                <w:rFonts w:ascii="MS Mincho" w:hAnsi="MS Mincho" w:eastAsia="宋体" w:cs="MS Mincho"/>
                <w:color w:val="auto"/>
                <w:szCs w:val="21"/>
                <w:highlight w:val="none"/>
              </w:rPr>
              <w:t xml:space="preserve"> </w:t>
            </w:r>
            <w:r>
              <w:rPr>
                <w:rFonts w:ascii="宋体" w:hAnsi="宋体" w:eastAsia="宋体" w:cs="宋体"/>
                <w:color w:val="auto"/>
                <w:szCs w:val="21"/>
                <w:highlight w:val="none"/>
              </w:rPr>
              <w:t>不变动</w:t>
            </w:r>
          </w:p>
          <w:p>
            <w:pPr>
              <w:widowControl w:val="0"/>
              <w:adjustRightInd w:val="0"/>
              <w:snapToGrid w:val="0"/>
              <w:spacing w:before="50" w:line="276" w:lineRule="auto"/>
              <w:jc w:val="both"/>
              <w:rPr>
                <w:rFonts w:hint="eastAsia" w:ascii="宋体" w:hAnsi="宋体" w:eastAsia="宋体" w:cs="Times New Roman"/>
                <w:color w:val="auto"/>
                <w:szCs w:val="21"/>
                <w:highlight w:val="none"/>
              </w:rPr>
            </w:pPr>
            <w:r>
              <w:rPr>
                <w:rFonts w:ascii="MS Mincho" w:hAnsi="MS Mincho" w:eastAsia="宋体" w:cs="MS Mincho"/>
                <w:color w:val="auto"/>
                <w:szCs w:val="21"/>
                <w:highlight w:val="none"/>
              </w:rPr>
              <w:sym w:font="Wingdings 2" w:char="0052"/>
            </w:r>
            <w:r>
              <w:rPr>
                <w:rFonts w:ascii="宋体" w:hAnsi="宋体" w:eastAsia="宋体" w:cs="宋体"/>
                <w:color w:val="auto"/>
                <w:szCs w:val="21"/>
                <w:highlight w:val="none"/>
              </w:rPr>
              <w:t xml:space="preserve"> 可能实质性变动内容：</w:t>
            </w:r>
            <w:r>
              <w:rPr>
                <w:rFonts w:ascii="宋体" w:hAnsi="宋体" w:eastAsia="宋体" w:cs="宋体"/>
                <w:bCs/>
                <w:color w:val="auto"/>
                <w:szCs w:val="21"/>
                <w:highlight w:val="none"/>
              </w:rPr>
              <w:t>在</w:t>
            </w:r>
            <w:r>
              <w:rPr>
                <w:rFonts w:hint="eastAsia" w:ascii="宋体" w:hAnsi="宋体" w:eastAsia="宋体" w:cs="宋体"/>
                <w:bCs/>
                <w:color w:val="auto"/>
                <w:szCs w:val="21"/>
                <w:highlight w:val="none"/>
              </w:rPr>
              <w:t>谈判</w:t>
            </w:r>
            <w:r>
              <w:rPr>
                <w:rFonts w:ascii="宋体" w:hAnsi="宋体" w:eastAsia="宋体" w:cs="宋体"/>
                <w:bCs/>
                <w:color w:val="auto"/>
                <w:szCs w:val="21"/>
                <w:highlight w:val="none"/>
              </w:rPr>
              <w:t>过程中，</w:t>
            </w:r>
            <w:r>
              <w:rPr>
                <w:rFonts w:hint="eastAsia" w:ascii="宋体" w:hAnsi="宋体" w:eastAsia="宋体" w:cs="宋体"/>
                <w:bCs/>
                <w:color w:val="auto"/>
                <w:szCs w:val="21"/>
                <w:highlight w:val="none"/>
              </w:rPr>
              <w:t>谈判</w:t>
            </w:r>
            <w:r>
              <w:rPr>
                <w:rFonts w:ascii="宋体" w:hAnsi="宋体" w:eastAsia="宋体" w:cs="宋体"/>
                <w:bCs/>
                <w:color w:val="auto"/>
                <w:szCs w:val="21"/>
                <w:highlight w:val="none"/>
              </w:rPr>
              <w:t>文件的技术、服务要求以及合同草案条款可能发生实质性变动。如有，谈判小组将以书面形式告知所有参加</w:t>
            </w:r>
            <w:r>
              <w:rPr>
                <w:rFonts w:hint="eastAsia" w:ascii="宋体" w:hAnsi="宋体" w:eastAsia="宋体" w:cs="宋体"/>
                <w:bCs/>
                <w:color w:val="auto"/>
                <w:szCs w:val="21"/>
                <w:highlight w:val="none"/>
              </w:rPr>
              <w:t>谈判</w:t>
            </w:r>
            <w:r>
              <w:rPr>
                <w:rFonts w:ascii="宋体" w:hAnsi="宋体" w:eastAsia="宋体" w:cs="宋体"/>
                <w:bCs/>
                <w:color w:val="auto"/>
                <w:szCs w:val="21"/>
                <w:highlight w:val="none"/>
              </w:rPr>
              <w:t>的供应商，供应商应以书面形式进行回应和答复。</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252" w:type="dxa"/>
            <w:gridSpan w:val="3"/>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b/>
                <w:color w:val="auto"/>
                <w:szCs w:val="21"/>
                <w:highlight w:val="none"/>
              </w:rPr>
              <w:t>三、响应文件的编写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第11.3款</w:t>
            </w:r>
          </w:p>
        </w:tc>
        <w:tc>
          <w:tcPr>
            <w:tcW w:w="3005" w:type="dxa"/>
            <w:vAlign w:val="center"/>
          </w:tcPr>
          <w:p>
            <w:pPr>
              <w:widowControl w:val="0"/>
              <w:adjustRightInd w:val="0"/>
              <w:snapToGrid w:val="0"/>
              <w:spacing w:before="50"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采购项目预算和最高单价限价</w:t>
            </w:r>
          </w:p>
        </w:tc>
        <w:tc>
          <w:tcPr>
            <w:tcW w:w="4625" w:type="dxa"/>
            <w:vAlign w:val="center"/>
          </w:tcPr>
          <w:p>
            <w:pPr>
              <w:widowControl w:val="0"/>
              <w:adjustRightInd w:val="0"/>
              <w:snapToGrid w:val="0"/>
              <w:spacing w:line="276" w:lineRule="auto"/>
              <w:jc w:val="both"/>
              <w:rPr>
                <w:rFonts w:hint="eastAsia" w:ascii="宋体" w:hAnsi="宋体" w:eastAsia="宋体" w:cs="Times New Roman"/>
                <w:color w:val="auto"/>
                <w:szCs w:val="21"/>
                <w:highlight w:val="none"/>
              </w:rPr>
            </w:pPr>
            <w:r>
              <w:rPr>
                <w:rFonts w:hint="eastAsia" w:ascii="宋体" w:hAnsi="宋体" w:eastAsia="宋体" w:cs="Times New Roman"/>
                <w:b/>
                <w:bCs/>
                <w:color w:val="auto"/>
                <w:szCs w:val="21"/>
                <w:highlight w:val="none"/>
              </w:rPr>
              <w:t>采购项目预算：</w:t>
            </w:r>
            <w:r>
              <w:rPr>
                <w:rFonts w:ascii="宋体" w:hAnsi="宋体" w:eastAsia="宋体" w:cs="Times New Roman"/>
                <w:color w:val="auto"/>
                <w:szCs w:val="21"/>
                <w:highlight w:val="none"/>
              </w:rPr>
              <w:t>人民币</w:t>
            </w:r>
            <w:r>
              <w:rPr>
                <w:rFonts w:hint="eastAsia" w:ascii="宋体" w:hAnsi="宋体" w:eastAsia="宋体" w:cs="Times New Roman"/>
                <w:color w:val="auto"/>
                <w:szCs w:val="21"/>
                <w:highlight w:val="none"/>
                <w:lang w:eastAsia="zh-CN"/>
              </w:rPr>
              <w:t>陆拾伍万柒仟陆佰伍拾元整</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lang w:eastAsia="zh-CN"/>
              </w:rPr>
              <w:t>657650.00</w:t>
            </w:r>
            <w:r>
              <w:rPr>
                <w:rFonts w:ascii="宋体" w:hAnsi="宋体" w:eastAsia="宋体" w:cs="Times New Roman"/>
                <w:color w:val="auto"/>
                <w:szCs w:val="21"/>
                <w:highlight w:val="none"/>
              </w:rPr>
              <w:t>元）</w:t>
            </w:r>
          </w:p>
          <w:p>
            <w:pPr>
              <w:widowControl w:val="0"/>
              <w:adjustRightInd w:val="0"/>
              <w:snapToGrid w:val="0"/>
              <w:spacing w:line="276"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最高单价限价：</w:t>
            </w:r>
            <w:r>
              <w:rPr>
                <w:rFonts w:hint="eastAsia" w:ascii="宋体" w:hAnsi="宋体" w:eastAsia="宋体" w:cs="Times New Roman"/>
                <w:color w:val="auto"/>
                <w:szCs w:val="21"/>
                <w:highlight w:val="none"/>
              </w:rPr>
              <w:t>详见第三章采购需求采购清单一览表各种苗木单价。</w:t>
            </w:r>
          </w:p>
          <w:p>
            <w:pPr>
              <w:widowControl w:val="0"/>
              <w:adjustRightInd w:val="0"/>
              <w:snapToGrid w:val="0"/>
              <w:spacing w:before="50" w:line="276" w:lineRule="auto"/>
              <w:rPr>
                <w:rFonts w:ascii="Times New Roman" w:hAnsi="Times New Roman" w:eastAsia="宋体" w:cs="Times New Roman"/>
                <w:color w:val="auto"/>
                <w:szCs w:val="21"/>
                <w:highlight w:val="none"/>
              </w:rPr>
            </w:pPr>
            <w:r>
              <w:rPr>
                <w:rFonts w:ascii="宋体" w:hAnsi="宋体" w:eastAsia="宋体" w:cs="Times New Roman"/>
                <w:color w:val="auto"/>
                <w:szCs w:val="21"/>
                <w:highlight w:val="none"/>
              </w:rPr>
              <w:t>注：报价不得超过采购预算和最高</w:t>
            </w:r>
            <w:r>
              <w:rPr>
                <w:rFonts w:hint="eastAsia" w:ascii="宋体" w:hAnsi="宋体" w:eastAsia="宋体" w:cs="Times New Roman"/>
                <w:color w:val="auto"/>
                <w:szCs w:val="21"/>
                <w:highlight w:val="none"/>
              </w:rPr>
              <w:t>单价</w:t>
            </w:r>
            <w:r>
              <w:rPr>
                <w:rFonts w:ascii="宋体" w:hAnsi="宋体" w:eastAsia="宋体" w:cs="Times New Roman"/>
                <w:color w:val="auto"/>
                <w:szCs w:val="21"/>
                <w:highlight w:val="none"/>
              </w:rPr>
              <w:t>限价，否则作无效投标处理（★）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第11.6款</w:t>
            </w:r>
          </w:p>
        </w:tc>
        <w:tc>
          <w:tcPr>
            <w:tcW w:w="3005" w:type="dxa"/>
            <w:vAlign w:val="center"/>
          </w:tcPr>
          <w:p>
            <w:pPr>
              <w:widowControl w:val="0"/>
              <w:adjustRightInd w:val="0"/>
              <w:snapToGrid w:val="0"/>
              <w:spacing w:before="50" w:line="276"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报价的其他要求</w:t>
            </w:r>
          </w:p>
        </w:tc>
        <w:tc>
          <w:tcPr>
            <w:tcW w:w="4625" w:type="dxa"/>
            <w:vAlign w:val="center"/>
          </w:tcPr>
          <w:p>
            <w:pPr>
              <w:widowControl w:val="0"/>
              <w:adjustRightInd w:val="0"/>
              <w:snapToGrid w:val="0"/>
              <w:spacing w:before="50" w:line="276"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rPr>
              <w:t>在谈判小组规定的时间范围内，登录郴州市政府采购（非标）电子交易平台下载“多轮或最后报价附件”，将填报好的“多轮或最后报价”转换成 PDF格式文件，上传成功后点击文件右侧的“签章”按键进行签章、递交和解密。</w:t>
            </w:r>
          </w:p>
          <w:p>
            <w:pPr>
              <w:widowControl w:val="0"/>
              <w:adjustRightInd w:val="0"/>
              <w:snapToGrid w:val="0"/>
              <w:spacing w:before="50" w:line="276"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供应商的最后报价不得超过首次报价，首次报价不得超过采购项目预算，否则，其响应无效。</w:t>
            </w:r>
          </w:p>
          <w:p>
            <w:pPr>
              <w:widowControl w:val="0"/>
              <w:adjustRightInd w:val="0"/>
              <w:snapToGrid w:val="0"/>
              <w:spacing w:before="50" w:line="276" w:lineRule="auto"/>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2.根据财政部《关于推动解决政府采购异常低价问题的通知》财库〔2026〕2号的规定：</w:t>
            </w:r>
          </w:p>
          <w:p>
            <w:pPr>
              <w:widowControl w:val="0"/>
              <w:adjustRightInd w:val="0"/>
              <w:snapToGrid w:val="0"/>
              <w:spacing w:before="50" w:line="276"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采购人应当在采购文件中明确，政府采购评审中出现下列情形之一的，评审委员会应当启动异常低价投标（响应）审查程序：1.投标（响应）报价低于全部通过符合性审查供应商投标（响应）报价平均值50%的，即投标（响应）报价&lt;全部通过符合性审查供应商投标（响应）报价平均值×50%；</w:t>
            </w:r>
          </w:p>
          <w:p>
            <w:pPr>
              <w:widowControl w:val="0"/>
              <w:adjustRightInd w:val="0"/>
              <w:snapToGrid w:val="0"/>
              <w:spacing w:before="50" w:line="276"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2.投标（响应）报价低于通过符合性审查的次低报价供应商投标（响应）报价50%的，即投标（响应）报价&lt;通过符合性审查的次低报价供应商投标（响应）报价×50%；</w:t>
            </w:r>
          </w:p>
          <w:p>
            <w:pPr>
              <w:widowControl w:val="0"/>
              <w:adjustRightInd w:val="0"/>
              <w:snapToGrid w:val="0"/>
              <w:spacing w:before="50" w:line="276"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3.投标（响应）报价低于采购项目最高限价45%的，即投标（响应）报价&lt;采购项目最高限价×45%；</w:t>
            </w:r>
          </w:p>
          <w:p>
            <w:pPr>
              <w:widowControl w:val="0"/>
              <w:adjustRightInd w:val="0"/>
              <w:snapToGrid w:val="0"/>
              <w:spacing w:before="50" w:line="276"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4.评审委员会基于专业判断，认为供应商报价过低，有可能影响产品质量或者不能诚信履约的其他情形。</w:t>
            </w:r>
          </w:p>
          <w:p>
            <w:pPr>
              <w:widowControl w:val="0"/>
              <w:adjustRightInd w:val="0"/>
              <w:snapToGrid w:val="0"/>
              <w:spacing w:before="50" w:line="276"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采购人可以结合具体项目实际情况，提高上述第1项至第3项中启动异常低价投标（响应）审查的数值标准，但是最高不得超过65%。相关法律法规对供应商报价有规定的，从其规定。</w:t>
            </w:r>
          </w:p>
          <w:p>
            <w:pPr>
              <w:widowControl w:val="0"/>
              <w:adjustRightInd w:val="0"/>
              <w:snapToGrid w:val="0"/>
              <w:spacing w:before="50" w:line="276" w:lineRule="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二）评审委员会启动异常低价投标（响应）审查后，属于前述第1项至第4项情形的，应当要求相关供应商在评审现场合理的时间内对投标（响应）价格作出解释，并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1622" w:type="dxa"/>
            <w:vAlign w:val="center"/>
          </w:tcPr>
          <w:p>
            <w:pPr>
              <w:widowControl w:val="0"/>
              <w:adjustRightInd w:val="0"/>
              <w:snapToGrid w:val="0"/>
              <w:spacing w:before="156" w:beforeLines="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第12.1款</w:t>
            </w:r>
          </w:p>
        </w:tc>
        <w:tc>
          <w:tcPr>
            <w:tcW w:w="3005" w:type="dxa"/>
            <w:vAlign w:val="center"/>
          </w:tcPr>
          <w:p>
            <w:pPr>
              <w:widowControl w:val="0"/>
              <w:adjustRightInd w:val="0"/>
              <w:snapToGrid w:val="0"/>
              <w:spacing w:before="156" w:beforeLines="50" w:line="360" w:lineRule="auto"/>
              <w:ind w:left="-533" w:leftChars="-254" w:firstLine="533" w:firstLineChars="254"/>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保证金</w:t>
            </w:r>
          </w:p>
        </w:tc>
        <w:tc>
          <w:tcPr>
            <w:tcW w:w="462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根据《关于进一步优化政府采购领域营商环境的通知》郴财采资〔2024〕6号文件精神，本项目取消投标保证金及履约保证金。</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156" w:beforeLines="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第13.1款</w:t>
            </w:r>
          </w:p>
        </w:tc>
        <w:tc>
          <w:tcPr>
            <w:tcW w:w="3005" w:type="dxa"/>
            <w:vAlign w:val="center"/>
          </w:tcPr>
          <w:p>
            <w:pPr>
              <w:widowControl w:val="0"/>
              <w:adjustRightInd w:val="0"/>
              <w:snapToGrid w:val="0"/>
              <w:spacing w:before="156" w:beforeLines="50" w:line="360" w:lineRule="auto"/>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响应文件有效期</w:t>
            </w:r>
          </w:p>
        </w:tc>
        <w:tc>
          <w:tcPr>
            <w:tcW w:w="4625" w:type="dxa"/>
            <w:vAlign w:val="center"/>
          </w:tcPr>
          <w:p>
            <w:pPr>
              <w:widowControl w:val="0"/>
              <w:adjustRightInd w:val="0"/>
              <w:snapToGrid w:val="0"/>
              <w:spacing w:before="50" w:line="360" w:lineRule="auto"/>
              <w:jc w:val="both"/>
              <w:rPr>
                <w:rFonts w:hint="eastAsia" w:ascii="宋体" w:hAnsi="宋体" w:eastAsia="宋体" w:cs="Times New Roman"/>
                <w:bCs/>
                <w:color w:val="auto"/>
                <w:szCs w:val="21"/>
                <w:highlight w:val="none"/>
              </w:rPr>
            </w:pPr>
            <w:r>
              <w:rPr>
                <w:rFonts w:ascii="宋体" w:hAnsi="宋体" w:eastAsia="宋体" w:cs="宋体"/>
                <w:color w:val="auto"/>
                <w:szCs w:val="21"/>
                <w:highlight w:val="none"/>
              </w:rPr>
              <w:t>从递交首次响应文件截止时间之日起计算</w:t>
            </w:r>
            <w:r>
              <w:rPr>
                <w:rFonts w:hint="eastAsia" w:ascii="宋体" w:hAnsi="宋体" w:eastAsia="宋体" w:cs="宋体"/>
                <w:color w:val="auto"/>
                <w:szCs w:val="21"/>
                <w:highlight w:val="none"/>
              </w:rPr>
              <w:t>6</w:t>
            </w:r>
            <w:r>
              <w:rPr>
                <w:rFonts w:ascii="宋体" w:hAnsi="宋体" w:eastAsia="宋体" w:cs="宋体"/>
                <w:color w:val="auto"/>
                <w:szCs w:val="21"/>
                <w:highlight w:val="none"/>
              </w:rPr>
              <w:t>0日（日历日）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1622" w:type="dxa"/>
            <w:vAlign w:val="center"/>
          </w:tcPr>
          <w:p>
            <w:pPr>
              <w:widowControl w:val="0"/>
              <w:adjustRightInd w:val="0"/>
              <w:snapToGrid w:val="0"/>
              <w:spacing w:before="156" w:beforeLines="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第14.1款</w:t>
            </w:r>
          </w:p>
        </w:tc>
        <w:tc>
          <w:tcPr>
            <w:tcW w:w="3005" w:type="dxa"/>
            <w:vAlign w:val="center"/>
          </w:tcPr>
          <w:p>
            <w:pPr>
              <w:widowControl w:val="0"/>
              <w:adjustRightInd w:val="0"/>
              <w:snapToGrid w:val="0"/>
              <w:spacing w:before="156" w:beforeLines="50" w:line="360" w:lineRule="auto"/>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分包</w:t>
            </w:r>
          </w:p>
        </w:tc>
        <w:tc>
          <w:tcPr>
            <w:tcW w:w="4625" w:type="dxa"/>
            <w:vAlign w:val="center"/>
          </w:tcPr>
          <w:p>
            <w:pPr>
              <w:widowControl w:val="0"/>
              <w:adjustRightInd w:val="0"/>
              <w:snapToGrid w:val="0"/>
              <w:spacing w:before="50" w:line="360" w:lineRule="auto"/>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本项目不接受分包。</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第15.2款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响应</w:t>
            </w:r>
            <w:r>
              <w:rPr>
                <w:rFonts w:hint="eastAsia" w:ascii="宋体" w:hAnsi="宋体" w:eastAsia="宋体" w:cs="Times New Roman"/>
                <w:color w:val="auto"/>
                <w:szCs w:val="21"/>
                <w:highlight w:val="none"/>
              </w:rPr>
              <w:t>文件副本份数</w:t>
            </w:r>
          </w:p>
        </w:tc>
        <w:tc>
          <w:tcPr>
            <w:tcW w:w="4625" w:type="dxa"/>
            <w:vAlign w:val="center"/>
          </w:tcPr>
          <w:p>
            <w:pPr>
              <w:widowControl w:val="0"/>
              <w:adjustRightInd w:val="0"/>
              <w:snapToGrid w:val="0"/>
              <w:spacing w:before="50" w:line="276"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1、本项目实行全流程电子化，实行网上电子标及远程解密。无需在开标现场递交纸质响应文件。</w:t>
            </w:r>
          </w:p>
          <w:p>
            <w:pPr>
              <w:widowControl w:val="0"/>
              <w:adjustRightInd w:val="0"/>
              <w:snapToGrid w:val="0"/>
              <w:spacing w:before="50" w:line="276"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2、成交供应商应在收到成交通知书后7日内向采购代理机构提供与电子响应文件一致的纸质版响应文件叁份（一正二副）。当纸质版与电子交易平台上的电子响应文件不一致时，以平台中的电子响应文件为准。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252" w:type="dxa"/>
            <w:gridSpan w:val="3"/>
            <w:vAlign w:val="center"/>
          </w:tcPr>
          <w:p>
            <w:pPr>
              <w:widowControl w:val="0"/>
              <w:adjustRightInd w:val="0"/>
              <w:snapToGrid w:val="0"/>
              <w:spacing w:before="50"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color w:val="auto"/>
                <w:szCs w:val="21"/>
                <w:highlight w:val="none"/>
              </w:rPr>
              <w:t>四、响应文件的递交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第18.1款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响应文件的递交</w:t>
            </w:r>
            <w:r>
              <w:rPr>
                <w:rFonts w:hint="eastAsia" w:ascii="宋体" w:hAnsi="宋体" w:eastAsia="宋体" w:cs="Times New Roman"/>
                <w:bCs/>
                <w:color w:val="auto"/>
                <w:szCs w:val="21"/>
                <w:highlight w:val="none"/>
              </w:rPr>
              <w:t>时间和</w:t>
            </w:r>
            <w:r>
              <w:rPr>
                <w:rFonts w:hint="eastAsia" w:ascii="宋体" w:hAnsi="宋体" w:eastAsia="宋体" w:cs="Times New Roman"/>
                <w:color w:val="auto"/>
                <w:szCs w:val="21"/>
                <w:highlight w:val="none"/>
              </w:rPr>
              <w:t>地点</w:t>
            </w:r>
          </w:p>
        </w:tc>
        <w:tc>
          <w:tcPr>
            <w:tcW w:w="462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详见第一章谈判邀请公告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pPr>
              <w:widowControl w:val="0"/>
              <w:adjustRightInd w:val="0"/>
              <w:snapToGrid w:val="0"/>
              <w:spacing w:before="50"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五、响应文件的评审与谈判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第22.4款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谈判文件规定的实质性要求和条件</w:t>
            </w:r>
          </w:p>
        </w:tc>
        <w:tc>
          <w:tcPr>
            <w:tcW w:w="462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详见第三章采购需求及合同条款</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olor w:val="auto"/>
                <w:highlight w:val="none"/>
              </w:rPr>
              <w:t>第24款</w:t>
            </w:r>
          </w:p>
        </w:tc>
        <w:tc>
          <w:tcPr>
            <w:tcW w:w="3005" w:type="dxa"/>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olor w:val="auto"/>
                <w:highlight w:val="none"/>
              </w:rPr>
              <w:t>谈判的规定</w:t>
            </w:r>
          </w:p>
        </w:tc>
        <w:tc>
          <w:tcPr>
            <w:tcW w:w="4625" w:type="dxa"/>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olor w:val="auto"/>
                <w:highlight w:val="none"/>
              </w:rPr>
              <w:t>详见本章谈判须知正文第24款</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第28.3款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最后报价的算术修正</w:t>
            </w:r>
          </w:p>
        </w:tc>
        <w:tc>
          <w:tcPr>
            <w:tcW w:w="4625" w:type="dxa"/>
            <w:vAlign w:val="center"/>
          </w:tcPr>
          <w:p>
            <w:pPr>
              <w:widowControl w:val="0"/>
              <w:snapToGrid w:val="0"/>
              <w:spacing w:line="276" w:lineRule="auto"/>
              <w:jc w:val="both"/>
              <w:rPr>
                <w:rFonts w:hint="eastAsia" w:ascii="宋体" w:hAnsi="宋体" w:eastAsia="宋体" w:cs="宋体"/>
                <w:bCs/>
                <w:color w:val="auto"/>
                <w:kern w:val="0"/>
                <w:szCs w:val="21"/>
                <w:highlight w:val="none"/>
              </w:rPr>
            </w:pPr>
            <w:r>
              <w:rPr>
                <w:rFonts w:ascii="宋体" w:hAnsi="宋体" w:eastAsia="宋体" w:cs="宋体"/>
                <w:bCs/>
                <w:color w:val="auto"/>
                <w:kern w:val="0"/>
                <w:szCs w:val="21"/>
                <w:highlight w:val="none"/>
              </w:rPr>
              <w:t>1、政府采购支持中小企业发展：小型或微型企业，最后报价扣除比例为</w:t>
            </w:r>
            <w:r>
              <w:rPr>
                <w:rFonts w:hint="eastAsia" w:ascii="宋体" w:hAnsi="宋体" w:eastAsia="宋体" w:cs="宋体"/>
                <w:bCs/>
                <w:color w:val="auto"/>
                <w:kern w:val="0"/>
                <w:szCs w:val="21"/>
                <w:highlight w:val="none"/>
                <w:u w:val="single"/>
              </w:rPr>
              <w:t xml:space="preserve"> / </w:t>
            </w:r>
            <w:r>
              <w:rPr>
                <w:rFonts w:ascii="宋体" w:hAnsi="宋体" w:eastAsia="宋体" w:cs="宋体"/>
                <w:bCs/>
                <w:color w:val="auto"/>
                <w:kern w:val="0"/>
                <w:szCs w:val="21"/>
                <w:highlight w:val="none"/>
              </w:rPr>
              <w:t>％；评审时,用扣除后的最后报价计算价格分。</w:t>
            </w:r>
          </w:p>
          <w:p>
            <w:pPr>
              <w:widowControl w:val="0"/>
              <w:snapToGrid w:val="0"/>
              <w:spacing w:line="276" w:lineRule="auto"/>
              <w:jc w:val="both"/>
              <w:rPr>
                <w:rFonts w:hint="eastAsia" w:ascii="宋体" w:hAnsi="宋体" w:eastAsia="宋体" w:cs="宋体"/>
                <w:bCs/>
                <w:color w:val="auto"/>
                <w:kern w:val="0"/>
                <w:szCs w:val="21"/>
                <w:highlight w:val="none"/>
              </w:rPr>
            </w:pPr>
            <w:r>
              <w:rPr>
                <w:rFonts w:ascii="宋体" w:hAnsi="宋体" w:eastAsia="宋体" w:cs="宋体"/>
                <w:bCs/>
                <w:color w:val="auto"/>
                <w:kern w:val="0"/>
                <w:szCs w:val="21"/>
                <w:highlight w:val="none"/>
              </w:rPr>
              <w:t>2、大写金额与小写金额不一致的，以大写金额为准。</w:t>
            </w:r>
          </w:p>
          <w:p>
            <w:pPr>
              <w:widowControl w:val="0"/>
              <w:adjustRightInd w:val="0"/>
              <w:snapToGrid w:val="0"/>
              <w:spacing w:before="50" w:line="276" w:lineRule="auto"/>
              <w:jc w:val="both"/>
              <w:rPr>
                <w:rFonts w:hint="eastAsia" w:ascii="宋体" w:hAnsi="宋体" w:eastAsia="宋体" w:cs="Times New Roman"/>
                <w:color w:val="auto"/>
                <w:szCs w:val="21"/>
                <w:highlight w:val="none"/>
              </w:rPr>
            </w:pPr>
            <w:r>
              <w:rPr>
                <w:rFonts w:ascii="宋体" w:hAnsi="宋体" w:eastAsia="宋体" w:cs="宋体"/>
                <w:bCs/>
                <w:color w:val="auto"/>
                <w:kern w:val="0"/>
                <w:szCs w:val="21"/>
                <w:highlight w:val="none"/>
              </w:rPr>
              <w:t>3、总价金额与按单价汇总金额不一致的，以单价金额计算结果为准。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9252" w:type="dxa"/>
            <w:gridSpan w:val="3"/>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b/>
                <w:color w:val="auto"/>
                <w:szCs w:val="21"/>
                <w:highlight w:val="none"/>
              </w:rPr>
              <w:t>六、成交结果信息公布与授予合同</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第34.1款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财政部门指定的媒体</w:t>
            </w:r>
          </w:p>
        </w:tc>
        <w:tc>
          <w:tcPr>
            <w:tcW w:w="4625" w:type="dxa"/>
            <w:vAlign w:val="center"/>
          </w:tcPr>
          <w:p>
            <w:pPr>
              <w:widowControl w:val="0"/>
              <w:adjustRightInd w:val="0"/>
              <w:snapToGrid w:val="0"/>
              <w:spacing w:before="50" w:line="276"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详见第一章谈判邀请公告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第35.3</w:t>
            </w:r>
            <w:r>
              <w:rPr>
                <w:rFonts w:hint="eastAsia" w:ascii="宋体" w:hAnsi="宋体" w:eastAsia="宋体" w:cs="宋体"/>
                <w:color w:val="auto"/>
                <w:kern w:val="0"/>
                <w:szCs w:val="21"/>
                <w:highlight w:val="none"/>
                <w:lang w:val="zh-CN"/>
              </w:rPr>
              <w:t>款</w:t>
            </w:r>
          </w:p>
        </w:tc>
        <w:tc>
          <w:tcPr>
            <w:tcW w:w="3005" w:type="dxa"/>
            <w:vAlign w:val="center"/>
          </w:tcPr>
          <w:p>
            <w:pPr>
              <w:widowControl w:val="0"/>
              <w:adjustRightInd w:val="0"/>
              <w:snapToGrid w:val="0"/>
              <w:spacing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接收质疑函的联系部门、联系电话和通讯地址</w:t>
            </w:r>
          </w:p>
        </w:tc>
        <w:tc>
          <w:tcPr>
            <w:tcW w:w="462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详见第一章谈判邀请公告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第36.1款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履约担保</w:t>
            </w:r>
          </w:p>
        </w:tc>
        <w:tc>
          <w:tcPr>
            <w:tcW w:w="4625" w:type="dxa"/>
            <w:vAlign w:val="center"/>
          </w:tcPr>
          <w:p>
            <w:pPr>
              <w:widowControl w:val="0"/>
              <w:spacing w:line="276" w:lineRule="auto"/>
              <w:jc w:val="both"/>
              <w:rPr>
                <w:rFonts w:hint="eastAsia" w:ascii="宋体" w:hAnsi="宋体" w:eastAsia="宋体" w:cs="Times New Roman"/>
                <w:color w:val="auto"/>
                <w:szCs w:val="21"/>
                <w:highlight w:val="none"/>
              </w:rPr>
            </w:pPr>
            <w:r>
              <w:rPr>
                <w:rFonts w:ascii="MS Mincho" w:hAnsi="MS Mincho" w:eastAsia="宋体" w:cs="MS Mincho"/>
                <w:color w:val="auto"/>
                <w:szCs w:val="21"/>
                <w:highlight w:val="none"/>
              </w:rPr>
              <w:sym w:font="Wingdings 2" w:char="0052"/>
            </w:r>
            <w:r>
              <w:rPr>
                <w:rFonts w:ascii="宋体" w:hAnsi="宋体" w:eastAsia="宋体" w:cs="Times New Roman"/>
                <w:color w:val="auto"/>
                <w:szCs w:val="21"/>
                <w:highlight w:val="none"/>
              </w:rPr>
              <w:t xml:space="preserve"> 不要求提供</w:t>
            </w:r>
          </w:p>
          <w:p>
            <w:pPr>
              <w:widowControl w:val="0"/>
              <w:spacing w:line="276" w:lineRule="auto"/>
              <w:jc w:val="both"/>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sym w:font="Wingdings 2" w:char="00A3"/>
            </w:r>
            <w:r>
              <w:rPr>
                <w:rFonts w:ascii="宋体" w:hAnsi="宋体" w:eastAsia="宋体" w:cs="Times New Roman"/>
                <w:color w:val="auto"/>
                <w:szCs w:val="21"/>
                <w:highlight w:val="none"/>
              </w:rPr>
              <w:t xml:space="preserve"> 要求提供，履约担保的金额为中标金额的10%，要求在签订合同前向采购方一次性缴纳。</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pPr>
              <w:widowControl w:val="0"/>
              <w:adjustRightInd w:val="0"/>
              <w:snapToGrid w:val="0"/>
              <w:spacing w:before="50" w:line="360" w:lineRule="auto"/>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七、政府采购政策</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w:t>
            </w:r>
            <w:r>
              <w:rPr>
                <w:rFonts w:ascii="宋体" w:hAnsi="宋体" w:eastAsia="宋体" w:cs="Times New Roman"/>
                <w:color w:val="auto"/>
                <w:szCs w:val="21"/>
                <w:highlight w:val="none"/>
              </w:rPr>
              <w:t>40</w:t>
            </w:r>
            <w:r>
              <w:rPr>
                <w:rFonts w:hint="eastAsia" w:ascii="宋体" w:hAnsi="宋体" w:eastAsia="宋体" w:cs="Times New Roman"/>
                <w:color w:val="auto"/>
                <w:szCs w:val="21"/>
                <w:highlight w:val="none"/>
              </w:rPr>
              <w:t>.</w:t>
            </w:r>
            <w:r>
              <w:rPr>
                <w:rFonts w:ascii="宋体" w:hAnsi="宋体" w:eastAsia="宋体" w:cs="Times New Roman"/>
                <w:color w:val="auto"/>
                <w:szCs w:val="21"/>
                <w:highlight w:val="none"/>
              </w:rPr>
              <w:t>1</w:t>
            </w:r>
            <w:r>
              <w:rPr>
                <w:rFonts w:hint="eastAsia" w:ascii="宋体" w:hAnsi="宋体" w:eastAsia="宋体" w:cs="Times New Roman"/>
                <w:color w:val="auto"/>
                <w:szCs w:val="21"/>
                <w:highlight w:val="none"/>
              </w:rPr>
              <w:t>款</w:t>
            </w:r>
          </w:p>
        </w:tc>
        <w:tc>
          <w:tcPr>
            <w:tcW w:w="3005" w:type="dxa"/>
            <w:vAlign w:val="center"/>
          </w:tcPr>
          <w:p>
            <w:pPr>
              <w:widowControl w:val="0"/>
              <w:spacing w:line="240" w:lineRule="auto"/>
              <w:jc w:val="both"/>
              <w:rPr>
                <w:rFonts w:ascii="Times New Roman" w:hAnsi="Times New Roman" w:eastAsia="宋体" w:cs="Times New Roman"/>
                <w:color w:val="auto"/>
                <w:szCs w:val="24"/>
                <w:highlight w:val="none"/>
              </w:rPr>
            </w:pPr>
            <w:r>
              <w:rPr>
                <w:rFonts w:hint="eastAsia" w:ascii="Times New Roman" w:hAnsi="Times New Roman" w:eastAsia="宋体" w:cs="Times New Roman"/>
                <w:color w:val="auto"/>
                <w:szCs w:val="24"/>
                <w:highlight w:val="none"/>
              </w:rPr>
              <w:t>节能产品、环境标志产品</w:t>
            </w:r>
            <w:r>
              <w:rPr>
                <w:rFonts w:hint="eastAsia" w:ascii="宋体" w:hAnsi="宋体" w:eastAsia="宋体" w:cs="Times New Roman"/>
                <w:color w:val="auto"/>
                <w:szCs w:val="21"/>
                <w:highlight w:val="none"/>
              </w:rPr>
              <w:t>的价格折扣比例</w:t>
            </w:r>
          </w:p>
        </w:tc>
        <w:tc>
          <w:tcPr>
            <w:tcW w:w="4625" w:type="dxa"/>
            <w:vAlign w:val="center"/>
          </w:tcPr>
          <w:p>
            <w:pPr>
              <w:spacing w:line="276" w:lineRule="auto"/>
              <w:rPr>
                <w:rFonts w:hint="eastAsia" w:ascii="宋体" w:hAnsi="宋体" w:eastAsia="宋体"/>
                <w:color w:val="auto"/>
                <w:szCs w:val="21"/>
                <w:highlight w:val="none"/>
              </w:rPr>
            </w:pPr>
            <w:r>
              <w:rPr>
                <w:rFonts w:ascii="宋体" w:hAnsi="宋体" w:eastAsia="宋体" w:cs="宋体"/>
                <w:color w:val="auto"/>
                <w:kern w:val="0"/>
                <w:szCs w:val="21"/>
                <w:highlight w:val="none"/>
              </w:rPr>
              <w:t>①非强制采购节能产品:</w:t>
            </w:r>
            <w:r>
              <w:rPr>
                <w:rFonts w:hint="eastAsia"/>
                <w:color w:val="auto"/>
                <w:highlight w:val="none"/>
              </w:rPr>
              <w:t xml:space="preserve"> </w:t>
            </w:r>
            <w:r>
              <w:rPr>
                <w:rFonts w:hint="eastAsia" w:ascii="宋体" w:hAnsi="宋体" w:eastAsia="宋体" w:cs="宋体"/>
                <w:color w:val="auto"/>
                <w:kern w:val="0"/>
                <w:szCs w:val="21"/>
                <w:highlight w:val="none"/>
              </w:rPr>
              <w:t>提供该产品由国家确认的认证机构出具的、处于有效期之内的节能产品证书。未按要求提供的，评审时不予考虑，</w:t>
            </w:r>
            <w:r>
              <w:rPr>
                <w:rFonts w:hint="eastAsia" w:ascii="宋体" w:hAnsi="宋体" w:eastAsia="宋体"/>
                <w:color w:val="auto"/>
                <w:szCs w:val="21"/>
                <w:highlight w:val="none"/>
              </w:rPr>
              <w:t>对于技术和价格分，应分别给予</w:t>
            </w:r>
            <w:r>
              <w:rPr>
                <w:rFonts w:ascii="宋体" w:hAnsi="宋体" w:eastAsia="宋体" w:cs="宋体"/>
                <w:color w:val="auto"/>
                <w:kern w:val="0"/>
                <w:szCs w:val="21"/>
                <w:highlight w:val="none"/>
              </w:rPr>
              <w:t>一级评标因素权重</w:t>
            </w:r>
            <w:r>
              <w:rPr>
                <w:rFonts w:hint="eastAsia" w:ascii="宋体" w:hAnsi="宋体" w:eastAsia="宋体"/>
                <w:color w:val="auto"/>
                <w:szCs w:val="21"/>
                <w:highlight w:val="none"/>
              </w:rPr>
              <w:t>4%-8%的加分。本项目具体加分比例分别为 ：技术</w:t>
            </w:r>
            <w:r>
              <w:rPr>
                <w:rFonts w:hint="eastAsia" w:ascii="宋体" w:hAnsi="宋体" w:eastAsia="宋体"/>
                <w:b/>
                <w:color w:val="auto"/>
                <w:szCs w:val="21"/>
                <w:highlight w:val="none"/>
                <w:u w:val="single"/>
              </w:rPr>
              <w:t xml:space="preserve"> </w:t>
            </w:r>
            <w:r>
              <w:rPr>
                <w:rFonts w:hint="eastAsia" w:ascii="宋体" w:hAnsi="宋体" w:eastAsia="宋体" w:cs="宋体"/>
                <w:color w:val="auto"/>
                <w:szCs w:val="21"/>
                <w:highlight w:val="none"/>
                <w:u w:val="single"/>
              </w:rPr>
              <w:t>/</w:t>
            </w:r>
            <w:r>
              <w:rPr>
                <w:rFonts w:hint="eastAsia" w:ascii="宋体" w:hAnsi="宋体" w:eastAsia="宋体"/>
                <w:b/>
                <w:color w:val="auto"/>
                <w:szCs w:val="21"/>
                <w:highlight w:val="none"/>
                <w:u w:val="single"/>
              </w:rPr>
              <w:t xml:space="preserve"> </w:t>
            </w:r>
            <w:r>
              <w:rPr>
                <w:rFonts w:hint="eastAsia" w:ascii="宋体" w:hAnsi="宋体" w:eastAsia="宋体"/>
                <w:color w:val="auto"/>
                <w:szCs w:val="21"/>
                <w:highlight w:val="none"/>
              </w:rPr>
              <w:t>%、价格</w:t>
            </w:r>
            <w:r>
              <w:rPr>
                <w:rFonts w:hint="eastAsia" w:ascii="宋体" w:hAnsi="宋体" w:eastAsia="宋体"/>
                <w:b/>
                <w:color w:val="auto"/>
                <w:szCs w:val="21"/>
                <w:highlight w:val="none"/>
                <w:u w:val="single"/>
              </w:rPr>
              <w:t xml:space="preserve"> </w:t>
            </w:r>
            <w:r>
              <w:rPr>
                <w:rFonts w:hint="eastAsia" w:ascii="宋体" w:hAnsi="宋体" w:eastAsia="宋体" w:cs="宋体"/>
                <w:color w:val="auto"/>
                <w:szCs w:val="21"/>
                <w:highlight w:val="none"/>
                <w:u w:val="single"/>
              </w:rPr>
              <w:t>/</w:t>
            </w:r>
            <w:r>
              <w:rPr>
                <w:rFonts w:hint="eastAsia" w:ascii="宋体" w:hAnsi="宋体" w:eastAsia="宋体"/>
                <w:b/>
                <w:color w:val="auto"/>
                <w:szCs w:val="21"/>
                <w:highlight w:val="none"/>
                <w:u w:val="single"/>
              </w:rPr>
              <w:t xml:space="preserve"> </w:t>
            </w:r>
            <w:r>
              <w:rPr>
                <w:rFonts w:hint="eastAsia" w:ascii="宋体" w:hAnsi="宋体" w:eastAsia="宋体"/>
                <w:color w:val="auto"/>
                <w:szCs w:val="21"/>
                <w:highlight w:val="none"/>
              </w:rPr>
              <w:t>%。</w:t>
            </w:r>
          </w:p>
          <w:p>
            <w:pPr>
              <w:widowControl w:val="0"/>
              <w:adjustRightInd w:val="0"/>
              <w:snapToGrid w:val="0"/>
              <w:spacing w:before="50" w:line="276" w:lineRule="auto"/>
              <w:jc w:val="both"/>
              <w:rPr>
                <w:rFonts w:hint="eastAsia" w:ascii="宋体" w:hAnsi="宋体" w:eastAsia="宋体" w:cs="Times New Roman"/>
                <w:color w:val="auto"/>
                <w:szCs w:val="21"/>
                <w:highlight w:val="none"/>
              </w:rPr>
            </w:pPr>
            <w:r>
              <w:rPr>
                <w:rFonts w:ascii="宋体" w:hAnsi="宋体" w:eastAsia="宋体" w:cs="宋体"/>
                <w:color w:val="auto"/>
                <w:kern w:val="0"/>
                <w:szCs w:val="21"/>
                <w:highlight w:val="none"/>
              </w:rPr>
              <w:t>②环境标志产品:</w:t>
            </w:r>
            <w:r>
              <w:rPr>
                <w:rFonts w:hint="eastAsia"/>
                <w:color w:val="auto"/>
                <w:highlight w:val="none"/>
              </w:rPr>
              <w:t xml:space="preserve"> </w:t>
            </w:r>
            <w:r>
              <w:rPr>
                <w:rFonts w:hint="eastAsia" w:ascii="宋体" w:hAnsi="宋体" w:eastAsia="宋体" w:cs="宋体"/>
                <w:color w:val="auto"/>
                <w:kern w:val="0"/>
                <w:szCs w:val="21"/>
                <w:highlight w:val="none"/>
              </w:rPr>
              <w:t>提供该产品由国家确认的认证机构出具的、处于有效期之内的环境标志产品认证证书。未按要求提供的，评审时不予考虑，</w:t>
            </w:r>
            <w:r>
              <w:rPr>
                <w:rFonts w:hint="eastAsia" w:ascii="宋体" w:hAnsi="宋体" w:eastAsia="宋体"/>
                <w:color w:val="auto"/>
                <w:szCs w:val="21"/>
                <w:highlight w:val="none"/>
              </w:rPr>
              <w:t>对于技术和价格分，应分别给予</w:t>
            </w:r>
            <w:r>
              <w:rPr>
                <w:rFonts w:ascii="宋体" w:hAnsi="宋体" w:eastAsia="宋体" w:cs="宋体"/>
                <w:color w:val="auto"/>
                <w:kern w:val="0"/>
                <w:szCs w:val="21"/>
                <w:highlight w:val="none"/>
              </w:rPr>
              <w:t>一级评标因素权重</w:t>
            </w:r>
            <w:r>
              <w:rPr>
                <w:rFonts w:hint="eastAsia" w:ascii="宋体" w:hAnsi="宋体" w:eastAsia="宋体"/>
                <w:color w:val="auto"/>
                <w:szCs w:val="21"/>
                <w:highlight w:val="none"/>
              </w:rPr>
              <w:t>4%-8%的加分。本项目具体加分比例分别为 ：技术</w:t>
            </w:r>
            <w:r>
              <w:rPr>
                <w:rFonts w:hint="eastAsia" w:ascii="宋体" w:hAnsi="宋体" w:eastAsia="宋体"/>
                <w:b/>
                <w:color w:val="auto"/>
                <w:szCs w:val="21"/>
                <w:highlight w:val="none"/>
                <w:u w:val="single"/>
              </w:rPr>
              <w:t xml:space="preserve"> </w:t>
            </w:r>
            <w:r>
              <w:rPr>
                <w:rFonts w:hint="eastAsia" w:ascii="宋体" w:hAnsi="宋体" w:eastAsia="宋体" w:cs="宋体"/>
                <w:color w:val="auto"/>
                <w:szCs w:val="21"/>
                <w:highlight w:val="none"/>
                <w:u w:val="single"/>
              </w:rPr>
              <w:t>/</w:t>
            </w:r>
            <w:r>
              <w:rPr>
                <w:rFonts w:hint="eastAsia" w:ascii="宋体" w:hAnsi="宋体" w:eastAsia="宋体"/>
                <w:b/>
                <w:color w:val="auto"/>
                <w:szCs w:val="21"/>
                <w:highlight w:val="none"/>
                <w:u w:val="single"/>
              </w:rPr>
              <w:t xml:space="preserve"> </w:t>
            </w:r>
            <w:r>
              <w:rPr>
                <w:rFonts w:hint="eastAsia" w:ascii="宋体" w:hAnsi="宋体" w:eastAsia="宋体"/>
                <w:color w:val="auto"/>
                <w:szCs w:val="21"/>
                <w:highlight w:val="none"/>
              </w:rPr>
              <w:t>%、价格</w:t>
            </w:r>
            <w:r>
              <w:rPr>
                <w:rFonts w:hint="eastAsia" w:ascii="宋体" w:hAnsi="宋体" w:eastAsia="宋体"/>
                <w:b/>
                <w:color w:val="auto"/>
                <w:szCs w:val="21"/>
                <w:highlight w:val="none"/>
                <w:u w:val="single"/>
              </w:rPr>
              <w:t xml:space="preserve"> </w:t>
            </w:r>
            <w:r>
              <w:rPr>
                <w:rFonts w:hint="eastAsia" w:ascii="宋体" w:hAnsi="宋体" w:eastAsia="宋体" w:cs="宋体"/>
                <w:color w:val="auto"/>
                <w:szCs w:val="21"/>
                <w:highlight w:val="none"/>
                <w:u w:val="single"/>
              </w:rPr>
              <w:t>/</w:t>
            </w:r>
            <w:r>
              <w:rPr>
                <w:rFonts w:hint="eastAsia" w:ascii="宋体" w:hAnsi="宋体" w:eastAsia="宋体"/>
                <w:b/>
                <w:color w:val="auto"/>
                <w:szCs w:val="21"/>
                <w:highlight w:val="none"/>
                <w:u w:val="single"/>
              </w:rPr>
              <w:t xml:space="preserve"> </w:t>
            </w:r>
            <w:r>
              <w:rPr>
                <w:rFonts w:hint="eastAsia" w:ascii="宋体" w:hAnsi="宋体" w:eastAsia="宋体"/>
                <w:color w:val="auto"/>
                <w:szCs w:val="21"/>
                <w:highlight w:val="none"/>
              </w:rPr>
              <w:t>%</w:t>
            </w:r>
            <w:r>
              <w:rPr>
                <w:rFonts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注：以上二项优先采购产品中，</w:t>
            </w:r>
            <w:r>
              <w:rPr>
                <w:rFonts w:hint="eastAsia" w:ascii="宋体" w:hAnsi="宋体" w:eastAsia="宋体"/>
                <w:color w:val="auto"/>
                <w:highlight w:val="none"/>
              </w:rPr>
              <w:t>投标产品取得两项及以上优先采购产品认证的，评审时只有其中一项产品能享受优先采购优惠。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w:t>
            </w:r>
            <w:r>
              <w:rPr>
                <w:rFonts w:ascii="宋体" w:hAnsi="宋体" w:eastAsia="宋体" w:cs="Times New Roman"/>
                <w:color w:val="auto"/>
                <w:szCs w:val="21"/>
                <w:highlight w:val="none"/>
              </w:rPr>
              <w:t>41</w:t>
            </w:r>
            <w:r>
              <w:rPr>
                <w:rFonts w:hint="eastAsia" w:ascii="宋体" w:hAnsi="宋体" w:eastAsia="宋体" w:cs="Times New Roman"/>
                <w:color w:val="auto"/>
                <w:szCs w:val="21"/>
                <w:highlight w:val="none"/>
              </w:rPr>
              <w:t>.</w:t>
            </w:r>
            <w:r>
              <w:rPr>
                <w:rFonts w:ascii="宋体" w:hAnsi="宋体" w:eastAsia="宋体" w:cs="Times New Roman"/>
                <w:color w:val="auto"/>
                <w:szCs w:val="21"/>
                <w:highlight w:val="none"/>
              </w:rPr>
              <w:t>2</w:t>
            </w:r>
            <w:r>
              <w:rPr>
                <w:rFonts w:hint="eastAsia" w:ascii="宋体" w:hAnsi="宋体" w:eastAsia="宋体" w:cs="Times New Roman"/>
                <w:color w:val="auto"/>
                <w:szCs w:val="21"/>
                <w:highlight w:val="none"/>
              </w:rPr>
              <w:t>（1）项</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小型、微型企业的价格折扣比例</w:t>
            </w:r>
          </w:p>
        </w:tc>
        <w:tc>
          <w:tcPr>
            <w:tcW w:w="4625" w:type="dxa"/>
            <w:vAlign w:val="center"/>
          </w:tcPr>
          <w:p>
            <w:pPr>
              <w:widowControl w:val="0"/>
              <w:adjustRightInd w:val="0"/>
              <w:snapToGrid w:val="0"/>
              <w:spacing w:line="276" w:lineRule="auto"/>
              <w:jc w:val="both"/>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①对于经主管预算单位统筹后未预留份额专门面向中小企业采购的采购项目，以及预留份额项目中的非预留部分采购包，采购人、采购代理机构应当对符合《政府采购促进中小企业发展管理办法》规定的小微企业报价给予 10%—20%（工程项目为 6%—10%）的扣除，用扣除后的价格参加评审。具体扣除比例如下：</w:t>
            </w:r>
          </w:p>
          <w:p>
            <w:pPr>
              <w:widowControl w:val="0"/>
              <w:adjustRightInd w:val="0"/>
              <w:snapToGrid w:val="0"/>
              <w:spacing w:line="276" w:lineRule="auto"/>
              <w:jc w:val="both"/>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sym w:font="Wingdings" w:char="F0FE"/>
            </w:r>
            <w:r>
              <w:rPr>
                <w:rFonts w:hint="eastAsia" w:ascii="Calibri" w:hAnsi="Calibri" w:eastAsia="宋体" w:cs="Times New Roman"/>
                <w:color w:val="auto"/>
                <w:szCs w:val="21"/>
                <w:highlight w:val="none"/>
              </w:rPr>
              <w:t>货物采购：货物由中小企业制造，即货物由中小企业生产且使用该中小企业商号或者注册商标。本项目给予小微企业</w:t>
            </w:r>
            <w:r>
              <w:rPr>
                <w:rFonts w:hint="eastAsia" w:ascii="Calibri" w:hAnsi="Calibri" w:eastAsia="宋体" w:cs="Times New Roman"/>
                <w:color w:val="auto"/>
                <w:szCs w:val="21"/>
                <w:highlight w:val="none"/>
                <w:u w:val="single"/>
              </w:rPr>
              <w:t xml:space="preserve"> </w:t>
            </w:r>
            <w:r>
              <w:rPr>
                <w:rFonts w:hint="eastAsia" w:ascii="宋体" w:hAnsi="宋体" w:eastAsia="宋体" w:cs="Times New Roman"/>
                <w:color w:val="auto"/>
                <w:kern w:val="0"/>
                <w:szCs w:val="21"/>
                <w:highlight w:val="none"/>
                <w:u w:val="single"/>
              </w:rPr>
              <w:t xml:space="preserve">/ </w:t>
            </w:r>
            <w:r>
              <w:rPr>
                <w:rFonts w:hint="eastAsia" w:ascii="Calibri" w:hAnsi="Calibri" w:eastAsia="宋体" w:cs="Times New Roman"/>
                <w:color w:val="auto"/>
                <w:szCs w:val="21"/>
                <w:highlight w:val="none"/>
              </w:rPr>
              <w:t>% 的扣除，用扣除后的价格参与评审。</w:t>
            </w:r>
          </w:p>
          <w:p>
            <w:pPr>
              <w:widowControl w:val="0"/>
              <w:adjustRightInd w:val="0"/>
              <w:snapToGrid w:val="0"/>
              <w:spacing w:line="276" w:lineRule="auto"/>
              <w:jc w:val="both"/>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在货物采购项目中，供应商提供的货物既有中小企业制造货物，也有大型企业制造货物的，不享受中小企业扶持政策。</w:t>
            </w:r>
          </w:p>
          <w:p>
            <w:pPr>
              <w:widowControl w:val="0"/>
              <w:adjustRightInd w:val="0"/>
              <w:snapToGrid w:val="0"/>
              <w:spacing w:line="276" w:lineRule="auto"/>
              <w:jc w:val="both"/>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sym w:font="Wingdings 2" w:char="00A3"/>
            </w:r>
            <w:r>
              <w:rPr>
                <w:rFonts w:hint="eastAsia" w:ascii="Calibri" w:hAnsi="Calibri" w:eastAsia="宋体" w:cs="Times New Roman"/>
                <w:color w:val="auto"/>
                <w:szCs w:val="21"/>
                <w:highlight w:val="none"/>
              </w:rPr>
              <w:t>工程采购：工程由中小企业承建，即工程施工单位为中小企业。本项目小微企业给予</w:t>
            </w:r>
            <w:r>
              <w:rPr>
                <w:rFonts w:hint="eastAsia" w:ascii="Calibri" w:hAnsi="Calibri" w:eastAsia="宋体" w:cs="Times New Roman"/>
                <w:color w:val="auto"/>
                <w:szCs w:val="21"/>
                <w:highlight w:val="none"/>
                <w:u w:val="single"/>
              </w:rPr>
              <w:t xml:space="preserve"> / </w:t>
            </w:r>
            <w:r>
              <w:rPr>
                <w:rFonts w:hint="eastAsia" w:ascii="Calibri" w:hAnsi="Calibri" w:eastAsia="宋体" w:cs="Times New Roman"/>
                <w:color w:val="auto"/>
                <w:szCs w:val="21"/>
                <w:highlight w:val="none"/>
              </w:rPr>
              <w:t>% 的扣除。</w:t>
            </w:r>
          </w:p>
          <w:p>
            <w:pPr>
              <w:widowControl w:val="0"/>
              <w:adjustRightInd w:val="0"/>
              <w:snapToGrid w:val="0"/>
              <w:spacing w:line="276" w:lineRule="auto"/>
              <w:jc w:val="both"/>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sym w:font="Wingdings 2" w:char="00A3"/>
            </w:r>
            <w:r>
              <w:rPr>
                <w:rFonts w:hint="eastAsia" w:ascii="Calibri" w:hAnsi="Calibri" w:eastAsia="宋体" w:cs="Times New Roman"/>
                <w:color w:val="auto"/>
                <w:szCs w:val="21"/>
                <w:highlight w:val="none"/>
              </w:rPr>
              <w:t>服务采购：服务由中小企业承接，即提供服务的人员为中小企业依照《中华人民共和国劳动合同法》订立劳动合同的从业人员。本项目小微企业给予</w:t>
            </w:r>
            <w:r>
              <w:rPr>
                <w:rFonts w:hint="eastAsia" w:ascii="Calibri" w:hAnsi="Calibri" w:eastAsia="宋体" w:cs="Times New Roman"/>
                <w:color w:val="auto"/>
                <w:szCs w:val="21"/>
                <w:highlight w:val="none"/>
                <w:u w:val="single"/>
              </w:rPr>
              <w:t xml:space="preserve"> </w:t>
            </w:r>
            <w:r>
              <w:rPr>
                <w:rFonts w:hint="eastAsia" w:ascii="宋体" w:hAnsi="宋体" w:eastAsia="宋体" w:cs="Times New Roman"/>
                <w:color w:val="auto"/>
                <w:kern w:val="0"/>
                <w:szCs w:val="21"/>
                <w:highlight w:val="none"/>
                <w:u w:val="single"/>
              </w:rPr>
              <w:t xml:space="preserve">/ </w:t>
            </w:r>
            <w:r>
              <w:rPr>
                <w:rFonts w:hint="eastAsia" w:ascii="Calibri" w:hAnsi="Calibri" w:eastAsia="宋体" w:cs="Times New Roman"/>
                <w:color w:val="auto"/>
                <w:szCs w:val="21"/>
                <w:highlight w:val="none"/>
              </w:rPr>
              <w:t>%的扣除。</w:t>
            </w:r>
          </w:p>
          <w:p>
            <w:pPr>
              <w:widowControl w:val="0"/>
              <w:adjustRightInd w:val="0"/>
              <w:snapToGrid w:val="0"/>
              <w:spacing w:line="276" w:lineRule="auto"/>
              <w:jc w:val="both"/>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②监狱企业、残疾人福利性单位视同小型、微型企业，享受评审中价格扣除等促进中小企业发展的政府采购政策。用扣除后的价格参与评审，本项目具体扣除比例为</w:t>
            </w:r>
            <w:r>
              <w:rPr>
                <w:rFonts w:hint="eastAsia" w:ascii="Calibri" w:hAnsi="Calibri" w:eastAsia="宋体" w:cs="Times New Roman"/>
                <w:color w:val="auto"/>
                <w:szCs w:val="21"/>
                <w:highlight w:val="none"/>
                <w:u w:val="single"/>
              </w:rPr>
              <w:t xml:space="preserve"> / </w:t>
            </w:r>
            <w:r>
              <w:rPr>
                <w:rFonts w:hint="eastAsia" w:ascii="Calibri" w:hAnsi="Calibri" w:eastAsia="宋体" w:cs="Times New Roman"/>
                <w:color w:val="auto"/>
                <w:szCs w:val="21"/>
                <w:highlight w:val="none"/>
              </w:rPr>
              <w:t>％。（监狱企业、残疾人福利性单位同时属于小型、微型企业的，不重复享受价格评审优惠政策。</w:t>
            </w:r>
          </w:p>
          <w:p>
            <w:pPr>
              <w:spacing w:before="156" w:beforeLines="50"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供应商如提供有小、微企业产品，响应文件必须按询价文件要求提供“享受政府采购政策优惠的证明材料”，否则评审时不予以考虑。</w:t>
            </w:r>
          </w:p>
          <w:p>
            <w:pPr>
              <w:spacing w:before="156" w:beforeLines="50" w:line="276"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注：本项目为专门面向中小企业，不给予</w:t>
            </w:r>
            <w:r>
              <w:rPr>
                <w:rFonts w:hint="eastAsia" w:ascii="Calibri" w:hAnsi="Calibri" w:eastAsia="宋体" w:cs="Times New Roman"/>
                <w:b/>
                <w:bCs/>
                <w:color w:val="auto"/>
                <w:szCs w:val="21"/>
                <w:highlight w:val="none"/>
              </w:rPr>
              <w:t>扣除比例。</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9"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w:t>
            </w:r>
            <w:r>
              <w:rPr>
                <w:rFonts w:ascii="宋体" w:hAnsi="宋体" w:eastAsia="宋体" w:cs="Times New Roman"/>
                <w:color w:val="auto"/>
                <w:szCs w:val="21"/>
                <w:highlight w:val="none"/>
              </w:rPr>
              <w:t>41</w:t>
            </w:r>
            <w:r>
              <w:rPr>
                <w:rFonts w:hint="eastAsia" w:ascii="宋体" w:hAnsi="宋体" w:eastAsia="宋体" w:cs="Times New Roman"/>
                <w:color w:val="auto"/>
                <w:szCs w:val="21"/>
                <w:highlight w:val="none"/>
              </w:rPr>
              <w:t>.</w:t>
            </w:r>
            <w:r>
              <w:rPr>
                <w:rFonts w:ascii="宋体" w:hAnsi="宋体" w:eastAsia="宋体" w:cs="Times New Roman"/>
                <w:color w:val="auto"/>
                <w:szCs w:val="21"/>
                <w:highlight w:val="none"/>
              </w:rPr>
              <w:t>2</w:t>
            </w:r>
            <w:r>
              <w:rPr>
                <w:rFonts w:hint="eastAsia" w:ascii="宋体" w:hAnsi="宋体" w:eastAsia="宋体" w:cs="Times New Roman"/>
                <w:color w:val="auto"/>
                <w:szCs w:val="21"/>
                <w:highlight w:val="none"/>
              </w:rPr>
              <w:t>（2）项</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小型、微型企业组成联合体或者大中型企业向小微企业分包的价格折扣比例</w:t>
            </w:r>
          </w:p>
        </w:tc>
        <w:tc>
          <w:tcPr>
            <w:tcW w:w="4625" w:type="dxa"/>
            <w:vAlign w:val="center"/>
          </w:tcPr>
          <w:p>
            <w:pPr>
              <w:widowControl w:val="0"/>
              <w:adjustRightInd w:val="0"/>
              <w:snapToGrid w:val="0"/>
              <w:spacing w:line="276" w:lineRule="auto"/>
              <w:jc w:val="both"/>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30%以上的，采购人、采购代理机构应当对联合体或者大中型企业的报价给予2%-3%（工程项目为 1%—2%）的扣除，用扣除后的价格参加评审。</w:t>
            </w:r>
          </w:p>
          <w:p>
            <w:pPr>
              <w:widowControl w:val="0"/>
              <w:adjustRightInd w:val="0"/>
              <w:snapToGrid w:val="0"/>
              <w:spacing w:line="276" w:lineRule="auto"/>
              <w:jc w:val="both"/>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具体扣除比例如下：</w:t>
            </w:r>
          </w:p>
          <w:p>
            <w:pPr>
              <w:widowControl w:val="0"/>
              <w:adjustRightInd w:val="0"/>
              <w:snapToGrid w:val="0"/>
              <w:spacing w:line="276" w:lineRule="auto"/>
              <w:jc w:val="both"/>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□货物采购：本项目扣除比例为</w:t>
            </w:r>
            <w:r>
              <w:rPr>
                <w:rFonts w:hint="eastAsia" w:ascii="Calibri" w:hAnsi="Calibri" w:eastAsia="宋体" w:cs="Times New Roman"/>
                <w:color w:val="auto"/>
                <w:szCs w:val="21"/>
                <w:highlight w:val="none"/>
                <w:u w:val="single"/>
              </w:rPr>
              <w:t xml:space="preserve"> / </w:t>
            </w:r>
            <w:r>
              <w:rPr>
                <w:rFonts w:hint="eastAsia" w:ascii="Calibri" w:hAnsi="Calibri" w:eastAsia="宋体" w:cs="Times New Roman"/>
                <w:color w:val="auto"/>
                <w:szCs w:val="21"/>
                <w:highlight w:val="none"/>
              </w:rPr>
              <w:t>%。</w:t>
            </w:r>
          </w:p>
          <w:p>
            <w:pPr>
              <w:widowControl w:val="0"/>
              <w:adjustRightInd w:val="0"/>
              <w:snapToGrid w:val="0"/>
              <w:spacing w:line="276" w:lineRule="auto"/>
              <w:jc w:val="both"/>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□工程采购：本项目扣除比例为</w:t>
            </w:r>
            <w:r>
              <w:rPr>
                <w:rFonts w:hint="eastAsia" w:ascii="Calibri" w:hAnsi="Calibri" w:eastAsia="宋体" w:cs="Times New Roman"/>
                <w:color w:val="auto"/>
                <w:szCs w:val="21"/>
                <w:highlight w:val="none"/>
                <w:u w:val="single"/>
              </w:rPr>
              <w:t xml:space="preserve"> / </w:t>
            </w:r>
            <w:r>
              <w:rPr>
                <w:rFonts w:hint="eastAsia" w:ascii="Calibri" w:hAnsi="Calibri" w:eastAsia="宋体" w:cs="Times New Roman"/>
                <w:color w:val="auto"/>
                <w:szCs w:val="21"/>
                <w:highlight w:val="none"/>
              </w:rPr>
              <w:t>%。</w:t>
            </w:r>
          </w:p>
          <w:p>
            <w:pPr>
              <w:widowControl w:val="0"/>
              <w:adjustRightInd w:val="0"/>
              <w:snapToGrid w:val="0"/>
              <w:spacing w:line="276" w:lineRule="auto"/>
              <w:jc w:val="both"/>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□服务采购：本项目扣除比例为</w:t>
            </w:r>
            <w:r>
              <w:rPr>
                <w:rFonts w:hint="eastAsia" w:ascii="Calibri" w:hAnsi="Calibri" w:eastAsia="宋体" w:cs="Times New Roman"/>
                <w:color w:val="auto"/>
                <w:szCs w:val="21"/>
                <w:highlight w:val="none"/>
                <w:u w:val="single"/>
              </w:rPr>
              <w:t xml:space="preserve"> / </w:t>
            </w:r>
            <w:r>
              <w:rPr>
                <w:rFonts w:hint="eastAsia" w:ascii="Calibri" w:hAnsi="Calibri" w:eastAsia="宋体" w:cs="Times New Roman"/>
                <w:color w:val="auto"/>
                <w:szCs w:val="21"/>
                <w:highlight w:val="none"/>
              </w:rPr>
              <w:t>%。</w:t>
            </w:r>
          </w:p>
          <w:p>
            <w:pPr>
              <w:widowControl w:val="0"/>
              <w:adjustRightInd w:val="0"/>
              <w:snapToGrid w:val="0"/>
              <w:spacing w:line="276" w:lineRule="auto"/>
              <w:jc w:val="both"/>
              <w:rPr>
                <w:rFonts w:ascii="Calibri" w:hAnsi="Calibri" w:eastAsia="宋体" w:cs="Times New Roman"/>
                <w:color w:val="auto"/>
                <w:szCs w:val="21"/>
                <w:highlight w:val="none"/>
              </w:rPr>
            </w:pPr>
            <w:r>
              <w:rPr>
                <w:rFonts w:hint="eastAsia" w:ascii="Calibri" w:hAnsi="Calibri" w:eastAsia="宋体" w:cs="Times New Roman"/>
                <w:color w:val="auto"/>
                <w:szCs w:val="21"/>
                <w:highlight w:val="none"/>
              </w:rPr>
              <w:t>（以联合体形式参加政府采购活动，联合体各方均为中小企业的，联合体视同中小企业。其中，联合体各方均为小微企业的，联合体视同小微企业。）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9" w:hRule="atLeast"/>
          <w:jc w:val="center"/>
        </w:trPr>
        <w:tc>
          <w:tcPr>
            <w:tcW w:w="1622" w:type="dxa"/>
            <w:vMerge w:val="restart"/>
            <w:tcBorders>
              <w:top w:val="single" w:color="auto" w:sz="4" w:space="0"/>
              <w:left w:val="double" w:color="auto" w:sz="4" w:space="0"/>
              <w:right w:val="single" w:color="auto" w:sz="2" w:space="0"/>
            </w:tcBorders>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ascii="宋体" w:hAnsi="宋体" w:eastAsia="宋体" w:cs="宋体"/>
                <w:color w:val="auto"/>
                <w:szCs w:val="21"/>
                <w:highlight w:val="none"/>
              </w:rPr>
              <w:t>第43.1（2）项</w:t>
            </w:r>
          </w:p>
        </w:tc>
        <w:tc>
          <w:tcPr>
            <w:tcW w:w="3005" w:type="dxa"/>
            <w:vMerge w:val="restart"/>
            <w:tcBorders>
              <w:top w:val="single" w:color="auto" w:sz="4" w:space="0"/>
              <w:left w:val="single" w:color="auto" w:sz="2" w:space="0"/>
              <w:right w:val="single" w:color="auto" w:sz="2" w:space="0"/>
            </w:tcBorders>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ascii="宋体" w:hAnsi="宋体" w:eastAsia="宋体" w:cs="宋体"/>
                <w:color w:val="auto"/>
                <w:szCs w:val="21"/>
                <w:highlight w:val="none"/>
              </w:rPr>
              <w:t>支持中小企业</w:t>
            </w:r>
          </w:p>
        </w:tc>
        <w:tc>
          <w:tcPr>
            <w:tcW w:w="4625" w:type="dxa"/>
            <w:tcBorders>
              <w:top w:val="single" w:color="auto" w:sz="4" w:space="0"/>
              <w:left w:val="single" w:color="auto" w:sz="2" w:space="0"/>
              <w:bottom w:val="single" w:color="auto" w:sz="6" w:space="0"/>
              <w:right w:val="double" w:color="auto" w:sz="4" w:space="0"/>
            </w:tcBorders>
            <w:vAlign w:val="center"/>
          </w:tcPr>
          <w:p>
            <w:pPr>
              <w:spacing w:line="276" w:lineRule="auto"/>
              <w:rPr>
                <w:rFonts w:hint="eastAsia" w:ascii="宋体" w:hAnsi="宋体" w:eastAsia="宋体" w:cs="宋体"/>
                <w:color w:val="auto"/>
                <w:szCs w:val="21"/>
                <w:highlight w:val="none"/>
                <w:u w:val="single"/>
              </w:rPr>
            </w:pPr>
            <w:r>
              <w:rPr>
                <w:rFonts w:ascii="宋体" w:hAnsi="宋体" w:eastAsia="宋体" w:cs="宋体"/>
                <w:color w:val="auto"/>
                <w:szCs w:val="21"/>
                <w:highlight w:val="none"/>
              </w:rPr>
              <w:t xml:space="preserve">本项目所属行业 </w:t>
            </w:r>
            <w:r>
              <w:rPr>
                <w:rFonts w:hint="eastAsia" w:ascii="宋体" w:hAnsi="宋体" w:eastAsia="宋体" w:cs="宋体"/>
                <w:color w:val="auto"/>
                <w:szCs w:val="21"/>
                <w:highlight w:val="none"/>
                <w:u w:val="single"/>
              </w:rPr>
              <w:t>（一）农、林、牧、渔业</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(注：从以下选项中选择填写）</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（一）农、林、牧、渔业</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（二）工业</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（三）建筑业</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（四）批发业</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（五）零售业</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（六）交通运输业</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（七）仓储业</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（八）邮政业</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（九）住宿业</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（十）餐饮业</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（十一）信息传输业</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（十二）软件和信息技术服务业</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（十三）房地产开发经营</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（十四）物业管理</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（十五）租赁和商务服务业</w:t>
            </w:r>
          </w:p>
          <w:p>
            <w:pPr>
              <w:widowControl w:val="0"/>
              <w:adjustRightInd w:val="0"/>
              <w:snapToGrid w:val="0"/>
              <w:spacing w:line="276" w:lineRule="auto"/>
              <w:jc w:val="both"/>
              <w:rPr>
                <w:rFonts w:hint="eastAsia" w:ascii="宋体" w:hAnsi="宋体" w:eastAsia="宋体" w:cs="Times New Roman"/>
                <w:color w:val="auto"/>
                <w:szCs w:val="21"/>
                <w:highlight w:val="none"/>
              </w:rPr>
            </w:pPr>
            <w:r>
              <w:rPr>
                <w:rFonts w:ascii="宋体" w:hAnsi="宋体" w:eastAsia="宋体" w:cs="宋体"/>
                <w:color w:val="auto"/>
                <w:szCs w:val="21"/>
                <w:highlight w:val="none"/>
              </w:rPr>
              <w:t>（十六）其他未列明行业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9" w:hRule="atLeast"/>
          <w:jc w:val="center"/>
        </w:trPr>
        <w:tc>
          <w:tcPr>
            <w:tcW w:w="1622" w:type="dxa"/>
            <w:vMerge w:val="continue"/>
            <w:tcBorders>
              <w:left w:val="double" w:color="auto" w:sz="4" w:space="0"/>
              <w:right w:val="single" w:color="auto" w:sz="2" w:space="0"/>
            </w:tcBorders>
            <w:vAlign w:val="center"/>
          </w:tcPr>
          <w:p>
            <w:pPr>
              <w:widowControl w:val="0"/>
              <w:adjustRightInd w:val="0"/>
              <w:snapToGrid w:val="0"/>
              <w:spacing w:before="50" w:line="360" w:lineRule="auto"/>
              <w:jc w:val="center"/>
              <w:rPr>
                <w:rFonts w:hint="eastAsia" w:ascii="宋体" w:hAnsi="宋体" w:eastAsia="宋体" w:cs="宋体"/>
                <w:color w:val="auto"/>
                <w:szCs w:val="21"/>
                <w:highlight w:val="none"/>
              </w:rPr>
            </w:pPr>
          </w:p>
        </w:tc>
        <w:tc>
          <w:tcPr>
            <w:tcW w:w="3005" w:type="dxa"/>
            <w:vMerge w:val="continue"/>
            <w:tcBorders>
              <w:left w:val="single" w:color="auto" w:sz="2" w:space="0"/>
              <w:right w:val="single" w:color="auto" w:sz="2" w:space="0"/>
            </w:tcBorders>
            <w:vAlign w:val="center"/>
          </w:tcPr>
          <w:p>
            <w:pPr>
              <w:widowControl w:val="0"/>
              <w:adjustRightInd w:val="0"/>
              <w:snapToGrid w:val="0"/>
              <w:spacing w:before="50" w:line="360" w:lineRule="auto"/>
              <w:jc w:val="both"/>
              <w:rPr>
                <w:rFonts w:hint="eastAsia" w:ascii="宋体" w:hAnsi="宋体" w:eastAsia="宋体" w:cs="宋体"/>
                <w:color w:val="auto"/>
                <w:szCs w:val="21"/>
                <w:highlight w:val="none"/>
              </w:rPr>
            </w:pPr>
          </w:p>
        </w:tc>
        <w:tc>
          <w:tcPr>
            <w:tcW w:w="4625" w:type="dxa"/>
            <w:tcBorders>
              <w:top w:val="single" w:color="auto" w:sz="4" w:space="0"/>
              <w:left w:val="single" w:color="auto" w:sz="2" w:space="0"/>
              <w:bottom w:val="single" w:color="auto" w:sz="6" w:space="0"/>
              <w:right w:val="double" w:color="auto" w:sz="4" w:space="0"/>
            </w:tcBorders>
            <w:vAlign w:val="center"/>
          </w:tcPr>
          <w:p>
            <w:pPr>
              <w:widowControl w:val="0"/>
              <w:spacing w:line="276" w:lineRule="auto"/>
              <w:jc w:val="both"/>
              <w:rPr>
                <w:rFonts w:hint="eastAsia" w:ascii="宋体" w:hAnsi="宋体" w:eastAsia="宋体" w:cs="宋体"/>
                <w:color w:val="auto"/>
                <w:szCs w:val="21"/>
                <w:highlight w:val="none"/>
              </w:rPr>
            </w:pPr>
            <w:r>
              <w:rPr>
                <w:rFonts w:ascii="Segoe UI Symbol" w:hAnsi="Segoe UI Symbol" w:eastAsia="宋体" w:cs="Segoe UI Symbol"/>
                <w:color w:val="auto"/>
                <w:szCs w:val="21"/>
                <w:highlight w:val="none"/>
              </w:rPr>
              <w:sym w:font="Wingdings 2" w:char="F052"/>
            </w:r>
            <w:r>
              <w:rPr>
                <w:rFonts w:ascii="宋体" w:hAnsi="宋体" w:eastAsia="宋体" w:cs="宋体"/>
                <w:color w:val="auto"/>
                <w:szCs w:val="21"/>
                <w:highlight w:val="none"/>
              </w:rPr>
              <w:t>本项目专门面向中小企业采购；</w:t>
            </w:r>
          </w:p>
          <w:p>
            <w:pPr>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（按湘财购[2022]17号文件规定，</w:t>
            </w:r>
            <w:r>
              <w:rPr>
                <w:rFonts w:ascii="宋体" w:hAnsi="宋体" w:eastAsia="宋体" w:cs="宋体"/>
                <w:color w:val="auto"/>
                <w:kern w:val="0"/>
                <w:szCs w:val="21"/>
                <w:highlight w:val="none"/>
                <w:lang w:bidi="ar"/>
              </w:rPr>
              <w:t>预算 200 万元以下的货物、服务项目和400 万元以下的工程项目适宜由中小企业提供的，应面向中小企业采购</w:t>
            </w:r>
            <w:r>
              <w:rPr>
                <w:rFonts w:ascii="宋体" w:hAnsi="宋体" w:eastAsia="宋体" w:cs="宋体"/>
                <w:color w:val="auto"/>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9"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第44.1款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采购进口产品</w:t>
            </w:r>
          </w:p>
        </w:tc>
        <w:tc>
          <w:tcPr>
            <w:tcW w:w="4625" w:type="dxa"/>
            <w:vAlign w:val="center"/>
          </w:tcPr>
          <w:p>
            <w:pPr>
              <w:adjustRightInd w:val="0"/>
              <w:snapToGrid w:val="0"/>
              <w:spacing w:line="420" w:lineRule="exact"/>
              <w:rPr>
                <w:rFonts w:hint="eastAsia" w:ascii="宋体" w:hAnsi="宋体" w:eastAsia="宋体" w:cs="楷体"/>
                <w:color w:val="auto"/>
                <w:szCs w:val="21"/>
                <w:highlight w:val="none"/>
              </w:rPr>
            </w:pPr>
            <w:r>
              <w:rPr>
                <w:rFonts w:hint="eastAsia" w:ascii="宋体" w:hAnsi="宋体" w:eastAsia="宋体" w:cs="宋体"/>
                <w:color w:val="auto"/>
                <w:szCs w:val="21"/>
                <w:highlight w:val="none"/>
              </w:rPr>
              <w:t xml:space="preserve">□接受    </w:t>
            </w:r>
            <w:r>
              <w:rPr>
                <w:rFonts w:hint="eastAsia" w:ascii="楷体" w:hAnsi="楷体" w:eastAsia="楷体" w:cs="楷体"/>
                <w:color w:val="auto"/>
                <w:szCs w:val="21"/>
                <w:highlight w:val="none"/>
              </w:rPr>
              <w:t>本项目已经财政部门审核同意购买进口产品</w:t>
            </w:r>
            <w:r>
              <w:rPr>
                <w:rFonts w:hint="eastAsia" w:ascii="宋体" w:hAnsi="宋体" w:eastAsia="宋体" w:cs="楷体"/>
                <w:color w:val="auto"/>
                <w:szCs w:val="21"/>
                <w:highlight w:val="none"/>
              </w:rPr>
              <w:t xml:space="preserve">  </w:t>
            </w:r>
          </w:p>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宋体"/>
                <w:color w:val="auto"/>
                <w:szCs w:val="21"/>
                <w:highlight w:val="none"/>
              </w:rPr>
              <w:sym w:font="Wingdings 2" w:char="F052"/>
            </w:r>
            <w:r>
              <w:rPr>
                <w:rFonts w:hint="eastAsia" w:ascii="宋体" w:hAnsi="宋体" w:eastAsia="宋体" w:cs="宋体"/>
                <w:color w:val="auto"/>
                <w:szCs w:val="21"/>
                <w:highlight w:val="none"/>
              </w:rPr>
              <w:t xml:space="preserve">拒绝   </w:t>
            </w:r>
            <w:r>
              <w:rPr>
                <w:rFonts w:hint="eastAsia" w:ascii="楷体" w:hAnsi="楷体" w:eastAsia="楷体" w:cs="楷体"/>
                <w:color w:val="auto"/>
                <w:szCs w:val="21"/>
                <w:highlight w:val="none"/>
              </w:rPr>
              <w:t>本项目拒绝进口产品参加投标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pPr>
              <w:widowControl w:val="0"/>
              <w:adjustRightInd w:val="0"/>
              <w:snapToGrid w:val="0"/>
              <w:spacing w:before="50" w:line="360" w:lineRule="auto"/>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八、其他规定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w:t>
            </w:r>
            <w:r>
              <w:rPr>
                <w:rFonts w:ascii="宋体" w:hAnsi="宋体" w:eastAsia="宋体" w:cs="Times New Roman"/>
                <w:color w:val="auto"/>
                <w:szCs w:val="21"/>
                <w:highlight w:val="none"/>
              </w:rPr>
              <w:t>4</w:t>
            </w:r>
            <w:r>
              <w:rPr>
                <w:rFonts w:hint="eastAsia" w:ascii="宋体" w:hAnsi="宋体" w:eastAsia="宋体" w:cs="Times New Roman"/>
                <w:color w:val="auto"/>
                <w:szCs w:val="21"/>
                <w:highlight w:val="none"/>
              </w:rPr>
              <w:t>6.1</w:t>
            </w:r>
            <w:r>
              <w:rPr>
                <w:rFonts w:hint="eastAsia" w:ascii="宋体" w:hAnsi="宋体" w:eastAsia="宋体" w:cs="宋体"/>
                <w:color w:val="auto"/>
                <w:kern w:val="0"/>
                <w:szCs w:val="21"/>
                <w:highlight w:val="none"/>
                <w:lang w:val="zh-CN"/>
              </w:rPr>
              <w:t>（</w:t>
            </w: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val="zh-CN"/>
              </w:rPr>
              <w:t>）</w:t>
            </w:r>
            <w:r>
              <w:rPr>
                <w:rFonts w:hint="eastAsia" w:ascii="宋体" w:hAnsi="宋体" w:eastAsia="宋体" w:cs="Times New Roman"/>
                <w:color w:val="auto"/>
                <w:szCs w:val="21"/>
                <w:highlight w:val="none"/>
              </w:rPr>
              <w:t>项</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合同预付款的支付比例和支付条件</w:t>
            </w:r>
          </w:p>
        </w:tc>
        <w:tc>
          <w:tcPr>
            <w:tcW w:w="4625" w:type="dxa"/>
            <w:vAlign w:val="center"/>
          </w:tcPr>
          <w:p>
            <w:pPr>
              <w:pStyle w:val="73"/>
              <w:spacing w:line="276" w:lineRule="auto"/>
              <w:ind w:left="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签订合同时约定。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w:t>
            </w:r>
            <w:r>
              <w:rPr>
                <w:rFonts w:ascii="宋体" w:hAnsi="宋体" w:eastAsia="宋体" w:cs="Times New Roman"/>
                <w:color w:val="auto"/>
                <w:szCs w:val="21"/>
                <w:highlight w:val="none"/>
              </w:rPr>
              <w:t>4</w:t>
            </w:r>
            <w:r>
              <w:rPr>
                <w:rFonts w:hint="eastAsia" w:ascii="宋体" w:hAnsi="宋体" w:eastAsia="宋体" w:cs="Times New Roman"/>
                <w:color w:val="auto"/>
                <w:szCs w:val="21"/>
                <w:highlight w:val="none"/>
              </w:rPr>
              <w:t>6.1</w:t>
            </w:r>
            <w:r>
              <w:rPr>
                <w:rFonts w:hint="eastAsia" w:ascii="宋体" w:hAnsi="宋体" w:eastAsia="宋体" w:cs="宋体"/>
                <w:color w:val="auto"/>
                <w:kern w:val="0"/>
                <w:szCs w:val="21"/>
                <w:highlight w:val="none"/>
                <w:lang w:val="zh-CN"/>
              </w:rPr>
              <w:t>（</w:t>
            </w: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zh-CN"/>
              </w:rPr>
              <w:t>）</w:t>
            </w:r>
            <w:r>
              <w:rPr>
                <w:rFonts w:hint="eastAsia" w:ascii="宋体" w:hAnsi="宋体" w:eastAsia="宋体" w:cs="Times New Roman"/>
                <w:color w:val="auto"/>
                <w:szCs w:val="21"/>
                <w:highlight w:val="none"/>
              </w:rPr>
              <w:t>项</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质量保证金</w:t>
            </w:r>
          </w:p>
        </w:tc>
        <w:tc>
          <w:tcPr>
            <w:tcW w:w="462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第46.</w:t>
            </w:r>
            <w:r>
              <w:rPr>
                <w:rFonts w:ascii="宋体" w:hAnsi="宋体" w:eastAsia="宋体" w:cs="Times New Roman"/>
                <w:color w:val="auto"/>
                <w:szCs w:val="21"/>
                <w:highlight w:val="none"/>
              </w:rPr>
              <w:t>2</w:t>
            </w:r>
            <w:r>
              <w:rPr>
                <w:rFonts w:hint="eastAsia" w:ascii="宋体" w:hAnsi="宋体" w:eastAsia="宋体" w:cs="Times New Roman"/>
                <w:color w:val="auto"/>
                <w:szCs w:val="21"/>
                <w:highlight w:val="none"/>
              </w:rPr>
              <w:t>款</w:t>
            </w:r>
          </w:p>
        </w:tc>
        <w:tc>
          <w:tcPr>
            <w:tcW w:w="3005" w:type="dxa"/>
            <w:vAlign w:val="center"/>
          </w:tcPr>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其他规定</w:t>
            </w:r>
          </w:p>
        </w:tc>
        <w:tc>
          <w:tcPr>
            <w:tcW w:w="4625" w:type="dxa"/>
            <w:vAlign w:val="center"/>
          </w:tcPr>
          <w:p>
            <w:pPr>
              <w:widowControl w:val="0"/>
              <w:adjustRightInd w:val="0"/>
              <w:snapToGrid w:val="0"/>
              <w:spacing w:before="50"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本竞争性</w:t>
            </w:r>
            <w:r>
              <w:rPr>
                <w:rFonts w:hint="eastAsia" w:ascii="宋体" w:hAnsi="宋体" w:eastAsia="宋体" w:cs="宋体"/>
                <w:color w:val="auto"/>
                <w:szCs w:val="21"/>
                <w:highlight w:val="none"/>
              </w:rPr>
              <w:t>谈判</w:t>
            </w:r>
            <w:r>
              <w:rPr>
                <w:rFonts w:ascii="宋体" w:hAnsi="宋体" w:eastAsia="宋体" w:cs="宋体"/>
                <w:color w:val="auto"/>
                <w:szCs w:val="21"/>
                <w:highlight w:val="none"/>
              </w:rPr>
              <w:t>文件要求提供的原件是指原件扫描件；</w:t>
            </w:r>
          </w:p>
          <w:p>
            <w:pPr>
              <w:widowControl w:val="0"/>
              <w:adjustRightInd w:val="0"/>
              <w:snapToGrid w:val="0"/>
              <w:spacing w:before="50"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复印件是指复印件或扫描件或影印件；</w:t>
            </w:r>
          </w:p>
          <w:p>
            <w:pPr>
              <w:widowControl w:val="0"/>
              <w:adjustRightInd w:val="0"/>
              <w:snapToGrid w:val="0"/>
              <w:spacing w:before="50"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本竞争性</w:t>
            </w:r>
            <w:r>
              <w:rPr>
                <w:rFonts w:hint="eastAsia" w:ascii="宋体" w:hAnsi="宋体" w:eastAsia="宋体" w:cs="宋体"/>
                <w:color w:val="auto"/>
                <w:szCs w:val="21"/>
                <w:highlight w:val="none"/>
              </w:rPr>
              <w:t>谈判</w:t>
            </w:r>
            <w:r>
              <w:rPr>
                <w:rFonts w:ascii="宋体" w:hAnsi="宋体" w:eastAsia="宋体" w:cs="宋体"/>
                <w:color w:val="auto"/>
                <w:szCs w:val="21"/>
                <w:highlight w:val="none"/>
              </w:rPr>
              <w:t>文件中未注明原件或复印件的按复印件提供。</w:t>
            </w:r>
          </w:p>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ascii="宋体" w:hAnsi="宋体" w:eastAsia="宋体" w:cs="宋体"/>
                <w:color w:val="auto"/>
                <w:szCs w:val="21"/>
                <w:highlight w:val="none"/>
              </w:rPr>
              <w:t>注：</w:t>
            </w:r>
            <w:r>
              <w:rPr>
                <w:rFonts w:hint="eastAsia" w:ascii="宋体" w:hAnsi="宋体" w:eastAsia="宋体" w:cs="宋体"/>
                <w:color w:val="auto"/>
                <w:szCs w:val="21"/>
                <w:highlight w:val="none"/>
              </w:rPr>
              <w:t>谈判</w:t>
            </w:r>
            <w:r>
              <w:rPr>
                <w:rFonts w:ascii="宋体" w:hAnsi="宋体" w:eastAsia="宋体" w:cs="宋体"/>
                <w:color w:val="auto"/>
                <w:szCs w:val="21"/>
                <w:highlight w:val="none"/>
              </w:rPr>
              <w:t>文件中提到的不管是扫描件、复印件或是影印件，都必须加盖供应商的单位电子公章，否则，视为无效响应。</w:t>
            </w:r>
          </w:p>
        </w:tc>
      </w:tr>
    </w:tbl>
    <w:p>
      <w:pPr>
        <w:widowControl w:val="0"/>
        <w:adjustRightInd w:val="0"/>
        <w:snapToGrid w:val="0"/>
        <w:spacing w:before="156" w:beforeLines="50" w:line="360" w:lineRule="auto"/>
        <w:jc w:val="center"/>
        <w:rPr>
          <w:rFonts w:ascii="Arial" w:hAnsi="Arial" w:eastAsia="宋体" w:cs="Times New Roman"/>
          <w:b/>
          <w:bCs/>
          <w:color w:val="auto"/>
          <w:sz w:val="24"/>
          <w:szCs w:val="32"/>
          <w:highlight w:val="none"/>
        </w:rPr>
      </w:pPr>
    </w:p>
    <w:p>
      <w:pPr>
        <w:rPr>
          <w:rFonts w:ascii="Arial" w:hAnsi="Arial" w:eastAsia="宋体" w:cs="Times New Roman"/>
          <w:b/>
          <w:bCs/>
          <w:color w:val="auto"/>
          <w:sz w:val="24"/>
          <w:szCs w:val="32"/>
          <w:highlight w:val="none"/>
        </w:rPr>
      </w:pPr>
      <w:r>
        <w:rPr>
          <w:rFonts w:ascii="Arial" w:hAnsi="Arial" w:eastAsia="宋体" w:cs="Times New Roman"/>
          <w:b/>
          <w:bCs/>
          <w:color w:val="auto"/>
          <w:sz w:val="24"/>
          <w:szCs w:val="32"/>
          <w:highlight w:val="none"/>
        </w:rPr>
        <w:br w:type="page"/>
      </w:r>
    </w:p>
    <w:p>
      <w:pPr>
        <w:widowControl w:val="0"/>
        <w:adjustRightInd w:val="0"/>
        <w:snapToGrid w:val="0"/>
        <w:spacing w:before="156" w:beforeLines="50" w:line="360" w:lineRule="auto"/>
        <w:jc w:val="both"/>
        <w:outlineLvl w:val="2"/>
        <w:rPr>
          <w:rFonts w:hint="eastAsia" w:ascii="宋体" w:hAnsi="宋体" w:eastAsia="宋体" w:cs="宋体"/>
          <w:b/>
          <w:color w:val="auto"/>
          <w:kern w:val="0"/>
          <w:sz w:val="24"/>
          <w:szCs w:val="24"/>
          <w:highlight w:val="none"/>
        </w:rPr>
      </w:pPr>
      <w:bookmarkStart w:id="59" w:name="_Toc214954900"/>
      <w:bookmarkStart w:id="60" w:name="_Toc212820433"/>
      <w:r>
        <w:rPr>
          <w:rFonts w:ascii="宋体" w:hAnsi="宋体" w:eastAsia="宋体" w:cs="宋体"/>
          <w:b/>
          <w:color w:val="auto"/>
          <w:kern w:val="0"/>
          <w:sz w:val="24"/>
          <w:szCs w:val="24"/>
          <w:highlight w:val="none"/>
        </w:rPr>
        <w:t>附表1 资格审查表</w:t>
      </w:r>
      <w:bookmarkEnd w:id="59"/>
      <w:bookmarkEnd w:id="60"/>
    </w:p>
    <w:p>
      <w:pPr>
        <w:widowControl w:val="0"/>
        <w:adjustRightInd w:val="0"/>
        <w:snapToGrid w:val="0"/>
        <w:spacing w:line="360" w:lineRule="auto"/>
        <w:jc w:val="center"/>
        <w:rPr>
          <w:rFonts w:hint="eastAsia" w:ascii="宋体" w:hAnsi="宋体" w:eastAsia="宋体" w:cs="宋体"/>
          <w:b/>
          <w:color w:val="auto"/>
          <w:sz w:val="28"/>
          <w:szCs w:val="28"/>
          <w:highlight w:val="none"/>
        </w:rPr>
      </w:pPr>
      <w:r>
        <w:rPr>
          <w:rFonts w:ascii="宋体" w:hAnsi="宋体" w:eastAsia="宋体" w:cs="宋体"/>
          <w:b/>
          <w:color w:val="auto"/>
          <w:sz w:val="28"/>
          <w:szCs w:val="28"/>
          <w:highlight w:val="none"/>
        </w:rPr>
        <w:t>资格审查表</w:t>
      </w:r>
    </w:p>
    <w:tbl>
      <w:tblPr>
        <w:tblStyle w:val="44"/>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3678"/>
        <w:gridCol w:w="4699"/>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vAlign w:val="center"/>
          </w:tcPr>
          <w:p>
            <w:pPr>
              <w:widowControl w:val="0"/>
              <w:adjustRightInd w:val="0"/>
              <w:snapToGrid w:val="0"/>
              <w:spacing w:line="276" w:lineRule="auto"/>
              <w:jc w:val="center"/>
              <w:rPr>
                <w:rFonts w:hint="eastAsia" w:ascii="宋体" w:hAnsi="宋体" w:eastAsia="宋体" w:cs="宋体"/>
                <w:b/>
                <w:color w:val="auto"/>
                <w:kern w:val="0"/>
                <w:szCs w:val="21"/>
                <w:highlight w:val="none"/>
              </w:rPr>
            </w:pPr>
            <w:r>
              <w:rPr>
                <w:rFonts w:ascii="宋体" w:hAnsi="宋体" w:eastAsia="宋体" w:cs="宋体"/>
                <w:b/>
                <w:color w:val="auto"/>
                <w:kern w:val="0"/>
                <w:szCs w:val="21"/>
                <w:highlight w:val="none"/>
              </w:rPr>
              <w:t>序号</w:t>
            </w:r>
          </w:p>
        </w:tc>
        <w:tc>
          <w:tcPr>
            <w:tcW w:w="3678" w:type="dxa"/>
            <w:vAlign w:val="center"/>
          </w:tcPr>
          <w:p>
            <w:pPr>
              <w:widowControl w:val="0"/>
              <w:adjustRightInd w:val="0"/>
              <w:snapToGrid w:val="0"/>
              <w:spacing w:line="276" w:lineRule="auto"/>
              <w:jc w:val="center"/>
              <w:rPr>
                <w:rFonts w:hint="eastAsia" w:ascii="宋体" w:hAnsi="宋体" w:eastAsia="宋体" w:cs="宋体"/>
                <w:b/>
                <w:color w:val="auto"/>
                <w:kern w:val="0"/>
                <w:szCs w:val="21"/>
                <w:highlight w:val="none"/>
              </w:rPr>
            </w:pPr>
            <w:r>
              <w:rPr>
                <w:rFonts w:ascii="宋体" w:hAnsi="宋体" w:eastAsia="宋体" w:cs="宋体"/>
                <w:b/>
                <w:color w:val="auto"/>
                <w:kern w:val="0"/>
                <w:szCs w:val="21"/>
                <w:highlight w:val="none"/>
              </w:rPr>
              <w:t>审查项目</w:t>
            </w:r>
          </w:p>
        </w:tc>
        <w:tc>
          <w:tcPr>
            <w:tcW w:w="4699" w:type="dxa"/>
            <w:vAlign w:val="center"/>
          </w:tcPr>
          <w:p>
            <w:pPr>
              <w:widowControl w:val="0"/>
              <w:adjustRightInd w:val="0"/>
              <w:snapToGrid w:val="0"/>
              <w:spacing w:line="276" w:lineRule="auto"/>
              <w:jc w:val="center"/>
              <w:rPr>
                <w:rFonts w:hint="eastAsia" w:ascii="宋体" w:hAnsi="宋体" w:eastAsia="宋体" w:cs="宋体"/>
                <w:b/>
                <w:color w:val="auto"/>
                <w:kern w:val="0"/>
                <w:szCs w:val="21"/>
                <w:highlight w:val="none"/>
              </w:rPr>
            </w:pPr>
            <w:r>
              <w:rPr>
                <w:rFonts w:ascii="宋体" w:hAnsi="宋体" w:eastAsia="宋体" w:cs="宋体"/>
                <w:b/>
                <w:color w:val="auto"/>
                <w:kern w:val="0"/>
                <w:szCs w:val="21"/>
                <w:highlight w:val="none"/>
              </w:rPr>
              <w:t>审查标准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24"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1</w:t>
            </w:r>
          </w:p>
        </w:tc>
        <w:tc>
          <w:tcPr>
            <w:tcW w:w="3678"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具有独立承担民事责任的能力</w:t>
            </w:r>
          </w:p>
        </w:tc>
        <w:tc>
          <w:tcPr>
            <w:tcW w:w="4699"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Times New Roman"/>
                <w:color w:val="auto"/>
                <w:szCs w:val="24"/>
                <w:highlight w:val="none"/>
              </w:rPr>
              <w:t>法人或者其他组织的营业执照等主体资格证明文件，自然人的身份证明：</w:t>
            </w:r>
            <w:r>
              <w:rPr>
                <w:rFonts w:ascii="宋体" w:hAnsi="宋体" w:eastAsia="宋体" w:cs="Times New Roman"/>
                <w:color w:val="auto"/>
                <w:szCs w:val="21"/>
                <w:highlight w:val="none"/>
              </w:rPr>
              <w:t>供应商</w:t>
            </w:r>
            <w:r>
              <w:rPr>
                <w:rFonts w:ascii="宋体" w:hAnsi="宋体" w:eastAsia="宋体" w:cs="Times New Roman"/>
                <w:color w:val="auto"/>
                <w:szCs w:val="24"/>
                <w:highlight w:val="none"/>
              </w:rPr>
              <w:t>为法人的，应提交营业执照或法人登记证书的复印件；</w:t>
            </w:r>
            <w:r>
              <w:rPr>
                <w:rFonts w:ascii="宋体" w:hAnsi="宋体" w:eastAsia="宋体" w:cs="Times New Roman"/>
                <w:color w:val="auto"/>
                <w:szCs w:val="21"/>
                <w:highlight w:val="none"/>
              </w:rPr>
              <w:t>供应商</w:t>
            </w:r>
            <w:r>
              <w:rPr>
                <w:rFonts w:ascii="宋体" w:hAnsi="宋体" w:eastAsia="宋体" w:cs="Times New Roman"/>
                <w:color w:val="auto"/>
                <w:szCs w:val="24"/>
                <w:highlight w:val="none"/>
              </w:rPr>
              <w:t>为非法人组织的，应提交依法登记证书复印件；</w:t>
            </w:r>
            <w:r>
              <w:rPr>
                <w:rFonts w:ascii="宋体" w:hAnsi="宋体" w:eastAsia="宋体" w:cs="Times New Roman"/>
                <w:color w:val="auto"/>
                <w:szCs w:val="21"/>
                <w:highlight w:val="none"/>
              </w:rPr>
              <w:t>供应商</w:t>
            </w:r>
            <w:r>
              <w:rPr>
                <w:rFonts w:ascii="宋体" w:hAnsi="宋体" w:eastAsia="宋体" w:cs="Times New Roman"/>
                <w:color w:val="auto"/>
                <w:szCs w:val="24"/>
                <w:highlight w:val="none"/>
              </w:rPr>
              <w:t>为个体工商户的，应提交个体工商户营业执照复印件；</w:t>
            </w:r>
            <w:r>
              <w:rPr>
                <w:rFonts w:ascii="宋体" w:hAnsi="宋体" w:eastAsia="宋体" w:cs="Times New Roman"/>
                <w:color w:val="auto"/>
                <w:szCs w:val="21"/>
                <w:highlight w:val="none"/>
              </w:rPr>
              <w:t>供应商</w:t>
            </w:r>
            <w:r>
              <w:rPr>
                <w:rFonts w:ascii="宋体" w:hAnsi="宋体" w:eastAsia="宋体" w:cs="Times New Roman"/>
                <w:color w:val="auto"/>
                <w:szCs w:val="24"/>
                <w:highlight w:val="none"/>
              </w:rPr>
              <w:t>为自然人的，应提交自然人的身份证明复印件</w:t>
            </w:r>
            <w:r>
              <w:rPr>
                <w:rFonts w:ascii="宋体" w:hAnsi="宋体" w:eastAsia="宋体" w:cs="宋体"/>
                <w:color w:val="auto"/>
                <w:kern w:val="0"/>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1"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2</w:t>
            </w:r>
          </w:p>
        </w:tc>
        <w:tc>
          <w:tcPr>
            <w:tcW w:w="3678"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具有良好的商业信誉和健全的财务会计制度</w:t>
            </w:r>
          </w:p>
        </w:tc>
        <w:tc>
          <w:tcPr>
            <w:tcW w:w="4699" w:type="dxa"/>
            <w:vAlign w:val="center"/>
          </w:tcPr>
          <w:p>
            <w:pPr>
              <w:widowControl w:val="0"/>
              <w:adjustRightInd w:val="0"/>
              <w:snapToGrid w:val="0"/>
              <w:spacing w:line="276" w:lineRule="auto"/>
              <w:ind w:right="182" w:rightChars="87"/>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根据供应商的实际情况，</w:t>
            </w:r>
            <w:r>
              <w:rPr>
                <w:rFonts w:ascii="宋体" w:hAnsi="宋体" w:eastAsia="宋体" w:cs="宋体"/>
                <w:color w:val="auto"/>
                <w:szCs w:val="21"/>
                <w:highlight w:val="none"/>
                <w:shd w:val="clear" w:color="auto" w:fill="FFFFFF"/>
              </w:rPr>
              <w:t>提供第五章附件4-5“</w:t>
            </w:r>
            <w:r>
              <w:rPr>
                <w:rFonts w:ascii="宋体" w:hAnsi="宋体" w:eastAsia="宋体" w:cs="宋体"/>
                <w:color w:val="auto"/>
                <w:szCs w:val="21"/>
                <w:highlight w:val="none"/>
              </w:rPr>
              <w:t>湖南省政府采购供应商资格承诺函</w:t>
            </w:r>
            <w:r>
              <w:rPr>
                <w:rFonts w:ascii="宋体" w:hAnsi="宋体" w:eastAsia="宋体" w:cs="宋体"/>
                <w:color w:val="auto"/>
                <w:szCs w:val="21"/>
                <w:highlight w:val="none"/>
                <w:shd w:val="clear" w:color="auto" w:fill="FFFFFF"/>
              </w:rPr>
              <w:t>”</w:t>
            </w:r>
            <w:r>
              <w:rPr>
                <w:rFonts w:ascii="宋体" w:hAnsi="宋体" w:eastAsia="宋体" w:cs="宋体"/>
                <w:color w:val="auto"/>
                <w:szCs w:val="21"/>
                <w:highlight w:val="none"/>
              </w:rPr>
              <w:t>，内容填写完整，签字盖章齐全。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1"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3</w:t>
            </w:r>
          </w:p>
        </w:tc>
        <w:tc>
          <w:tcPr>
            <w:tcW w:w="3678"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具有履行合同所必需的设备和专业技术能力</w:t>
            </w:r>
          </w:p>
        </w:tc>
        <w:tc>
          <w:tcPr>
            <w:tcW w:w="4699"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根据供应商的实际情况，提供第五章附件4-2“供应商资格声明”书面声明。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1"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4</w:t>
            </w:r>
          </w:p>
        </w:tc>
        <w:tc>
          <w:tcPr>
            <w:tcW w:w="3678"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有依法缴纳税收和社会保障资金的良好记录</w:t>
            </w:r>
          </w:p>
        </w:tc>
        <w:tc>
          <w:tcPr>
            <w:tcW w:w="4699"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根据供应商的实际情况，</w:t>
            </w:r>
            <w:r>
              <w:rPr>
                <w:rFonts w:ascii="宋体" w:hAnsi="宋体" w:eastAsia="宋体" w:cs="宋体"/>
                <w:color w:val="auto"/>
                <w:szCs w:val="21"/>
                <w:highlight w:val="none"/>
                <w:shd w:val="clear" w:color="auto" w:fill="FFFFFF"/>
              </w:rPr>
              <w:t>提供第五章附件4-5“</w:t>
            </w:r>
            <w:r>
              <w:rPr>
                <w:rFonts w:ascii="宋体" w:hAnsi="宋体" w:eastAsia="宋体" w:cs="宋体"/>
                <w:color w:val="auto"/>
                <w:szCs w:val="21"/>
                <w:highlight w:val="none"/>
              </w:rPr>
              <w:t>湖南省政府采购供应商资格承诺函</w:t>
            </w:r>
            <w:r>
              <w:rPr>
                <w:rFonts w:ascii="宋体" w:hAnsi="宋体" w:eastAsia="宋体" w:cs="宋体"/>
                <w:color w:val="auto"/>
                <w:szCs w:val="21"/>
                <w:highlight w:val="none"/>
                <w:shd w:val="clear" w:color="auto" w:fill="FFFFFF"/>
              </w:rPr>
              <w:t>”</w:t>
            </w:r>
            <w:r>
              <w:rPr>
                <w:rFonts w:ascii="宋体" w:hAnsi="宋体" w:eastAsia="宋体" w:cs="宋体"/>
                <w:color w:val="auto"/>
                <w:szCs w:val="21"/>
                <w:highlight w:val="none"/>
              </w:rPr>
              <w:t>，内容填写完整，签字盖章齐全。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1"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5</w:t>
            </w:r>
          </w:p>
        </w:tc>
        <w:tc>
          <w:tcPr>
            <w:tcW w:w="3678"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参加政府采购活动前三年内，在经营活动中没有重大违法记录</w:t>
            </w:r>
          </w:p>
        </w:tc>
        <w:tc>
          <w:tcPr>
            <w:tcW w:w="4699"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根据供应商的实际情况，提供第五章附件4-2“供应商资格声明”书面声明。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1"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6</w:t>
            </w:r>
          </w:p>
        </w:tc>
        <w:tc>
          <w:tcPr>
            <w:tcW w:w="3678"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法律、行政法规规定的其他条件</w:t>
            </w:r>
          </w:p>
        </w:tc>
        <w:tc>
          <w:tcPr>
            <w:tcW w:w="4699"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根据供应商的实际情况，提供第五章附件4-2“供应商资格声明”书面声明。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25"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7</w:t>
            </w:r>
          </w:p>
        </w:tc>
        <w:tc>
          <w:tcPr>
            <w:tcW w:w="3678"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信用记录查询</w:t>
            </w:r>
          </w:p>
        </w:tc>
        <w:tc>
          <w:tcPr>
            <w:tcW w:w="4699" w:type="dxa"/>
            <w:vAlign w:val="center"/>
          </w:tcPr>
          <w:p>
            <w:pPr>
              <w:widowControl w:val="0"/>
              <w:adjustRightInd w:val="0"/>
              <w:snapToGrid w:val="0"/>
              <w:spacing w:line="276" w:lineRule="auto"/>
              <w:rPr>
                <w:rFonts w:hint="eastAsia" w:ascii="宋体" w:hAnsi="宋体" w:eastAsia="宋体" w:cs="宋体"/>
                <w:color w:val="auto"/>
                <w:kern w:val="0"/>
                <w:szCs w:val="21"/>
                <w:highlight w:val="none"/>
              </w:rPr>
            </w:pPr>
            <w:bookmarkStart w:id="61" w:name="OLE_LINK38"/>
            <w:r>
              <w:rPr>
                <w:rFonts w:ascii="宋体" w:hAnsi="宋体" w:eastAsia="宋体" w:cs="宋体"/>
                <w:color w:val="auto"/>
                <w:kern w:val="0"/>
                <w:szCs w:val="21"/>
                <w:highlight w:val="none"/>
              </w:rPr>
              <w:t>被“信用中国”“信用湖南”“信用郴州”网站列入失信被执行人和重大税收违法案件当事人名单的、被“中国政府采购网”“湖南省政府采购网”网站列入政府采购严重违法失信行为记录名单（处罚期限尚未届满的），不得参与本项目的政府采购活动。</w:t>
            </w:r>
          </w:p>
          <w:bookmarkEnd w:id="61"/>
          <w:p>
            <w:pPr>
              <w:widowControl w:val="0"/>
              <w:adjustRightInd w:val="0"/>
              <w:snapToGrid w:val="0"/>
              <w:spacing w:line="276" w:lineRule="auto"/>
              <w:rPr>
                <w:rFonts w:hint="eastAsia" w:ascii="华文中宋" w:hAnsi="华文中宋" w:eastAsia="华文中宋" w:cs="Arial"/>
                <w:color w:val="auto"/>
                <w:szCs w:val="21"/>
                <w:highlight w:val="none"/>
              </w:rPr>
            </w:pPr>
            <w:r>
              <w:rPr>
                <w:rFonts w:ascii="宋体" w:hAnsi="宋体" w:eastAsia="宋体" w:cs="宋体"/>
                <w:color w:val="auto"/>
                <w:kern w:val="0"/>
                <w:szCs w:val="21"/>
                <w:highlight w:val="none"/>
              </w:rPr>
              <w:t>以采购人或采购代理机构查询的结果为准。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w:t>
            </w:r>
          </w:p>
        </w:tc>
        <w:tc>
          <w:tcPr>
            <w:tcW w:w="3678"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符合特定资格条件的证明材料复印件或者情况说明</w:t>
            </w:r>
          </w:p>
        </w:tc>
        <w:tc>
          <w:tcPr>
            <w:tcW w:w="4699"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本项目不要求，无需提供。</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w:t>
            </w:r>
          </w:p>
        </w:tc>
        <w:tc>
          <w:tcPr>
            <w:tcW w:w="3678"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单位负责人为同一人或者存在直接控股、管理关系的书面说明</w:t>
            </w:r>
          </w:p>
        </w:tc>
        <w:tc>
          <w:tcPr>
            <w:tcW w:w="4699"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根据供应商的实际情况，提供第五章附件4-2“供应商资格声明”书面声明。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3678"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为本采购项目提供整体设计、规范编制或者项目管理、监理、检测等服务的，不得再参加此项目的其他采购活动</w:t>
            </w:r>
          </w:p>
        </w:tc>
        <w:tc>
          <w:tcPr>
            <w:tcW w:w="4699"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根据供应商的实际情况，提供第五章附件4-2“供应商资格声明”书面声明。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w:t>
            </w:r>
          </w:p>
        </w:tc>
        <w:tc>
          <w:tcPr>
            <w:tcW w:w="3678"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联合体响应</w:t>
            </w:r>
          </w:p>
        </w:tc>
        <w:tc>
          <w:tcPr>
            <w:tcW w:w="4699"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本次采购不接受联合体响应</w:t>
            </w:r>
            <w:r>
              <w:rPr>
                <w:rFonts w:hint="eastAsia" w:ascii="宋体" w:hAnsi="宋体" w:eastAsia="宋体" w:cs="宋体"/>
                <w:color w:val="auto"/>
                <w:kern w:val="0"/>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w:t>
            </w:r>
          </w:p>
        </w:tc>
        <w:tc>
          <w:tcPr>
            <w:tcW w:w="3678"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首次报价</w:t>
            </w:r>
          </w:p>
        </w:tc>
        <w:tc>
          <w:tcPr>
            <w:tcW w:w="4699"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首次报价不得超过采购项目预算。分项报价也不得超过采购项目的分项预算（如有）。</w:t>
            </w:r>
          </w:p>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供应商对采购项目只允许有一个首次报价，否则其响应无效。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w:t>
            </w:r>
          </w:p>
        </w:tc>
        <w:tc>
          <w:tcPr>
            <w:tcW w:w="3678"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法定代表人身份证明</w:t>
            </w:r>
            <w:r>
              <w:rPr>
                <w:rFonts w:hint="eastAsia" w:ascii="宋体" w:hAnsi="宋体" w:eastAsia="宋体" w:cs="宋体"/>
                <w:color w:val="auto"/>
                <w:kern w:val="0"/>
                <w:szCs w:val="21"/>
                <w:highlight w:val="none"/>
              </w:rPr>
              <w:t>及</w:t>
            </w:r>
            <w:r>
              <w:rPr>
                <w:rFonts w:ascii="宋体" w:hAnsi="宋体" w:eastAsia="宋体" w:cs="宋体"/>
                <w:color w:val="auto"/>
                <w:kern w:val="0"/>
                <w:szCs w:val="21"/>
                <w:highlight w:val="none"/>
              </w:rPr>
              <w:t>授权委托书</w:t>
            </w:r>
          </w:p>
        </w:tc>
        <w:tc>
          <w:tcPr>
            <w:tcW w:w="4699"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如果是法定代表人（单位负责人）直接参与投标的，提供法定代表人（单位负责人）身份证明（格式），如果是委托代理人参加的,提供法定代表人身份证明（格式）和授权委托书（格式），</w:t>
            </w:r>
            <w:r>
              <w:rPr>
                <w:rFonts w:ascii="宋体" w:hAnsi="宋体" w:eastAsia="宋体" w:cs="宋体"/>
                <w:color w:val="auto"/>
                <w:kern w:val="0"/>
                <w:szCs w:val="21"/>
                <w:highlight w:val="none"/>
              </w:rPr>
              <w:t>签署、盖章符合要求。</w:t>
            </w:r>
          </w:p>
        </w:tc>
      </w:tr>
    </w:tbl>
    <w:p>
      <w:pPr>
        <w:widowControl w:val="0"/>
        <w:spacing w:line="240" w:lineRule="auto"/>
        <w:jc w:val="both"/>
        <w:rPr>
          <w:rFonts w:hint="eastAsia" w:ascii="宋体" w:hAnsi="宋体" w:eastAsia="宋体" w:cs="宋体"/>
          <w:color w:val="auto"/>
          <w:szCs w:val="21"/>
          <w:highlight w:val="none"/>
        </w:rPr>
      </w:pPr>
      <w:r>
        <w:rPr>
          <w:rFonts w:ascii="宋体" w:hAnsi="宋体" w:eastAsia="宋体" w:cs="宋体"/>
          <w:color w:val="auto"/>
          <w:szCs w:val="21"/>
          <w:highlight w:val="none"/>
        </w:rPr>
        <w:t>注：</w:t>
      </w:r>
    </w:p>
    <w:p>
      <w:pPr>
        <w:widowControl w:val="0"/>
        <w:spacing w:line="240" w:lineRule="auto"/>
        <w:ind w:firstLine="420" w:firstLineChars="200"/>
        <w:jc w:val="both"/>
        <w:rPr>
          <w:rFonts w:hint="eastAsia" w:ascii="宋体" w:hAnsi="宋体" w:eastAsia="宋体" w:cs="宋体"/>
          <w:color w:val="auto"/>
          <w:szCs w:val="21"/>
          <w:highlight w:val="none"/>
        </w:rPr>
      </w:pPr>
      <w:r>
        <w:rPr>
          <w:rFonts w:ascii="宋体" w:hAnsi="宋体" w:eastAsia="宋体" w:cs="宋体"/>
          <w:color w:val="auto"/>
          <w:szCs w:val="21"/>
          <w:highlight w:val="none"/>
        </w:rPr>
        <w:t>1.资格审查由</w:t>
      </w:r>
      <w:r>
        <w:rPr>
          <w:rFonts w:hint="eastAsia" w:ascii="宋体" w:hAnsi="宋体" w:eastAsia="宋体" w:cs="宋体"/>
          <w:color w:val="auto"/>
          <w:szCs w:val="21"/>
          <w:highlight w:val="none"/>
        </w:rPr>
        <w:t>谈判</w:t>
      </w:r>
      <w:r>
        <w:rPr>
          <w:rFonts w:ascii="宋体" w:hAnsi="宋体" w:eastAsia="宋体" w:cs="宋体"/>
          <w:color w:val="auto"/>
          <w:szCs w:val="21"/>
          <w:highlight w:val="none"/>
        </w:rPr>
        <w:t>小组全体成员进行。</w:t>
      </w:r>
    </w:p>
    <w:p>
      <w:pPr>
        <w:spacing w:line="240" w:lineRule="auto"/>
        <w:ind w:left="630" w:leftChars="200" w:hanging="210" w:hangingChars="100"/>
        <w:rPr>
          <w:rFonts w:hint="eastAsia" w:ascii="宋体" w:hAnsi="宋体" w:eastAsia="宋体" w:cs="宋体"/>
          <w:b/>
          <w:color w:val="auto"/>
          <w:szCs w:val="21"/>
          <w:highlight w:val="none"/>
        </w:rPr>
      </w:pPr>
      <w:r>
        <w:rPr>
          <w:rFonts w:ascii="宋体" w:hAnsi="宋体" w:eastAsia="宋体" w:cs="宋体"/>
          <w:color w:val="auto"/>
          <w:kern w:val="0"/>
          <w:szCs w:val="21"/>
          <w:highlight w:val="none"/>
        </w:rPr>
        <w:t>2.符合的因素记“通过”，不符合的因素记“不通过”。结论填写“通过”或“不通过”。只要有一项不符合要求的属于不合格供应商，不合格供应商不能进入下一步评审。合格供应商数量少于3个的，不得进行符合性审查。</w:t>
      </w:r>
    </w:p>
    <w:p>
      <w:pPr>
        <w:widowControl w:val="0"/>
        <w:adjustRightInd w:val="0"/>
        <w:snapToGrid w:val="0"/>
        <w:spacing w:before="156" w:beforeLines="50" w:line="360" w:lineRule="auto"/>
        <w:jc w:val="both"/>
        <w:rPr>
          <w:rFonts w:hint="eastAsia" w:ascii="宋体" w:hAnsi="宋体" w:eastAsia="宋体" w:cs="宋体"/>
          <w:b/>
          <w:color w:val="auto"/>
          <w:kern w:val="0"/>
          <w:sz w:val="28"/>
          <w:szCs w:val="28"/>
          <w:highlight w:val="none"/>
        </w:rPr>
      </w:pPr>
      <w:bookmarkStart w:id="62" w:name="_Toc14112"/>
    </w:p>
    <w:p>
      <w:pPr>
        <w:widowControl w:val="0"/>
        <w:adjustRightInd w:val="0"/>
        <w:snapToGrid w:val="0"/>
        <w:spacing w:before="156" w:beforeLines="50" w:line="360" w:lineRule="auto"/>
        <w:jc w:val="both"/>
        <w:outlineLvl w:val="2"/>
        <w:rPr>
          <w:rFonts w:hint="eastAsia" w:ascii="宋体" w:hAnsi="宋体" w:eastAsia="宋体" w:cs="宋体"/>
          <w:b/>
          <w:color w:val="auto"/>
          <w:kern w:val="0"/>
          <w:sz w:val="24"/>
          <w:szCs w:val="24"/>
          <w:highlight w:val="none"/>
        </w:rPr>
      </w:pPr>
      <w:r>
        <w:rPr>
          <w:rFonts w:ascii="宋体" w:hAnsi="宋体" w:eastAsia="宋体" w:cs="宋体"/>
          <w:b/>
          <w:color w:val="auto"/>
          <w:kern w:val="0"/>
          <w:sz w:val="28"/>
          <w:szCs w:val="28"/>
          <w:highlight w:val="none"/>
        </w:rPr>
        <w:br w:type="page"/>
      </w:r>
      <w:bookmarkStart w:id="63" w:name="_Toc212820434"/>
      <w:bookmarkStart w:id="64" w:name="_Toc214954901"/>
      <w:r>
        <w:rPr>
          <w:rFonts w:ascii="宋体" w:hAnsi="宋体" w:eastAsia="宋体" w:cs="宋体"/>
          <w:b/>
          <w:color w:val="auto"/>
          <w:kern w:val="0"/>
          <w:sz w:val="24"/>
          <w:szCs w:val="24"/>
          <w:highlight w:val="none"/>
        </w:rPr>
        <w:t>附表2</w:t>
      </w:r>
      <w:bookmarkEnd w:id="62"/>
      <w:r>
        <w:rPr>
          <w:rFonts w:ascii="宋体" w:hAnsi="宋体" w:eastAsia="宋体" w:cs="宋体"/>
          <w:b/>
          <w:color w:val="auto"/>
          <w:kern w:val="0"/>
          <w:sz w:val="24"/>
          <w:szCs w:val="24"/>
          <w:highlight w:val="none"/>
        </w:rPr>
        <w:t xml:space="preserve"> 符合性审查表</w:t>
      </w:r>
      <w:bookmarkEnd w:id="63"/>
      <w:bookmarkEnd w:id="64"/>
    </w:p>
    <w:p>
      <w:pPr>
        <w:widowControl w:val="0"/>
        <w:adjustRightInd w:val="0"/>
        <w:snapToGrid w:val="0"/>
        <w:spacing w:before="156" w:beforeLines="50" w:line="360" w:lineRule="auto"/>
        <w:jc w:val="center"/>
        <w:rPr>
          <w:rFonts w:hint="eastAsia" w:ascii="宋体" w:hAnsi="宋体" w:eastAsia="宋体" w:cs="宋体"/>
          <w:b/>
          <w:color w:val="auto"/>
          <w:sz w:val="28"/>
          <w:szCs w:val="28"/>
          <w:highlight w:val="none"/>
        </w:rPr>
      </w:pPr>
      <w:r>
        <w:rPr>
          <w:rFonts w:ascii="宋体" w:hAnsi="宋体" w:eastAsia="宋体" w:cs="宋体"/>
          <w:b/>
          <w:color w:val="auto"/>
          <w:sz w:val="28"/>
          <w:szCs w:val="28"/>
          <w:highlight w:val="none"/>
        </w:rPr>
        <w:t>符合性审查表</w:t>
      </w:r>
    </w:p>
    <w:p>
      <w:pPr>
        <w:widowControl w:val="0"/>
        <w:adjustRightInd w:val="0"/>
        <w:snapToGrid w:val="0"/>
        <w:spacing w:before="156" w:beforeLines="50" w:line="240" w:lineRule="auto"/>
        <w:jc w:val="both"/>
        <w:rPr>
          <w:rFonts w:hint="eastAsia" w:ascii="宋体" w:hAnsi="宋体" w:eastAsia="宋体" w:cs="宋体"/>
          <w:color w:val="auto"/>
          <w:szCs w:val="21"/>
          <w:highlight w:val="none"/>
        </w:rPr>
      </w:pPr>
      <w:r>
        <w:rPr>
          <w:rFonts w:ascii="宋体" w:hAnsi="宋体" w:eastAsia="宋体" w:cs="宋体"/>
          <w:color w:val="auto"/>
          <w:szCs w:val="21"/>
          <w:highlight w:val="none"/>
        </w:rPr>
        <w:t xml:space="preserve">  </w:t>
      </w:r>
    </w:p>
    <w:tbl>
      <w:tblPr>
        <w:tblStyle w:val="44"/>
        <w:tblW w:w="936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3961"/>
        <w:gridCol w:w="472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683" w:type="dxa"/>
            <w:vAlign w:val="center"/>
          </w:tcPr>
          <w:p>
            <w:pPr>
              <w:widowControl w:val="0"/>
              <w:adjustRightInd w:val="0"/>
              <w:snapToGrid w:val="0"/>
              <w:spacing w:line="276" w:lineRule="auto"/>
              <w:jc w:val="center"/>
              <w:rPr>
                <w:rFonts w:hint="eastAsia" w:ascii="宋体" w:hAnsi="宋体" w:eastAsia="宋体" w:cs="宋体"/>
                <w:b/>
                <w:color w:val="auto"/>
                <w:kern w:val="0"/>
                <w:szCs w:val="21"/>
                <w:highlight w:val="none"/>
              </w:rPr>
            </w:pPr>
            <w:r>
              <w:rPr>
                <w:rFonts w:ascii="宋体" w:hAnsi="宋体" w:eastAsia="宋体" w:cs="宋体"/>
                <w:b/>
                <w:color w:val="auto"/>
                <w:kern w:val="0"/>
                <w:szCs w:val="21"/>
                <w:highlight w:val="none"/>
              </w:rPr>
              <w:t>序号</w:t>
            </w:r>
          </w:p>
        </w:tc>
        <w:tc>
          <w:tcPr>
            <w:tcW w:w="3961" w:type="dxa"/>
            <w:vAlign w:val="center"/>
          </w:tcPr>
          <w:p>
            <w:pPr>
              <w:widowControl w:val="0"/>
              <w:adjustRightInd w:val="0"/>
              <w:snapToGrid w:val="0"/>
              <w:spacing w:line="276" w:lineRule="auto"/>
              <w:jc w:val="center"/>
              <w:rPr>
                <w:rFonts w:hint="eastAsia" w:ascii="宋体" w:hAnsi="宋体" w:eastAsia="宋体" w:cs="宋体"/>
                <w:b/>
                <w:color w:val="auto"/>
                <w:kern w:val="0"/>
                <w:szCs w:val="21"/>
                <w:highlight w:val="none"/>
              </w:rPr>
            </w:pPr>
            <w:r>
              <w:rPr>
                <w:rFonts w:ascii="宋体" w:hAnsi="宋体" w:eastAsia="宋体" w:cs="宋体"/>
                <w:b/>
                <w:color w:val="auto"/>
                <w:kern w:val="0"/>
                <w:szCs w:val="21"/>
                <w:highlight w:val="none"/>
              </w:rPr>
              <w:t>审查项目</w:t>
            </w:r>
          </w:p>
        </w:tc>
        <w:tc>
          <w:tcPr>
            <w:tcW w:w="4723" w:type="dxa"/>
            <w:vAlign w:val="center"/>
          </w:tcPr>
          <w:p>
            <w:pPr>
              <w:widowControl w:val="0"/>
              <w:adjustRightInd w:val="0"/>
              <w:snapToGrid w:val="0"/>
              <w:spacing w:line="276" w:lineRule="auto"/>
              <w:jc w:val="center"/>
              <w:rPr>
                <w:rFonts w:hint="eastAsia" w:ascii="宋体" w:hAnsi="宋体" w:eastAsia="宋体" w:cs="宋体"/>
                <w:b/>
                <w:color w:val="auto"/>
                <w:kern w:val="0"/>
                <w:szCs w:val="21"/>
                <w:highlight w:val="none"/>
              </w:rPr>
            </w:pPr>
            <w:r>
              <w:rPr>
                <w:rFonts w:ascii="宋体" w:hAnsi="宋体" w:eastAsia="宋体" w:cs="宋体"/>
                <w:b/>
                <w:color w:val="auto"/>
                <w:kern w:val="0"/>
                <w:szCs w:val="21"/>
                <w:highlight w:val="none"/>
              </w:rPr>
              <w:t>审查标准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1</w:t>
            </w:r>
          </w:p>
        </w:tc>
        <w:tc>
          <w:tcPr>
            <w:tcW w:w="3961"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合同履行期限</w:t>
            </w:r>
          </w:p>
        </w:tc>
        <w:tc>
          <w:tcPr>
            <w:tcW w:w="4723" w:type="dxa"/>
            <w:vAlign w:val="center"/>
          </w:tcPr>
          <w:p>
            <w:pPr>
              <w:widowControl w:val="0"/>
              <w:adjustRightInd w:val="0"/>
              <w:snapToGrid w:val="0"/>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是否响应</w:t>
            </w:r>
            <w:r>
              <w:rPr>
                <w:rFonts w:hint="eastAsia" w:ascii="宋体" w:hAnsi="宋体" w:eastAsia="宋体" w:cs="宋体"/>
                <w:color w:val="auto"/>
                <w:szCs w:val="21"/>
                <w:highlight w:val="none"/>
              </w:rPr>
              <w:t>谈判</w:t>
            </w:r>
            <w:r>
              <w:rPr>
                <w:rFonts w:ascii="宋体" w:hAnsi="宋体" w:eastAsia="宋体" w:cs="宋体"/>
                <w:color w:val="auto"/>
                <w:szCs w:val="21"/>
                <w:highlight w:val="none"/>
              </w:rPr>
              <w:t>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2</w:t>
            </w:r>
          </w:p>
        </w:tc>
        <w:tc>
          <w:tcPr>
            <w:tcW w:w="3961" w:type="dxa"/>
            <w:vAlign w:val="center"/>
          </w:tcPr>
          <w:p>
            <w:pPr>
              <w:widowControl w:val="0"/>
              <w:spacing w:line="276" w:lineRule="auto"/>
              <w:jc w:val="both"/>
              <w:rPr>
                <w:rFonts w:hint="eastAsia" w:ascii="宋体" w:hAnsi="宋体" w:eastAsia="宋体" w:cs="宋体"/>
                <w:color w:val="auto"/>
                <w:szCs w:val="24"/>
                <w:highlight w:val="none"/>
              </w:rPr>
            </w:pPr>
            <w:r>
              <w:rPr>
                <w:rFonts w:ascii="宋体" w:hAnsi="宋体" w:eastAsia="宋体" w:cs="宋体"/>
                <w:color w:val="auto"/>
                <w:szCs w:val="24"/>
                <w:highlight w:val="none"/>
              </w:rPr>
              <w:t>响应文件有效期</w:t>
            </w:r>
          </w:p>
        </w:tc>
        <w:tc>
          <w:tcPr>
            <w:tcW w:w="4723" w:type="dxa"/>
            <w:vAlign w:val="center"/>
          </w:tcPr>
          <w:p>
            <w:pPr>
              <w:widowControl w:val="0"/>
              <w:spacing w:line="276" w:lineRule="auto"/>
              <w:jc w:val="both"/>
              <w:rPr>
                <w:rFonts w:hint="eastAsia" w:ascii="宋体" w:hAnsi="宋体" w:eastAsia="宋体" w:cs="宋体"/>
                <w:color w:val="auto"/>
                <w:szCs w:val="24"/>
                <w:highlight w:val="none"/>
              </w:rPr>
            </w:pPr>
            <w:r>
              <w:rPr>
                <w:rFonts w:ascii="宋体" w:hAnsi="宋体" w:eastAsia="宋体" w:cs="宋体"/>
                <w:color w:val="auto"/>
                <w:szCs w:val="24"/>
                <w:highlight w:val="none"/>
              </w:rPr>
              <w:t>是否符合</w:t>
            </w:r>
            <w:r>
              <w:rPr>
                <w:rFonts w:hint="eastAsia" w:ascii="宋体" w:hAnsi="宋体" w:eastAsia="宋体" w:cs="宋体"/>
                <w:color w:val="auto"/>
                <w:szCs w:val="21"/>
                <w:highlight w:val="none"/>
              </w:rPr>
              <w:t>谈判</w:t>
            </w:r>
            <w:r>
              <w:rPr>
                <w:rFonts w:ascii="宋体" w:hAnsi="宋体" w:eastAsia="宋体" w:cs="宋体"/>
                <w:color w:val="auto"/>
                <w:szCs w:val="24"/>
                <w:highlight w:val="none"/>
              </w:rPr>
              <w:t>文件的规定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3</w:t>
            </w:r>
          </w:p>
        </w:tc>
        <w:tc>
          <w:tcPr>
            <w:tcW w:w="3961" w:type="dxa"/>
            <w:vAlign w:val="center"/>
          </w:tcPr>
          <w:p>
            <w:pPr>
              <w:widowControl w:val="0"/>
              <w:spacing w:line="276" w:lineRule="auto"/>
              <w:jc w:val="both"/>
              <w:rPr>
                <w:rFonts w:hint="eastAsia" w:ascii="宋体" w:hAnsi="宋体" w:eastAsia="宋体" w:cs="宋体"/>
                <w:color w:val="auto"/>
                <w:szCs w:val="24"/>
                <w:highlight w:val="none"/>
              </w:rPr>
            </w:pPr>
            <w:r>
              <w:rPr>
                <w:rFonts w:ascii="宋体" w:hAnsi="宋体" w:eastAsia="宋体" w:cs="宋体"/>
                <w:color w:val="auto"/>
                <w:szCs w:val="24"/>
                <w:highlight w:val="none"/>
              </w:rPr>
              <w:t>响应文件的签署、盖章</w:t>
            </w:r>
          </w:p>
        </w:tc>
        <w:tc>
          <w:tcPr>
            <w:tcW w:w="4723" w:type="dxa"/>
            <w:vAlign w:val="center"/>
          </w:tcPr>
          <w:p>
            <w:pPr>
              <w:widowControl w:val="0"/>
              <w:spacing w:line="276" w:lineRule="auto"/>
              <w:jc w:val="both"/>
              <w:rPr>
                <w:rFonts w:hint="eastAsia" w:ascii="宋体" w:hAnsi="宋体" w:eastAsia="宋体" w:cs="宋体"/>
                <w:color w:val="auto"/>
                <w:szCs w:val="24"/>
                <w:highlight w:val="none"/>
              </w:rPr>
            </w:pPr>
            <w:r>
              <w:rPr>
                <w:rFonts w:ascii="宋体" w:hAnsi="宋体" w:eastAsia="宋体" w:cs="宋体"/>
                <w:color w:val="auto"/>
                <w:szCs w:val="24"/>
                <w:highlight w:val="none"/>
              </w:rPr>
              <w:t>是否符合</w:t>
            </w:r>
            <w:r>
              <w:rPr>
                <w:rFonts w:hint="eastAsia" w:ascii="宋体" w:hAnsi="宋体" w:eastAsia="宋体" w:cs="宋体"/>
                <w:color w:val="auto"/>
                <w:szCs w:val="21"/>
                <w:highlight w:val="none"/>
              </w:rPr>
              <w:t>谈判</w:t>
            </w:r>
            <w:r>
              <w:rPr>
                <w:rFonts w:ascii="宋体" w:hAnsi="宋体" w:eastAsia="宋体" w:cs="宋体"/>
                <w:color w:val="auto"/>
                <w:szCs w:val="24"/>
                <w:highlight w:val="none"/>
              </w:rPr>
              <w:t>文件的规定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4</w:t>
            </w:r>
          </w:p>
        </w:tc>
        <w:tc>
          <w:tcPr>
            <w:tcW w:w="3961" w:type="dxa"/>
            <w:vAlign w:val="center"/>
          </w:tcPr>
          <w:p>
            <w:pPr>
              <w:widowControl w:val="0"/>
              <w:spacing w:line="276" w:lineRule="auto"/>
              <w:jc w:val="both"/>
              <w:rPr>
                <w:rFonts w:hint="eastAsia" w:ascii="宋体" w:hAnsi="宋体" w:eastAsia="宋体" w:cs="宋体"/>
                <w:color w:val="auto"/>
                <w:szCs w:val="24"/>
                <w:highlight w:val="none"/>
              </w:rPr>
            </w:pPr>
            <w:r>
              <w:rPr>
                <w:rFonts w:ascii="宋体" w:hAnsi="宋体" w:eastAsia="宋体" w:cs="宋体"/>
                <w:color w:val="auto"/>
                <w:szCs w:val="24"/>
                <w:highlight w:val="none"/>
              </w:rPr>
              <w:t>供应商对采购项目只允许有一个首次报价，否则其响应无效。</w:t>
            </w:r>
          </w:p>
        </w:tc>
        <w:tc>
          <w:tcPr>
            <w:tcW w:w="4723" w:type="dxa"/>
            <w:vAlign w:val="center"/>
          </w:tcPr>
          <w:p>
            <w:pPr>
              <w:widowControl w:val="0"/>
              <w:spacing w:line="276" w:lineRule="auto"/>
              <w:jc w:val="both"/>
              <w:rPr>
                <w:rFonts w:hint="eastAsia" w:ascii="宋体" w:hAnsi="宋体" w:eastAsia="宋体" w:cs="宋体"/>
                <w:color w:val="auto"/>
                <w:szCs w:val="24"/>
                <w:highlight w:val="none"/>
              </w:rPr>
            </w:pPr>
            <w:r>
              <w:rPr>
                <w:rFonts w:ascii="宋体" w:hAnsi="宋体" w:eastAsia="宋体" w:cs="宋体"/>
                <w:color w:val="auto"/>
                <w:szCs w:val="24"/>
                <w:highlight w:val="none"/>
              </w:rPr>
              <w:t>是否符合</w:t>
            </w:r>
            <w:r>
              <w:rPr>
                <w:rFonts w:hint="eastAsia" w:ascii="宋体" w:hAnsi="宋体" w:eastAsia="宋体" w:cs="宋体"/>
                <w:color w:val="auto"/>
                <w:szCs w:val="21"/>
                <w:highlight w:val="none"/>
              </w:rPr>
              <w:t>谈判</w:t>
            </w:r>
            <w:r>
              <w:rPr>
                <w:rFonts w:ascii="宋体" w:hAnsi="宋体" w:eastAsia="宋体" w:cs="宋体"/>
                <w:color w:val="auto"/>
                <w:szCs w:val="24"/>
                <w:highlight w:val="none"/>
              </w:rPr>
              <w:t>文件的规定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5</w:t>
            </w:r>
          </w:p>
        </w:tc>
        <w:tc>
          <w:tcPr>
            <w:tcW w:w="3961"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响应文件载明的范围符合</w:t>
            </w:r>
            <w:r>
              <w:rPr>
                <w:rFonts w:hint="eastAsia" w:ascii="宋体" w:hAnsi="宋体" w:eastAsia="宋体" w:cs="宋体"/>
                <w:color w:val="auto"/>
                <w:kern w:val="0"/>
                <w:szCs w:val="21"/>
                <w:highlight w:val="none"/>
              </w:rPr>
              <w:t>谈判</w:t>
            </w:r>
            <w:r>
              <w:rPr>
                <w:rFonts w:ascii="宋体" w:hAnsi="宋体" w:eastAsia="宋体" w:cs="宋体"/>
                <w:color w:val="auto"/>
                <w:kern w:val="0"/>
                <w:szCs w:val="21"/>
                <w:highlight w:val="none"/>
              </w:rPr>
              <w:t>文件规定的范围</w:t>
            </w:r>
          </w:p>
        </w:tc>
        <w:tc>
          <w:tcPr>
            <w:tcW w:w="4723" w:type="dxa"/>
            <w:vAlign w:val="center"/>
          </w:tcPr>
          <w:p>
            <w:pPr>
              <w:widowControl w:val="0"/>
              <w:adjustRightInd w:val="0"/>
              <w:snapToGrid w:val="0"/>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没有缺漏</w:t>
            </w:r>
            <w:r>
              <w:rPr>
                <w:rFonts w:hint="eastAsia" w:ascii="宋体" w:hAnsi="宋体" w:eastAsia="宋体" w:cs="宋体"/>
                <w:color w:val="auto"/>
                <w:szCs w:val="21"/>
                <w:highlight w:val="none"/>
              </w:rPr>
              <w:t>谈判</w:t>
            </w:r>
            <w:r>
              <w:rPr>
                <w:rFonts w:ascii="宋体" w:hAnsi="宋体" w:eastAsia="宋体" w:cs="宋体"/>
                <w:color w:val="auto"/>
                <w:szCs w:val="21"/>
                <w:highlight w:val="none"/>
              </w:rPr>
              <w:t>文件所要求的内容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6</w:t>
            </w:r>
          </w:p>
        </w:tc>
        <w:tc>
          <w:tcPr>
            <w:tcW w:w="3961" w:type="dxa"/>
            <w:vAlign w:val="center"/>
          </w:tcPr>
          <w:p>
            <w:pPr>
              <w:widowControl w:val="0"/>
              <w:adjustRightInd w:val="0"/>
              <w:snapToGrid w:val="0"/>
              <w:spacing w:line="276" w:lineRule="auto"/>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响应文件没有采购人不能接受的附加条件</w:t>
            </w:r>
          </w:p>
        </w:tc>
        <w:tc>
          <w:tcPr>
            <w:tcW w:w="4723" w:type="dxa"/>
            <w:vAlign w:val="center"/>
          </w:tcPr>
          <w:p>
            <w:pPr>
              <w:widowControl w:val="0"/>
              <w:adjustRightInd w:val="0"/>
              <w:snapToGrid w:val="0"/>
              <w:spacing w:line="276" w:lineRule="auto"/>
              <w:rPr>
                <w:rFonts w:hint="eastAsia" w:ascii="宋体" w:hAnsi="宋体" w:eastAsia="宋体" w:cs="宋体"/>
                <w:color w:val="auto"/>
                <w:szCs w:val="21"/>
                <w:highlight w:val="none"/>
              </w:rPr>
            </w:pPr>
            <w:r>
              <w:rPr>
                <w:rFonts w:ascii="宋体" w:hAnsi="宋体" w:eastAsia="宋体" w:cs="宋体"/>
                <w:color w:val="auto"/>
                <w:szCs w:val="21"/>
                <w:highlight w:val="none"/>
              </w:rPr>
              <w:t>是否符合</w:t>
            </w:r>
            <w:r>
              <w:rPr>
                <w:rFonts w:hint="eastAsia" w:ascii="宋体" w:hAnsi="宋体" w:eastAsia="宋体" w:cs="宋体"/>
                <w:color w:val="auto"/>
                <w:szCs w:val="21"/>
                <w:highlight w:val="none"/>
              </w:rPr>
              <w:t>谈判</w:t>
            </w:r>
            <w:r>
              <w:rPr>
                <w:rFonts w:ascii="宋体" w:hAnsi="宋体" w:eastAsia="宋体" w:cs="宋体"/>
                <w:color w:val="auto"/>
                <w:szCs w:val="21"/>
                <w:highlight w:val="none"/>
              </w:rPr>
              <w:t>文件的规定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683" w:type="dxa"/>
            <w:vAlign w:val="center"/>
          </w:tcPr>
          <w:p>
            <w:pPr>
              <w:widowControl w:val="0"/>
              <w:adjustRightInd w:val="0"/>
              <w:snapToGrid w:val="0"/>
              <w:spacing w:line="276"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7</w:t>
            </w:r>
          </w:p>
        </w:tc>
        <w:tc>
          <w:tcPr>
            <w:tcW w:w="3961" w:type="dxa"/>
            <w:vAlign w:val="center"/>
          </w:tcPr>
          <w:p>
            <w:pPr>
              <w:widowControl w:val="0"/>
              <w:adjustRightInd w:val="0"/>
              <w:snapToGrid w:val="0"/>
              <w:spacing w:line="276" w:lineRule="auto"/>
              <w:jc w:val="both"/>
              <w:rPr>
                <w:rFonts w:ascii="宋体" w:hAnsi="宋体" w:eastAsia="宋体" w:cs="宋体"/>
                <w:color w:val="auto"/>
                <w:kern w:val="0"/>
                <w:szCs w:val="21"/>
                <w:highlight w:val="none"/>
              </w:rPr>
            </w:pPr>
            <w:r>
              <w:rPr>
                <w:rFonts w:hint="eastAsia" w:ascii="宋体" w:hAnsi="宋体" w:eastAsia="宋体" w:cs="Times New Roman"/>
                <w:color w:val="auto"/>
                <w:szCs w:val="21"/>
                <w:highlight w:val="none"/>
              </w:rPr>
              <w:t>报价的其他要求</w:t>
            </w:r>
          </w:p>
        </w:tc>
        <w:tc>
          <w:tcPr>
            <w:tcW w:w="4723" w:type="dxa"/>
            <w:vAlign w:val="center"/>
          </w:tcPr>
          <w:p>
            <w:pPr>
              <w:widowControl w:val="0"/>
              <w:adjustRightInd w:val="0"/>
              <w:snapToGrid w:val="0"/>
              <w:spacing w:line="276" w:lineRule="auto"/>
              <w:rPr>
                <w:rFonts w:ascii="宋体" w:hAnsi="宋体" w:eastAsia="宋体" w:cs="宋体"/>
                <w:color w:val="auto"/>
                <w:szCs w:val="21"/>
                <w:highlight w:val="none"/>
              </w:rPr>
            </w:pPr>
            <w:r>
              <w:rPr>
                <w:rFonts w:ascii="宋体" w:hAnsi="宋体" w:eastAsia="宋体" w:cs="宋体"/>
                <w:color w:val="auto"/>
                <w:szCs w:val="21"/>
                <w:highlight w:val="none"/>
              </w:rPr>
              <w:t>是否符合</w:t>
            </w:r>
            <w:r>
              <w:rPr>
                <w:rFonts w:hint="eastAsia" w:ascii="宋体" w:hAnsi="宋体" w:eastAsia="宋体" w:cs="宋体"/>
                <w:color w:val="auto"/>
                <w:szCs w:val="21"/>
                <w:highlight w:val="none"/>
              </w:rPr>
              <w:t>谈判</w:t>
            </w:r>
            <w:r>
              <w:rPr>
                <w:rFonts w:ascii="宋体" w:hAnsi="宋体" w:eastAsia="宋体" w:cs="宋体"/>
                <w:color w:val="auto"/>
                <w:szCs w:val="21"/>
                <w:highlight w:val="none"/>
              </w:rPr>
              <w:t>文件的规定</w:t>
            </w:r>
          </w:p>
        </w:tc>
      </w:tr>
    </w:tbl>
    <w:p>
      <w:pPr>
        <w:widowControl w:val="0"/>
        <w:spacing w:line="240" w:lineRule="auto"/>
        <w:jc w:val="both"/>
        <w:rPr>
          <w:rFonts w:hint="eastAsia" w:ascii="宋体" w:hAnsi="宋体" w:eastAsia="宋体" w:cs="宋体"/>
          <w:color w:val="auto"/>
          <w:szCs w:val="24"/>
          <w:highlight w:val="none"/>
        </w:rPr>
      </w:pPr>
      <w:r>
        <w:rPr>
          <w:rFonts w:ascii="宋体" w:hAnsi="宋体" w:eastAsia="宋体" w:cs="宋体"/>
          <w:color w:val="auto"/>
          <w:szCs w:val="24"/>
          <w:highlight w:val="none"/>
        </w:rPr>
        <w:t>注：</w:t>
      </w:r>
    </w:p>
    <w:p>
      <w:pPr>
        <w:widowControl w:val="0"/>
        <w:spacing w:line="240" w:lineRule="auto"/>
        <w:ind w:left="420" w:leftChars="200"/>
        <w:jc w:val="both"/>
        <w:rPr>
          <w:rFonts w:hint="eastAsia" w:ascii="宋体" w:hAnsi="宋体" w:eastAsia="宋体" w:cs="宋体"/>
          <w:color w:val="auto"/>
          <w:szCs w:val="24"/>
          <w:highlight w:val="none"/>
        </w:rPr>
      </w:pPr>
      <w:r>
        <w:rPr>
          <w:rFonts w:ascii="宋体" w:hAnsi="宋体" w:eastAsia="宋体" w:cs="宋体"/>
          <w:color w:val="auto"/>
          <w:szCs w:val="21"/>
          <w:highlight w:val="none"/>
        </w:rPr>
        <w:t>符合的因素记“通过”，不符合的因素记“不通过”。结论填写“通过”或“不通过”。</w:t>
      </w:r>
      <w:r>
        <w:rPr>
          <w:rFonts w:ascii="宋体" w:hAnsi="宋体" w:eastAsia="宋体" w:cs="宋体"/>
          <w:color w:val="auto"/>
          <w:szCs w:val="24"/>
          <w:highlight w:val="none"/>
        </w:rPr>
        <w:t>只要有一项不符合要求的属于不合格供应商，不合格供应商不能进入下一步评审。合格供应商数量少于3个的，不得进行</w:t>
      </w:r>
      <w:r>
        <w:rPr>
          <w:rFonts w:hint="eastAsia" w:ascii="宋体" w:hAnsi="宋体" w:eastAsia="宋体" w:cs="宋体"/>
          <w:color w:val="auto"/>
          <w:szCs w:val="24"/>
          <w:highlight w:val="none"/>
        </w:rPr>
        <w:t>谈判</w:t>
      </w:r>
      <w:r>
        <w:rPr>
          <w:rFonts w:ascii="宋体" w:hAnsi="宋体" w:eastAsia="宋体" w:cs="宋体"/>
          <w:color w:val="auto"/>
          <w:szCs w:val="24"/>
          <w:highlight w:val="none"/>
        </w:rPr>
        <w:t>。</w:t>
      </w:r>
    </w:p>
    <w:p>
      <w:pPr>
        <w:widowControl w:val="0"/>
        <w:adjustRightInd w:val="0"/>
        <w:snapToGrid w:val="0"/>
        <w:spacing w:before="156" w:beforeLines="50" w:line="360" w:lineRule="auto"/>
        <w:jc w:val="center"/>
        <w:outlineLvl w:val="1"/>
        <w:rPr>
          <w:rFonts w:hint="eastAsia" w:ascii="黑体" w:hAnsi="黑体" w:eastAsia="黑体" w:cs="Times New Roman"/>
          <w:b/>
          <w:bCs/>
          <w:color w:val="auto"/>
          <w:sz w:val="32"/>
          <w:szCs w:val="32"/>
          <w:highlight w:val="none"/>
        </w:rPr>
      </w:pPr>
      <w:r>
        <w:rPr>
          <w:rFonts w:ascii="Arial" w:hAnsi="Arial" w:eastAsia="宋体" w:cs="Times New Roman"/>
          <w:b/>
          <w:bCs/>
          <w:color w:val="auto"/>
          <w:sz w:val="24"/>
          <w:szCs w:val="32"/>
          <w:highlight w:val="none"/>
        </w:rPr>
        <w:br w:type="page"/>
      </w:r>
      <w:bookmarkStart w:id="65" w:name="_Toc214954902"/>
      <w:r>
        <w:rPr>
          <w:rFonts w:hint="eastAsia" w:ascii="黑体" w:hAnsi="黑体" w:eastAsia="黑体" w:cs="Times New Roman"/>
          <w:b/>
          <w:bCs/>
          <w:color w:val="auto"/>
          <w:sz w:val="32"/>
          <w:szCs w:val="32"/>
          <w:highlight w:val="none"/>
        </w:rPr>
        <w:t>第二节 谈判须知正文</w:t>
      </w:r>
      <w:bookmarkEnd w:id="65"/>
    </w:p>
    <w:p>
      <w:pPr>
        <w:widowControl w:val="0"/>
        <w:adjustRightInd w:val="0"/>
        <w:snapToGrid w:val="0"/>
        <w:spacing w:before="156" w:beforeLines="50" w:line="360" w:lineRule="auto"/>
        <w:jc w:val="center"/>
        <w:outlineLvl w:val="2"/>
        <w:rPr>
          <w:rFonts w:hint="eastAsia" w:ascii="黑体" w:hAnsi="黑体" w:eastAsia="黑体" w:cs="Times New Roman"/>
          <w:b/>
          <w:bCs/>
          <w:color w:val="auto"/>
          <w:sz w:val="28"/>
          <w:szCs w:val="28"/>
          <w:highlight w:val="none"/>
        </w:rPr>
      </w:pPr>
      <w:bookmarkStart w:id="66" w:name="_Toc214954903"/>
      <w:r>
        <w:rPr>
          <w:rFonts w:hint="eastAsia" w:ascii="黑体" w:hAnsi="黑体" w:eastAsia="黑体" w:cs="Times New Roman"/>
          <w:b/>
          <w:bCs/>
          <w:color w:val="auto"/>
          <w:sz w:val="28"/>
          <w:szCs w:val="28"/>
          <w:highlight w:val="none"/>
        </w:rPr>
        <w:t>一、说明</w:t>
      </w:r>
      <w:bookmarkEnd w:id="66"/>
    </w:p>
    <w:p>
      <w:pPr>
        <w:widowControl w:val="0"/>
        <w:spacing w:line="360" w:lineRule="auto"/>
        <w:jc w:val="both"/>
        <w:outlineLvl w:val="3"/>
        <w:rPr>
          <w:rFonts w:hint="eastAsia" w:ascii="黑体" w:hAnsi="黑体" w:eastAsia="黑体" w:cs="Times New Roman"/>
          <w:b/>
          <w:bCs/>
          <w:color w:val="auto"/>
          <w:sz w:val="24"/>
          <w:szCs w:val="24"/>
          <w:highlight w:val="none"/>
        </w:rPr>
      </w:pPr>
      <w:bookmarkStart w:id="67" w:name="_Toc107997962"/>
      <w:bookmarkStart w:id="68" w:name="_Toc107997835"/>
      <w:r>
        <w:rPr>
          <w:rFonts w:hint="eastAsia" w:ascii="黑体" w:hAnsi="黑体" w:eastAsia="黑体" w:cs="Times New Roman"/>
          <w:b/>
          <w:bCs/>
          <w:color w:val="auto"/>
          <w:sz w:val="24"/>
          <w:szCs w:val="24"/>
          <w:highlight w:val="none"/>
        </w:rPr>
        <w:t>1.适用范围</w:t>
      </w:r>
      <w:bookmarkEnd w:id="67"/>
      <w:bookmarkEnd w:id="68"/>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1.1本竞争性谈判文件仅适用于本章第一节“谈判须知前附表”（以下简称</w:t>
      </w:r>
      <w:r>
        <w:rPr>
          <w:rFonts w:hint="eastAsia" w:ascii="宋体" w:hAnsi="宋体" w:eastAsia="宋体" w:cs="Times New Roman"/>
          <w:b/>
          <w:color w:val="auto"/>
          <w:szCs w:val="21"/>
          <w:highlight w:val="none"/>
        </w:rPr>
        <w:t>【谈判须知前附表】</w:t>
      </w:r>
      <w:r>
        <w:rPr>
          <w:rFonts w:hint="eastAsia" w:ascii="宋体" w:hAnsi="宋体" w:eastAsia="宋体" w:cs="Times New Roman"/>
          <w:color w:val="auto"/>
          <w:szCs w:val="21"/>
          <w:highlight w:val="none"/>
        </w:rPr>
        <w:t>）中所叙述的采购项目。</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1.2</w:t>
      </w:r>
      <w:r>
        <w:rPr>
          <w:rFonts w:hint="eastAsia" w:ascii="宋体" w:hAnsi="宋体" w:eastAsia="宋体" w:cs="Times New Roman"/>
          <w:b/>
          <w:color w:val="auto"/>
          <w:szCs w:val="21"/>
          <w:highlight w:val="none"/>
        </w:rPr>
        <w:t>【谈判须知前附表】</w:t>
      </w:r>
      <w:r>
        <w:rPr>
          <w:rFonts w:hint="eastAsia" w:ascii="宋体" w:hAnsi="宋体" w:eastAsia="宋体" w:cs="Times New Roman"/>
          <w:color w:val="auto"/>
          <w:szCs w:val="21"/>
          <w:highlight w:val="none"/>
        </w:rPr>
        <w:t>规定采购项目或者采购包属于“预留采购份额”的，供应商应当符合本章第3</w:t>
      </w:r>
      <w:r>
        <w:rPr>
          <w:rFonts w:ascii="宋体" w:hAnsi="宋体" w:eastAsia="宋体" w:cs="Times New Roman"/>
          <w:color w:val="auto"/>
          <w:szCs w:val="21"/>
          <w:highlight w:val="none"/>
        </w:rPr>
        <w:t>8</w:t>
      </w:r>
      <w:r>
        <w:rPr>
          <w:rFonts w:hint="eastAsia" w:ascii="宋体" w:hAnsi="宋体" w:eastAsia="宋体" w:cs="Times New Roman"/>
          <w:color w:val="auto"/>
          <w:szCs w:val="21"/>
          <w:highlight w:val="none"/>
        </w:rPr>
        <w:t>.1款规定，否则，</w:t>
      </w:r>
      <w:r>
        <w:rPr>
          <w:rFonts w:hint="eastAsia" w:ascii="宋体" w:hAnsi="宋体" w:eastAsia="宋体" w:cs="Times New Roman"/>
          <w:b/>
          <w:bCs/>
          <w:color w:val="auto"/>
          <w:kern w:val="0"/>
          <w:szCs w:val="21"/>
          <w:highlight w:val="none"/>
        </w:rPr>
        <w:t>其响应无效</w:t>
      </w:r>
      <w:r>
        <w:rPr>
          <w:rFonts w:hint="eastAsia" w:ascii="宋体" w:hAnsi="宋体" w:eastAsia="宋体" w:cs="Times New Roman"/>
          <w:color w:val="auto"/>
          <w:szCs w:val="21"/>
          <w:highlight w:val="none"/>
        </w:rPr>
        <w:t>。</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69" w:name="_Toc107997836"/>
      <w:bookmarkStart w:id="70" w:name="_Toc107997963"/>
      <w:r>
        <w:rPr>
          <w:rFonts w:hint="eastAsia" w:ascii="黑体" w:hAnsi="黑体" w:eastAsia="黑体" w:cs="Times New Roman"/>
          <w:b/>
          <w:bCs/>
          <w:color w:val="auto"/>
          <w:sz w:val="24"/>
          <w:szCs w:val="24"/>
          <w:highlight w:val="none"/>
        </w:rPr>
        <w:t>2.定义</w:t>
      </w:r>
      <w:bookmarkEnd w:id="69"/>
      <w:bookmarkEnd w:id="70"/>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2.1采购项目联系人姓名和电话见</w:t>
      </w:r>
      <w:r>
        <w:rPr>
          <w:rFonts w:hint="eastAsia" w:ascii="宋体" w:hAnsi="宋体" w:eastAsia="宋体" w:cs="Times New Roman"/>
          <w:b/>
          <w:color w:val="auto"/>
          <w:szCs w:val="21"/>
          <w:highlight w:val="none"/>
        </w:rPr>
        <w:t>【谈判须知前附表】</w:t>
      </w:r>
      <w:r>
        <w:rPr>
          <w:rFonts w:hint="eastAsia" w:ascii="宋体" w:hAnsi="宋体" w:eastAsia="宋体" w:cs="Times New Roman"/>
          <w:color w:val="auto"/>
          <w:szCs w:val="21"/>
          <w:highlight w:val="none"/>
        </w:rPr>
        <w:t>。</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2.2采购人名称、地址、电话、联系人见</w:t>
      </w:r>
      <w:r>
        <w:rPr>
          <w:rFonts w:hint="eastAsia" w:ascii="宋体" w:hAnsi="宋体" w:eastAsia="宋体" w:cs="Times New Roman"/>
          <w:b/>
          <w:color w:val="auto"/>
          <w:szCs w:val="21"/>
          <w:highlight w:val="none"/>
        </w:rPr>
        <w:t>【谈判须知前附表】</w:t>
      </w:r>
      <w:r>
        <w:rPr>
          <w:rFonts w:hint="eastAsia" w:ascii="宋体" w:hAnsi="宋体" w:eastAsia="宋体" w:cs="Times New Roman"/>
          <w:color w:val="auto"/>
          <w:szCs w:val="21"/>
          <w:highlight w:val="none"/>
        </w:rPr>
        <w:t>。</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2.3采购代理机构名称、地址、电话、联系人见【</w:t>
      </w:r>
      <w:r>
        <w:rPr>
          <w:rFonts w:hint="eastAsia" w:ascii="宋体" w:hAnsi="宋体" w:eastAsia="宋体" w:cs="Times New Roman"/>
          <w:b/>
          <w:bCs/>
          <w:color w:val="auto"/>
          <w:szCs w:val="21"/>
          <w:highlight w:val="none"/>
        </w:rPr>
        <w:t>谈判须知前附表</w:t>
      </w:r>
      <w:r>
        <w:rPr>
          <w:rFonts w:hint="eastAsia" w:ascii="宋体" w:hAnsi="宋体" w:eastAsia="宋体" w:cs="Times New Roman"/>
          <w:color w:val="auto"/>
          <w:szCs w:val="21"/>
          <w:highlight w:val="none"/>
        </w:rPr>
        <w:t>】。</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Times New Roman"/>
          <w:color w:val="auto"/>
          <w:szCs w:val="21"/>
          <w:highlight w:val="none"/>
        </w:rPr>
        <w:t>2.4供应商是指响应谈判文件要求、参加竞争性谈判采购的法人、其他组织或者自然人。</w:t>
      </w:r>
      <w:bookmarkStart w:id="71" w:name="_Toc107997837"/>
      <w:bookmarkStart w:id="72" w:name="_Toc107997964"/>
      <w:r>
        <w:rPr>
          <w:rFonts w:ascii="宋体" w:hAnsi="宋体" w:eastAsia="宋体" w:cs="宋体"/>
          <w:color w:val="auto"/>
          <w:szCs w:val="21"/>
          <w:highlight w:val="none"/>
        </w:rPr>
        <w:t>本项目</w:t>
      </w:r>
      <w:r>
        <w:rPr>
          <w:rFonts w:ascii="宋体" w:hAnsi="宋体" w:eastAsia="宋体" w:cs="宋体"/>
          <w:color w:val="auto"/>
          <w:kern w:val="0"/>
          <w:szCs w:val="21"/>
          <w:highlight w:val="none"/>
        </w:rPr>
        <w:t>通过【</w:t>
      </w:r>
      <w:r>
        <w:rPr>
          <w:rFonts w:hint="eastAsia" w:ascii="宋体" w:hAnsi="宋体" w:eastAsia="宋体" w:cs="宋体"/>
          <w:b/>
          <w:color w:val="auto"/>
          <w:szCs w:val="21"/>
          <w:highlight w:val="none"/>
        </w:rPr>
        <w:t>谈判</w:t>
      </w:r>
      <w:r>
        <w:rPr>
          <w:rFonts w:ascii="宋体" w:hAnsi="宋体" w:eastAsia="宋体" w:cs="宋体"/>
          <w:b/>
          <w:color w:val="auto"/>
          <w:szCs w:val="21"/>
          <w:highlight w:val="none"/>
        </w:rPr>
        <w:t>须知前附表】</w:t>
      </w:r>
      <w:r>
        <w:rPr>
          <w:rFonts w:ascii="宋体" w:hAnsi="宋体" w:eastAsia="宋体" w:cs="宋体"/>
          <w:color w:val="auto"/>
          <w:szCs w:val="21"/>
          <w:highlight w:val="none"/>
        </w:rPr>
        <w:t>所述方式</w:t>
      </w:r>
      <w:r>
        <w:rPr>
          <w:rFonts w:ascii="宋体" w:hAnsi="宋体" w:eastAsia="宋体" w:cs="宋体"/>
          <w:color w:val="auto"/>
          <w:kern w:val="0"/>
          <w:szCs w:val="21"/>
          <w:highlight w:val="none"/>
        </w:rPr>
        <w:t>，邀请符合资格条件的供应商递交响应文件（含资格证明资料），参与竞争性</w:t>
      </w:r>
      <w:r>
        <w:rPr>
          <w:rFonts w:hint="eastAsia" w:ascii="宋体" w:hAnsi="宋体" w:eastAsia="宋体" w:cs="宋体"/>
          <w:color w:val="auto"/>
          <w:kern w:val="0"/>
          <w:szCs w:val="21"/>
          <w:highlight w:val="none"/>
        </w:rPr>
        <w:t>谈判</w:t>
      </w:r>
      <w:r>
        <w:rPr>
          <w:rFonts w:ascii="宋体" w:hAnsi="宋体" w:eastAsia="宋体" w:cs="宋体"/>
          <w:color w:val="auto"/>
          <w:kern w:val="0"/>
          <w:szCs w:val="21"/>
          <w:highlight w:val="none"/>
        </w:rPr>
        <w:t>采购活动。</w:t>
      </w:r>
    </w:p>
    <w:p>
      <w:pPr>
        <w:widowControl w:val="0"/>
        <w:spacing w:line="360" w:lineRule="auto"/>
        <w:jc w:val="both"/>
        <w:outlineLvl w:val="3"/>
        <w:rPr>
          <w:rFonts w:hint="eastAsia" w:ascii="黑体" w:hAnsi="黑体" w:eastAsia="黑体" w:cs="Times New Roman"/>
          <w:b/>
          <w:bCs/>
          <w:color w:val="auto"/>
          <w:sz w:val="24"/>
          <w:szCs w:val="24"/>
          <w:highlight w:val="none"/>
        </w:rPr>
      </w:pPr>
      <w:r>
        <w:rPr>
          <w:rFonts w:hint="eastAsia" w:ascii="黑体" w:hAnsi="黑体" w:eastAsia="黑体" w:cs="Times New Roman"/>
          <w:b/>
          <w:bCs/>
          <w:color w:val="auto"/>
          <w:sz w:val="24"/>
          <w:szCs w:val="24"/>
          <w:highlight w:val="none"/>
        </w:rPr>
        <w:t>3.供应商的资格要求</w:t>
      </w:r>
      <w:bookmarkEnd w:id="71"/>
      <w:bookmarkEnd w:id="72"/>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3.1供应商应当符合</w:t>
      </w:r>
      <w:r>
        <w:rPr>
          <w:rFonts w:hint="eastAsia" w:ascii="宋体" w:hAnsi="宋体" w:eastAsia="宋体" w:cs="Times New Roman"/>
          <w:b/>
          <w:color w:val="auto"/>
          <w:szCs w:val="21"/>
          <w:highlight w:val="none"/>
        </w:rPr>
        <w:t>【谈判须知前附表】</w:t>
      </w:r>
      <w:r>
        <w:rPr>
          <w:rFonts w:hint="eastAsia" w:ascii="宋体" w:hAnsi="宋体" w:eastAsia="宋体" w:cs="Times New Roman"/>
          <w:color w:val="auto"/>
          <w:szCs w:val="21"/>
          <w:highlight w:val="none"/>
        </w:rPr>
        <w:t>规定的供应商资格条件。</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3.2</w:t>
      </w:r>
      <w:r>
        <w:rPr>
          <w:rFonts w:hint="eastAsia" w:ascii="宋体" w:hAnsi="宋体" w:eastAsia="宋体" w:cs="Times New Roman"/>
          <w:b/>
          <w:color w:val="auto"/>
          <w:szCs w:val="21"/>
          <w:highlight w:val="none"/>
        </w:rPr>
        <w:t>【谈判须知前附表】</w:t>
      </w:r>
      <w:r>
        <w:rPr>
          <w:rFonts w:hint="eastAsia" w:ascii="宋体" w:hAnsi="宋体" w:eastAsia="宋体" w:cs="Times New Roman"/>
          <w:color w:val="auto"/>
          <w:szCs w:val="21"/>
          <w:highlight w:val="none"/>
        </w:rPr>
        <w:t>规定接受联合体形式的，供应商除应符合本章第3.1</w:t>
      </w:r>
      <w:r>
        <w:rPr>
          <w:rFonts w:hint="eastAsia" w:ascii="宋体" w:hAnsi="宋体" w:eastAsia="宋体" w:cs="宋体"/>
          <w:color w:val="auto"/>
          <w:kern w:val="0"/>
          <w:szCs w:val="21"/>
          <w:highlight w:val="none"/>
          <w:lang w:val="zh-CN"/>
        </w:rPr>
        <w:t>款</w:t>
      </w:r>
      <w:r>
        <w:rPr>
          <w:rFonts w:hint="eastAsia" w:ascii="宋体" w:hAnsi="宋体" w:eastAsia="宋体" w:cs="Times New Roman"/>
          <w:color w:val="auto"/>
          <w:szCs w:val="21"/>
          <w:highlight w:val="none"/>
        </w:rPr>
        <w:t xml:space="preserve">规定外，还应遵守以下规定： </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（l）联合体中有同类资质的供应商按照联合体分工承担相同工作的，应当按照资质等级较低的供应商确定资质等级。</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（2）联合体各方应按谈判文件提供的格式签订联合体协议书，明确联合体牵头人和各方的权利义务、合同工作量比例；</w:t>
      </w:r>
    </w:p>
    <w:p>
      <w:pPr>
        <w:widowControl w:val="0"/>
        <w:adjustRightInd w:val="0"/>
        <w:snapToGrid w:val="0"/>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Times New Roman"/>
          <w:color w:val="auto"/>
          <w:szCs w:val="21"/>
          <w:highlight w:val="none"/>
        </w:rPr>
        <w:t>（3）联合体各方签订联合体协议书后，</w:t>
      </w:r>
      <w:r>
        <w:rPr>
          <w:rFonts w:hint="eastAsia" w:ascii="宋体" w:hAnsi="宋体" w:eastAsia="宋体" w:cs="宋体"/>
          <w:color w:val="auto"/>
          <w:kern w:val="0"/>
          <w:szCs w:val="21"/>
          <w:highlight w:val="none"/>
          <w:lang w:val="zh-CN"/>
        </w:rPr>
        <w:t>不得再单独参加或者与其他供应商组成新的联合体参加同一合同项下的采购活动。</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73" w:name="_Toc107997838"/>
      <w:bookmarkStart w:id="74" w:name="_Toc107997965"/>
      <w:r>
        <w:rPr>
          <w:rFonts w:hint="eastAsia" w:ascii="黑体" w:hAnsi="黑体" w:eastAsia="黑体" w:cs="Times New Roman"/>
          <w:b/>
          <w:bCs/>
          <w:color w:val="auto"/>
          <w:sz w:val="24"/>
          <w:szCs w:val="24"/>
          <w:highlight w:val="none"/>
        </w:rPr>
        <w:t>4.参与谈判的费用</w:t>
      </w:r>
      <w:bookmarkEnd w:id="73"/>
      <w:bookmarkEnd w:id="74"/>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4.1无论谈判的结果如何，供应商应自行承担所有与竞争性谈判采购活动有关的全部费用。</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75" w:name="_Toc107997966"/>
      <w:bookmarkStart w:id="76" w:name="_Toc107997839"/>
      <w:r>
        <w:rPr>
          <w:rFonts w:hint="eastAsia" w:ascii="黑体" w:hAnsi="黑体" w:eastAsia="黑体" w:cs="Times New Roman"/>
          <w:b/>
          <w:bCs/>
          <w:color w:val="auto"/>
          <w:sz w:val="24"/>
          <w:szCs w:val="24"/>
          <w:highlight w:val="none"/>
        </w:rPr>
        <w:t>5.现场勘察</w:t>
      </w:r>
      <w:bookmarkEnd w:id="75"/>
      <w:bookmarkEnd w:id="76"/>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5.1供应商应按</w:t>
      </w:r>
      <w:r>
        <w:rPr>
          <w:rFonts w:hint="eastAsia" w:ascii="宋体" w:hAnsi="宋体" w:eastAsia="宋体" w:cs="Times New Roman"/>
          <w:b/>
          <w:color w:val="auto"/>
          <w:szCs w:val="21"/>
          <w:highlight w:val="none"/>
        </w:rPr>
        <w:t>【谈判须知前附表】</w:t>
      </w:r>
      <w:r>
        <w:rPr>
          <w:rFonts w:hint="eastAsia" w:ascii="Times New Roman" w:hAnsi="宋体" w:eastAsia="宋体" w:cs="Times New Roman"/>
          <w:color w:val="auto"/>
          <w:szCs w:val="24"/>
          <w:highlight w:val="none"/>
        </w:rPr>
        <w:t>中规定</w:t>
      </w:r>
      <w:r>
        <w:rPr>
          <w:rFonts w:hint="eastAsia" w:ascii="宋体" w:hAnsi="宋体" w:eastAsia="宋体" w:cs="Times New Roman"/>
          <w:color w:val="auto"/>
          <w:szCs w:val="21"/>
          <w:highlight w:val="none"/>
        </w:rPr>
        <w:t>对采购项目现场和周围环境的现场考察。</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5.2勘察现场的费用由供应商自己承担，勘察期间所发生的人身伤害及财产损失由供应商自己负责。</w:t>
      </w:r>
    </w:p>
    <w:p>
      <w:pPr>
        <w:widowControl w:val="0"/>
        <w:adjustRightInd w:val="0"/>
        <w:snapToGrid w:val="0"/>
        <w:spacing w:line="360" w:lineRule="auto"/>
        <w:ind w:firstLine="420" w:firstLineChars="200"/>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5.3采购人不对供应商据此而做出的推论、理解和结论负责。一旦成交，供应商不得以任何借口，而提出额外补偿，或延长合同期限的要求。</w:t>
      </w:r>
    </w:p>
    <w:p>
      <w:pPr>
        <w:widowControl w:val="0"/>
        <w:adjustRightInd w:val="0"/>
        <w:snapToGrid w:val="0"/>
        <w:spacing w:line="360" w:lineRule="auto"/>
        <w:jc w:val="center"/>
        <w:outlineLvl w:val="2"/>
        <w:rPr>
          <w:rFonts w:hint="eastAsia" w:ascii="黑体" w:hAnsi="黑体" w:eastAsia="黑体" w:cs="Times New Roman"/>
          <w:b/>
          <w:bCs/>
          <w:color w:val="auto"/>
          <w:sz w:val="28"/>
          <w:szCs w:val="28"/>
          <w:highlight w:val="none"/>
        </w:rPr>
      </w:pPr>
      <w:bookmarkStart w:id="77" w:name="_Toc214954904"/>
      <w:bookmarkStart w:id="78" w:name="_Toc107997967"/>
      <w:r>
        <w:rPr>
          <w:rFonts w:hint="eastAsia" w:ascii="黑体" w:hAnsi="黑体" w:eastAsia="黑体" w:cs="Times New Roman"/>
          <w:b/>
          <w:bCs/>
          <w:color w:val="auto"/>
          <w:sz w:val="28"/>
          <w:szCs w:val="28"/>
          <w:highlight w:val="none"/>
        </w:rPr>
        <w:t>二、谈判文件</w:t>
      </w:r>
      <w:bookmarkEnd w:id="77"/>
      <w:bookmarkEnd w:id="78"/>
    </w:p>
    <w:p>
      <w:pPr>
        <w:widowControl w:val="0"/>
        <w:spacing w:line="360" w:lineRule="auto"/>
        <w:jc w:val="both"/>
        <w:outlineLvl w:val="3"/>
        <w:rPr>
          <w:rFonts w:hint="eastAsia" w:ascii="黑体" w:hAnsi="黑体" w:eastAsia="黑体" w:cs="Times New Roman"/>
          <w:b/>
          <w:bCs/>
          <w:color w:val="auto"/>
          <w:sz w:val="24"/>
          <w:szCs w:val="24"/>
          <w:highlight w:val="none"/>
        </w:rPr>
      </w:pPr>
      <w:bookmarkStart w:id="79" w:name="_Toc107997968"/>
      <w:bookmarkStart w:id="80" w:name="_Toc107997841"/>
      <w:r>
        <w:rPr>
          <w:rFonts w:hint="eastAsia" w:ascii="黑体" w:hAnsi="黑体" w:eastAsia="黑体" w:cs="Times New Roman"/>
          <w:b/>
          <w:bCs/>
          <w:color w:val="auto"/>
          <w:sz w:val="24"/>
          <w:szCs w:val="24"/>
          <w:highlight w:val="none"/>
        </w:rPr>
        <w:t>6.谈判文件的组成</w:t>
      </w:r>
      <w:bookmarkEnd w:id="79"/>
      <w:bookmarkEnd w:id="80"/>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6.1谈判文件由下列文件组成：</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第一章 谈判邀请公告</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第二章 谈判须知</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第三章 采购需求</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第四章 合同草案条款</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第五章 响应文件组成</w:t>
      </w:r>
    </w:p>
    <w:p>
      <w:pPr>
        <w:widowControl w:val="0"/>
        <w:adjustRightInd w:val="0"/>
        <w:snapToGrid w:val="0"/>
        <w:spacing w:line="360" w:lineRule="auto"/>
        <w:ind w:firstLine="420" w:firstLineChars="200"/>
        <w:jc w:val="both"/>
        <w:rPr>
          <w:rFonts w:hint="eastAsia" w:ascii="宋体" w:hAnsi="宋体" w:eastAsia="宋体" w:cs="宋体"/>
          <w:color w:val="auto"/>
          <w:kern w:val="0"/>
          <w:szCs w:val="21"/>
          <w:highlight w:val="none"/>
        </w:rPr>
      </w:pPr>
      <w:r>
        <w:rPr>
          <w:rFonts w:hint="eastAsia" w:ascii="宋体" w:hAnsi="Courier New" w:eastAsia="宋体" w:cs="Courier New"/>
          <w:color w:val="auto"/>
          <w:szCs w:val="21"/>
          <w:highlight w:val="none"/>
        </w:rPr>
        <w:t>6.2</w:t>
      </w:r>
      <w:r>
        <w:rPr>
          <w:rFonts w:hint="eastAsia" w:ascii="宋体" w:hAnsi="宋体" w:eastAsia="宋体" w:cs="宋体"/>
          <w:color w:val="auto"/>
          <w:kern w:val="0"/>
          <w:szCs w:val="21"/>
          <w:highlight w:val="none"/>
        </w:rPr>
        <w:t>采购人、采购代理机构或者谈判小组在提交首次响应文件截止之日前对已发出的谈判文件进行的澄清或者修改，构成谈判文件的组成部分。</w:t>
      </w:r>
    </w:p>
    <w:p>
      <w:pPr>
        <w:widowControl w:val="0"/>
        <w:adjustRightInd w:val="0"/>
        <w:snapToGrid w:val="0"/>
        <w:spacing w:line="360" w:lineRule="auto"/>
        <w:ind w:firstLine="420" w:firstLineChars="200"/>
        <w:jc w:val="both"/>
        <w:rPr>
          <w:rFonts w:ascii="宋体" w:hAnsi="Courier New" w:eastAsia="宋体" w:cs="Courier New"/>
          <w:color w:val="auto"/>
          <w:szCs w:val="21"/>
          <w:highlight w:val="none"/>
        </w:rPr>
      </w:pPr>
      <w:r>
        <w:rPr>
          <w:rFonts w:hint="eastAsia" w:ascii="宋体" w:hAnsi="宋体" w:eastAsia="宋体" w:cs="宋体"/>
          <w:color w:val="auto"/>
          <w:kern w:val="0"/>
          <w:szCs w:val="21"/>
          <w:highlight w:val="none"/>
        </w:rPr>
        <w:t>6.3谈判文件中，谈判小组根据与供应商谈判情况可能实质性变动的内容见</w:t>
      </w:r>
      <w:r>
        <w:rPr>
          <w:rFonts w:hint="eastAsia" w:ascii="宋体" w:hAnsi="宋体" w:eastAsia="宋体" w:cs="Courier New"/>
          <w:b/>
          <w:color w:val="auto"/>
          <w:szCs w:val="21"/>
          <w:highlight w:val="none"/>
        </w:rPr>
        <w:t>【谈判须知前附表】</w:t>
      </w:r>
      <w:r>
        <w:rPr>
          <w:rFonts w:hint="eastAsia" w:ascii="宋体" w:hAnsi="宋体" w:eastAsia="宋体" w:cs="宋体"/>
          <w:color w:val="auto"/>
          <w:kern w:val="0"/>
          <w:szCs w:val="21"/>
          <w:highlight w:val="none"/>
        </w:rPr>
        <w:t>。对谈判文件作出的实质性变动是谈判文件的有效组成部分。</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Courier New" w:eastAsia="宋体" w:cs="Courier New"/>
          <w:color w:val="auto"/>
          <w:szCs w:val="21"/>
          <w:highlight w:val="none"/>
        </w:rPr>
        <w:t>6.4</w:t>
      </w:r>
      <w:r>
        <w:rPr>
          <w:rFonts w:hint="eastAsia" w:ascii="宋体" w:hAnsi="宋体" w:eastAsia="宋体" w:cs="Courier New"/>
          <w:color w:val="auto"/>
          <w:szCs w:val="21"/>
          <w:highlight w:val="none"/>
        </w:rPr>
        <w:t>供应商应仔细阅读</w:t>
      </w:r>
      <w:r>
        <w:rPr>
          <w:rFonts w:hint="eastAsia" w:ascii="宋体" w:hAnsi="宋体" w:eastAsia="宋体" w:cs="Courier New"/>
          <w:bCs/>
          <w:color w:val="auto"/>
          <w:szCs w:val="21"/>
          <w:highlight w:val="none"/>
        </w:rPr>
        <w:t>谈判</w:t>
      </w:r>
      <w:r>
        <w:rPr>
          <w:rFonts w:hint="eastAsia" w:ascii="宋体" w:hAnsi="宋体" w:eastAsia="宋体" w:cs="Courier New"/>
          <w:color w:val="auto"/>
          <w:szCs w:val="21"/>
          <w:highlight w:val="none"/>
        </w:rPr>
        <w:t>文件的全部内容，按照</w:t>
      </w:r>
      <w:r>
        <w:rPr>
          <w:rFonts w:hint="eastAsia" w:ascii="宋体" w:hAnsi="宋体" w:eastAsia="宋体" w:cs="Courier New"/>
          <w:bCs/>
          <w:color w:val="auto"/>
          <w:szCs w:val="21"/>
          <w:highlight w:val="none"/>
        </w:rPr>
        <w:t>谈判</w:t>
      </w:r>
      <w:r>
        <w:rPr>
          <w:rFonts w:hint="eastAsia" w:ascii="宋体" w:hAnsi="宋体" w:eastAsia="宋体" w:cs="Courier New"/>
          <w:color w:val="auto"/>
          <w:szCs w:val="21"/>
          <w:highlight w:val="none"/>
        </w:rPr>
        <w:t>文件要求编制</w:t>
      </w:r>
      <w:r>
        <w:rPr>
          <w:rFonts w:hint="eastAsia" w:ascii="宋体" w:hAnsi="Courier New" w:eastAsia="宋体" w:cs="Courier New"/>
          <w:color w:val="auto"/>
          <w:szCs w:val="21"/>
          <w:highlight w:val="none"/>
        </w:rPr>
        <w:t>响应</w:t>
      </w:r>
      <w:r>
        <w:rPr>
          <w:rFonts w:hint="eastAsia" w:ascii="宋体" w:hAnsi="宋体" w:eastAsia="宋体" w:cs="Courier New"/>
          <w:color w:val="auto"/>
          <w:szCs w:val="21"/>
          <w:highlight w:val="none"/>
        </w:rPr>
        <w:t>文件。任何对</w:t>
      </w:r>
      <w:r>
        <w:rPr>
          <w:rFonts w:hint="eastAsia" w:ascii="宋体" w:hAnsi="宋体" w:eastAsia="宋体" w:cs="Courier New"/>
          <w:bCs/>
          <w:color w:val="auto"/>
          <w:szCs w:val="21"/>
          <w:highlight w:val="none"/>
        </w:rPr>
        <w:t>谈判</w:t>
      </w:r>
      <w:r>
        <w:rPr>
          <w:rFonts w:hint="eastAsia" w:ascii="宋体" w:hAnsi="宋体" w:eastAsia="宋体" w:cs="Courier New"/>
          <w:color w:val="auto"/>
          <w:szCs w:val="21"/>
          <w:highlight w:val="none"/>
        </w:rPr>
        <w:t>文件的忽略或误解不能作为</w:t>
      </w:r>
      <w:r>
        <w:rPr>
          <w:rFonts w:hint="eastAsia" w:ascii="宋体" w:hAnsi="Courier New" w:eastAsia="宋体" w:cs="Courier New"/>
          <w:color w:val="auto"/>
          <w:szCs w:val="21"/>
          <w:highlight w:val="none"/>
        </w:rPr>
        <w:t>响应</w:t>
      </w:r>
      <w:r>
        <w:rPr>
          <w:rFonts w:hint="eastAsia" w:ascii="宋体" w:hAnsi="宋体" w:eastAsia="宋体" w:cs="Courier New"/>
          <w:color w:val="auto"/>
          <w:szCs w:val="21"/>
          <w:highlight w:val="none"/>
        </w:rPr>
        <w:t>文件存在缺陷或瑕疵的理由，其风险由供应商承担。</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81" w:name="_Toc107997842"/>
      <w:bookmarkStart w:id="82" w:name="_Toc107997969"/>
      <w:r>
        <w:rPr>
          <w:rFonts w:hint="eastAsia" w:ascii="黑体" w:hAnsi="黑体" w:eastAsia="黑体" w:cs="Times New Roman"/>
          <w:b/>
          <w:bCs/>
          <w:color w:val="auto"/>
          <w:sz w:val="24"/>
          <w:szCs w:val="24"/>
          <w:highlight w:val="none"/>
        </w:rPr>
        <w:t>7.谈判文件的澄清</w:t>
      </w:r>
      <w:r>
        <w:rPr>
          <w:rFonts w:hint="eastAsia" w:ascii="黑体" w:hAnsi="黑体" w:eastAsia="黑体" w:cs="Times New Roman"/>
          <w:b/>
          <w:bCs/>
          <w:color w:val="auto"/>
          <w:kern w:val="0"/>
          <w:sz w:val="24"/>
          <w:szCs w:val="24"/>
          <w:highlight w:val="none"/>
          <w:lang w:val="zh-CN"/>
        </w:rPr>
        <w:t>或者</w:t>
      </w:r>
      <w:r>
        <w:rPr>
          <w:rFonts w:hint="eastAsia" w:ascii="黑体" w:hAnsi="黑体" w:eastAsia="黑体" w:cs="Times New Roman"/>
          <w:b/>
          <w:bCs/>
          <w:color w:val="auto"/>
          <w:sz w:val="24"/>
          <w:szCs w:val="24"/>
          <w:highlight w:val="none"/>
        </w:rPr>
        <w:t>修改</w:t>
      </w:r>
      <w:bookmarkEnd w:id="81"/>
      <w:bookmarkEnd w:id="82"/>
    </w:p>
    <w:p>
      <w:pPr>
        <w:widowControl w:val="0"/>
        <w:adjustRightInd w:val="0"/>
        <w:snapToGrid w:val="0"/>
        <w:spacing w:line="360" w:lineRule="auto"/>
        <w:ind w:right="-105" w:rightChars="-50" w:firstLine="420" w:firstLineChars="200"/>
        <w:jc w:val="both"/>
        <w:rPr>
          <w:rFonts w:hint="eastAsia" w:ascii="宋体" w:hAnsi="宋体" w:eastAsia="宋体" w:cs="宋体"/>
          <w:color w:val="auto"/>
          <w:kern w:val="0"/>
          <w:szCs w:val="21"/>
          <w:highlight w:val="none"/>
        </w:rPr>
      </w:pPr>
      <w:r>
        <w:rPr>
          <w:rFonts w:hint="eastAsia" w:ascii="宋体" w:hAnsi="宋体" w:eastAsia="宋体" w:cs="Times New Roman"/>
          <w:color w:val="auto"/>
          <w:szCs w:val="21"/>
          <w:highlight w:val="none"/>
        </w:rPr>
        <w:t>7.1在</w:t>
      </w:r>
      <w:r>
        <w:rPr>
          <w:rFonts w:hint="eastAsia" w:ascii="宋体" w:hAnsi="宋体" w:eastAsia="宋体" w:cs="宋体"/>
          <w:color w:val="auto"/>
          <w:kern w:val="0"/>
          <w:szCs w:val="21"/>
          <w:highlight w:val="none"/>
        </w:rPr>
        <w:t>提交首次响应文件截止之日前，采购人、采购代理机构或者谈判小组可以对已发出的谈判文件进行必要的澄清或者修改。</w:t>
      </w:r>
    </w:p>
    <w:p>
      <w:pPr>
        <w:widowControl w:val="0"/>
        <w:adjustRightInd w:val="0"/>
        <w:snapToGrid w:val="0"/>
        <w:spacing w:line="360" w:lineRule="auto"/>
        <w:ind w:right="-105" w:rightChars="-50" w:firstLine="420" w:firstLineChars="200"/>
        <w:jc w:val="both"/>
        <w:rPr>
          <w:rFonts w:hint="eastAsia" w:ascii="宋体" w:hAnsi="宋体" w:eastAsia="宋体" w:cs="宋体"/>
          <w:color w:val="auto"/>
          <w:kern w:val="0"/>
          <w:szCs w:val="21"/>
          <w:highlight w:val="none"/>
        </w:rPr>
      </w:pPr>
      <w:r>
        <w:rPr>
          <w:rFonts w:hint="eastAsia" w:ascii="宋体" w:hAnsi="宋体" w:eastAsia="宋体" w:cs="Times New Roman"/>
          <w:color w:val="auto"/>
          <w:szCs w:val="21"/>
          <w:highlight w:val="none"/>
        </w:rPr>
        <w:t>7.2</w:t>
      </w:r>
      <w:r>
        <w:rPr>
          <w:rFonts w:hint="eastAsia" w:ascii="宋体" w:hAnsi="宋体" w:eastAsia="宋体" w:cs="宋体"/>
          <w:color w:val="auto"/>
          <w:kern w:val="0"/>
          <w:szCs w:val="21"/>
          <w:highlight w:val="none"/>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pPr>
        <w:widowControl w:val="0"/>
        <w:adjustRightInd w:val="0"/>
        <w:snapToGrid w:val="0"/>
        <w:spacing w:line="360" w:lineRule="auto"/>
        <w:jc w:val="center"/>
        <w:outlineLvl w:val="2"/>
        <w:rPr>
          <w:rFonts w:hint="eastAsia" w:ascii="黑体" w:hAnsi="黑体" w:eastAsia="黑体" w:cs="Times New Roman"/>
          <w:b/>
          <w:bCs/>
          <w:color w:val="auto"/>
          <w:sz w:val="28"/>
          <w:szCs w:val="28"/>
          <w:highlight w:val="none"/>
        </w:rPr>
      </w:pPr>
      <w:bookmarkStart w:id="83" w:name="_Toc107997970"/>
      <w:bookmarkStart w:id="84" w:name="_Toc214954905"/>
      <w:r>
        <w:rPr>
          <w:rFonts w:hint="eastAsia" w:ascii="黑体" w:hAnsi="黑体" w:eastAsia="黑体" w:cs="Times New Roman"/>
          <w:b/>
          <w:bCs/>
          <w:color w:val="auto"/>
          <w:sz w:val="28"/>
          <w:szCs w:val="28"/>
          <w:highlight w:val="none"/>
        </w:rPr>
        <w:t>三、响应文件</w:t>
      </w:r>
      <w:bookmarkEnd w:id="83"/>
      <w:bookmarkEnd w:id="84"/>
    </w:p>
    <w:p>
      <w:pPr>
        <w:widowControl w:val="0"/>
        <w:spacing w:line="360" w:lineRule="auto"/>
        <w:jc w:val="both"/>
        <w:outlineLvl w:val="3"/>
        <w:rPr>
          <w:rFonts w:hint="eastAsia" w:ascii="黑体" w:hAnsi="黑体" w:eastAsia="黑体" w:cs="Times New Roman"/>
          <w:b/>
          <w:bCs/>
          <w:color w:val="auto"/>
          <w:sz w:val="24"/>
          <w:szCs w:val="24"/>
          <w:highlight w:val="none"/>
        </w:rPr>
      </w:pPr>
      <w:bookmarkStart w:id="85" w:name="_Toc107997971"/>
      <w:bookmarkStart w:id="86" w:name="_Toc107997844"/>
      <w:r>
        <w:rPr>
          <w:rFonts w:hint="eastAsia" w:ascii="黑体" w:hAnsi="黑体" w:eastAsia="黑体" w:cs="Times New Roman"/>
          <w:b/>
          <w:bCs/>
          <w:color w:val="auto"/>
          <w:sz w:val="24"/>
          <w:szCs w:val="24"/>
          <w:highlight w:val="none"/>
        </w:rPr>
        <w:t>8.一般要求</w:t>
      </w:r>
      <w:bookmarkEnd w:id="85"/>
      <w:bookmarkEnd w:id="86"/>
    </w:p>
    <w:p>
      <w:pPr>
        <w:widowControl w:val="0"/>
        <w:adjustRightInd w:val="0"/>
        <w:snapToGrid w:val="0"/>
        <w:spacing w:line="360" w:lineRule="auto"/>
        <w:ind w:firstLine="420" w:firstLineChars="200"/>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8.1供应商应仔细阅读谈判文件的所有内容，按谈判文件的要求编制响应文件，并保证所提供的全部资料的真实性，以使其响应文件对谈判文件做出实质性的响应。</w:t>
      </w:r>
    </w:p>
    <w:p>
      <w:pPr>
        <w:widowControl w:val="0"/>
        <w:adjustRightInd w:val="0"/>
        <w:snapToGrid w:val="0"/>
        <w:spacing w:line="360" w:lineRule="auto"/>
        <w:ind w:firstLine="420" w:firstLineChars="200"/>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8.2</w:t>
      </w:r>
      <w:r>
        <w:rPr>
          <w:rFonts w:hint="eastAsia" w:ascii="宋体" w:hAnsi="宋体" w:eastAsia="宋体" w:cs="Times New Roman"/>
          <w:color w:val="auto"/>
          <w:szCs w:val="21"/>
          <w:highlight w:val="none"/>
        </w:rPr>
        <w:t>供应商提交的响应文件及供应商与采购人或采购代理机构、谈判小组就有关谈判的所有来往函电均使用中文。供应商可以提交其他语言的资料，但应附中文注释，在有差异时以中文为准。</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bCs/>
          <w:color w:val="auto"/>
          <w:szCs w:val="21"/>
          <w:highlight w:val="none"/>
        </w:rPr>
        <w:t>8.3</w:t>
      </w:r>
      <w:r>
        <w:rPr>
          <w:rFonts w:hint="eastAsia" w:ascii="宋体" w:hAnsi="宋体" w:eastAsia="宋体" w:cs="Courier New"/>
          <w:color w:val="auto"/>
          <w:szCs w:val="21"/>
          <w:highlight w:val="none"/>
        </w:rPr>
        <w:t>计量单位应使用我国法定计量单位，未列明时应默认为我国法定计量单位。</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8.4本项目实行全流程电子化，响应文件应采用电子形式，在递交首次响应文件截止时间前上传至指定的电子交易平台。</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8.5供应商应按谈判文件中提供的响应文件格式填写。</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87" w:name="_Toc107997845"/>
      <w:bookmarkStart w:id="88" w:name="_Toc107997972"/>
      <w:r>
        <w:rPr>
          <w:rFonts w:hint="eastAsia" w:ascii="黑体" w:hAnsi="黑体" w:eastAsia="黑体" w:cs="Times New Roman"/>
          <w:b/>
          <w:bCs/>
          <w:color w:val="auto"/>
          <w:sz w:val="24"/>
          <w:szCs w:val="24"/>
          <w:highlight w:val="none"/>
        </w:rPr>
        <w:t>9.响应文件的组成</w:t>
      </w:r>
      <w:bookmarkEnd w:id="87"/>
      <w:bookmarkEnd w:id="88"/>
    </w:p>
    <w:p>
      <w:pPr>
        <w:widowControl w:val="0"/>
        <w:adjustRightInd w:val="0"/>
        <w:snapToGrid w:val="0"/>
        <w:spacing w:line="360" w:lineRule="auto"/>
        <w:ind w:firstLine="420" w:firstLineChars="200"/>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9.1响应文件包括下列内容：</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（1）首次报价表及报价文件(格式)</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（2）谈判响应声明(格式)</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（3）法定代表人（单位负责人）身份证明(格式)、授权委托书(格式)</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（4）供应商资格审查材料</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（5）采购需求响应</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（6）合同条款偏离表</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（7）采购需求偏离表</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（8）享受政府采购政策的证明资料</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（9）响应标的符合谈判文件规定的证明文件</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（10）供应商认为需提供的其他资料（如有）</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（11）多轮或最后报价</w:t>
      </w:r>
    </w:p>
    <w:p>
      <w:pPr>
        <w:widowControl w:val="0"/>
        <w:adjustRightInd w:val="0"/>
        <w:snapToGrid w:val="0"/>
        <w:spacing w:line="360" w:lineRule="auto"/>
        <w:ind w:firstLine="420" w:firstLineChars="200"/>
        <w:jc w:val="both"/>
        <w:rPr>
          <w:rFonts w:hint="eastAsia" w:ascii="Times New Roman" w:hAnsi="宋体" w:eastAsia="宋体" w:cs="Times New Roman"/>
          <w:color w:val="auto"/>
          <w:szCs w:val="24"/>
          <w:highlight w:val="none"/>
        </w:rPr>
      </w:pPr>
      <w:r>
        <w:rPr>
          <w:rFonts w:hint="eastAsia" w:ascii="宋体" w:hAnsi="宋体" w:eastAsia="宋体" w:cs="Times New Roman"/>
          <w:color w:val="auto"/>
          <w:szCs w:val="24"/>
          <w:highlight w:val="none"/>
        </w:rPr>
        <w:t>9.2在谈判过程中，</w:t>
      </w:r>
      <w:r>
        <w:rPr>
          <w:rFonts w:hint="eastAsia" w:ascii="宋体" w:hAnsi="宋体" w:eastAsia="宋体" w:cs="Times New Roman"/>
          <w:color w:val="auto"/>
          <w:szCs w:val="21"/>
          <w:highlight w:val="none"/>
        </w:rPr>
        <w:t>供应商</w:t>
      </w:r>
      <w:r>
        <w:rPr>
          <w:rFonts w:hint="eastAsia" w:ascii="宋体" w:hAnsi="宋体" w:eastAsia="宋体" w:cs="Times New Roman"/>
          <w:color w:val="auto"/>
          <w:szCs w:val="24"/>
          <w:highlight w:val="none"/>
        </w:rPr>
        <w:t>根据</w:t>
      </w:r>
      <w:r>
        <w:rPr>
          <w:rFonts w:hint="eastAsia" w:ascii="宋体" w:hAnsi="宋体" w:eastAsia="宋体" w:cs="宋体"/>
          <w:color w:val="auto"/>
          <w:kern w:val="0"/>
          <w:szCs w:val="21"/>
          <w:highlight w:val="none"/>
        </w:rPr>
        <w:t>谈判小组</w:t>
      </w:r>
      <w:r>
        <w:rPr>
          <w:rFonts w:hint="eastAsia" w:ascii="宋体" w:hAnsi="宋体" w:eastAsia="宋体" w:cs="Times New Roman"/>
          <w:bCs/>
          <w:color w:val="auto"/>
          <w:szCs w:val="21"/>
          <w:highlight w:val="none"/>
        </w:rPr>
        <w:t>书面形式要求</w:t>
      </w:r>
      <w:r>
        <w:rPr>
          <w:rFonts w:hint="eastAsia" w:ascii="宋体" w:hAnsi="宋体" w:eastAsia="宋体" w:cs="宋体"/>
          <w:color w:val="auto"/>
          <w:kern w:val="0"/>
          <w:szCs w:val="21"/>
          <w:highlight w:val="none"/>
        </w:rPr>
        <w:t>提交的</w:t>
      </w:r>
      <w:r>
        <w:rPr>
          <w:rFonts w:hint="eastAsia" w:ascii="Times New Roman" w:hAnsi="宋体" w:eastAsia="宋体" w:cs="Times New Roman"/>
          <w:color w:val="auto"/>
          <w:szCs w:val="24"/>
          <w:highlight w:val="none"/>
        </w:rPr>
        <w:t>最后报价(或者</w:t>
      </w:r>
      <w:r>
        <w:rPr>
          <w:rFonts w:hint="eastAsia" w:ascii="宋体" w:hAnsi="宋体" w:eastAsia="宋体" w:cs="Times New Roman"/>
          <w:bCs/>
          <w:color w:val="auto"/>
          <w:szCs w:val="21"/>
          <w:highlight w:val="none"/>
        </w:rPr>
        <w:t>重</w:t>
      </w:r>
      <w:r>
        <w:rPr>
          <w:rFonts w:hint="eastAsia" w:ascii="宋体" w:hAnsi="宋体" w:eastAsia="宋体" w:cs="宋体"/>
          <w:color w:val="auto"/>
          <w:kern w:val="0"/>
          <w:szCs w:val="21"/>
          <w:highlight w:val="none"/>
        </w:rPr>
        <w:t>新提交的响应文件和</w:t>
      </w:r>
      <w:r>
        <w:rPr>
          <w:rFonts w:hint="eastAsia" w:ascii="Times New Roman" w:hAnsi="宋体" w:eastAsia="宋体" w:cs="Times New Roman"/>
          <w:color w:val="auto"/>
          <w:szCs w:val="24"/>
          <w:highlight w:val="none"/>
        </w:rPr>
        <w:t>最后报价)是</w:t>
      </w:r>
      <w:r>
        <w:rPr>
          <w:rFonts w:hint="eastAsia" w:ascii="宋体" w:hAnsi="宋体" w:eastAsia="宋体" w:cs="Times New Roman"/>
          <w:color w:val="auto"/>
          <w:szCs w:val="21"/>
          <w:highlight w:val="none"/>
        </w:rPr>
        <w:t>响应文件</w:t>
      </w:r>
      <w:r>
        <w:rPr>
          <w:rFonts w:hint="eastAsia" w:ascii="Times New Roman" w:hAnsi="宋体" w:eastAsia="宋体" w:cs="Times New Roman"/>
          <w:color w:val="auto"/>
          <w:szCs w:val="24"/>
          <w:highlight w:val="none"/>
        </w:rPr>
        <w:t>的有效组成部分。</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4"/>
          <w:highlight w:val="none"/>
        </w:rPr>
        <w:t>9.3</w:t>
      </w:r>
      <w:r>
        <w:rPr>
          <w:rFonts w:hint="eastAsia" w:ascii="宋体" w:hAnsi="宋体" w:eastAsia="宋体" w:cs="Times New Roman"/>
          <w:color w:val="auto"/>
          <w:szCs w:val="21"/>
          <w:highlight w:val="none"/>
        </w:rPr>
        <w:t>根据《政府采购法》第四十二条的规定，供应商无论成交与否，其响应文件不予退还。</w:t>
      </w:r>
    </w:p>
    <w:p>
      <w:pPr>
        <w:widowControl w:val="0"/>
        <w:adjustRightInd w:val="0"/>
        <w:snapToGrid w:val="0"/>
        <w:spacing w:line="360" w:lineRule="auto"/>
        <w:jc w:val="both"/>
        <w:outlineLvl w:val="3"/>
        <w:rPr>
          <w:rFonts w:hint="eastAsia" w:ascii="黑体" w:hAnsi="黑体" w:eastAsia="黑体" w:cs="Times New Roman"/>
          <w:b/>
          <w:bCs/>
          <w:color w:val="auto"/>
          <w:sz w:val="24"/>
          <w:szCs w:val="24"/>
          <w:highlight w:val="none"/>
        </w:rPr>
      </w:pPr>
      <w:bookmarkStart w:id="89" w:name="_Toc107997974"/>
      <w:bookmarkStart w:id="90" w:name="_Toc107997847"/>
      <w:bookmarkStart w:id="91" w:name="_Toc62225434"/>
      <w:r>
        <w:rPr>
          <w:rFonts w:hint="eastAsia" w:ascii="黑体" w:hAnsi="黑体" w:eastAsia="黑体" w:cs="Times New Roman"/>
          <w:b/>
          <w:bCs/>
          <w:color w:val="auto"/>
          <w:sz w:val="24"/>
          <w:szCs w:val="24"/>
          <w:highlight w:val="none"/>
        </w:rPr>
        <w:t>10.供应商的资格更新证明</w:t>
      </w:r>
      <w:bookmarkEnd w:id="89"/>
      <w:bookmarkEnd w:id="90"/>
      <w:bookmarkEnd w:id="91"/>
      <w:r>
        <w:rPr>
          <w:rFonts w:hint="eastAsia" w:ascii="黑体" w:hAnsi="黑体" w:eastAsia="黑体" w:cs="Times New Roman"/>
          <w:b/>
          <w:bCs/>
          <w:color w:val="auto"/>
          <w:sz w:val="24"/>
          <w:szCs w:val="24"/>
          <w:highlight w:val="none"/>
        </w:rPr>
        <w:t>材料（本项目不适用）</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4"/>
          <w:highlight w:val="none"/>
        </w:rPr>
        <w:t>10.1被邀请的供应商在提交首次响应文件前，其资格条件发生变化，影响或者可能影响资格条件的，应随响应文件提供更新或者补充的资格证明材料，以证实其各项条件仍能继续满足本章第3.1款规定的供应商资格条件要求。</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92" w:name="_Toc107997848"/>
      <w:bookmarkStart w:id="93" w:name="_Toc107997975"/>
      <w:r>
        <w:rPr>
          <w:rFonts w:hint="eastAsia" w:ascii="黑体" w:hAnsi="黑体" w:eastAsia="黑体" w:cs="Times New Roman"/>
          <w:b/>
          <w:bCs/>
          <w:color w:val="auto"/>
          <w:sz w:val="24"/>
          <w:szCs w:val="24"/>
          <w:highlight w:val="none"/>
        </w:rPr>
        <w:t>11.报价要求</w:t>
      </w:r>
      <w:bookmarkEnd w:id="92"/>
      <w:bookmarkEnd w:id="93"/>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11.1供应商应当根据谈判文件第三章第一节“采购清单一览表”逐一报价；谈判文件第三章提供第二节“工程量清单”的，供应商应按其要求填写相应表格。</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11.2在报价表、分项报价表填写报价时应注意下列要求：</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（1）采购需求要求的安装、调试、培训、售后服务及其他附加服务的费用。</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（2）所有根据合同或其他原因应由供应商交纳和支付的税款和费用。</w:t>
      </w:r>
    </w:p>
    <w:p>
      <w:pPr>
        <w:widowControl w:val="0"/>
        <w:adjustRightInd w:val="0"/>
        <w:snapToGrid w:val="0"/>
        <w:spacing w:line="360" w:lineRule="auto"/>
        <w:ind w:firstLine="420" w:firstLineChars="200"/>
        <w:jc w:val="both"/>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（3）谈判文件指定交货地点的运输、保险、装卸费。</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4"/>
          <w:highlight w:val="none"/>
        </w:rPr>
        <w:t>（4）实行工程量清单报价的，供应商提交最后报价应与已标价工程量清单总报价一致。</w:t>
      </w:r>
    </w:p>
    <w:p>
      <w:pPr>
        <w:widowControl w:val="0"/>
        <w:adjustRightInd w:val="0"/>
        <w:snapToGrid w:val="0"/>
        <w:spacing w:line="360" w:lineRule="auto"/>
        <w:ind w:firstLine="420" w:firstLineChars="200"/>
        <w:jc w:val="both"/>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11.3</w:t>
      </w:r>
      <w:r>
        <w:rPr>
          <w:rFonts w:hint="eastAsia" w:ascii="宋体" w:hAnsi="宋体" w:eastAsia="宋体" w:cs="宋体"/>
          <w:color w:val="auto"/>
          <w:kern w:val="0"/>
          <w:szCs w:val="21"/>
          <w:highlight w:val="none"/>
          <w:lang w:val="zh-CN"/>
        </w:rPr>
        <w:t>供应商的最后报价不得超过首次报价，首次报价不得超过采购项目预算</w:t>
      </w:r>
      <w:r>
        <w:rPr>
          <w:rFonts w:hint="eastAsia" w:ascii="宋体" w:hAnsi="宋体" w:eastAsia="宋体" w:cs="Times New Roman"/>
          <w:color w:val="auto"/>
          <w:kern w:val="0"/>
          <w:szCs w:val="21"/>
          <w:highlight w:val="none"/>
        </w:rPr>
        <w:t>，</w:t>
      </w:r>
      <w:r>
        <w:rPr>
          <w:rFonts w:hint="eastAsia" w:ascii="宋体" w:hAnsi="宋体" w:eastAsia="宋体" w:cs="Times New Roman"/>
          <w:b/>
          <w:bCs/>
          <w:color w:val="auto"/>
          <w:kern w:val="0"/>
          <w:szCs w:val="21"/>
          <w:highlight w:val="none"/>
        </w:rPr>
        <w:t>否则，其响应无效</w:t>
      </w:r>
      <w:r>
        <w:rPr>
          <w:rFonts w:hint="eastAsia" w:ascii="宋体" w:hAnsi="宋体" w:eastAsia="宋体" w:cs="Times New Roman"/>
          <w:color w:val="auto"/>
          <w:kern w:val="0"/>
          <w:szCs w:val="21"/>
          <w:highlight w:val="none"/>
        </w:rPr>
        <w:t>。采购项目预算见</w:t>
      </w:r>
      <w:r>
        <w:rPr>
          <w:rFonts w:hint="eastAsia" w:ascii="宋体" w:hAnsi="宋体" w:eastAsia="宋体" w:cs="Times New Roman"/>
          <w:b/>
          <w:color w:val="auto"/>
          <w:kern w:val="0"/>
          <w:szCs w:val="21"/>
          <w:highlight w:val="none"/>
        </w:rPr>
        <w:t>【谈判须知前附表】</w:t>
      </w:r>
      <w:r>
        <w:rPr>
          <w:rFonts w:hint="eastAsia" w:ascii="宋体" w:hAnsi="宋体" w:eastAsia="宋体" w:cs="Times New Roman"/>
          <w:color w:val="auto"/>
          <w:kern w:val="0"/>
          <w:szCs w:val="21"/>
          <w:highlight w:val="none"/>
        </w:rPr>
        <w:t>。</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11.4</w:t>
      </w:r>
      <w:r>
        <w:rPr>
          <w:rFonts w:hint="eastAsia" w:ascii="宋体" w:hAnsi="宋体" w:eastAsia="宋体" w:cs="Times New Roman"/>
          <w:color w:val="auto"/>
          <w:szCs w:val="21"/>
          <w:highlight w:val="none"/>
        </w:rPr>
        <w:t>采用固定价格定价方式的采购项目，</w:t>
      </w:r>
      <w:r>
        <w:rPr>
          <w:rFonts w:hint="eastAsia" w:ascii="宋体" w:hAnsi="宋体" w:eastAsia="宋体" w:cs="Courier New"/>
          <w:color w:val="auto"/>
          <w:szCs w:val="21"/>
          <w:highlight w:val="none"/>
        </w:rPr>
        <w:t>供应商提交的最后报价在合同执行过程中是固定不变的，不得以任何理由予以变更。以可变动价格提交的报价将被认为是非实质响应而被拒绝。</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11.5采购人不接受供应商给予的赠品、回扣或者与采购无关的其他商品、服务。</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11.6报价的其他要求见</w:t>
      </w:r>
      <w:r>
        <w:rPr>
          <w:rFonts w:hint="eastAsia" w:ascii="宋体" w:hAnsi="宋体" w:eastAsia="宋体" w:cs="Courier New"/>
          <w:b/>
          <w:color w:val="auto"/>
          <w:szCs w:val="21"/>
          <w:highlight w:val="none"/>
        </w:rPr>
        <w:t>【谈判须知前附表】</w:t>
      </w:r>
      <w:r>
        <w:rPr>
          <w:rFonts w:hint="eastAsia" w:ascii="宋体" w:hAnsi="宋体" w:eastAsia="宋体" w:cs="Courier New"/>
          <w:color w:val="auto"/>
          <w:szCs w:val="21"/>
          <w:highlight w:val="none"/>
        </w:rPr>
        <w:t>。</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94" w:name="_Toc107997976"/>
      <w:bookmarkStart w:id="95" w:name="_Toc107997849"/>
      <w:r>
        <w:rPr>
          <w:rFonts w:hint="eastAsia" w:ascii="黑体" w:hAnsi="黑体" w:eastAsia="黑体" w:cs="Times New Roman"/>
          <w:b/>
          <w:bCs/>
          <w:color w:val="auto"/>
          <w:sz w:val="24"/>
          <w:szCs w:val="24"/>
          <w:highlight w:val="none"/>
        </w:rPr>
        <w:t>12.谈判保证金</w:t>
      </w:r>
      <w:bookmarkEnd w:id="94"/>
      <w:bookmarkEnd w:id="95"/>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12.1根据《关于进一步优化政府采购领域营商环境的通知》郴财采资〔2024〕6号文件精神，本项目取消投标保证金及履约保证金。</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96" w:name="_Toc107997977"/>
      <w:bookmarkStart w:id="97" w:name="_Toc107997850"/>
      <w:r>
        <w:rPr>
          <w:rFonts w:hint="eastAsia" w:ascii="黑体" w:hAnsi="黑体" w:eastAsia="黑体" w:cs="Times New Roman"/>
          <w:b/>
          <w:bCs/>
          <w:color w:val="auto"/>
          <w:sz w:val="24"/>
          <w:szCs w:val="24"/>
          <w:highlight w:val="none"/>
        </w:rPr>
        <w:t>13.响应文件有效期</w:t>
      </w:r>
      <w:bookmarkEnd w:id="96"/>
      <w:bookmarkEnd w:id="97"/>
    </w:p>
    <w:p>
      <w:pPr>
        <w:widowControl w:val="0"/>
        <w:adjustRightInd w:val="0"/>
        <w:snapToGrid w:val="0"/>
        <w:spacing w:line="360" w:lineRule="auto"/>
        <w:ind w:firstLine="420" w:firstLineChars="200"/>
        <w:rPr>
          <w:rFonts w:hint="eastAsia" w:ascii="Times New Roman" w:hAnsi="宋体" w:eastAsia="宋体" w:cs="Times New Roman"/>
          <w:color w:val="auto"/>
          <w:szCs w:val="24"/>
          <w:highlight w:val="none"/>
        </w:rPr>
      </w:pPr>
      <w:r>
        <w:rPr>
          <w:rFonts w:hint="eastAsia" w:ascii="宋体" w:hAnsi="宋体" w:eastAsia="宋体" w:cs="Times New Roman"/>
          <w:color w:val="auto"/>
          <w:szCs w:val="24"/>
          <w:highlight w:val="none"/>
        </w:rPr>
        <w:t>13.1响应文件</w:t>
      </w:r>
      <w:r>
        <w:rPr>
          <w:rFonts w:hint="eastAsia" w:ascii="宋体" w:hAnsi="宋体" w:eastAsia="宋体" w:cs="Times New Roman"/>
          <w:color w:val="auto"/>
          <w:szCs w:val="21"/>
          <w:highlight w:val="none"/>
        </w:rPr>
        <w:t>有效期见</w:t>
      </w:r>
      <w:r>
        <w:rPr>
          <w:rFonts w:hint="eastAsia" w:ascii="Times New Roman" w:hAnsi="宋体" w:eastAsia="宋体" w:cs="Times New Roman"/>
          <w:b/>
          <w:bCs/>
          <w:color w:val="auto"/>
          <w:szCs w:val="24"/>
          <w:highlight w:val="none"/>
        </w:rPr>
        <w:t>【谈判须知前附表】</w:t>
      </w:r>
      <w:r>
        <w:rPr>
          <w:rFonts w:hint="eastAsia" w:ascii="宋体" w:hAnsi="宋体" w:eastAsia="宋体" w:cs="Times New Roman"/>
          <w:color w:val="auto"/>
          <w:szCs w:val="21"/>
          <w:highlight w:val="none"/>
        </w:rPr>
        <w:t>，在此期间</w:t>
      </w:r>
      <w:r>
        <w:rPr>
          <w:rFonts w:hint="eastAsia" w:ascii="宋体" w:hAnsi="宋体" w:eastAsia="宋体" w:cs="Times New Roman"/>
          <w:color w:val="auto"/>
          <w:szCs w:val="24"/>
          <w:highlight w:val="none"/>
        </w:rPr>
        <w:t>响应</w:t>
      </w:r>
      <w:r>
        <w:rPr>
          <w:rFonts w:hint="eastAsia" w:ascii="宋体" w:hAnsi="宋体" w:eastAsia="宋体" w:cs="Times New Roman"/>
          <w:color w:val="auto"/>
          <w:szCs w:val="21"/>
          <w:highlight w:val="none"/>
        </w:rPr>
        <w:t>文件对供应商具有法律约束力，</w:t>
      </w:r>
      <w:r>
        <w:rPr>
          <w:rFonts w:hint="eastAsia" w:ascii="宋体" w:hAnsi="宋体" w:eastAsia="宋体" w:cs="Arial"/>
          <w:color w:val="auto"/>
          <w:szCs w:val="24"/>
          <w:highlight w:val="none"/>
        </w:rPr>
        <w:t>从</w:t>
      </w:r>
      <w:r>
        <w:rPr>
          <w:rFonts w:hint="eastAsia" w:ascii="宋体" w:hAnsi="宋体" w:eastAsia="宋体" w:cs="宋体"/>
          <w:color w:val="auto"/>
          <w:kern w:val="0"/>
          <w:szCs w:val="21"/>
          <w:highlight w:val="none"/>
        </w:rPr>
        <w:t>提交首次响应文件截止时间</w:t>
      </w:r>
      <w:r>
        <w:rPr>
          <w:rFonts w:hint="eastAsia" w:ascii="Times New Roman" w:hAnsi="宋体" w:eastAsia="宋体" w:cs="Times New Roman"/>
          <w:color w:val="auto"/>
          <w:szCs w:val="24"/>
          <w:highlight w:val="none"/>
        </w:rPr>
        <w:t>之日</w:t>
      </w:r>
      <w:r>
        <w:rPr>
          <w:rFonts w:hint="eastAsia" w:ascii="Times New Roman" w:hAnsi="宋体" w:eastAsia="宋体" w:cs="Arial"/>
          <w:color w:val="auto"/>
          <w:szCs w:val="24"/>
          <w:highlight w:val="none"/>
        </w:rPr>
        <w:t>起计算。</w:t>
      </w:r>
      <w:r>
        <w:rPr>
          <w:rFonts w:hint="eastAsia" w:ascii="Times New Roman" w:hAnsi="宋体" w:eastAsia="宋体" w:cs="Times New Roman"/>
          <w:color w:val="auto"/>
          <w:szCs w:val="24"/>
          <w:highlight w:val="none"/>
        </w:rPr>
        <w:t>响应文件有效期不足的，</w:t>
      </w:r>
      <w:r>
        <w:rPr>
          <w:rFonts w:hint="eastAsia" w:ascii="宋体" w:hAnsi="宋体" w:eastAsia="宋体" w:cs="Times New Roman"/>
          <w:color w:val="auto"/>
          <w:szCs w:val="24"/>
          <w:highlight w:val="none"/>
        </w:rPr>
        <w:t>其</w:t>
      </w:r>
      <w:r>
        <w:rPr>
          <w:rFonts w:hint="eastAsia" w:ascii="宋体" w:hAnsi="宋体" w:eastAsia="宋体" w:cs="Times New Roman"/>
          <w:b/>
          <w:bCs/>
          <w:color w:val="auto"/>
          <w:szCs w:val="24"/>
          <w:highlight w:val="none"/>
        </w:rPr>
        <w:t>响应无效</w:t>
      </w:r>
      <w:r>
        <w:rPr>
          <w:rFonts w:hint="eastAsia" w:ascii="Times New Roman" w:hAnsi="宋体" w:eastAsia="宋体" w:cs="Times New Roman"/>
          <w:color w:val="auto"/>
          <w:szCs w:val="24"/>
          <w:highlight w:val="none"/>
        </w:rPr>
        <w:t>。</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98" w:name="_Toc107997851"/>
      <w:bookmarkStart w:id="99" w:name="_Toc107997978"/>
      <w:r>
        <w:rPr>
          <w:rFonts w:hint="eastAsia" w:ascii="黑体" w:hAnsi="黑体" w:eastAsia="黑体" w:cs="Times New Roman"/>
          <w:b/>
          <w:bCs/>
          <w:color w:val="auto"/>
          <w:sz w:val="24"/>
          <w:szCs w:val="24"/>
          <w:highlight w:val="none"/>
        </w:rPr>
        <w:t>14.分包</w:t>
      </w:r>
      <w:bookmarkEnd w:id="98"/>
      <w:bookmarkEnd w:id="99"/>
    </w:p>
    <w:p>
      <w:pPr>
        <w:widowControl w:val="0"/>
        <w:adjustRightInd w:val="0"/>
        <w:snapToGrid w:val="0"/>
        <w:spacing w:before="156" w:beforeLines="50"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1</w:t>
      </w:r>
      <w:r>
        <w:rPr>
          <w:rFonts w:ascii="宋体" w:hAnsi="宋体" w:eastAsia="宋体" w:cs="Times New Roman"/>
          <w:color w:val="auto"/>
          <w:szCs w:val="24"/>
          <w:highlight w:val="none"/>
        </w:rPr>
        <w:t>4</w:t>
      </w:r>
      <w:r>
        <w:rPr>
          <w:rFonts w:hint="eastAsia" w:ascii="宋体" w:hAnsi="宋体" w:eastAsia="宋体" w:cs="Times New Roman"/>
          <w:color w:val="auto"/>
          <w:szCs w:val="24"/>
          <w:highlight w:val="none"/>
        </w:rPr>
        <w:t>.1</w:t>
      </w:r>
      <w:r>
        <w:rPr>
          <w:rFonts w:hint="eastAsia" w:ascii="Times New Roman" w:hAnsi="宋体" w:eastAsia="宋体" w:cs="Times New Roman"/>
          <w:b/>
          <w:bCs/>
          <w:color w:val="auto"/>
          <w:szCs w:val="24"/>
          <w:highlight w:val="none"/>
        </w:rPr>
        <w:t>【谈判须知前附表】</w:t>
      </w:r>
      <w:r>
        <w:rPr>
          <w:rFonts w:hint="eastAsia" w:ascii="宋体" w:hAnsi="宋体" w:eastAsia="宋体" w:cs="Times New Roman"/>
          <w:color w:val="auto"/>
          <w:szCs w:val="24"/>
          <w:highlight w:val="none"/>
        </w:rPr>
        <w:t>规定供应商分包的，供应商分包承诺不符合竞争性谈判文件中有关分包规定的，其</w:t>
      </w:r>
      <w:r>
        <w:rPr>
          <w:rFonts w:hint="eastAsia" w:ascii="宋体" w:hAnsi="宋体" w:eastAsia="宋体" w:cs="Times New Roman"/>
          <w:b/>
          <w:bCs/>
          <w:color w:val="auto"/>
          <w:szCs w:val="24"/>
          <w:highlight w:val="none"/>
        </w:rPr>
        <w:t>响应无效</w:t>
      </w:r>
      <w:r>
        <w:rPr>
          <w:rFonts w:hint="eastAsia" w:ascii="宋体" w:hAnsi="宋体" w:eastAsia="宋体" w:cs="Times New Roman"/>
          <w:color w:val="auto"/>
          <w:szCs w:val="24"/>
          <w:highlight w:val="none"/>
        </w:rPr>
        <w:t>。</w:t>
      </w:r>
    </w:p>
    <w:p>
      <w:pPr>
        <w:widowControl w:val="0"/>
        <w:adjustRightInd w:val="0"/>
        <w:snapToGrid w:val="0"/>
        <w:spacing w:before="156" w:beforeLines="50"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1</w:t>
      </w:r>
      <w:r>
        <w:rPr>
          <w:rFonts w:ascii="宋体" w:hAnsi="宋体" w:eastAsia="宋体" w:cs="Times New Roman"/>
          <w:color w:val="auto"/>
          <w:szCs w:val="24"/>
          <w:highlight w:val="none"/>
        </w:rPr>
        <w:t>4</w:t>
      </w:r>
      <w:r>
        <w:rPr>
          <w:rFonts w:hint="eastAsia" w:ascii="宋体" w:hAnsi="宋体" w:eastAsia="宋体" w:cs="Times New Roman"/>
          <w:color w:val="auto"/>
          <w:szCs w:val="24"/>
          <w:highlight w:val="none"/>
        </w:rPr>
        <w:t>.2供应商应在签订政府采购合同前向采购人提供分包合同，否则，采购人有权拒绝签订采购合同。</w:t>
      </w:r>
    </w:p>
    <w:p>
      <w:pPr>
        <w:widowControl w:val="0"/>
        <w:adjustRightInd w:val="0"/>
        <w:snapToGrid w:val="0"/>
        <w:spacing w:before="156" w:beforeLines="50"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1</w:t>
      </w:r>
      <w:r>
        <w:rPr>
          <w:rFonts w:ascii="宋体" w:hAnsi="宋体" w:eastAsia="宋体" w:cs="Times New Roman"/>
          <w:color w:val="auto"/>
          <w:szCs w:val="24"/>
          <w:highlight w:val="none"/>
        </w:rPr>
        <w:t>4</w:t>
      </w:r>
      <w:r>
        <w:rPr>
          <w:rFonts w:hint="eastAsia" w:ascii="宋体" w:hAnsi="宋体" w:eastAsia="宋体" w:cs="Times New Roman"/>
          <w:color w:val="auto"/>
          <w:szCs w:val="24"/>
          <w:highlight w:val="none"/>
        </w:rPr>
        <w:t>.3享受中小企业扶持政策获得政府采购合同的，小微企业不得将合同分包给大中型企业，中型企业不得将合同分包给大型企业。</w:t>
      </w:r>
    </w:p>
    <w:p>
      <w:pPr>
        <w:widowControl w:val="0"/>
        <w:adjustRightInd w:val="0"/>
        <w:snapToGrid w:val="0"/>
        <w:spacing w:before="156" w:beforeLines="50"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1</w:t>
      </w:r>
      <w:r>
        <w:rPr>
          <w:rFonts w:ascii="宋体" w:hAnsi="宋体" w:eastAsia="宋体" w:cs="Times New Roman"/>
          <w:color w:val="auto"/>
          <w:szCs w:val="24"/>
          <w:highlight w:val="none"/>
        </w:rPr>
        <w:t>4</w:t>
      </w:r>
      <w:r>
        <w:rPr>
          <w:rFonts w:hint="eastAsia" w:ascii="宋体" w:hAnsi="宋体" w:eastAsia="宋体" w:cs="Times New Roman"/>
          <w:color w:val="auto"/>
          <w:szCs w:val="24"/>
          <w:highlight w:val="none"/>
        </w:rPr>
        <w:t>.4分包供应商不得再次分包。</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00" w:name="_Toc107997852"/>
      <w:bookmarkStart w:id="101" w:name="_Toc107997979"/>
      <w:r>
        <w:rPr>
          <w:rFonts w:hint="eastAsia" w:ascii="黑体" w:hAnsi="黑体" w:eastAsia="黑体" w:cs="Times New Roman"/>
          <w:b/>
          <w:bCs/>
          <w:color w:val="auto"/>
          <w:sz w:val="24"/>
          <w:szCs w:val="24"/>
          <w:highlight w:val="none"/>
        </w:rPr>
        <w:t>15.</w:t>
      </w:r>
      <w:bookmarkEnd w:id="100"/>
      <w:bookmarkEnd w:id="101"/>
      <w:r>
        <w:rPr>
          <w:rFonts w:hint="eastAsia"/>
          <w:color w:val="auto"/>
          <w:highlight w:val="none"/>
        </w:rPr>
        <w:t xml:space="preserve"> </w:t>
      </w:r>
      <w:r>
        <w:rPr>
          <w:rFonts w:hint="eastAsia" w:ascii="黑体" w:hAnsi="黑体" w:eastAsia="黑体" w:cs="Times New Roman"/>
          <w:b/>
          <w:bCs/>
          <w:color w:val="auto"/>
          <w:sz w:val="24"/>
          <w:szCs w:val="24"/>
          <w:highlight w:val="none"/>
        </w:rPr>
        <w:t>电子响应文件的制作和签署</w:t>
      </w:r>
    </w:p>
    <w:p>
      <w:pPr>
        <w:widowControl w:val="0"/>
        <w:wordWrap w:val="0"/>
        <w:adjustRightInd w:val="0"/>
        <w:snapToGrid w:val="0"/>
        <w:spacing w:before="156" w:beforeLines="50" w:line="360" w:lineRule="auto"/>
        <w:ind w:firstLine="420" w:firstLineChars="200"/>
        <w:rPr>
          <w:rFonts w:hint="eastAsia" w:ascii="宋体" w:hAnsi="宋体" w:eastAsia="宋体" w:cs="宋体"/>
          <w:color w:val="auto"/>
          <w:szCs w:val="24"/>
          <w:highlight w:val="none"/>
        </w:rPr>
      </w:pPr>
      <w:bookmarkStart w:id="102" w:name="OLE_LINK42"/>
      <w:bookmarkStart w:id="103" w:name="_Toc107997980"/>
      <w:r>
        <w:rPr>
          <w:rFonts w:ascii="宋体" w:hAnsi="宋体" w:eastAsia="宋体" w:cs="宋体"/>
          <w:color w:val="auto"/>
          <w:szCs w:val="24"/>
          <w:highlight w:val="none"/>
        </w:rPr>
        <w:t xml:space="preserve">15.1 </w:t>
      </w:r>
      <w:r>
        <w:rPr>
          <w:rFonts w:ascii="宋体" w:hAnsi="宋体" w:eastAsia="宋体" w:cs="宋体"/>
          <w:color w:val="auto"/>
          <w:szCs w:val="21"/>
          <w:highlight w:val="none"/>
        </w:rPr>
        <w:t>供应商应在本项目获取谈判文件截止时间前登录湖南省公共资源交易统一注册平台（网址：</w:t>
      </w:r>
      <w:r>
        <w:rPr>
          <w:color w:val="auto"/>
          <w:highlight w:val="none"/>
        </w:rPr>
        <w:fldChar w:fldCharType="begin"/>
      </w:r>
      <w:r>
        <w:rPr>
          <w:color w:val="auto"/>
          <w:highlight w:val="none"/>
        </w:rPr>
        <w:instrText xml:space="preserve"> HYPERLINK "http://222.240.80.14:8888/G2/register!verification.do?systemId=4028c7b35a8cfff2015a8df8bba001fc）k" </w:instrText>
      </w:r>
      <w:r>
        <w:rPr>
          <w:color w:val="auto"/>
          <w:highlight w:val="none"/>
        </w:rPr>
        <w:fldChar w:fldCharType="separate"/>
      </w:r>
      <w:r>
        <w:rPr>
          <w:rFonts w:ascii="宋体" w:hAnsi="宋体" w:eastAsia="宋体" w:cs="宋体"/>
          <w:color w:val="auto"/>
          <w:szCs w:val="21"/>
          <w:highlight w:val="none"/>
          <w:u w:val="single"/>
        </w:rPr>
        <w:t>http://222.240.80.14:8888/G2/register!verification.do?systemId=4028c7b35a8cfff2015a8df8bba001fc）</w:t>
      </w:r>
      <w:r>
        <w:rPr>
          <w:rFonts w:ascii="宋体" w:hAnsi="宋体" w:eastAsia="宋体" w:cs="宋体"/>
          <w:color w:val="auto"/>
          <w:szCs w:val="21"/>
          <w:highlight w:val="none"/>
          <w:u w:val="single"/>
        </w:rPr>
        <w:fldChar w:fldCharType="end"/>
      </w:r>
      <w:r>
        <w:rPr>
          <w:rFonts w:ascii="宋体" w:hAnsi="宋体" w:eastAsia="宋体" w:cs="宋体"/>
          <w:color w:val="auto"/>
          <w:szCs w:val="21"/>
          <w:highlight w:val="none"/>
        </w:rPr>
        <w:t>中进行账号注册和数字证书申请。</w:t>
      </w:r>
    </w:p>
    <w:p>
      <w:pPr>
        <w:widowControl w:val="0"/>
        <w:adjustRightInd w:val="0"/>
        <w:snapToGrid w:val="0"/>
        <w:spacing w:before="156" w:beforeLines="50" w:line="360" w:lineRule="auto"/>
        <w:ind w:firstLine="420" w:firstLineChars="200"/>
        <w:rPr>
          <w:rFonts w:hint="eastAsia" w:ascii="宋体" w:hAnsi="宋体" w:eastAsia="宋体" w:cs="宋体"/>
          <w:color w:val="auto"/>
          <w:szCs w:val="24"/>
          <w:highlight w:val="none"/>
        </w:rPr>
      </w:pPr>
      <w:r>
        <w:rPr>
          <w:rFonts w:ascii="宋体" w:hAnsi="宋体" w:eastAsia="宋体" w:cs="宋体"/>
          <w:color w:val="auto"/>
          <w:szCs w:val="24"/>
          <w:highlight w:val="none"/>
        </w:rPr>
        <w:t>15.2</w:t>
      </w:r>
      <w:r>
        <w:rPr>
          <w:rFonts w:ascii="宋体" w:hAnsi="宋体" w:eastAsia="宋体" w:cs="宋体"/>
          <w:color w:val="auto"/>
          <w:szCs w:val="21"/>
          <w:highlight w:val="none"/>
        </w:rPr>
        <w:t>已完成审核的供应商应在本项目获取谈判文件截止时间前登录郴州市政府采购（非标）电子交易平台（网址：</w:t>
      </w:r>
      <w:r>
        <w:rPr>
          <w:color w:val="auto"/>
          <w:highlight w:val="none"/>
        </w:rPr>
        <w:fldChar w:fldCharType="begin"/>
      </w:r>
      <w:r>
        <w:rPr>
          <w:color w:val="auto"/>
          <w:highlight w:val="none"/>
        </w:rPr>
        <w:instrText xml:space="preserve"> HYPERLINK "http://cz.hbncp.com.cn/" \l "/）免费获取及下载电子磋商文件。" </w:instrText>
      </w:r>
      <w:r>
        <w:rPr>
          <w:color w:val="auto"/>
          <w:highlight w:val="none"/>
        </w:rPr>
        <w:fldChar w:fldCharType="separate"/>
      </w:r>
      <w:r>
        <w:rPr>
          <w:rFonts w:ascii="宋体" w:hAnsi="宋体" w:eastAsia="宋体" w:cs="宋体"/>
          <w:color w:val="auto"/>
          <w:szCs w:val="21"/>
          <w:highlight w:val="none"/>
          <w:u w:val="single"/>
        </w:rPr>
        <w:t>http://cz.hbncp.com.cn/#/）</w:t>
      </w:r>
      <w:r>
        <w:rPr>
          <w:rFonts w:ascii="宋体" w:hAnsi="宋体" w:eastAsia="宋体" w:cs="宋体"/>
          <w:color w:val="auto"/>
          <w:szCs w:val="21"/>
          <w:highlight w:val="none"/>
          <w:u w:val="single"/>
        </w:rPr>
        <w:fldChar w:fldCharType="end"/>
      </w:r>
      <w:r>
        <w:rPr>
          <w:rFonts w:ascii="宋体" w:hAnsi="宋体" w:eastAsia="宋体" w:cs="宋体"/>
          <w:color w:val="auto"/>
          <w:szCs w:val="21"/>
          <w:highlight w:val="none"/>
        </w:rPr>
        <w:t>中进行“公告”--“立即投递”--“下载文件”的操作，逾期将不能获取谈判文件。未按照相关程序操作的供应商，所产生的后果由供应商自行承担全部责任。</w:t>
      </w:r>
    </w:p>
    <w:p>
      <w:pPr>
        <w:widowControl w:val="0"/>
        <w:adjustRightInd w:val="0"/>
        <w:snapToGrid w:val="0"/>
        <w:spacing w:before="156" w:beforeLines="50" w:line="360" w:lineRule="auto"/>
        <w:ind w:firstLine="420" w:firstLineChars="200"/>
        <w:rPr>
          <w:rFonts w:hint="eastAsia" w:ascii="宋体" w:hAnsi="宋体" w:eastAsia="宋体" w:cs="宋体"/>
          <w:color w:val="auto"/>
          <w:szCs w:val="24"/>
          <w:highlight w:val="none"/>
        </w:rPr>
      </w:pPr>
      <w:r>
        <w:rPr>
          <w:rFonts w:ascii="宋体" w:hAnsi="宋体" w:eastAsia="宋体" w:cs="宋体"/>
          <w:color w:val="auto"/>
          <w:szCs w:val="24"/>
          <w:highlight w:val="none"/>
        </w:rPr>
        <w:t xml:space="preserve">供应商确认响应后，应当在交易平台上认可的“制作工具软件下载”制作响应文件（含澄清、说明文件）并进行固化、加密；否则将可能影响电子响应文件的上传而导致响应无效。 </w:t>
      </w:r>
    </w:p>
    <w:p>
      <w:pPr>
        <w:widowControl w:val="0"/>
        <w:adjustRightInd w:val="0"/>
        <w:snapToGrid w:val="0"/>
        <w:spacing w:before="156" w:beforeLines="50" w:line="360" w:lineRule="auto"/>
        <w:ind w:firstLine="420" w:firstLineChars="200"/>
        <w:rPr>
          <w:rFonts w:hint="eastAsia" w:ascii="宋体" w:hAnsi="宋体" w:eastAsia="宋体" w:cs="宋体"/>
          <w:color w:val="auto"/>
          <w:szCs w:val="24"/>
          <w:highlight w:val="none"/>
        </w:rPr>
      </w:pPr>
      <w:r>
        <w:rPr>
          <w:rFonts w:ascii="宋体" w:hAnsi="宋体" w:eastAsia="宋体" w:cs="宋体"/>
          <w:color w:val="auto"/>
          <w:szCs w:val="24"/>
          <w:highlight w:val="none"/>
        </w:rPr>
        <w:t>15.3供应商应按照电子</w:t>
      </w:r>
      <w:r>
        <w:rPr>
          <w:rFonts w:hint="eastAsia" w:ascii="宋体" w:hAnsi="宋体" w:eastAsia="宋体" w:cs="宋体"/>
          <w:color w:val="auto"/>
          <w:szCs w:val="24"/>
          <w:highlight w:val="none"/>
        </w:rPr>
        <w:t>谈判</w:t>
      </w:r>
      <w:r>
        <w:rPr>
          <w:rFonts w:ascii="宋体" w:hAnsi="宋体" w:eastAsia="宋体" w:cs="宋体"/>
          <w:color w:val="auto"/>
          <w:szCs w:val="24"/>
          <w:highlight w:val="none"/>
        </w:rPr>
        <w:t>文件格式及非标工具编制响应文件及综合评分表的相关资料。必须按</w:t>
      </w:r>
      <w:bookmarkStart w:id="104" w:name="OLE_LINK43"/>
      <w:r>
        <w:rPr>
          <w:rFonts w:hint="eastAsia" w:ascii="宋体" w:hAnsi="宋体" w:eastAsia="宋体" w:cs="宋体"/>
          <w:color w:val="auto"/>
          <w:szCs w:val="24"/>
          <w:highlight w:val="none"/>
        </w:rPr>
        <w:t>谈判</w:t>
      </w:r>
      <w:bookmarkEnd w:id="104"/>
      <w:r>
        <w:rPr>
          <w:rFonts w:ascii="宋体" w:hAnsi="宋体" w:eastAsia="宋体" w:cs="宋体"/>
          <w:color w:val="auto"/>
          <w:szCs w:val="24"/>
          <w:highlight w:val="none"/>
        </w:rPr>
        <w:t xml:space="preserve">文件目录和节点对应位置上传或填写相应资料，否则，由于编制上传位置失误，系统将判断供应商未递交此项资料，由此造成的后果和责任由供应商自行承担。 </w:t>
      </w:r>
    </w:p>
    <w:p>
      <w:pPr>
        <w:widowControl w:val="0"/>
        <w:adjustRightInd w:val="0"/>
        <w:snapToGrid w:val="0"/>
        <w:spacing w:before="156" w:beforeLines="50" w:line="360" w:lineRule="auto"/>
        <w:ind w:firstLine="420" w:firstLineChars="200"/>
        <w:rPr>
          <w:rFonts w:hint="eastAsia" w:ascii="宋体" w:hAnsi="宋体" w:eastAsia="宋体" w:cs="宋体"/>
          <w:color w:val="auto"/>
          <w:szCs w:val="24"/>
          <w:highlight w:val="none"/>
        </w:rPr>
      </w:pPr>
      <w:r>
        <w:rPr>
          <w:rFonts w:ascii="宋体" w:hAnsi="宋体" w:eastAsia="宋体" w:cs="宋体"/>
          <w:color w:val="auto"/>
          <w:szCs w:val="24"/>
          <w:highlight w:val="none"/>
        </w:rPr>
        <w:t xml:space="preserve">15.4供应商应注意压缩电子文件，上传的有关扫描件的尺寸和清晰度应该能够在电脑上被阅读、识别和判断。若供应商未按要求提供证明材料或提供的仅是部分证明材料或提供不清晰的扫描件复印件，无法阅读、识别和判断的，由此可能导致的不予计分、废标等后果由供应商自行承担。 </w:t>
      </w:r>
    </w:p>
    <w:p>
      <w:pPr>
        <w:widowControl w:val="0"/>
        <w:adjustRightInd w:val="0"/>
        <w:snapToGrid w:val="0"/>
        <w:spacing w:before="156" w:beforeLines="50" w:line="360" w:lineRule="auto"/>
        <w:ind w:firstLine="420" w:firstLineChars="200"/>
        <w:rPr>
          <w:rFonts w:hint="eastAsia" w:ascii="宋体" w:hAnsi="宋体" w:eastAsia="宋体" w:cs="宋体"/>
          <w:color w:val="auto"/>
          <w:szCs w:val="24"/>
          <w:highlight w:val="none"/>
        </w:rPr>
      </w:pPr>
      <w:r>
        <w:rPr>
          <w:rFonts w:ascii="宋体" w:hAnsi="宋体" w:eastAsia="宋体" w:cs="宋体"/>
          <w:color w:val="auto"/>
          <w:szCs w:val="21"/>
          <w:highlight w:val="none"/>
        </w:rPr>
        <w:t>本项目电子响应文件容量应当控制在100MB以内（如文件大小超过100MB，请联系系统客服协助解决），请供应商注意控制文件大小。若因响应文件容量较大而影响响应的，其责任由供应商自行承担。</w:t>
      </w:r>
    </w:p>
    <w:p>
      <w:pPr>
        <w:widowControl w:val="0"/>
        <w:adjustRightInd w:val="0"/>
        <w:snapToGrid w:val="0"/>
        <w:spacing w:before="156" w:beforeLines="50" w:line="360" w:lineRule="auto"/>
        <w:ind w:firstLine="420" w:firstLineChars="200"/>
        <w:rPr>
          <w:rFonts w:hint="eastAsia" w:ascii="宋体" w:hAnsi="宋体" w:eastAsia="宋体" w:cs="宋体"/>
          <w:color w:val="auto"/>
          <w:szCs w:val="24"/>
          <w:highlight w:val="none"/>
        </w:rPr>
      </w:pPr>
      <w:r>
        <w:rPr>
          <w:rFonts w:ascii="宋体" w:hAnsi="宋体" w:eastAsia="宋体" w:cs="宋体"/>
          <w:color w:val="auto"/>
          <w:szCs w:val="24"/>
          <w:highlight w:val="none"/>
        </w:rPr>
        <w:t xml:space="preserve">15.5供应商应在电子响应文件指定签章处采用交易平台认可的 CA 数字证书（含电子印章）进行签章。 </w:t>
      </w:r>
    </w:p>
    <w:p>
      <w:pPr>
        <w:widowControl w:val="0"/>
        <w:adjustRightInd w:val="0"/>
        <w:snapToGrid w:val="0"/>
        <w:spacing w:before="156" w:beforeLines="50" w:line="360" w:lineRule="auto"/>
        <w:ind w:firstLine="420" w:firstLineChars="200"/>
        <w:rPr>
          <w:rFonts w:hint="eastAsia" w:ascii="宋体" w:hAnsi="宋体" w:eastAsia="宋体" w:cs="宋体"/>
          <w:color w:val="auto"/>
          <w:szCs w:val="24"/>
          <w:highlight w:val="none"/>
        </w:rPr>
      </w:pPr>
      <w:r>
        <w:rPr>
          <w:rFonts w:ascii="宋体" w:hAnsi="宋体" w:eastAsia="宋体" w:cs="宋体"/>
          <w:color w:val="auto"/>
          <w:szCs w:val="24"/>
          <w:highlight w:val="none"/>
        </w:rPr>
        <w:t>15.6电子响应文件具有法律效力，若响应文件与</w:t>
      </w:r>
      <w:r>
        <w:rPr>
          <w:rFonts w:hint="eastAsia" w:ascii="宋体" w:hAnsi="宋体" w:eastAsia="宋体" w:cs="宋体"/>
          <w:color w:val="auto"/>
          <w:szCs w:val="24"/>
          <w:highlight w:val="none"/>
        </w:rPr>
        <w:t>谈判</w:t>
      </w:r>
      <w:r>
        <w:rPr>
          <w:rFonts w:ascii="宋体" w:hAnsi="宋体" w:eastAsia="宋体" w:cs="宋体"/>
          <w:color w:val="auto"/>
          <w:szCs w:val="24"/>
          <w:highlight w:val="none"/>
        </w:rPr>
        <w:t>文件要求不一致，其内容影响成交结果时，责任由供应商自行承担。</w:t>
      </w:r>
    </w:p>
    <w:bookmarkEnd w:id="102"/>
    <w:p>
      <w:pPr>
        <w:widowControl w:val="0"/>
        <w:adjustRightInd w:val="0"/>
        <w:snapToGrid w:val="0"/>
        <w:spacing w:line="360" w:lineRule="auto"/>
        <w:jc w:val="center"/>
        <w:outlineLvl w:val="2"/>
        <w:rPr>
          <w:rFonts w:hint="eastAsia" w:ascii="黑体" w:hAnsi="黑体" w:eastAsia="黑体" w:cs="Times New Roman"/>
          <w:b/>
          <w:bCs/>
          <w:color w:val="auto"/>
          <w:sz w:val="28"/>
          <w:szCs w:val="28"/>
          <w:highlight w:val="none"/>
        </w:rPr>
      </w:pPr>
      <w:bookmarkStart w:id="105" w:name="_Toc214954906"/>
      <w:r>
        <w:rPr>
          <w:rFonts w:hint="eastAsia" w:ascii="黑体" w:hAnsi="黑体" w:eastAsia="黑体" w:cs="Times New Roman"/>
          <w:b/>
          <w:bCs/>
          <w:color w:val="auto"/>
          <w:sz w:val="28"/>
          <w:szCs w:val="28"/>
          <w:highlight w:val="none"/>
        </w:rPr>
        <w:t>四、响应文件的递交</w:t>
      </w:r>
      <w:bookmarkEnd w:id="103"/>
      <w:bookmarkEnd w:id="105"/>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06" w:name="_Toc107997854"/>
      <w:bookmarkStart w:id="107" w:name="_Toc107997981"/>
      <w:r>
        <w:rPr>
          <w:rFonts w:hint="eastAsia" w:ascii="黑体" w:hAnsi="黑体" w:eastAsia="黑体" w:cs="Times New Roman"/>
          <w:b/>
          <w:bCs/>
          <w:color w:val="auto"/>
          <w:sz w:val="24"/>
          <w:szCs w:val="24"/>
          <w:highlight w:val="none"/>
        </w:rPr>
        <w:t>16.电子响应文件的</w:t>
      </w:r>
      <w:bookmarkEnd w:id="106"/>
      <w:bookmarkEnd w:id="107"/>
      <w:r>
        <w:rPr>
          <w:rFonts w:hint="eastAsia" w:ascii="黑体" w:hAnsi="黑体" w:eastAsia="黑体" w:cs="Times New Roman"/>
          <w:b/>
          <w:bCs/>
          <w:color w:val="auto"/>
          <w:sz w:val="24"/>
          <w:szCs w:val="24"/>
          <w:highlight w:val="none"/>
        </w:rPr>
        <w:t>加密和递交</w:t>
      </w:r>
    </w:p>
    <w:p>
      <w:pPr>
        <w:widowControl w:val="0"/>
        <w:spacing w:line="360" w:lineRule="auto"/>
        <w:ind w:firstLine="420" w:firstLineChars="200"/>
        <w:jc w:val="both"/>
        <w:rPr>
          <w:rFonts w:hint="eastAsia" w:ascii="宋体" w:hAnsi="宋体" w:eastAsia="宋体" w:cs="宋体"/>
          <w:color w:val="auto"/>
          <w:kern w:val="0"/>
          <w:szCs w:val="21"/>
          <w:highlight w:val="none"/>
        </w:rPr>
      </w:pPr>
      <w:bookmarkStart w:id="108" w:name="_Toc107997855"/>
      <w:bookmarkStart w:id="109" w:name="_Toc107997982"/>
      <w:r>
        <w:rPr>
          <w:rFonts w:ascii="宋体" w:hAnsi="宋体" w:eastAsia="宋体" w:cs="宋体"/>
          <w:color w:val="auto"/>
          <w:kern w:val="0"/>
          <w:szCs w:val="21"/>
          <w:highlight w:val="none"/>
        </w:rPr>
        <w:t>16.1供应商应在本项目获取谈判文件截止时间前登录郴州市公共资源（非标）电子交易平台（网址：http://cz.hbncp.com.cn/#/）进行线上上传电子响应文件。</w:t>
      </w:r>
    </w:p>
    <w:p>
      <w:pPr>
        <w:widowControl w:val="0"/>
        <w:spacing w:line="360" w:lineRule="auto"/>
        <w:ind w:firstLine="420" w:firstLineChars="200"/>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16.2供应商应在本谈判文件规定的递交截止时间之前，在交易平台中递交电子响应文件，电子响应文件经过CA数字证书加密后上传递交，其它任何单位或个人均无法在递交截止时间之前查看或篡改，不存在泄密风险。供应商还需在投递页面填写本项目谈判的代表（法定代表人或授权代表人）的手机号码，以便顺利进行视频会议邀请通知。</w:t>
      </w:r>
    </w:p>
    <w:p>
      <w:pPr>
        <w:widowControl w:val="0"/>
        <w:spacing w:line="360" w:lineRule="auto"/>
        <w:ind w:firstLine="420" w:firstLineChars="200"/>
        <w:jc w:val="both"/>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16.3供应商需在响应文件及最后报价规定解密截止时间前，进行响应文件的解密；未在规定时间解密的将视为未递交响应文件，其响应无效。</w:t>
      </w:r>
    </w:p>
    <w:p>
      <w:pPr>
        <w:widowControl w:val="0"/>
        <w:spacing w:line="360" w:lineRule="auto"/>
        <w:jc w:val="both"/>
        <w:outlineLvl w:val="3"/>
        <w:rPr>
          <w:rFonts w:hint="eastAsia" w:ascii="黑体" w:hAnsi="黑体" w:eastAsia="黑体" w:cs="Times New Roman"/>
          <w:b/>
          <w:bCs/>
          <w:color w:val="auto"/>
          <w:sz w:val="24"/>
          <w:szCs w:val="24"/>
          <w:highlight w:val="none"/>
        </w:rPr>
      </w:pPr>
      <w:r>
        <w:rPr>
          <w:rFonts w:hint="eastAsia" w:ascii="黑体" w:hAnsi="黑体" w:eastAsia="黑体" w:cs="Times New Roman"/>
          <w:b/>
          <w:bCs/>
          <w:color w:val="auto"/>
          <w:sz w:val="24"/>
          <w:szCs w:val="24"/>
          <w:highlight w:val="none"/>
        </w:rPr>
        <w:t>17.电子响应文件的补充、</w:t>
      </w:r>
      <w:r>
        <w:rPr>
          <w:rFonts w:hint="eastAsia" w:ascii="黑体" w:hAnsi="黑体" w:eastAsia="黑体" w:cs="宋体"/>
          <w:b/>
          <w:bCs/>
          <w:color w:val="auto"/>
          <w:kern w:val="0"/>
          <w:sz w:val="24"/>
          <w:szCs w:val="24"/>
          <w:highlight w:val="none"/>
          <w:lang w:val="zh-CN"/>
        </w:rPr>
        <w:t>修改或撤回</w:t>
      </w:r>
      <w:bookmarkEnd w:id="108"/>
      <w:bookmarkEnd w:id="109"/>
    </w:p>
    <w:p>
      <w:pPr>
        <w:widowControl w:val="0"/>
        <w:spacing w:line="360" w:lineRule="auto"/>
        <w:ind w:firstLine="420" w:firstLineChars="200"/>
        <w:jc w:val="both"/>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17.1</w:t>
      </w:r>
      <w:r>
        <w:rPr>
          <w:rFonts w:hint="eastAsia" w:ascii="宋体" w:hAnsi="宋体" w:eastAsia="宋体" w:cs="宋体"/>
          <w:color w:val="auto"/>
          <w:kern w:val="0"/>
          <w:szCs w:val="21"/>
          <w:highlight w:val="none"/>
        </w:rPr>
        <w:t>供应商在递交响应文件后，可以撤回并修改其响应文件，但供应商必须在规定的谈判截止时间之前将修改的响应文件在郴州市政府采购（非标）电子交易系统上重新递交。在递交首次响应文件截止时间之后，供应商不得要求对其响应文件做任何修改。</w:t>
      </w:r>
    </w:p>
    <w:p>
      <w:pPr>
        <w:widowControl w:val="0"/>
        <w:spacing w:line="360" w:lineRule="auto"/>
        <w:ind w:firstLine="420" w:firstLineChars="200"/>
        <w:jc w:val="both"/>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17.2 补充、修改的内容与响应文件不一致时，以补充、修改的内容为准。</w:t>
      </w:r>
    </w:p>
    <w:p>
      <w:pPr>
        <w:widowControl w:val="0"/>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17.3 采购人、采购代理机构发布了修改、澄清文件的，供应商应按照修改、澄清后的谈判文件要求重新编制响应文件并上传至交易平台。</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10" w:name="_Toc107997983"/>
      <w:bookmarkStart w:id="111" w:name="_Toc107997856"/>
      <w:r>
        <w:rPr>
          <w:rFonts w:hint="eastAsia" w:ascii="黑体" w:hAnsi="黑体" w:eastAsia="黑体" w:cs="Times New Roman"/>
          <w:b/>
          <w:bCs/>
          <w:color w:val="auto"/>
          <w:sz w:val="24"/>
          <w:szCs w:val="24"/>
          <w:highlight w:val="none"/>
        </w:rPr>
        <w:t>18.响应文件的递交与接收</w:t>
      </w:r>
      <w:bookmarkEnd w:id="110"/>
      <w:bookmarkEnd w:id="111"/>
    </w:p>
    <w:p>
      <w:pPr>
        <w:widowControl w:val="0"/>
        <w:adjustRightInd w:val="0"/>
        <w:snapToGrid w:val="0"/>
        <w:spacing w:line="360" w:lineRule="auto"/>
        <w:ind w:firstLine="420" w:firstLineChars="200"/>
        <w:jc w:val="both"/>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18.1供应商应在</w:t>
      </w:r>
      <w:r>
        <w:rPr>
          <w:rFonts w:hint="eastAsia" w:ascii="宋体" w:hAnsi="宋体" w:eastAsia="宋体" w:cs="宋体"/>
          <w:b/>
          <w:color w:val="auto"/>
          <w:szCs w:val="21"/>
          <w:highlight w:val="none"/>
        </w:rPr>
        <w:t>【谈判须知前附表】</w:t>
      </w:r>
      <w:r>
        <w:rPr>
          <w:rFonts w:hint="eastAsia" w:ascii="宋体" w:hAnsi="宋体" w:eastAsia="宋体" w:cs="宋体"/>
          <w:color w:val="auto"/>
          <w:szCs w:val="21"/>
          <w:highlight w:val="none"/>
        </w:rPr>
        <w:t>规定的</w:t>
      </w:r>
      <w:r>
        <w:rPr>
          <w:rFonts w:hint="eastAsia" w:ascii="宋体" w:hAnsi="宋体" w:eastAsia="宋体" w:cs="宋体"/>
          <w:color w:val="auto"/>
          <w:kern w:val="0"/>
          <w:szCs w:val="21"/>
          <w:highlight w:val="none"/>
        </w:rPr>
        <w:t>时间和</w:t>
      </w:r>
      <w:r>
        <w:rPr>
          <w:rFonts w:hint="eastAsia" w:ascii="宋体" w:hAnsi="宋体" w:eastAsia="宋体" w:cs="宋体"/>
          <w:color w:val="auto"/>
          <w:szCs w:val="21"/>
          <w:highlight w:val="none"/>
        </w:rPr>
        <w:t>地点递交响应文件。</w:t>
      </w:r>
      <w:r>
        <w:rPr>
          <w:rFonts w:hint="eastAsia" w:ascii="宋体" w:hAnsi="宋体" w:eastAsia="宋体" w:cs="宋体"/>
          <w:color w:val="auto"/>
          <w:kern w:val="0"/>
          <w:szCs w:val="21"/>
          <w:highlight w:val="none"/>
        </w:rPr>
        <w:t>采购人、采购代理机构或者谈判小组拒收逾期送达的响应文件。</w:t>
      </w:r>
    </w:p>
    <w:p>
      <w:pPr>
        <w:widowControl w:val="0"/>
        <w:adjustRightInd w:val="0"/>
        <w:snapToGrid w:val="0"/>
        <w:spacing w:line="360" w:lineRule="auto"/>
        <w:ind w:firstLine="420" w:firstLineChars="200"/>
        <w:jc w:val="both"/>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18.2交易平台将在递交截止时间到达后，关闭递交响应文件的入口，供应商届时将无法递交响应文件。</w:t>
      </w:r>
    </w:p>
    <w:p>
      <w:pPr>
        <w:widowControl w:val="0"/>
        <w:adjustRightInd w:val="0"/>
        <w:snapToGrid w:val="0"/>
        <w:spacing w:line="360" w:lineRule="auto"/>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18.3采购人、</w:t>
      </w:r>
      <w:r>
        <w:rPr>
          <w:rFonts w:hint="eastAsia" w:ascii="宋体" w:hAnsi="宋体" w:eastAsia="宋体" w:cs="宋体"/>
          <w:bCs/>
          <w:color w:val="auto"/>
          <w:szCs w:val="21"/>
          <w:highlight w:val="none"/>
        </w:rPr>
        <w:t>采购代理机构</w:t>
      </w:r>
      <w:r>
        <w:rPr>
          <w:rFonts w:hint="eastAsia" w:ascii="宋体" w:hAnsi="宋体" w:eastAsia="宋体" w:cs="宋体"/>
          <w:color w:val="auto"/>
          <w:szCs w:val="21"/>
          <w:highlight w:val="none"/>
        </w:rPr>
        <w:t>在按本章第26.3款规定公布供应商的最后报价前，不公开供应商的技术资料、价格和其他信息。</w:t>
      </w:r>
    </w:p>
    <w:p>
      <w:pPr>
        <w:widowControl w:val="0"/>
        <w:adjustRightInd w:val="0"/>
        <w:snapToGrid w:val="0"/>
        <w:spacing w:line="360" w:lineRule="auto"/>
        <w:jc w:val="center"/>
        <w:outlineLvl w:val="2"/>
        <w:rPr>
          <w:rFonts w:hint="eastAsia" w:ascii="黑体" w:hAnsi="黑体" w:eastAsia="黑体" w:cs="Times New Roman"/>
          <w:b/>
          <w:bCs/>
          <w:color w:val="auto"/>
          <w:sz w:val="28"/>
          <w:szCs w:val="28"/>
          <w:highlight w:val="none"/>
        </w:rPr>
      </w:pPr>
      <w:bookmarkStart w:id="112" w:name="_Toc214954907"/>
      <w:bookmarkStart w:id="113" w:name="_Toc107997984"/>
      <w:r>
        <w:rPr>
          <w:rFonts w:hint="eastAsia" w:ascii="黑体" w:hAnsi="黑体" w:eastAsia="黑体" w:cs="Times New Roman"/>
          <w:b/>
          <w:bCs/>
          <w:color w:val="auto"/>
          <w:sz w:val="28"/>
          <w:szCs w:val="28"/>
          <w:highlight w:val="none"/>
        </w:rPr>
        <w:t>五、响应文件的评审与谈判</w:t>
      </w:r>
      <w:bookmarkEnd w:id="112"/>
      <w:bookmarkEnd w:id="113"/>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14" w:name="_Toc107997858"/>
      <w:bookmarkStart w:id="115" w:name="_Toc107997985"/>
      <w:r>
        <w:rPr>
          <w:rFonts w:hint="eastAsia" w:ascii="黑体" w:hAnsi="黑体" w:eastAsia="黑体" w:cs="Times New Roman"/>
          <w:b/>
          <w:bCs/>
          <w:color w:val="auto"/>
          <w:sz w:val="24"/>
          <w:szCs w:val="24"/>
          <w:highlight w:val="none"/>
        </w:rPr>
        <w:t>19.供应商资格审查</w:t>
      </w:r>
      <w:bookmarkEnd w:id="114"/>
      <w:bookmarkEnd w:id="115"/>
    </w:p>
    <w:p>
      <w:pPr>
        <w:widowControl w:val="0"/>
        <w:autoSpaceDE w:val="0"/>
        <w:autoSpaceDN w:val="0"/>
        <w:adjustRightInd w:val="0"/>
        <w:spacing w:line="360" w:lineRule="auto"/>
        <w:ind w:firstLine="420" w:firstLineChars="200"/>
        <w:rPr>
          <w:rFonts w:hint="eastAsia" w:ascii="宋体" w:hAnsi="宋体" w:eastAsia="宋体" w:cs="宋体"/>
          <w:color w:val="auto"/>
          <w:kern w:val="0"/>
          <w:szCs w:val="21"/>
          <w:highlight w:val="none"/>
        </w:rPr>
      </w:pPr>
      <w:bookmarkStart w:id="116" w:name="_Toc107997987"/>
      <w:bookmarkStart w:id="117" w:name="_Toc107997860"/>
      <w:r>
        <w:rPr>
          <w:rFonts w:hint="eastAsia" w:ascii="宋体" w:hAnsi="宋体" w:eastAsia="宋体" w:cs="宋体"/>
          <w:color w:val="auto"/>
          <w:kern w:val="0"/>
          <w:szCs w:val="21"/>
          <w:highlight w:val="none"/>
        </w:rPr>
        <w:t>19</w:t>
      </w:r>
      <w:r>
        <w:rPr>
          <w:rFonts w:hint="eastAsia" w:ascii="宋体" w:hAnsi="宋体" w:eastAsia="宋体" w:cs="宋体"/>
          <w:color w:val="auto"/>
          <w:kern w:val="0"/>
          <w:szCs w:val="21"/>
          <w:highlight w:val="none"/>
          <w:lang w:bidi="ar"/>
        </w:rPr>
        <w:t>.1 资格审查由谈判小组全体成员进行。</w:t>
      </w:r>
      <w:r>
        <w:rPr>
          <w:rFonts w:hint="eastAsia" w:ascii="宋体" w:hAnsi="宋体" w:eastAsia="宋体" w:cs="宋体"/>
          <w:color w:val="auto"/>
          <w:kern w:val="0"/>
          <w:szCs w:val="21"/>
          <w:highlight w:val="none"/>
        </w:rPr>
        <w:t>如果供应商不再具备本章第3.1款规定的供应商资格条件时，其</w:t>
      </w:r>
      <w:r>
        <w:rPr>
          <w:rFonts w:hint="eastAsia" w:ascii="宋体" w:hAnsi="宋体" w:eastAsia="宋体" w:cs="宋体"/>
          <w:b/>
          <w:color w:val="auto"/>
          <w:kern w:val="0"/>
          <w:szCs w:val="21"/>
          <w:highlight w:val="none"/>
        </w:rPr>
        <w:t>响应文件无效</w:t>
      </w:r>
      <w:r>
        <w:rPr>
          <w:rFonts w:hint="eastAsia" w:ascii="宋体" w:hAnsi="宋体" w:eastAsia="宋体" w:cs="宋体"/>
          <w:color w:val="auto"/>
          <w:kern w:val="0"/>
          <w:szCs w:val="21"/>
          <w:highlight w:val="none"/>
        </w:rPr>
        <w:t>。</w:t>
      </w:r>
    </w:p>
    <w:p>
      <w:pPr>
        <w:widowControl w:val="0"/>
        <w:autoSpaceDE w:val="0"/>
        <w:autoSpaceDN w:val="0"/>
        <w:adjustRightInd w:val="0"/>
        <w:spacing w:line="360" w:lineRule="auto"/>
        <w:ind w:firstLine="420" w:firstLineChars="200"/>
        <w:rPr>
          <w:rFonts w:hint="eastAsia" w:ascii="宋体" w:hAnsi="宋体" w:eastAsia="宋体" w:cs="宋体"/>
          <w:color w:val="auto"/>
          <w:kern w:val="0"/>
          <w:sz w:val="20"/>
          <w:szCs w:val="20"/>
          <w:highlight w:val="none"/>
        </w:rPr>
      </w:pPr>
      <w:r>
        <w:rPr>
          <w:rFonts w:hint="eastAsia" w:ascii="宋体" w:hAnsi="宋体" w:eastAsia="宋体" w:cs="宋体"/>
          <w:color w:val="auto"/>
          <w:kern w:val="0"/>
          <w:szCs w:val="21"/>
          <w:highlight w:val="none"/>
        </w:rPr>
        <w:t>19.2 资格审查不合格的供应商不进入谈判程序；</w:t>
      </w:r>
      <w:r>
        <w:rPr>
          <w:rFonts w:hint="eastAsia" w:ascii="宋体" w:hAnsi="宋体" w:eastAsia="宋体" w:cs="宋体"/>
          <w:b/>
          <w:bCs/>
          <w:color w:val="auto"/>
          <w:kern w:val="0"/>
          <w:szCs w:val="21"/>
          <w:highlight w:val="none"/>
        </w:rPr>
        <w:t>除本章第31.1（3）款规定的情形外，</w:t>
      </w:r>
      <w:r>
        <w:rPr>
          <w:rFonts w:hint="eastAsia" w:ascii="宋体" w:hAnsi="宋体" w:eastAsia="宋体" w:cs="宋体"/>
          <w:color w:val="auto"/>
          <w:kern w:val="0"/>
          <w:szCs w:val="21"/>
          <w:highlight w:val="none"/>
        </w:rPr>
        <w:t>资格审查合格供应商少于3家的，不得继续进行谈判采购活动。</w:t>
      </w:r>
    </w:p>
    <w:p>
      <w:pPr>
        <w:widowControl w:val="0"/>
        <w:spacing w:line="360" w:lineRule="auto"/>
        <w:jc w:val="both"/>
        <w:outlineLvl w:val="3"/>
        <w:rPr>
          <w:rFonts w:hint="eastAsia" w:ascii="黑体" w:hAnsi="黑体" w:eastAsia="黑体" w:cs="Times New Roman"/>
          <w:b/>
          <w:bCs/>
          <w:color w:val="auto"/>
          <w:sz w:val="24"/>
          <w:szCs w:val="24"/>
          <w:highlight w:val="none"/>
        </w:rPr>
      </w:pPr>
      <w:r>
        <w:rPr>
          <w:rFonts w:hint="eastAsia" w:ascii="黑体" w:hAnsi="黑体" w:eastAsia="黑体" w:cs="Times New Roman"/>
          <w:b/>
          <w:bCs/>
          <w:color w:val="auto"/>
          <w:sz w:val="24"/>
          <w:szCs w:val="24"/>
          <w:highlight w:val="none"/>
        </w:rPr>
        <w:t>20.谈判小组</w:t>
      </w:r>
      <w:bookmarkEnd w:id="116"/>
      <w:bookmarkEnd w:id="117"/>
    </w:p>
    <w:p>
      <w:pPr>
        <w:widowControl w:val="0"/>
        <w:adjustRightInd w:val="0"/>
        <w:snapToGrid w:val="0"/>
        <w:spacing w:line="360" w:lineRule="auto"/>
        <w:ind w:firstLine="42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20.1谈判小组由采购人代表和评审专家组成。</w:t>
      </w:r>
    </w:p>
    <w:p>
      <w:pPr>
        <w:widowControl w:val="0"/>
        <w:adjustRightInd w:val="0"/>
        <w:snapToGrid w:val="0"/>
        <w:spacing w:line="360" w:lineRule="auto"/>
        <w:ind w:firstLine="420"/>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20.2谈判小组</w:t>
      </w:r>
      <w:r>
        <w:rPr>
          <w:rFonts w:ascii="宋体" w:hAnsi="宋体" w:eastAsia="宋体" w:cs="Times New Roman"/>
          <w:color w:val="auto"/>
          <w:szCs w:val="21"/>
          <w:highlight w:val="none"/>
        </w:rPr>
        <w:t>成员有下列情形之一的，应当回避：</w:t>
      </w:r>
    </w:p>
    <w:p>
      <w:pPr>
        <w:widowControl w:val="0"/>
        <w:adjustRightInd w:val="0"/>
        <w:snapToGrid w:val="0"/>
        <w:spacing w:line="360" w:lineRule="auto"/>
        <w:ind w:firstLine="420"/>
        <w:rPr>
          <w:rFonts w:ascii="Times New Roman" w:hAnsi="Times New Roman" w:eastAsia="宋体" w:cs="Times New Roman"/>
          <w:color w:val="auto"/>
          <w:szCs w:val="21"/>
          <w:highlight w:val="none"/>
        </w:rPr>
      </w:pPr>
      <w:r>
        <w:rPr>
          <w:rFonts w:ascii="宋体" w:hAnsi="宋体" w:eastAsia="宋体" w:cs="Times New Roman"/>
          <w:color w:val="auto"/>
          <w:szCs w:val="21"/>
          <w:highlight w:val="none"/>
        </w:rPr>
        <w:t>（1）参加采购活动前 3 年内与供应商存在劳动关系</w:t>
      </w:r>
      <w:r>
        <w:rPr>
          <w:rFonts w:hint="eastAsia" w:ascii="宋体" w:hAnsi="宋体" w:eastAsia="宋体" w:cs="Times New Roman"/>
          <w:color w:val="auto"/>
          <w:szCs w:val="21"/>
          <w:highlight w:val="none"/>
        </w:rPr>
        <w:t>；</w:t>
      </w:r>
    </w:p>
    <w:p>
      <w:pPr>
        <w:widowControl w:val="0"/>
        <w:adjustRightInd w:val="0"/>
        <w:snapToGrid w:val="0"/>
        <w:spacing w:line="360" w:lineRule="auto"/>
        <w:ind w:firstLine="420"/>
        <w:rPr>
          <w:rFonts w:ascii="Times New Roman" w:hAnsi="Times New Roman" w:eastAsia="宋体" w:cs="Times New Roman"/>
          <w:color w:val="auto"/>
          <w:szCs w:val="21"/>
          <w:highlight w:val="none"/>
        </w:rPr>
      </w:pPr>
      <w:r>
        <w:rPr>
          <w:rFonts w:ascii="宋体" w:hAnsi="宋体" w:eastAsia="宋体" w:cs="Times New Roman"/>
          <w:color w:val="auto"/>
          <w:szCs w:val="21"/>
          <w:highlight w:val="none"/>
        </w:rPr>
        <w:t>（2）参加采购活动前 3 年内担任供应商的董事、监事；</w:t>
      </w:r>
    </w:p>
    <w:p>
      <w:pPr>
        <w:widowControl w:val="0"/>
        <w:adjustRightInd w:val="0"/>
        <w:snapToGrid w:val="0"/>
        <w:spacing w:line="360" w:lineRule="auto"/>
        <w:ind w:firstLine="420"/>
        <w:rPr>
          <w:rFonts w:ascii="Times New Roman" w:hAnsi="Times New Roman" w:eastAsia="宋体" w:cs="Times New Roman"/>
          <w:color w:val="auto"/>
          <w:szCs w:val="21"/>
          <w:highlight w:val="none"/>
        </w:rPr>
      </w:pPr>
      <w:r>
        <w:rPr>
          <w:rFonts w:ascii="宋体" w:hAnsi="宋体" w:eastAsia="宋体" w:cs="Times New Roman"/>
          <w:color w:val="auto"/>
          <w:szCs w:val="21"/>
          <w:highlight w:val="none"/>
        </w:rPr>
        <w:t>（3）参加采购活动前 3 年内是供应商的控股股东或者实际控制人；</w:t>
      </w:r>
    </w:p>
    <w:p>
      <w:pPr>
        <w:widowControl w:val="0"/>
        <w:adjustRightInd w:val="0"/>
        <w:snapToGrid w:val="0"/>
        <w:spacing w:line="360" w:lineRule="auto"/>
        <w:ind w:firstLine="420"/>
        <w:rPr>
          <w:rFonts w:ascii="Times New Roman" w:hAnsi="Times New Roman" w:eastAsia="宋体" w:cs="Times New Roman"/>
          <w:color w:val="auto"/>
          <w:szCs w:val="21"/>
          <w:highlight w:val="none"/>
        </w:rPr>
      </w:pPr>
      <w:r>
        <w:rPr>
          <w:rFonts w:ascii="宋体" w:hAnsi="宋体" w:eastAsia="宋体" w:cs="Times New Roman"/>
          <w:color w:val="auto"/>
          <w:szCs w:val="21"/>
          <w:highlight w:val="none"/>
        </w:rPr>
        <w:t>（4）与供应商的法定代表人或者负责人有夫妻、直系血亲、三代以内旁系血</w:t>
      </w:r>
      <w:r>
        <w:rPr>
          <w:rFonts w:hint="eastAsia" w:ascii="Times New Roman" w:hAnsi="Times New Roman" w:eastAsia="宋体" w:cs="Times New Roman"/>
          <w:color w:val="auto"/>
          <w:szCs w:val="21"/>
          <w:highlight w:val="none"/>
        </w:rPr>
        <w:br w:type="textWrapping"/>
      </w:r>
      <w:r>
        <w:rPr>
          <w:rFonts w:ascii="宋体" w:hAnsi="宋体" w:eastAsia="宋体" w:cs="Times New Roman"/>
          <w:color w:val="auto"/>
          <w:szCs w:val="21"/>
          <w:highlight w:val="none"/>
        </w:rPr>
        <w:t>亲或者近姻亲关系；</w:t>
      </w:r>
    </w:p>
    <w:p>
      <w:pPr>
        <w:widowControl w:val="0"/>
        <w:adjustRightInd w:val="0"/>
        <w:snapToGrid w:val="0"/>
        <w:spacing w:line="360" w:lineRule="auto"/>
        <w:ind w:firstLine="420"/>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（5）与供应商有其他可能影响政府采购活动公平、公正进行的关系。</w:t>
      </w:r>
    </w:p>
    <w:p>
      <w:pPr>
        <w:widowControl w:val="0"/>
        <w:adjustRightInd w:val="0"/>
        <w:snapToGrid w:val="0"/>
        <w:spacing w:line="360" w:lineRule="auto"/>
        <w:ind w:firstLine="420"/>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20</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3谈判小组成员应当按照客观、公正、审慎的原则，根据谈判文件规定的评审程序、评审方法和评审标准进行独立评审。</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18" w:name="_Toc107997988"/>
      <w:bookmarkStart w:id="119" w:name="_Toc107997861"/>
      <w:r>
        <w:rPr>
          <w:rFonts w:hint="eastAsia" w:ascii="黑体" w:hAnsi="黑体" w:eastAsia="黑体" w:cs="Times New Roman"/>
          <w:b/>
          <w:bCs/>
          <w:color w:val="auto"/>
          <w:sz w:val="24"/>
          <w:szCs w:val="24"/>
          <w:highlight w:val="none"/>
        </w:rPr>
        <w:t>21.谈判程序</w:t>
      </w:r>
      <w:bookmarkEnd w:id="118"/>
      <w:bookmarkEnd w:id="119"/>
    </w:p>
    <w:p>
      <w:pPr>
        <w:widowControl w:val="0"/>
        <w:adjustRightInd w:val="0"/>
        <w:snapToGrid w:val="0"/>
        <w:spacing w:line="360" w:lineRule="auto"/>
        <w:ind w:firstLine="420"/>
        <w:rPr>
          <w:rFonts w:hint="eastAsia" w:ascii="宋体" w:hAnsi="宋体" w:eastAsia="宋体" w:cs="Times New Roman"/>
          <w:bCs/>
          <w:color w:val="auto"/>
          <w:szCs w:val="21"/>
          <w:highlight w:val="none"/>
        </w:rPr>
      </w:pPr>
      <w:r>
        <w:rPr>
          <w:rFonts w:hint="eastAsia" w:ascii="宋体" w:hAnsi="宋体" w:eastAsia="宋体" w:cs="宋体"/>
          <w:color w:val="auto"/>
          <w:kern w:val="0"/>
          <w:szCs w:val="21"/>
          <w:highlight w:val="none"/>
        </w:rPr>
        <w:t>21.1</w:t>
      </w:r>
      <w:r>
        <w:rPr>
          <w:rFonts w:hint="eastAsia" w:ascii="宋体" w:hAnsi="宋体" w:eastAsia="宋体" w:cs="Times New Roman"/>
          <w:bCs/>
          <w:color w:val="auto"/>
          <w:szCs w:val="21"/>
          <w:highlight w:val="none"/>
        </w:rPr>
        <w:t>谈判程序：谈判（响应文件审查、澄清）、最后报价、提出成交供应商。其中，谈判按本章第24条进行。</w:t>
      </w:r>
    </w:p>
    <w:p>
      <w:pPr>
        <w:widowControl w:val="0"/>
        <w:adjustRightInd w:val="0"/>
        <w:snapToGrid w:val="0"/>
        <w:spacing w:line="360" w:lineRule="auto"/>
        <w:ind w:firstLine="42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21.2谈判小组应当对响应文件进行评审，并根据谈判文件规定的程序、评定成交的标准等事项与实质性响应谈判文件要求的供应商进行谈判。</w:t>
      </w:r>
    </w:p>
    <w:p>
      <w:pPr>
        <w:widowControl w:val="0"/>
        <w:adjustRightInd w:val="0"/>
        <w:snapToGrid w:val="0"/>
        <w:spacing w:line="360" w:lineRule="auto"/>
        <w:ind w:firstLine="42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21.3在谈判过程中谈判的任何一方不得向他人透露与谈判有关的技术资料、价格或其他信息。</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20" w:name="_Toc107997862"/>
      <w:bookmarkStart w:id="121" w:name="_Toc107997989"/>
      <w:r>
        <w:rPr>
          <w:rFonts w:hint="eastAsia" w:ascii="黑体" w:hAnsi="黑体" w:eastAsia="黑体" w:cs="Times New Roman"/>
          <w:b/>
          <w:bCs/>
          <w:color w:val="auto"/>
          <w:sz w:val="24"/>
          <w:szCs w:val="24"/>
          <w:highlight w:val="none"/>
        </w:rPr>
        <w:t>22.响应文件审查</w:t>
      </w:r>
      <w:bookmarkEnd w:id="120"/>
      <w:bookmarkEnd w:id="121"/>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22.1谈判小组对响应文件(包括首次提交的响应文件、重新提交的响应文件)的有效性、完整性和对谈判文件的响应程度进行审查。</w:t>
      </w:r>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22.2响应文件有下列情况之一，响应文件按无效处理，谈判小组应当告知有关供应商。</w:t>
      </w:r>
    </w:p>
    <w:p>
      <w:pPr>
        <w:widowControl w:val="0"/>
        <w:adjustRightInd w:val="0"/>
        <w:snapToGrid w:val="0"/>
        <w:spacing w:line="360" w:lineRule="auto"/>
        <w:ind w:firstLine="420" w:firstLineChars="200"/>
        <w:jc w:val="both"/>
        <w:rPr>
          <w:rFonts w:hint="eastAsia" w:ascii="宋体" w:hAnsi="宋体" w:eastAsia="宋体" w:cs="Times New Roman"/>
          <w:bCs/>
          <w:color w:val="auto"/>
          <w:szCs w:val="21"/>
          <w:highlight w:val="none"/>
        </w:rPr>
      </w:pPr>
      <w:r>
        <w:rPr>
          <w:rFonts w:hint="eastAsia" w:ascii="宋体" w:hAnsi="宋体" w:eastAsia="宋体" w:cs="宋体"/>
          <w:color w:val="auto"/>
          <w:kern w:val="0"/>
          <w:szCs w:val="21"/>
          <w:highlight w:val="none"/>
        </w:rPr>
        <w:t>（1）</w:t>
      </w:r>
      <w:r>
        <w:rPr>
          <w:rFonts w:hint="eastAsia" w:ascii="宋体" w:hAnsi="宋体" w:eastAsia="宋体" w:cs="Times New Roman"/>
          <w:color w:val="auto"/>
          <w:szCs w:val="21"/>
          <w:highlight w:val="none"/>
        </w:rPr>
        <w:t>应交未交保证金或</w:t>
      </w:r>
      <w:r>
        <w:rPr>
          <w:rFonts w:hint="eastAsia" w:ascii="Times New Roman" w:hAnsi="Times New Roman" w:eastAsia="宋体" w:cs="Times New Roman"/>
          <w:color w:val="auto"/>
          <w:szCs w:val="21"/>
          <w:highlight w:val="none"/>
        </w:rPr>
        <w:t>金额不足、保证金形式不符合谈判文件要求的</w:t>
      </w:r>
      <w:r>
        <w:rPr>
          <w:rFonts w:hint="eastAsia" w:ascii="宋体" w:hAnsi="宋体" w:eastAsia="宋体" w:cs="Times New Roman"/>
          <w:color w:val="auto"/>
          <w:szCs w:val="21"/>
          <w:highlight w:val="none"/>
        </w:rPr>
        <w:t>；</w:t>
      </w:r>
    </w:p>
    <w:p>
      <w:pPr>
        <w:widowControl w:val="0"/>
        <w:tabs>
          <w:tab w:val="left" w:pos="735"/>
          <w:tab w:val="left" w:pos="7560"/>
          <w:tab w:val="left" w:pos="7740"/>
          <w:tab w:val="left" w:pos="7920"/>
        </w:tabs>
        <w:adjustRightInd w:val="0"/>
        <w:snapToGrid w:val="0"/>
        <w:spacing w:line="360" w:lineRule="auto"/>
        <w:ind w:right="300" w:rightChars="143" w:firstLine="420" w:firstLineChars="200"/>
        <w:jc w:val="both"/>
        <w:rPr>
          <w:rFonts w:hint="eastAsia" w:ascii="宋体" w:hAnsi="宋体" w:eastAsia="宋体" w:cs="Times New Roman"/>
          <w:color w:val="auto"/>
          <w:szCs w:val="21"/>
          <w:highlight w:val="none"/>
        </w:rPr>
      </w:pPr>
      <w:r>
        <w:rPr>
          <w:rFonts w:hint="eastAsia" w:ascii="宋体" w:hAnsi="宋体" w:eastAsia="宋体" w:cs="宋体"/>
          <w:color w:val="auto"/>
          <w:kern w:val="0"/>
          <w:szCs w:val="21"/>
          <w:highlight w:val="none"/>
        </w:rPr>
        <w:t>（2）</w:t>
      </w:r>
      <w:r>
        <w:rPr>
          <w:rFonts w:hint="eastAsia" w:ascii="宋体" w:hAnsi="宋体" w:eastAsia="宋体" w:cs="Times New Roman"/>
          <w:color w:val="auto"/>
          <w:szCs w:val="21"/>
          <w:highlight w:val="none"/>
        </w:rPr>
        <w:t>未按照谈判文件规定要求签署、盖章的；</w:t>
      </w:r>
    </w:p>
    <w:p>
      <w:pPr>
        <w:widowControl w:val="0"/>
        <w:tabs>
          <w:tab w:val="left" w:pos="735"/>
          <w:tab w:val="left" w:pos="7560"/>
          <w:tab w:val="left" w:pos="7740"/>
          <w:tab w:val="left" w:pos="7920"/>
        </w:tabs>
        <w:adjustRightInd w:val="0"/>
        <w:snapToGrid w:val="0"/>
        <w:spacing w:line="360" w:lineRule="auto"/>
        <w:ind w:right="300" w:rightChars="143"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（3）不满足谈判文件规定的实质性要求和条件的；</w:t>
      </w:r>
    </w:p>
    <w:p>
      <w:pPr>
        <w:widowControl w:val="0"/>
        <w:tabs>
          <w:tab w:val="left" w:pos="735"/>
          <w:tab w:val="left" w:pos="7560"/>
          <w:tab w:val="left" w:pos="7740"/>
          <w:tab w:val="left" w:pos="7920"/>
        </w:tabs>
        <w:adjustRightInd w:val="0"/>
        <w:snapToGrid w:val="0"/>
        <w:spacing w:line="360" w:lineRule="auto"/>
        <w:ind w:right="300" w:rightChars="143"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（4）法律、法规和谈判文件规定的其他响应无效情形。</w:t>
      </w:r>
    </w:p>
    <w:p>
      <w:pPr>
        <w:widowControl w:val="0"/>
        <w:tabs>
          <w:tab w:val="left" w:pos="735"/>
          <w:tab w:val="left" w:pos="7560"/>
          <w:tab w:val="left" w:pos="7740"/>
          <w:tab w:val="left" w:pos="7920"/>
        </w:tabs>
        <w:adjustRightInd w:val="0"/>
        <w:snapToGrid w:val="0"/>
        <w:spacing w:line="360" w:lineRule="auto"/>
        <w:ind w:right="300" w:rightChars="143" w:firstLine="420" w:firstLineChars="200"/>
        <w:jc w:val="both"/>
        <w:rPr>
          <w:rFonts w:hint="eastAsia" w:ascii="宋体" w:hAnsi="宋体" w:eastAsia="宋体" w:cs="Times New Roman"/>
          <w:color w:val="auto"/>
          <w:szCs w:val="21"/>
          <w:highlight w:val="none"/>
        </w:rPr>
      </w:pPr>
      <w:r>
        <w:rPr>
          <w:rFonts w:hint="eastAsia" w:ascii="宋体" w:hAnsi="宋体" w:eastAsia="宋体" w:cs="宋体"/>
          <w:color w:val="auto"/>
          <w:kern w:val="0"/>
          <w:szCs w:val="21"/>
          <w:highlight w:val="none"/>
        </w:rPr>
        <w:t>22.3响应文件按无效处理的，谈判小组应拒绝其参与谈判，但属于谈判文件规定的实质性变动内容的除外。</w:t>
      </w:r>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22.4谈判文件规定的实质性要求和条件见【</w:t>
      </w:r>
      <w:r>
        <w:rPr>
          <w:rFonts w:hint="eastAsia" w:ascii="宋体" w:hAnsi="宋体" w:eastAsia="宋体" w:cs="宋体"/>
          <w:b/>
          <w:color w:val="auto"/>
          <w:kern w:val="0"/>
          <w:szCs w:val="21"/>
          <w:highlight w:val="none"/>
        </w:rPr>
        <w:t>谈判须知前附表</w:t>
      </w:r>
      <w:r>
        <w:rPr>
          <w:rFonts w:hint="eastAsia" w:ascii="宋体" w:hAnsi="宋体" w:eastAsia="宋体" w:cs="宋体"/>
          <w:color w:val="auto"/>
          <w:kern w:val="0"/>
          <w:szCs w:val="21"/>
          <w:highlight w:val="none"/>
        </w:rPr>
        <w:t>】。</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22" w:name="_Toc107997990"/>
      <w:bookmarkStart w:id="123" w:name="_Toc107997863"/>
      <w:r>
        <w:rPr>
          <w:rFonts w:hint="eastAsia" w:ascii="黑体" w:hAnsi="黑体" w:eastAsia="黑体" w:cs="Times New Roman"/>
          <w:b/>
          <w:bCs/>
          <w:color w:val="auto"/>
          <w:sz w:val="24"/>
          <w:szCs w:val="24"/>
          <w:highlight w:val="none"/>
        </w:rPr>
        <w:t>23.澄清</w:t>
      </w:r>
      <w:bookmarkEnd w:id="122"/>
      <w:bookmarkEnd w:id="123"/>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23.1谈判小组在对响应文件(包括</w:t>
      </w:r>
      <w:r>
        <w:rPr>
          <w:rFonts w:hint="eastAsia" w:ascii="Times New Roman" w:hAnsi="宋体" w:eastAsia="宋体" w:cs="宋体"/>
          <w:color w:val="auto"/>
          <w:kern w:val="0"/>
          <w:szCs w:val="24"/>
          <w:highlight w:val="none"/>
        </w:rPr>
        <w:t>首次提交的</w:t>
      </w:r>
      <w:r>
        <w:rPr>
          <w:rFonts w:hint="eastAsia" w:ascii="宋体" w:hAnsi="宋体" w:eastAsia="宋体" w:cs="宋体"/>
          <w:color w:val="auto"/>
          <w:kern w:val="0"/>
          <w:szCs w:val="21"/>
          <w:highlight w:val="none"/>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电子形式作出。供应商的澄清、说明或者更正应当采用电子形式，由其供应商代表签字，供应商的澄清、说明或者更正不得超出谈判文件的范围或者改变响应文件的实质性内容。</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24" w:name="_Toc107997864"/>
      <w:bookmarkStart w:id="125" w:name="_Toc107997991"/>
      <w:r>
        <w:rPr>
          <w:rFonts w:hint="eastAsia" w:ascii="黑体" w:hAnsi="黑体" w:eastAsia="黑体" w:cs="Times New Roman"/>
          <w:b/>
          <w:bCs/>
          <w:color w:val="auto"/>
          <w:sz w:val="24"/>
          <w:szCs w:val="24"/>
          <w:highlight w:val="none"/>
        </w:rPr>
        <w:t>24.谈判的规定</w:t>
      </w:r>
      <w:bookmarkEnd w:id="124"/>
      <w:bookmarkEnd w:id="125"/>
    </w:p>
    <w:p>
      <w:pPr>
        <w:widowControl w:val="0"/>
        <w:spacing w:line="360" w:lineRule="auto"/>
        <w:ind w:firstLine="420" w:firstLineChars="200"/>
        <w:jc w:val="both"/>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24.1谈判小组所有成员集中与单一供应商分别（线上）进行谈判，并给予所有参加谈判的供应商平等的谈判机会。供应商应派其法定代表人或委托代理人通过视频会议进行谈判。</w:t>
      </w:r>
    </w:p>
    <w:p>
      <w:pPr>
        <w:widowControl w:val="0"/>
        <w:spacing w:line="360" w:lineRule="auto"/>
        <w:ind w:firstLine="420" w:firstLineChars="200"/>
        <w:jc w:val="both"/>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24.2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pPr>
        <w:widowControl w:val="0"/>
        <w:spacing w:line="360" w:lineRule="auto"/>
        <w:ind w:firstLine="420" w:firstLineChars="200"/>
        <w:jc w:val="both"/>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24.3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pPr>
        <w:adjustRightInd w:val="0"/>
        <w:snapToGrid w:val="0"/>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24.4本项目谈判方式为视频邀请谈判。参与谈判的人员应包含商务、技术代表，并出示身份证明以供谈判小组线上核验身份。</w:t>
      </w:r>
    </w:p>
    <w:p>
      <w:pPr>
        <w:widowControl w:val="0"/>
        <w:adjustRightInd w:val="0"/>
        <w:snapToGrid w:val="0"/>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视频邀请谈判操作流程为：</w:t>
      </w:r>
    </w:p>
    <w:p>
      <w:pPr>
        <w:widowControl w:val="0"/>
        <w:adjustRightInd w:val="0"/>
        <w:snapToGrid w:val="0"/>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供应商在开标结束后，可以提前登录郴州市政府采购（非标）电子交易平台等待谈判小组的视频谈判邀请。</w:t>
      </w:r>
    </w:p>
    <w:p>
      <w:pPr>
        <w:widowControl w:val="0"/>
        <w:adjustRightInd w:val="0"/>
        <w:snapToGrid w:val="0"/>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（1）请各供应商使用360、QQ、谷歌（Google）浏览器登录郴州市政府采购（非标）电子交易系统，并确保电脑有麦克风及视频功能（台式电脑需具备扩音器，笔记本电脑若已配备视频通话功能，则无需另配）。</w:t>
      </w:r>
    </w:p>
    <w:p>
      <w:pPr>
        <w:widowControl w:val="0"/>
        <w:adjustRightInd w:val="0"/>
        <w:snapToGrid w:val="0"/>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（2）通过郴州市政府采购（非标）电子交易系统的视频会议功能，系统机器人会电话通知供应商准备视频会议（系统机器人默认拨打供应商注册手机号码），供应商应及时接听，以免错过视频会议。</w:t>
      </w:r>
    </w:p>
    <w:p>
      <w:pPr>
        <w:widowControl w:val="0"/>
        <w:adjustRightInd w:val="0"/>
        <w:snapToGrid w:val="0"/>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（3）使用电脑端视频（推荐首选使用）：供应商接听电话后，应立即打开郴州市政府采购（非</w:t>
      </w:r>
    </w:p>
    <w:p>
      <w:pPr>
        <w:widowControl w:val="0"/>
        <w:adjustRightInd w:val="0"/>
        <w:snapToGrid w:val="0"/>
        <w:spacing w:line="440" w:lineRule="exac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标）电子交易平台登录报名此次项目的系统账号，点击进入页面自动弹出的“进房邀请”对话框进行视频通话。</w:t>
      </w:r>
    </w:p>
    <w:p>
      <w:pPr>
        <w:widowControl w:val="0"/>
        <w:adjustRightInd w:val="0"/>
        <w:snapToGrid w:val="0"/>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使用微信小程序：供应商接听电话后，应立即在开标大厅点击“微信小程序”，扫描二维码，然后输入郴州市政府采购（非标）电子交易平台所使用的账号密码，点击进入页面自动弹出的“邀请视频”对话框进行视频通话。</w:t>
      </w:r>
    </w:p>
    <w:p>
      <w:pPr>
        <w:jc w:val="center"/>
        <w:rPr>
          <w:rFonts w:ascii="Times New Roman" w:hAnsi="Times New Roman" w:cs="Times New Roman"/>
          <w:color w:val="auto"/>
          <w:szCs w:val="24"/>
          <w:highlight w:val="none"/>
        </w:rPr>
      </w:pPr>
      <w:r>
        <w:rPr>
          <w:rFonts w:hint="eastAsia"/>
          <w:color w:val="auto"/>
          <w:highlight w:val="none"/>
        </w:rPr>
        <w:drawing>
          <wp:inline distT="0" distB="0" distL="0" distR="0">
            <wp:extent cx="1379220" cy="137922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379220" cy="1379220"/>
                    </a:xfrm>
                    <a:prstGeom prst="rect">
                      <a:avLst/>
                    </a:prstGeom>
                    <a:noFill/>
                    <a:ln>
                      <a:noFill/>
                    </a:ln>
                  </pic:spPr>
                </pic:pic>
              </a:graphicData>
            </a:graphic>
          </wp:inline>
        </w:drawing>
      </w:r>
    </w:p>
    <w:p>
      <w:pPr>
        <w:widowControl w:val="0"/>
        <w:spacing w:line="360" w:lineRule="auto"/>
        <w:jc w:val="both"/>
        <w:outlineLvl w:val="3"/>
        <w:rPr>
          <w:rFonts w:hint="eastAsia" w:ascii="黑体" w:hAnsi="黑体" w:eastAsia="黑体" w:cs="宋体"/>
          <w:b/>
          <w:bCs/>
          <w:color w:val="auto"/>
          <w:kern w:val="0"/>
          <w:sz w:val="24"/>
          <w:szCs w:val="24"/>
          <w:highlight w:val="none"/>
        </w:rPr>
      </w:pPr>
      <w:bookmarkStart w:id="126" w:name="_Toc107997992"/>
      <w:bookmarkStart w:id="127" w:name="_Toc107997865"/>
      <w:r>
        <w:rPr>
          <w:rFonts w:hint="eastAsia" w:ascii="黑体" w:hAnsi="黑体" w:eastAsia="黑体" w:cs="Times New Roman"/>
          <w:b/>
          <w:bCs/>
          <w:color w:val="auto"/>
          <w:sz w:val="24"/>
          <w:szCs w:val="24"/>
          <w:highlight w:val="none"/>
        </w:rPr>
        <w:t>25.退出谈判</w:t>
      </w:r>
      <w:bookmarkEnd w:id="126"/>
      <w:bookmarkEnd w:id="127"/>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25.1供应商在提交最后报价之前，可以根据谈判情况退出谈判，</w:t>
      </w:r>
      <w:r>
        <w:rPr>
          <w:rFonts w:hint="eastAsia" w:ascii="宋体" w:hAnsi="宋体" w:eastAsia="宋体" w:cs="宋体"/>
          <w:color w:val="auto"/>
          <w:kern w:val="0"/>
          <w:szCs w:val="24"/>
          <w:highlight w:val="none"/>
        </w:rPr>
        <w:t>并电子形式通知采购人、采购代理机构或者谈判小组。</w:t>
      </w:r>
      <w:r>
        <w:rPr>
          <w:rFonts w:hint="eastAsia" w:ascii="宋体" w:hAnsi="宋体" w:eastAsia="宋体" w:cs="Times New Roman"/>
          <w:color w:val="auto"/>
          <w:szCs w:val="24"/>
          <w:highlight w:val="none"/>
        </w:rPr>
        <w:t>该通知由供应商代表签字。</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28" w:name="_Toc107997993"/>
      <w:bookmarkStart w:id="129" w:name="_Toc107997866"/>
      <w:r>
        <w:rPr>
          <w:rFonts w:hint="eastAsia" w:ascii="黑体" w:hAnsi="黑体" w:eastAsia="黑体" w:cs="Times New Roman"/>
          <w:b/>
          <w:bCs/>
          <w:color w:val="auto"/>
          <w:sz w:val="24"/>
          <w:szCs w:val="24"/>
          <w:highlight w:val="none"/>
        </w:rPr>
        <w:t>26.最后报价</w:t>
      </w:r>
      <w:bookmarkEnd w:id="128"/>
      <w:bookmarkEnd w:id="129"/>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26.1谈判结束后，谈判小组按本章第22.2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pPr>
        <w:widowControl w:val="0"/>
        <w:adjustRightInd w:val="0"/>
        <w:snapToGrid w:val="0"/>
        <w:spacing w:line="360" w:lineRule="auto"/>
        <w:ind w:firstLine="420" w:firstLineChars="200"/>
        <w:jc w:val="both"/>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（1）谈判文件能够详细列明采购需求的技术、服务要求的，谈判结束后，谈判小组应当要求所有供应商在规定时间内提交最后报价。</w:t>
      </w:r>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26.2下列情形，谈判小组确认符合谈判文件规定的实质性要求和条件的供应商不少于3家，可以不与供应商谈判，直接要求符合谈判文件规定的实质性要求和条件的供应商提交最后报价。</w:t>
      </w:r>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（1）谈判文件未明确可能实质性变动的；</w:t>
      </w:r>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（2）谈判文件明确可能实质性变动，但谈判小组对供应商提交的首次响应文件的有效性、完整性和响应程度进行审查后，认为谈判文件不需发生实质性变动、不需要谈判的。</w:t>
      </w:r>
    </w:p>
    <w:p>
      <w:pPr>
        <w:widowControl w:val="0"/>
        <w:adjustRightInd w:val="0"/>
        <w:snapToGrid w:val="0"/>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26.3提交最后报价的操作流程为：</w:t>
      </w:r>
    </w:p>
    <w:p>
      <w:pPr>
        <w:widowControl w:val="0"/>
        <w:adjustRightInd w:val="0"/>
        <w:snapToGrid w:val="0"/>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（1）谈判结束后，谈判小组通过郴州市政府采购（非标）电子交易系统向合格供应商发出最</w:t>
      </w:r>
    </w:p>
    <w:p>
      <w:pPr>
        <w:widowControl w:val="0"/>
        <w:adjustRightInd w:val="0"/>
        <w:snapToGrid w:val="0"/>
        <w:spacing w:line="440" w:lineRule="exac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后报价邀请。</w:t>
      </w:r>
    </w:p>
    <w:p>
      <w:pPr>
        <w:widowControl w:val="0"/>
        <w:adjustRightInd w:val="0"/>
        <w:snapToGrid w:val="0"/>
        <w:spacing w:line="440" w:lineRule="exact"/>
        <w:ind w:firstLine="420" w:firstLineChars="200"/>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2）各供应商应在系统自动弹出的“最终报价”对话框中点击“下载附件”，自行下载报价格式清单进行最后报价的填报。最后报价表填报完毕后以PDF格式文件进行上传，上传成功后点击文件右侧的“签章”按键进行签章及解密。</w:t>
      </w:r>
      <w:r>
        <w:rPr>
          <w:rFonts w:hint="eastAsia" w:ascii="宋体" w:hAnsi="宋体" w:eastAsia="宋体" w:cs="宋体"/>
          <w:b/>
          <w:color w:val="auto"/>
          <w:szCs w:val="21"/>
          <w:highlight w:val="none"/>
        </w:rPr>
        <w:t>供应商未在规定时间内上传最后报价的， 将视为放弃最后报价资格。</w:t>
      </w:r>
    </w:p>
    <w:p>
      <w:pPr>
        <w:adjustRightInd w:val="0"/>
        <w:snapToGrid w:val="0"/>
        <w:spacing w:line="440" w:lineRule="exact"/>
        <w:ind w:firstLine="420"/>
        <w:rPr>
          <w:rFonts w:ascii="宋体" w:hAnsi="Times New Roman" w:eastAsia="宋体" w:cs="宋体"/>
          <w:color w:val="auto"/>
          <w:kern w:val="0"/>
          <w:szCs w:val="21"/>
          <w:highlight w:val="none"/>
        </w:rPr>
      </w:pPr>
      <w:r>
        <w:rPr>
          <w:rFonts w:ascii="宋体" w:hAnsi="宋体" w:eastAsia="宋体" w:cs="宋体"/>
          <w:color w:val="auto"/>
          <w:kern w:val="0"/>
          <w:szCs w:val="21"/>
          <w:highlight w:val="none"/>
        </w:rPr>
        <w:t>2</w:t>
      </w:r>
      <w:r>
        <w:rPr>
          <w:rFonts w:hint="eastAsia" w:ascii="宋体" w:hAnsi="宋体" w:eastAsia="宋体" w:cs="宋体"/>
          <w:color w:val="auto"/>
          <w:kern w:val="0"/>
          <w:szCs w:val="21"/>
          <w:highlight w:val="none"/>
        </w:rPr>
        <w:t>6</w:t>
      </w:r>
      <w:r>
        <w:rPr>
          <w:rFonts w:ascii="宋体" w:hAnsi="宋体" w:eastAsia="宋体" w:cs="宋体"/>
          <w:color w:val="auto"/>
          <w:kern w:val="0"/>
          <w:szCs w:val="21"/>
          <w:highlight w:val="none"/>
        </w:rPr>
        <w:t>.</w:t>
      </w:r>
      <w:r>
        <w:rPr>
          <w:rFonts w:hint="eastAsia" w:ascii="宋体" w:hAnsi="宋体" w:eastAsia="宋体" w:cs="宋体"/>
          <w:color w:val="auto"/>
          <w:kern w:val="0"/>
          <w:szCs w:val="21"/>
          <w:highlight w:val="none"/>
        </w:rPr>
        <w:t>4谈判小组应召集所有提交最后报价的供应商（线上），逐一</w:t>
      </w:r>
      <w:r>
        <w:rPr>
          <w:rFonts w:hint="eastAsia" w:ascii="宋体" w:hAnsi="宋体" w:eastAsia="宋体" w:cs="Times New Roman"/>
          <w:bCs/>
          <w:color w:val="auto"/>
          <w:szCs w:val="21"/>
          <w:highlight w:val="none"/>
        </w:rPr>
        <w:t>公布</w:t>
      </w:r>
      <w:r>
        <w:rPr>
          <w:rFonts w:hint="eastAsia" w:ascii="宋体" w:hAnsi="宋体" w:eastAsia="宋体" w:cs="宋体"/>
          <w:color w:val="auto"/>
          <w:kern w:val="0"/>
          <w:szCs w:val="21"/>
          <w:highlight w:val="none"/>
          <w:lang w:val="zh-CN"/>
        </w:rPr>
        <w:t>供应商的</w:t>
      </w:r>
      <w:r>
        <w:rPr>
          <w:rFonts w:hint="eastAsia" w:ascii="宋体" w:hAnsi="宋体" w:eastAsia="宋体" w:cs="Times New Roman"/>
          <w:bCs/>
          <w:color w:val="auto"/>
          <w:szCs w:val="21"/>
          <w:highlight w:val="none"/>
        </w:rPr>
        <w:t>最</w:t>
      </w:r>
      <w:r>
        <w:rPr>
          <w:rFonts w:hint="eastAsia" w:ascii="宋体" w:hAnsi="宋体" w:eastAsia="宋体" w:cs="宋体"/>
          <w:color w:val="auto"/>
          <w:kern w:val="0"/>
          <w:szCs w:val="21"/>
          <w:highlight w:val="none"/>
          <w:lang w:val="zh-CN"/>
        </w:rPr>
        <w:t>后</w:t>
      </w:r>
      <w:r>
        <w:rPr>
          <w:rFonts w:hint="eastAsia" w:ascii="宋体" w:hAnsi="宋体" w:eastAsia="宋体" w:cs="Times New Roman"/>
          <w:bCs/>
          <w:color w:val="auto"/>
          <w:szCs w:val="21"/>
          <w:highlight w:val="none"/>
        </w:rPr>
        <w:t>报价</w:t>
      </w:r>
      <w:r>
        <w:rPr>
          <w:rFonts w:hint="eastAsia" w:ascii="宋体" w:hAnsi="宋体" w:eastAsia="宋体" w:cs="宋体"/>
          <w:color w:val="auto"/>
          <w:kern w:val="0"/>
          <w:szCs w:val="21"/>
          <w:highlight w:val="none"/>
        </w:rPr>
        <w:t>。</w:t>
      </w:r>
    </w:p>
    <w:p>
      <w:pPr>
        <w:widowControl w:val="0"/>
        <w:adjustRightInd w:val="0"/>
        <w:snapToGrid w:val="0"/>
        <w:spacing w:line="360" w:lineRule="auto"/>
        <w:ind w:firstLine="420"/>
        <w:rPr>
          <w:rFonts w:hint="eastAsia" w:ascii="宋体" w:hAnsi="宋体" w:eastAsia="宋体" w:cs="宋体"/>
          <w:color w:val="auto"/>
          <w:kern w:val="0"/>
          <w:szCs w:val="21"/>
          <w:highlight w:val="none"/>
        </w:rPr>
      </w:pPr>
    </w:p>
    <w:p>
      <w:pPr>
        <w:widowControl w:val="0"/>
        <w:spacing w:line="360" w:lineRule="auto"/>
        <w:jc w:val="both"/>
        <w:outlineLvl w:val="3"/>
        <w:rPr>
          <w:rFonts w:hint="eastAsia" w:ascii="黑体" w:hAnsi="黑体" w:eastAsia="黑体" w:cs="宋体"/>
          <w:b/>
          <w:bCs/>
          <w:color w:val="auto"/>
          <w:kern w:val="0"/>
          <w:sz w:val="24"/>
          <w:szCs w:val="24"/>
          <w:highlight w:val="none"/>
        </w:rPr>
      </w:pPr>
      <w:bookmarkStart w:id="130" w:name="_Toc107997867"/>
      <w:bookmarkStart w:id="131" w:name="_Toc107997994"/>
      <w:r>
        <w:rPr>
          <w:rFonts w:hint="eastAsia" w:ascii="黑体" w:hAnsi="黑体" w:eastAsia="黑体" w:cs="Times New Roman"/>
          <w:b/>
          <w:bCs/>
          <w:color w:val="auto"/>
          <w:sz w:val="24"/>
          <w:szCs w:val="24"/>
          <w:highlight w:val="none"/>
        </w:rPr>
        <w:t>27.异常报价</w:t>
      </w:r>
      <w:bookmarkEnd w:id="130"/>
      <w:bookmarkEnd w:id="131"/>
    </w:p>
    <w:p>
      <w:pPr>
        <w:widowControl w:val="0"/>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Times New Roman"/>
          <w:bCs/>
          <w:color w:val="auto"/>
          <w:szCs w:val="21"/>
          <w:highlight w:val="none"/>
        </w:rPr>
        <w:t>27．1谈判小组认为供应商的报价明显低于其他通过符合性审查供应商的报价，有可能影响产品质量或者不能诚信履约的，应当要求其在谈判现场合理的时间内提供电子形式的说明，必要时提交相关证明材料；供应商不能证明其报价合理性的，谈判小组应当将其作为响应无效处理。</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32" w:name="_Toc107997868"/>
      <w:bookmarkStart w:id="133" w:name="_Toc107997995"/>
      <w:r>
        <w:rPr>
          <w:rFonts w:hint="eastAsia" w:ascii="黑体" w:hAnsi="黑体" w:eastAsia="黑体" w:cs="宋体"/>
          <w:b/>
          <w:bCs/>
          <w:color w:val="auto"/>
          <w:kern w:val="0"/>
          <w:sz w:val="24"/>
          <w:szCs w:val="24"/>
          <w:highlight w:val="none"/>
        </w:rPr>
        <w:t>28.</w:t>
      </w:r>
      <w:r>
        <w:rPr>
          <w:rFonts w:hint="eastAsia" w:ascii="黑体" w:hAnsi="黑体" w:eastAsia="黑体" w:cs="Times New Roman"/>
          <w:b/>
          <w:bCs/>
          <w:color w:val="auto"/>
          <w:sz w:val="24"/>
          <w:szCs w:val="24"/>
          <w:highlight w:val="none"/>
        </w:rPr>
        <w:t>提出成交供应商</w:t>
      </w:r>
      <w:bookmarkEnd w:id="132"/>
      <w:bookmarkEnd w:id="133"/>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28.1谈判小组应当从质量和服务均能满足采购文件实质性响应要求的供应商中，按照最后报价由低到高的顺序提出3名以上成交候选人，并编写评审报告。</w:t>
      </w:r>
    </w:p>
    <w:p>
      <w:pPr>
        <w:widowControl w:val="0"/>
        <w:adjustRightInd w:val="0"/>
        <w:snapToGrid w:val="0"/>
        <w:spacing w:line="360" w:lineRule="auto"/>
        <w:ind w:firstLine="420"/>
        <w:rPr>
          <w:rFonts w:hint="eastAsia" w:ascii="宋体" w:hAnsi="宋体" w:eastAsia="宋体" w:cs="Times New Roman"/>
          <w:bCs/>
          <w:color w:val="auto"/>
          <w:szCs w:val="21"/>
          <w:highlight w:val="none"/>
        </w:rPr>
      </w:pPr>
      <w:r>
        <w:rPr>
          <w:rFonts w:hint="eastAsia" w:ascii="宋体" w:hAnsi="宋体" w:eastAsia="宋体" w:cs="宋体"/>
          <w:color w:val="auto"/>
          <w:kern w:val="0"/>
          <w:szCs w:val="21"/>
          <w:highlight w:val="none"/>
        </w:rPr>
        <w:t>28.2供应商最后报价涉及算术修正、需落实政府采购政策的，按上款规定由低到高的顺序排序。</w:t>
      </w:r>
      <w:r>
        <w:rPr>
          <w:rFonts w:hint="eastAsia" w:ascii="Times New Roman" w:hAnsi="Times New Roman" w:eastAsia="宋体" w:cs="Times New Roman"/>
          <w:color w:val="auto"/>
          <w:szCs w:val="21"/>
          <w:highlight w:val="none"/>
        </w:rPr>
        <w:t>最后报价排序</w:t>
      </w:r>
      <w:r>
        <w:rPr>
          <w:rFonts w:ascii="Times New Roman" w:hAnsi="Times New Roman" w:eastAsia="宋体" w:cs="Times New Roman"/>
          <w:color w:val="auto"/>
          <w:szCs w:val="21"/>
          <w:highlight w:val="none"/>
        </w:rPr>
        <w:t>相同的</w:t>
      </w:r>
      <w:r>
        <w:rPr>
          <w:rFonts w:hint="eastAsia" w:ascii="Times New Roman" w:hAnsi="Times New Roman" w:eastAsia="宋体" w:cs="Times New Roman"/>
          <w:color w:val="auto"/>
          <w:szCs w:val="21"/>
          <w:highlight w:val="none"/>
        </w:rPr>
        <w:t>并列</w:t>
      </w:r>
      <w:r>
        <w:rPr>
          <w:rFonts w:hint="eastAsia" w:ascii="宋体" w:hAnsi="宋体" w:eastAsia="宋体" w:cs="Times New Roman"/>
          <w:bCs/>
          <w:color w:val="auto"/>
          <w:szCs w:val="21"/>
          <w:highlight w:val="none"/>
        </w:rPr>
        <w:t>。</w:t>
      </w:r>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Times New Roman"/>
          <w:bCs/>
          <w:color w:val="auto"/>
          <w:szCs w:val="21"/>
          <w:highlight w:val="none"/>
        </w:rPr>
        <w:t>28.3</w:t>
      </w:r>
      <w:r>
        <w:rPr>
          <w:rFonts w:hint="eastAsia" w:ascii="宋体" w:hAnsi="宋体" w:eastAsia="宋体" w:cs="宋体"/>
          <w:color w:val="auto"/>
          <w:kern w:val="0"/>
          <w:szCs w:val="21"/>
          <w:highlight w:val="none"/>
        </w:rPr>
        <w:t>最后报价有算术错误的，除</w:t>
      </w:r>
      <w:r>
        <w:rPr>
          <w:rFonts w:hint="eastAsia" w:ascii="宋体" w:hAnsi="宋体" w:eastAsia="宋体" w:cs="Times New Roman"/>
          <w:b/>
          <w:color w:val="auto"/>
          <w:szCs w:val="21"/>
          <w:highlight w:val="none"/>
        </w:rPr>
        <w:t>【谈判须知前附表】</w:t>
      </w:r>
      <w:r>
        <w:rPr>
          <w:rFonts w:hint="eastAsia" w:ascii="宋体" w:hAnsi="宋体" w:eastAsia="宋体" w:cs="宋体"/>
          <w:color w:val="auto"/>
          <w:kern w:val="0"/>
          <w:szCs w:val="21"/>
          <w:highlight w:val="none"/>
        </w:rPr>
        <w:t>另有规定外，谈判小组按以下原则对报价进行修正，修正后的价格经供应商电子形式的确认，并由供应商代表签字或者加盖单位公章确认后产生约束力，供应商不接受修正价格的或者不确认的，其报价作无效报价处理，其响应无效。</w:t>
      </w:r>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（1）大写金额与小写金额不一致的，以大写金额为准。</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（2）总价金额与按单价汇总金额不一致的，以单价金额计算结果为准。</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修正后的报价由供应商代表签字或者加盖单位公章确认后产生约束力，不确认的，其报价无效。</w:t>
      </w:r>
    </w:p>
    <w:p>
      <w:pPr>
        <w:widowControl w:val="0"/>
        <w:adjustRightInd w:val="0"/>
        <w:snapToGrid w:val="0"/>
        <w:spacing w:line="360" w:lineRule="auto"/>
        <w:ind w:firstLine="420" w:firstLineChars="20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28.4最后报价的评审</w:t>
      </w:r>
    </w:p>
    <w:p>
      <w:pPr>
        <w:widowControl w:val="0"/>
        <w:adjustRightInd w:val="0"/>
        <w:snapToGrid w:val="0"/>
        <w:spacing w:line="360" w:lineRule="auto"/>
        <w:ind w:firstLine="420" w:firstLineChars="20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（1）如果有算术错误，最后报价将按上款规定进行算术修正。</w:t>
      </w:r>
    </w:p>
    <w:p>
      <w:pPr>
        <w:widowControl w:val="0"/>
        <w:adjustRightInd w:val="0"/>
        <w:snapToGrid w:val="0"/>
        <w:spacing w:line="360" w:lineRule="auto"/>
        <w:ind w:firstLine="420" w:firstLineChars="20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（2）需落实政府采购政策（优先采购、价格评审优惠）的，按本章本节第40、41条等相关规定进行价格扣除。</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34" w:name="_Toc107997869"/>
      <w:bookmarkStart w:id="135" w:name="_Toc107997996"/>
      <w:r>
        <w:rPr>
          <w:rFonts w:hint="eastAsia" w:ascii="黑体" w:hAnsi="黑体" w:eastAsia="黑体" w:cs="Times New Roman"/>
          <w:b/>
          <w:bCs/>
          <w:color w:val="auto"/>
          <w:sz w:val="24"/>
          <w:szCs w:val="24"/>
          <w:highlight w:val="none"/>
        </w:rPr>
        <w:t>29.确定成交供应商</w:t>
      </w:r>
      <w:bookmarkEnd w:id="134"/>
      <w:bookmarkEnd w:id="135"/>
    </w:p>
    <w:p>
      <w:pPr>
        <w:widowControl w:val="0"/>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29.1采购代理机构应当在评审结束后2个工作日内将评审报告送采购人确认。</w:t>
      </w:r>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pPr>
        <w:widowControl w:val="0"/>
        <w:adjustRightInd w:val="0"/>
        <w:snapToGrid w:val="0"/>
        <w:spacing w:line="360" w:lineRule="auto"/>
        <w:ind w:firstLine="420"/>
        <w:rPr>
          <w:rFonts w:hint="eastAsia" w:ascii="宋体" w:hAnsi="宋体" w:eastAsia="宋体" w:cs="Times New Roman"/>
          <w:bCs/>
          <w:color w:val="auto"/>
          <w:szCs w:val="21"/>
          <w:highlight w:val="none"/>
        </w:rPr>
      </w:pPr>
      <w:r>
        <w:rPr>
          <w:rFonts w:hint="eastAsia" w:ascii="宋体" w:hAnsi="宋体" w:eastAsia="宋体" w:cs="宋体"/>
          <w:color w:val="auto"/>
          <w:kern w:val="0"/>
          <w:szCs w:val="21"/>
          <w:highlight w:val="none"/>
        </w:rPr>
        <w:t>29.3成交候选人并列的，由采购人自行确定成交供应商</w:t>
      </w:r>
      <w:r>
        <w:rPr>
          <w:rFonts w:ascii="宋体" w:hAnsi="宋体" w:eastAsia="宋体" w:cs="宋体"/>
          <w:color w:val="auto"/>
          <w:kern w:val="0"/>
          <w:szCs w:val="21"/>
          <w:highlight w:val="none"/>
        </w:rPr>
        <w:t>（</w:t>
      </w:r>
      <w:r>
        <w:rPr>
          <w:rFonts w:ascii="宋体" w:hAnsi="宋体" w:eastAsia="宋体" w:cs="宋体"/>
          <w:color w:val="auto"/>
          <w:szCs w:val="21"/>
          <w:highlight w:val="none"/>
        </w:rPr>
        <w:t>由采购人随机抽取确定排序）</w:t>
      </w:r>
      <w:r>
        <w:rPr>
          <w:rFonts w:hint="eastAsia" w:ascii="宋体" w:hAnsi="宋体" w:eastAsia="宋体" w:cs="宋体"/>
          <w:color w:val="auto"/>
          <w:kern w:val="0"/>
          <w:szCs w:val="21"/>
          <w:highlight w:val="none"/>
        </w:rPr>
        <w:t>。</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36" w:name="_Toc107997870"/>
      <w:bookmarkStart w:id="137" w:name="_Toc107997997"/>
      <w:r>
        <w:rPr>
          <w:rFonts w:hint="eastAsia" w:ascii="黑体" w:hAnsi="黑体" w:eastAsia="黑体" w:cs="Times New Roman"/>
          <w:b/>
          <w:bCs/>
          <w:color w:val="auto"/>
          <w:sz w:val="24"/>
          <w:szCs w:val="24"/>
          <w:highlight w:val="none"/>
        </w:rPr>
        <w:t>30.谈判的特殊情形</w:t>
      </w:r>
      <w:bookmarkEnd w:id="136"/>
      <w:bookmarkEnd w:id="137"/>
    </w:p>
    <w:p>
      <w:pPr>
        <w:widowControl w:val="0"/>
        <w:adjustRightInd w:val="0"/>
        <w:snapToGrid w:val="0"/>
        <w:spacing w:line="360" w:lineRule="auto"/>
        <w:ind w:firstLine="420" w:firstLineChars="200"/>
        <w:jc w:val="both"/>
        <w:rPr>
          <w:rFonts w:hint="eastAsia" w:ascii="宋体" w:hAnsi="宋体" w:eastAsia="宋体" w:cs="Times New Roman"/>
          <w:color w:val="auto"/>
          <w:kern w:val="0"/>
          <w:szCs w:val="24"/>
          <w:highlight w:val="none"/>
          <w:lang w:val="zh-CN"/>
        </w:rPr>
      </w:pPr>
      <w:r>
        <w:rPr>
          <w:rFonts w:hint="eastAsia" w:ascii="宋体" w:hAnsi="宋体" w:eastAsia="宋体" w:cs="Times New Roman"/>
          <w:color w:val="auto"/>
          <w:kern w:val="0"/>
          <w:szCs w:val="24"/>
          <w:highlight w:val="none"/>
          <w:lang w:val="zh-CN"/>
        </w:rPr>
        <w:t>30.1对于经公开招标的货物、服务采购项目，招标过程中提交投标文件或者经评审实质性响应招标文件要求的供应商只有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pPr>
        <w:widowControl w:val="0"/>
        <w:adjustRightInd w:val="0"/>
        <w:snapToGrid w:val="0"/>
        <w:spacing w:line="360" w:lineRule="auto"/>
        <w:ind w:firstLine="420" w:firstLineChars="200"/>
        <w:jc w:val="both"/>
        <w:rPr>
          <w:rFonts w:hint="eastAsia" w:ascii="宋体" w:hAnsi="宋体" w:eastAsia="宋体" w:cs="Times New Roman"/>
          <w:color w:val="auto"/>
          <w:kern w:val="0"/>
          <w:szCs w:val="24"/>
          <w:highlight w:val="none"/>
          <w:lang w:val="zh-CN"/>
        </w:rPr>
      </w:pPr>
      <w:r>
        <w:rPr>
          <w:rFonts w:hint="eastAsia" w:ascii="宋体" w:hAnsi="宋体" w:eastAsia="宋体" w:cs="Times New Roman"/>
          <w:color w:val="auto"/>
          <w:kern w:val="0"/>
          <w:szCs w:val="24"/>
          <w:highlight w:val="none"/>
          <w:lang w:val="zh-CN"/>
        </w:rPr>
        <w:t>30.2</w:t>
      </w:r>
      <w:r>
        <w:rPr>
          <w:rFonts w:hint="eastAsia" w:ascii="宋体" w:hAnsi="宋体" w:eastAsia="宋体" w:cs="宋体"/>
          <w:color w:val="auto"/>
          <w:kern w:val="0"/>
          <w:szCs w:val="21"/>
          <w:highlight w:val="none"/>
        </w:rPr>
        <w:t>符合上款情形的，本章本节相关条款规定的供应商最低数量可以为两家。</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38" w:name="_Toc107997998"/>
      <w:bookmarkStart w:id="139" w:name="_Toc107997871"/>
      <w:r>
        <w:rPr>
          <w:rFonts w:hint="eastAsia" w:ascii="黑体" w:hAnsi="黑体" w:eastAsia="黑体" w:cs="Times New Roman"/>
          <w:b/>
          <w:bCs/>
          <w:color w:val="auto"/>
          <w:sz w:val="24"/>
          <w:szCs w:val="24"/>
          <w:highlight w:val="none"/>
        </w:rPr>
        <w:t>31.谈判终止</w:t>
      </w:r>
      <w:bookmarkEnd w:id="138"/>
      <w:bookmarkEnd w:id="139"/>
    </w:p>
    <w:p>
      <w:pPr>
        <w:widowControl w:val="0"/>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Times New Roman"/>
          <w:bCs/>
          <w:color w:val="auto"/>
          <w:szCs w:val="21"/>
          <w:highlight w:val="none"/>
        </w:rPr>
        <w:t>31.1</w:t>
      </w:r>
      <w:r>
        <w:rPr>
          <w:rFonts w:hint="eastAsia" w:ascii="宋体" w:hAnsi="宋体" w:eastAsia="宋体" w:cs="宋体"/>
          <w:color w:val="auto"/>
          <w:kern w:val="0"/>
          <w:szCs w:val="21"/>
          <w:highlight w:val="none"/>
        </w:rPr>
        <w:t>出现下列情形之一的，采购人、采购代理机构应当终止竞争性谈判采购活动，</w:t>
      </w:r>
      <w:r>
        <w:rPr>
          <w:rFonts w:hint="eastAsia" w:ascii="Times New Roman" w:hAnsi="宋体" w:eastAsia="宋体" w:cs="Times New Roman"/>
          <w:color w:val="auto"/>
          <w:szCs w:val="24"/>
          <w:highlight w:val="none"/>
        </w:rPr>
        <w:t>在指定的媒体上</w:t>
      </w:r>
      <w:r>
        <w:rPr>
          <w:rFonts w:hint="eastAsia" w:ascii="宋体" w:hAnsi="宋体" w:eastAsia="宋体" w:cs="宋体"/>
          <w:color w:val="auto"/>
          <w:kern w:val="0"/>
          <w:szCs w:val="21"/>
          <w:highlight w:val="none"/>
        </w:rPr>
        <w:t xml:space="preserve">发布项目终止公告并说明原因，重新开展采购活动： </w:t>
      </w:r>
    </w:p>
    <w:p>
      <w:pPr>
        <w:widowControl w:val="0"/>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（1）因情况变化，不再符合规定的竞争性谈判采购方式适用情形的；</w:t>
      </w:r>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（2）出现影响采购公正的违法、违规行为的；</w:t>
      </w:r>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（3）在采购过程中符合竞争要求的供应商或者报价未超过采购预算的供应商不足3家的，或者提交最后报价的供应商少于3家的；</w:t>
      </w:r>
    </w:p>
    <w:p>
      <w:pPr>
        <w:widowControl w:val="0"/>
        <w:adjustRightInd w:val="0"/>
        <w:snapToGrid w:val="0"/>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Times New Roman"/>
          <w:bCs/>
          <w:color w:val="auto"/>
          <w:szCs w:val="21"/>
          <w:highlight w:val="none"/>
        </w:rPr>
        <w:t>因重大变故，采购任务取消的。</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40" w:name="_Toc107997999"/>
      <w:bookmarkStart w:id="141" w:name="_Toc107997872"/>
      <w:r>
        <w:rPr>
          <w:rFonts w:hint="eastAsia" w:ascii="黑体" w:hAnsi="黑体" w:eastAsia="黑体" w:cs="Times New Roman"/>
          <w:b/>
          <w:bCs/>
          <w:color w:val="auto"/>
          <w:sz w:val="24"/>
          <w:szCs w:val="24"/>
          <w:highlight w:val="none"/>
        </w:rPr>
        <w:t>32.重新评审</w:t>
      </w:r>
      <w:bookmarkEnd w:id="140"/>
      <w:bookmarkEnd w:id="141"/>
    </w:p>
    <w:p>
      <w:pPr>
        <w:widowControl w:val="0"/>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32.1除资格性审查认定错误和价格计算错误外，采购人、采购代理机构不以任何理由组织重新评审。</w:t>
      </w:r>
    </w:p>
    <w:p>
      <w:pPr>
        <w:widowControl w:val="0"/>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32.2采购人、采购代理机构发现谈判小组未按照谈判文件规定的评定成交的标准进行评审的，应当重新开展采购活动，并同时书面报告本级财政部门。</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42" w:name="_Toc107998000"/>
      <w:bookmarkStart w:id="143" w:name="_Toc107997873"/>
      <w:r>
        <w:rPr>
          <w:rFonts w:hint="eastAsia" w:ascii="黑体" w:hAnsi="黑体" w:eastAsia="黑体" w:cs="Times New Roman"/>
          <w:b/>
          <w:bCs/>
          <w:color w:val="auto"/>
          <w:sz w:val="24"/>
          <w:szCs w:val="24"/>
          <w:highlight w:val="none"/>
        </w:rPr>
        <w:t>33.保密及串通行为</w:t>
      </w:r>
      <w:bookmarkEnd w:id="142"/>
      <w:bookmarkEnd w:id="143"/>
    </w:p>
    <w:p>
      <w:pPr>
        <w:widowControl w:val="0"/>
        <w:adjustRightInd w:val="0"/>
        <w:snapToGrid w:val="0"/>
        <w:spacing w:line="360" w:lineRule="auto"/>
        <w:ind w:firstLine="420" w:firstLineChars="200"/>
        <w:jc w:val="both"/>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33.1谈判小组成员以及与评审工作有关的人员不得泄露评审情况以及评审过程中获悉的国家秘密、商业秘密。</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33.2</w:t>
      </w:r>
      <w:r>
        <w:rPr>
          <w:rFonts w:hint="eastAsia" w:ascii="宋体" w:hAnsi="宋体" w:eastAsia="宋体" w:cs="宋体"/>
          <w:color w:val="auto"/>
          <w:kern w:val="0"/>
          <w:szCs w:val="21"/>
          <w:highlight w:val="none"/>
        </w:rPr>
        <w:t>供应商</w:t>
      </w:r>
      <w:r>
        <w:rPr>
          <w:rFonts w:hint="eastAsia" w:ascii="宋体" w:hAnsi="宋体" w:eastAsia="宋体" w:cs="Times New Roman"/>
          <w:color w:val="auto"/>
          <w:szCs w:val="21"/>
          <w:highlight w:val="none"/>
        </w:rPr>
        <w:t>不得与</w:t>
      </w:r>
      <w:r>
        <w:rPr>
          <w:rFonts w:hint="eastAsia" w:ascii="宋体" w:hAnsi="宋体" w:eastAsia="宋体" w:cs="宋体"/>
          <w:color w:val="auto"/>
          <w:kern w:val="0"/>
          <w:szCs w:val="21"/>
          <w:highlight w:val="none"/>
        </w:rPr>
        <w:t>采购人、采购代理机构、其他供应商恶意</w:t>
      </w:r>
      <w:r>
        <w:rPr>
          <w:rFonts w:hint="eastAsia" w:ascii="宋体" w:hAnsi="宋体" w:eastAsia="宋体" w:cs="Times New Roman"/>
          <w:color w:val="auto"/>
          <w:szCs w:val="21"/>
          <w:highlight w:val="none"/>
        </w:rPr>
        <w:t>串通；不得向</w:t>
      </w:r>
      <w:r>
        <w:rPr>
          <w:rFonts w:hint="eastAsia" w:ascii="宋体" w:hAnsi="宋体" w:eastAsia="宋体" w:cs="宋体"/>
          <w:color w:val="auto"/>
          <w:kern w:val="0"/>
          <w:szCs w:val="21"/>
          <w:highlight w:val="none"/>
        </w:rPr>
        <w:t>采购人、采购代理机构</w:t>
      </w:r>
      <w:r>
        <w:rPr>
          <w:rFonts w:hint="eastAsia" w:ascii="宋体" w:hAnsi="宋体" w:eastAsia="宋体" w:cs="Times New Roman"/>
          <w:color w:val="auto"/>
          <w:szCs w:val="21"/>
          <w:highlight w:val="none"/>
        </w:rPr>
        <w:t>或者谈判小组成员行贿或者提供其他不正当利益；不得提供虚假材料谋取成交；不得以任何方式干扰、影响采购工作。</w:t>
      </w:r>
    </w:p>
    <w:p>
      <w:pPr>
        <w:widowControl w:val="0"/>
        <w:adjustRightInd w:val="0"/>
        <w:snapToGrid w:val="0"/>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Arial"/>
          <w:color w:val="auto"/>
          <w:kern w:val="0"/>
          <w:szCs w:val="21"/>
          <w:highlight w:val="none"/>
        </w:rPr>
        <w:t>33.3</w:t>
      </w:r>
      <w:r>
        <w:rPr>
          <w:rFonts w:ascii="宋体" w:hAnsi="宋体" w:eastAsia="宋体" w:cs="Arial"/>
          <w:color w:val="auto"/>
          <w:kern w:val="0"/>
          <w:szCs w:val="21"/>
          <w:highlight w:val="none"/>
        </w:rPr>
        <w:t>有下列情形之一的，</w:t>
      </w:r>
      <w:r>
        <w:rPr>
          <w:rFonts w:ascii="宋体" w:hAnsi="宋体" w:eastAsia="宋体" w:cs="宋体"/>
          <w:color w:val="auto"/>
          <w:kern w:val="0"/>
          <w:szCs w:val="21"/>
          <w:highlight w:val="none"/>
          <w:lang w:val="zh-CN"/>
        </w:rPr>
        <w:t>属于恶意串通，</w:t>
      </w:r>
      <w:r>
        <w:rPr>
          <w:rFonts w:ascii="宋体" w:hAnsi="宋体" w:eastAsia="宋体" w:cs="宋体"/>
          <w:color w:val="auto"/>
          <w:kern w:val="0"/>
          <w:szCs w:val="21"/>
          <w:highlight w:val="none"/>
        </w:rPr>
        <w:t>成交无效，并</w:t>
      </w:r>
      <w:r>
        <w:rPr>
          <w:rFonts w:ascii="宋体" w:hAnsi="宋体" w:eastAsia="宋体" w:cs="宋体"/>
          <w:color w:val="auto"/>
          <w:kern w:val="0"/>
          <w:szCs w:val="21"/>
          <w:highlight w:val="none"/>
          <w:lang w:val="zh-CN"/>
        </w:rPr>
        <w:t>依照《政府采购法》第七十七条的规定追究法律责任：</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（1）供应商直接或者间接从</w:t>
      </w:r>
      <w:r>
        <w:rPr>
          <w:rFonts w:hint="eastAsia" w:ascii="宋体" w:hAnsi="宋体" w:eastAsia="宋体" w:cs="Times New Roman"/>
          <w:bCs/>
          <w:color w:val="auto"/>
          <w:szCs w:val="21"/>
          <w:highlight w:val="none"/>
        </w:rPr>
        <w:t>采购人、采购代理机构</w:t>
      </w:r>
      <w:r>
        <w:rPr>
          <w:rFonts w:hint="eastAsia" w:ascii="宋体" w:hAnsi="宋体" w:eastAsia="宋体" w:cs="Times New Roman"/>
          <w:color w:val="auto"/>
          <w:szCs w:val="21"/>
          <w:highlight w:val="none"/>
        </w:rPr>
        <w:t>获得其他供应商的响应情况，并修改其响应文件</w:t>
      </w:r>
      <w:r>
        <w:rPr>
          <w:rFonts w:hint="eastAsia" w:ascii="宋体" w:hAnsi="宋体" w:eastAsia="宋体" w:cs="Times New Roman"/>
          <w:color w:val="auto"/>
          <w:szCs w:val="24"/>
          <w:highlight w:val="none"/>
        </w:rPr>
        <w:t>的</w:t>
      </w:r>
      <w:r>
        <w:rPr>
          <w:rFonts w:hint="eastAsia" w:ascii="宋体" w:hAnsi="宋体" w:eastAsia="宋体" w:cs="Times New Roman"/>
          <w:color w:val="auto"/>
          <w:szCs w:val="21"/>
          <w:highlight w:val="none"/>
        </w:rPr>
        <w:t>；</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bCs/>
          <w:color w:val="auto"/>
          <w:szCs w:val="21"/>
          <w:highlight w:val="none"/>
        </w:rPr>
        <w:t>采购人、采购代理机构</w:t>
      </w:r>
      <w:r>
        <w:rPr>
          <w:rFonts w:hint="eastAsia" w:ascii="宋体" w:hAnsi="宋体" w:eastAsia="宋体" w:cs="Times New Roman"/>
          <w:color w:val="auto"/>
          <w:szCs w:val="21"/>
          <w:highlight w:val="none"/>
        </w:rPr>
        <w:t>授意供应商撤换、修改响应文件</w:t>
      </w:r>
      <w:r>
        <w:rPr>
          <w:rFonts w:hint="eastAsia" w:ascii="宋体" w:hAnsi="宋体" w:eastAsia="宋体" w:cs="Times New Roman"/>
          <w:color w:val="auto"/>
          <w:szCs w:val="24"/>
          <w:highlight w:val="none"/>
        </w:rPr>
        <w:t>的</w:t>
      </w:r>
      <w:r>
        <w:rPr>
          <w:rFonts w:hint="eastAsia" w:ascii="宋体" w:hAnsi="宋体" w:eastAsia="宋体" w:cs="Times New Roman"/>
          <w:color w:val="auto"/>
          <w:szCs w:val="21"/>
          <w:highlight w:val="none"/>
        </w:rPr>
        <w:t>；</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（3）供应商之间协商技术方案、合同条款以及报价等响应文件实质性内容</w:t>
      </w:r>
      <w:r>
        <w:rPr>
          <w:rFonts w:hint="eastAsia" w:ascii="宋体" w:hAnsi="宋体" w:eastAsia="宋体" w:cs="Times New Roman"/>
          <w:color w:val="auto"/>
          <w:szCs w:val="24"/>
          <w:highlight w:val="none"/>
        </w:rPr>
        <w:t>的</w:t>
      </w:r>
      <w:r>
        <w:rPr>
          <w:rFonts w:hint="eastAsia" w:ascii="宋体" w:hAnsi="宋体" w:eastAsia="宋体" w:cs="Times New Roman"/>
          <w:color w:val="auto"/>
          <w:szCs w:val="21"/>
          <w:highlight w:val="none"/>
        </w:rPr>
        <w:t>；</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（4）属于同一集团、协会、商会等组织成员的供应商按照该组织要求协同参加竞争性谈判政府采购活动</w:t>
      </w:r>
      <w:r>
        <w:rPr>
          <w:rFonts w:hint="eastAsia" w:ascii="宋体" w:hAnsi="宋体" w:eastAsia="宋体" w:cs="Times New Roman"/>
          <w:color w:val="auto"/>
          <w:szCs w:val="24"/>
          <w:highlight w:val="none"/>
        </w:rPr>
        <w:t>的</w:t>
      </w:r>
      <w:r>
        <w:rPr>
          <w:rFonts w:hint="eastAsia" w:ascii="宋体" w:hAnsi="宋体" w:eastAsia="宋体" w:cs="Times New Roman"/>
          <w:color w:val="auto"/>
          <w:szCs w:val="21"/>
          <w:highlight w:val="none"/>
        </w:rPr>
        <w:t>；</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（5）供应商之间事先约定由某一特定供应商成交</w:t>
      </w:r>
      <w:r>
        <w:rPr>
          <w:rFonts w:hint="eastAsia" w:ascii="宋体" w:hAnsi="宋体" w:eastAsia="宋体" w:cs="Times New Roman"/>
          <w:color w:val="auto"/>
          <w:szCs w:val="24"/>
          <w:highlight w:val="none"/>
        </w:rPr>
        <w:t>的</w:t>
      </w:r>
      <w:r>
        <w:rPr>
          <w:rFonts w:hint="eastAsia" w:ascii="宋体" w:hAnsi="宋体" w:eastAsia="宋体" w:cs="Times New Roman"/>
          <w:color w:val="auto"/>
          <w:szCs w:val="21"/>
          <w:highlight w:val="none"/>
        </w:rPr>
        <w:t>；</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（6）供应商之间商定部分供应商放弃</w:t>
      </w:r>
      <w:r>
        <w:rPr>
          <w:rFonts w:hint="eastAsia" w:ascii="宋体" w:hAnsi="宋体" w:eastAsia="宋体" w:cs="Times New Roman"/>
          <w:color w:val="auto"/>
          <w:szCs w:val="24"/>
          <w:highlight w:val="none"/>
        </w:rPr>
        <w:t>提</w:t>
      </w:r>
      <w:r>
        <w:rPr>
          <w:rFonts w:hint="eastAsia" w:ascii="宋体" w:hAnsi="宋体" w:eastAsia="宋体" w:cs="Times New Roman"/>
          <w:color w:val="auto"/>
          <w:szCs w:val="21"/>
          <w:highlight w:val="none"/>
        </w:rPr>
        <w:t>交响应文件或者退出谈判或者放弃成交</w:t>
      </w:r>
      <w:r>
        <w:rPr>
          <w:rFonts w:hint="eastAsia" w:ascii="宋体" w:hAnsi="宋体" w:eastAsia="宋体" w:cs="Times New Roman"/>
          <w:color w:val="auto"/>
          <w:szCs w:val="24"/>
          <w:highlight w:val="none"/>
        </w:rPr>
        <w:t>的</w:t>
      </w:r>
      <w:r>
        <w:rPr>
          <w:rFonts w:hint="eastAsia" w:ascii="宋体" w:hAnsi="宋体" w:eastAsia="宋体" w:cs="Times New Roman"/>
          <w:color w:val="auto"/>
          <w:szCs w:val="21"/>
          <w:highlight w:val="none"/>
        </w:rPr>
        <w:t>；</w:t>
      </w:r>
    </w:p>
    <w:p>
      <w:pPr>
        <w:widowControl w:val="0"/>
        <w:adjustRightInd w:val="0"/>
        <w:snapToGrid w:val="0"/>
        <w:spacing w:line="360" w:lineRule="auto"/>
        <w:ind w:firstLine="420" w:firstLineChars="200"/>
        <w:jc w:val="both"/>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（7）供应商与</w:t>
      </w:r>
      <w:r>
        <w:rPr>
          <w:rFonts w:hint="eastAsia" w:ascii="宋体" w:hAnsi="宋体" w:eastAsia="宋体" w:cs="Times New Roman"/>
          <w:bCs/>
          <w:color w:val="auto"/>
          <w:szCs w:val="21"/>
          <w:highlight w:val="none"/>
        </w:rPr>
        <w:t>采购人、采购代理机构以及</w:t>
      </w:r>
      <w:r>
        <w:rPr>
          <w:rFonts w:hint="eastAsia" w:ascii="宋体" w:hAnsi="宋体" w:eastAsia="宋体" w:cs="Times New Roman"/>
          <w:color w:val="auto"/>
          <w:szCs w:val="21"/>
          <w:highlight w:val="none"/>
        </w:rPr>
        <w:t>谈判小组成员之间、供应商相互之间，为谋求特定供应商成交或者排斥其他供应商的其他串通行为</w:t>
      </w:r>
      <w:r>
        <w:rPr>
          <w:rFonts w:hint="eastAsia" w:ascii="宋体" w:hAnsi="宋体" w:eastAsia="宋体" w:cs="Times New Roman"/>
          <w:color w:val="auto"/>
          <w:szCs w:val="24"/>
          <w:highlight w:val="none"/>
        </w:rPr>
        <w:t>的</w:t>
      </w:r>
      <w:r>
        <w:rPr>
          <w:rFonts w:hint="eastAsia" w:ascii="宋体" w:hAnsi="宋体" w:eastAsia="宋体" w:cs="Times New Roman"/>
          <w:color w:val="auto"/>
          <w:szCs w:val="21"/>
          <w:highlight w:val="none"/>
        </w:rPr>
        <w:t>；</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ascii="宋体" w:hAnsi="宋体" w:eastAsia="宋体" w:cs="Arial"/>
          <w:color w:val="auto"/>
          <w:szCs w:val="21"/>
          <w:highlight w:val="none"/>
        </w:rPr>
        <w:t>（</w:t>
      </w:r>
      <w:r>
        <w:rPr>
          <w:rFonts w:hint="eastAsia" w:ascii="宋体" w:hAnsi="宋体" w:eastAsia="宋体" w:cs="Arial"/>
          <w:color w:val="auto"/>
          <w:szCs w:val="21"/>
          <w:highlight w:val="none"/>
        </w:rPr>
        <w:t>8</w:t>
      </w:r>
      <w:r>
        <w:rPr>
          <w:rFonts w:ascii="宋体" w:hAnsi="宋体" w:eastAsia="宋体" w:cs="Arial"/>
          <w:color w:val="auto"/>
          <w:szCs w:val="21"/>
          <w:highlight w:val="none"/>
        </w:rPr>
        <w:t>）</w:t>
      </w:r>
      <w:r>
        <w:rPr>
          <w:rFonts w:ascii="宋体" w:hAnsi="宋体" w:eastAsia="宋体" w:cs="宋体"/>
          <w:color w:val="auto"/>
          <w:szCs w:val="21"/>
          <w:highlight w:val="none"/>
        </w:rPr>
        <w:t>不同供应商的文件制作机器码或文件创建标识码或电脑IP地址一致的；</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（9）</w:t>
      </w:r>
      <w:r>
        <w:rPr>
          <w:rFonts w:ascii="宋体" w:hAnsi="宋体" w:eastAsia="宋体" w:cs="Times New Roman"/>
          <w:color w:val="auto"/>
          <w:szCs w:val="21"/>
          <w:highlight w:val="none"/>
        </w:rPr>
        <w:t>法律、行政法规或规章规定的其他串通行为。</w:t>
      </w:r>
    </w:p>
    <w:p>
      <w:pPr>
        <w:widowControl w:val="0"/>
        <w:adjustRightInd w:val="0"/>
        <w:snapToGrid w:val="0"/>
        <w:spacing w:line="360" w:lineRule="auto"/>
        <w:jc w:val="center"/>
        <w:outlineLvl w:val="2"/>
        <w:rPr>
          <w:rFonts w:hint="eastAsia" w:ascii="黑体" w:hAnsi="黑体" w:eastAsia="黑体" w:cs="Times New Roman"/>
          <w:b/>
          <w:bCs/>
          <w:color w:val="auto"/>
          <w:sz w:val="28"/>
          <w:szCs w:val="28"/>
          <w:highlight w:val="none"/>
        </w:rPr>
      </w:pPr>
      <w:bookmarkStart w:id="144" w:name="_Toc214954908"/>
      <w:bookmarkStart w:id="145" w:name="_Toc107998001"/>
      <w:r>
        <w:rPr>
          <w:rFonts w:hint="eastAsia" w:ascii="黑体" w:hAnsi="黑体" w:eastAsia="黑体" w:cs="Times New Roman"/>
          <w:b/>
          <w:bCs/>
          <w:color w:val="auto"/>
          <w:sz w:val="28"/>
          <w:szCs w:val="28"/>
          <w:highlight w:val="none"/>
        </w:rPr>
        <w:t>六、成交结果信息公布与授予合同</w:t>
      </w:r>
      <w:bookmarkEnd w:id="144"/>
      <w:bookmarkEnd w:id="145"/>
    </w:p>
    <w:p>
      <w:pPr>
        <w:widowControl w:val="0"/>
        <w:adjustRightInd w:val="0"/>
        <w:snapToGrid w:val="0"/>
        <w:spacing w:line="360" w:lineRule="auto"/>
        <w:jc w:val="both"/>
        <w:outlineLvl w:val="3"/>
        <w:rPr>
          <w:rFonts w:hint="eastAsia" w:ascii="黑体" w:hAnsi="黑体" w:eastAsia="黑体" w:cs="Times New Roman"/>
          <w:b/>
          <w:bCs/>
          <w:color w:val="auto"/>
          <w:sz w:val="24"/>
          <w:szCs w:val="24"/>
          <w:highlight w:val="none"/>
        </w:rPr>
      </w:pPr>
      <w:bookmarkStart w:id="146" w:name="_Toc107998002"/>
      <w:bookmarkStart w:id="147" w:name="_Toc107997875"/>
      <w:r>
        <w:rPr>
          <w:rFonts w:hint="eastAsia" w:ascii="黑体" w:hAnsi="黑体" w:eastAsia="黑体" w:cs="Times New Roman"/>
          <w:b/>
          <w:bCs/>
          <w:color w:val="auto"/>
          <w:sz w:val="24"/>
          <w:szCs w:val="24"/>
          <w:highlight w:val="none"/>
        </w:rPr>
        <w:t>34.成交信息的公布与成交通知书</w:t>
      </w:r>
      <w:bookmarkEnd w:id="146"/>
      <w:bookmarkEnd w:id="147"/>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34.1采购人、采购代理机构应当自采购人确定成交供应商之日起2个工作日内，发出成交通知书，并在</w:t>
      </w:r>
      <w:r>
        <w:rPr>
          <w:rFonts w:hint="eastAsia" w:ascii="宋体" w:hAnsi="宋体" w:eastAsia="宋体" w:cs="Courier New"/>
          <w:b/>
          <w:color w:val="auto"/>
          <w:szCs w:val="21"/>
          <w:highlight w:val="none"/>
        </w:rPr>
        <w:t>【谈判须知前附表】</w:t>
      </w:r>
      <w:r>
        <w:rPr>
          <w:rFonts w:hint="eastAsia" w:ascii="宋体" w:hAnsi="宋体" w:eastAsia="宋体" w:cs="Courier New"/>
          <w:color w:val="auto"/>
          <w:szCs w:val="21"/>
          <w:highlight w:val="none"/>
        </w:rPr>
        <w:t>指定媒体上公告成交结果，竞争性谈判文件随成交结果同时公告，成交结果公告期限为1个工作日。</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34.2成交供应商确定后，采购人、采购代理机构将以书面形式向成交供应商发出成交通知书。成交通知书对采购人和成交供应商具有同等法律效力。</w:t>
      </w:r>
    </w:p>
    <w:p>
      <w:pPr>
        <w:widowControl w:val="0"/>
        <w:adjustRightInd w:val="0"/>
        <w:snapToGrid w:val="0"/>
        <w:spacing w:line="360" w:lineRule="auto"/>
        <w:ind w:firstLine="420" w:firstLineChars="200"/>
        <w:jc w:val="both"/>
        <w:rPr>
          <w:rFonts w:ascii="宋体" w:hAnsi="Courier New" w:eastAsia="宋体" w:cs="Courier New"/>
          <w:color w:val="auto"/>
          <w:szCs w:val="21"/>
          <w:highlight w:val="none"/>
        </w:rPr>
      </w:pPr>
      <w:r>
        <w:rPr>
          <w:rFonts w:hint="eastAsia" w:ascii="宋体" w:hAnsi="宋体" w:eastAsia="宋体" w:cs="Courier New"/>
          <w:color w:val="auto"/>
          <w:szCs w:val="21"/>
          <w:highlight w:val="none"/>
        </w:rPr>
        <w:t>34.3成交通知书是合同文件的组成部分。</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48" w:name="_Toc107997876"/>
      <w:bookmarkStart w:id="149" w:name="_Toc107998003"/>
      <w:r>
        <w:rPr>
          <w:rFonts w:hint="eastAsia" w:ascii="黑体" w:hAnsi="黑体" w:eastAsia="黑体" w:cs="Times New Roman"/>
          <w:b/>
          <w:bCs/>
          <w:color w:val="auto"/>
          <w:sz w:val="24"/>
          <w:szCs w:val="24"/>
          <w:highlight w:val="none"/>
        </w:rPr>
        <w:t>35.询问及质疑</w:t>
      </w:r>
      <w:bookmarkEnd w:id="148"/>
      <w:bookmarkEnd w:id="149"/>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35.1供应商对政府采购活动事项有疑问的，可以向采购人、采购代理机构提出询问。采购人或采购代理机构将在3个工作日内作出答复。</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35.2供应商若认为谈判文件、采购过程和成交结果使自己的权益受到损害，可以按法律、规章及《湖南省财政厅关于印发＜政府采购质疑答复和投诉处理操作规程＞的通知》(湘财购〔2024〕67号)文件规定向采购人、采购代理机构提出质疑。供应商应当在法定质疑期内一次性提出针对同一采购程序环节的质疑。</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35.3供应商提出质疑的，质疑函应按照《湖南省财政厅关于印发＜政府采购质疑答复和投诉处理操作规程＞的通知》规定制作、签署、送达。采购人、采购代理机构接收质疑函的联系部门、联系电话和通讯地址见</w:t>
      </w:r>
      <w:r>
        <w:rPr>
          <w:rFonts w:hint="eastAsia" w:ascii="宋体" w:hAnsi="宋体" w:eastAsia="宋体" w:cs="Times New Roman"/>
          <w:b/>
          <w:color w:val="auto"/>
          <w:szCs w:val="21"/>
          <w:highlight w:val="none"/>
        </w:rPr>
        <w:t>【谈判须知前附表】</w:t>
      </w:r>
      <w:r>
        <w:rPr>
          <w:rFonts w:hint="eastAsia" w:ascii="宋体" w:hAnsi="宋体" w:eastAsia="宋体" w:cs="Times New Roman"/>
          <w:color w:val="auto"/>
          <w:szCs w:val="21"/>
          <w:highlight w:val="none"/>
        </w:rPr>
        <w:t>。</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35.4采购人、采购代理机构按照《湖南省财政厅关于印发＜政府采购质疑答复和投诉处理操作规程＞的通知》规定进行质疑答复。</w:t>
      </w:r>
    </w:p>
    <w:p>
      <w:pPr>
        <w:widowControl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35.5供应商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50" w:name="_Toc107997877"/>
      <w:bookmarkStart w:id="151" w:name="_Toc107998004"/>
      <w:r>
        <w:rPr>
          <w:rFonts w:hint="eastAsia" w:ascii="黑体" w:hAnsi="黑体" w:eastAsia="黑体" w:cs="Times New Roman"/>
          <w:b/>
          <w:bCs/>
          <w:color w:val="auto"/>
          <w:sz w:val="24"/>
          <w:szCs w:val="24"/>
          <w:highlight w:val="none"/>
        </w:rPr>
        <w:t>36.履约担保</w:t>
      </w:r>
      <w:bookmarkEnd w:id="150"/>
      <w:bookmarkEnd w:id="151"/>
    </w:p>
    <w:p>
      <w:pPr>
        <w:widowControl w:val="0"/>
        <w:adjustRightInd w:val="0"/>
        <w:snapToGrid w:val="0"/>
        <w:spacing w:before="50"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宋体"/>
          <w:color w:val="auto"/>
          <w:kern w:val="0"/>
          <w:szCs w:val="21"/>
          <w:highlight w:val="none"/>
        </w:rPr>
        <w:t>36.1</w:t>
      </w:r>
      <w:r>
        <w:rPr>
          <w:rFonts w:hint="eastAsia" w:ascii="宋体" w:hAnsi="宋体" w:eastAsia="宋体" w:cs="宋体"/>
          <w:bCs/>
          <w:color w:val="auto"/>
          <w:highlight w:val="none"/>
        </w:rPr>
        <w:t>根据《关于进一步优化政府采购领域营商环境的通知》郴财采资〔2024〕6号文件精神，本项目取消投标保证金及履约保证金</w:t>
      </w:r>
      <w:r>
        <w:rPr>
          <w:rFonts w:hint="eastAsia" w:ascii="宋体" w:hAnsi="宋体" w:eastAsia="宋体" w:cs="宋体"/>
          <w:color w:val="auto"/>
          <w:spacing w:val="2"/>
          <w:szCs w:val="21"/>
          <w:highlight w:val="none"/>
        </w:rPr>
        <w:t>。</w:t>
      </w:r>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52" w:name="_Toc107998005"/>
      <w:bookmarkStart w:id="153" w:name="_Toc107997878"/>
      <w:r>
        <w:rPr>
          <w:rFonts w:hint="eastAsia" w:ascii="黑体" w:hAnsi="黑体" w:eastAsia="黑体" w:cs="Times New Roman"/>
          <w:b/>
          <w:bCs/>
          <w:color w:val="auto"/>
          <w:sz w:val="24"/>
          <w:szCs w:val="24"/>
          <w:highlight w:val="none"/>
        </w:rPr>
        <w:t>37.签订合同</w:t>
      </w:r>
      <w:bookmarkEnd w:id="152"/>
      <w:bookmarkEnd w:id="153"/>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37.1谈判文件、成交供应商的响应文件及其补充的响应文件等均为签订政府采购合同的依据。</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37.2成交供应商应当在成交通知书发出之日起30日内与采购人签订政府采购合同。</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37.3成交供应商应当按照合同约定履行义务。成交供应商不得向他人转让成交项目，也不得将成交项目分包后分别向他人转让。</w:t>
      </w:r>
    </w:p>
    <w:p>
      <w:pPr>
        <w:widowControl w:val="0"/>
        <w:adjustRightInd w:val="0"/>
        <w:snapToGrid w:val="0"/>
        <w:spacing w:line="360" w:lineRule="auto"/>
        <w:jc w:val="center"/>
        <w:outlineLvl w:val="2"/>
        <w:rPr>
          <w:rFonts w:hint="eastAsia" w:ascii="黑体" w:hAnsi="黑体" w:eastAsia="黑体" w:cs="Times New Roman"/>
          <w:b/>
          <w:bCs/>
          <w:color w:val="auto"/>
          <w:sz w:val="28"/>
          <w:szCs w:val="28"/>
          <w:highlight w:val="none"/>
        </w:rPr>
      </w:pPr>
      <w:bookmarkStart w:id="154" w:name="_Toc107998006"/>
      <w:bookmarkStart w:id="155" w:name="_Toc214954909"/>
      <w:bookmarkStart w:id="156" w:name="_Toc22201076"/>
      <w:r>
        <w:rPr>
          <w:rFonts w:hint="eastAsia" w:ascii="黑体" w:hAnsi="黑体" w:eastAsia="黑体" w:cs="Times New Roman"/>
          <w:b/>
          <w:bCs/>
          <w:color w:val="auto"/>
          <w:sz w:val="28"/>
          <w:szCs w:val="28"/>
          <w:highlight w:val="none"/>
        </w:rPr>
        <w:t>七、政府采购政策</w:t>
      </w:r>
      <w:bookmarkEnd w:id="154"/>
      <w:bookmarkEnd w:id="155"/>
      <w:bookmarkEnd w:id="156"/>
    </w:p>
    <w:p>
      <w:pPr>
        <w:widowControl w:val="0"/>
        <w:adjustRightInd w:val="0"/>
        <w:snapToGrid w:val="0"/>
        <w:spacing w:line="360" w:lineRule="auto"/>
        <w:jc w:val="both"/>
        <w:outlineLvl w:val="3"/>
        <w:rPr>
          <w:rFonts w:hint="eastAsia" w:ascii="黑体" w:hAnsi="黑体" w:eastAsia="黑体" w:cs="Times New Roman"/>
          <w:b/>
          <w:bCs/>
          <w:color w:val="auto"/>
          <w:sz w:val="24"/>
          <w:szCs w:val="24"/>
          <w:highlight w:val="none"/>
        </w:rPr>
      </w:pPr>
      <w:bookmarkStart w:id="157" w:name="_Toc62225465"/>
      <w:bookmarkStart w:id="158" w:name="_Toc107998007"/>
      <w:bookmarkStart w:id="159" w:name="_Toc107997880"/>
      <w:r>
        <w:rPr>
          <w:rFonts w:hint="eastAsia" w:ascii="黑体" w:hAnsi="黑体" w:eastAsia="黑体" w:cs="Times New Roman"/>
          <w:b/>
          <w:bCs/>
          <w:color w:val="auto"/>
          <w:sz w:val="24"/>
          <w:szCs w:val="24"/>
          <w:highlight w:val="none"/>
        </w:rPr>
        <w:t>38.</w:t>
      </w:r>
      <w:bookmarkEnd w:id="157"/>
      <w:r>
        <w:rPr>
          <w:rFonts w:hint="eastAsia" w:ascii="黑体" w:hAnsi="黑体" w:eastAsia="黑体" w:cs="Times New Roman"/>
          <w:b/>
          <w:bCs/>
          <w:color w:val="auto"/>
          <w:sz w:val="24"/>
          <w:szCs w:val="24"/>
          <w:highlight w:val="none"/>
        </w:rPr>
        <w:t>预留采购份额</w:t>
      </w:r>
      <w:bookmarkEnd w:id="158"/>
      <w:bookmarkEnd w:id="159"/>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38.1执行中小企业预留采购份额政策的规定：</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（1）预留份额的采购项目或者采购包，应明确该项目或相关采购包专门面向中小企业采购，并作为供应商资格条件。</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（2）要求以联合体形式参加或者合同分包的，应明确联合协议或者分包承诺中中小企业合同金额应当达到的比例，并作为供应商资格条件。</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（3）组成联合体或者接受分包合同的中小企业与联合体内其他企业(成员)、分包企业之间不得存在直接控股、管理关系。</w:t>
      </w:r>
    </w:p>
    <w:p>
      <w:pPr>
        <w:widowControl w:val="0"/>
        <w:adjustRightInd w:val="0"/>
        <w:snapToGrid w:val="0"/>
        <w:spacing w:line="360" w:lineRule="auto"/>
        <w:jc w:val="both"/>
        <w:outlineLvl w:val="3"/>
        <w:rPr>
          <w:rFonts w:hint="eastAsia" w:ascii="黑体" w:hAnsi="黑体" w:eastAsia="黑体" w:cs="Times New Roman"/>
          <w:b/>
          <w:bCs/>
          <w:color w:val="auto"/>
          <w:sz w:val="24"/>
          <w:szCs w:val="24"/>
          <w:highlight w:val="none"/>
        </w:rPr>
      </w:pPr>
      <w:bookmarkStart w:id="160" w:name="_Toc62225466"/>
      <w:bookmarkStart w:id="161" w:name="_Toc107998008"/>
      <w:bookmarkStart w:id="162" w:name="_Toc107997881"/>
      <w:r>
        <w:rPr>
          <w:rFonts w:hint="eastAsia" w:ascii="黑体" w:hAnsi="黑体" w:eastAsia="黑体" w:cs="Times New Roman"/>
          <w:b/>
          <w:bCs/>
          <w:color w:val="auto"/>
          <w:sz w:val="24"/>
          <w:szCs w:val="24"/>
          <w:highlight w:val="none"/>
        </w:rPr>
        <w:t>39.强制采购</w:t>
      </w:r>
      <w:bookmarkEnd w:id="160"/>
      <w:bookmarkEnd w:id="161"/>
      <w:bookmarkEnd w:id="162"/>
    </w:p>
    <w:p>
      <w:pPr>
        <w:widowControl w:val="0"/>
        <w:adjustRightInd w:val="0"/>
        <w:snapToGrid w:val="0"/>
        <w:spacing w:line="360" w:lineRule="auto"/>
        <w:ind w:firstLine="420" w:firstLineChars="200"/>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39.1纳入财政部会同国务院有关部门发布的节能产品政府采购品目清单（品目清单中标注</w:t>
      </w:r>
      <w:r>
        <w:rPr>
          <w:rFonts w:hint="eastAsia" w:ascii="宋体" w:hAnsi="宋体" w:eastAsia="宋体" w:cs="宋体"/>
          <w:color w:val="auto"/>
          <w:kern w:val="0"/>
          <w:szCs w:val="24"/>
          <w:highlight w:val="none"/>
        </w:rPr>
        <w:sym w:font="Wingdings" w:char="F0AB"/>
      </w:r>
      <w:r>
        <w:rPr>
          <w:rFonts w:hint="eastAsia" w:ascii="宋体" w:hAnsi="宋体" w:eastAsia="宋体" w:cs="宋体"/>
          <w:color w:val="auto"/>
          <w:kern w:val="0"/>
          <w:szCs w:val="24"/>
          <w:highlight w:val="none"/>
        </w:rPr>
        <w:t>符号产品），实施政府强制采购的，供应商提供的产品不符合强制采购规定，其</w:t>
      </w:r>
      <w:r>
        <w:rPr>
          <w:rFonts w:hint="eastAsia" w:ascii="宋体" w:hAnsi="宋体" w:eastAsia="宋体" w:cs="宋体"/>
          <w:b/>
          <w:color w:val="auto"/>
          <w:kern w:val="0"/>
          <w:szCs w:val="24"/>
          <w:highlight w:val="none"/>
        </w:rPr>
        <w:t>响应</w:t>
      </w:r>
      <w:r>
        <w:rPr>
          <w:rFonts w:hint="eastAsia" w:ascii="宋体" w:hAnsi="宋体" w:eastAsia="宋体" w:cs="宋体"/>
          <w:b/>
          <w:color w:val="auto"/>
          <w:kern w:val="0"/>
          <w:szCs w:val="21"/>
          <w:highlight w:val="none"/>
        </w:rPr>
        <w:t>无效</w:t>
      </w:r>
      <w:r>
        <w:rPr>
          <w:rFonts w:hint="eastAsia" w:ascii="宋体" w:hAnsi="宋体" w:eastAsia="宋体" w:cs="宋体"/>
          <w:color w:val="auto"/>
          <w:kern w:val="0"/>
          <w:szCs w:val="24"/>
          <w:highlight w:val="none"/>
        </w:rPr>
        <w:t>。</w:t>
      </w:r>
    </w:p>
    <w:p>
      <w:pPr>
        <w:widowControl w:val="0"/>
        <w:adjustRightInd w:val="0"/>
        <w:snapToGrid w:val="0"/>
        <w:spacing w:line="360" w:lineRule="auto"/>
        <w:jc w:val="both"/>
        <w:outlineLvl w:val="3"/>
        <w:rPr>
          <w:rFonts w:hint="eastAsia" w:ascii="黑体" w:hAnsi="黑体" w:eastAsia="黑体" w:cs="Times New Roman"/>
          <w:b/>
          <w:bCs/>
          <w:color w:val="auto"/>
          <w:sz w:val="24"/>
          <w:szCs w:val="24"/>
          <w:highlight w:val="none"/>
        </w:rPr>
      </w:pPr>
      <w:bookmarkStart w:id="163" w:name="_Toc107998009"/>
      <w:bookmarkStart w:id="164" w:name="_Toc107997882"/>
      <w:bookmarkStart w:id="165" w:name="_Toc62225467"/>
      <w:r>
        <w:rPr>
          <w:rFonts w:hint="eastAsia" w:ascii="黑体" w:hAnsi="黑体" w:eastAsia="黑体" w:cs="Times New Roman"/>
          <w:b/>
          <w:bCs/>
          <w:color w:val="auto"/>
          <w:sz w:val="24"/>
          <w:szCs w:val="24"/>
          <w:highlight w:val="none"/>
        </w:rPr>
        <w:t>40.优先采购</w:t>
      </w:r>
      <w:bookmarkEnd w:id="163"/>
      <w:bookmarkEnd w:id="164"/>
      <w:bookmarkEnd w:id="165"/>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40.1对</w:t>
      </w:r>
      <w:r>
        <w:rPr>
          <w:rFonts w:hint="eastAsia" w:ascii="宋体" w:hAnsi="宋体" w:eastAsia="宋体" w:cs="Times New Roman"/>
          <w:color w:val="auto"/>
          <w:szCs w:val="21"/>
          <w:highlight w:val="none"/>
        </w:rPr>
        <w:t>纳入财政部会同国务院有关部门发布的节能产品(未</w:t>
      </w:r>
      <w:r>
        <w:rPr>
          <w:rFonts w:hint="eastAsia" w:ascii="宋体" w:hAnsi="宋体" w:eastAsia="宋体" w:cs="宋体"/>
          <w:color w:val="auto"/>
          <w:kern w:val="0"/>
          <w:szCs w:val="24"/>
          <w:highlight w:val="none"/>
        </w:rPr>
        <w:t>标注</w:t>
      </w:r>
      <w:r>
        <w:rPr>
          <w:rFonts w:hint="eastAsia" w:ascii="宋体" w:hAnsi="宋体" w:eastAsia="宋体" w:cs="宋体"/>
          <w:color w:val="auto"/>
          <w:kern w:val="0"/>
          <w:szCs w:val="24"/>
          <w:highlight w:val="none"/>
        </w:rPr>
        <w:sym w:font="Wingdings" w:char="F0AB"/>
      </w:r>
      <w:r>
        <w:rPr>
          <w:rFonts w:hint="eastAsia" w:ascii="宋体" w:hAnsi="宋体" w:eastAsia="宋体" w:cs="宋体"/>
          <w:color w:val="auto"/>
          <w:kern w:val="0"/>
          <w:szCs w:val="24"/>
          <w:highlight w:val="none"/>
        </w:rPr>
        <w:t>符号产品</w:t>
      </w:r>
      <w:r>
        <w:rPr>
          <w:rFonts w:hint="eastAsia" w:ascii="宋体" w:hAnsi="宋体" w:eastAsia="宋体" w:cs="Times New Roman"/>
          <w:color w:val="auto"/>
          <w:szCs w:val="21"/>
          <w:highlight w:val="none"/>
        </w:rPr>
        <w:t>)、环境标志产品政府采购品目清单，实施政府优先采购的，评审时对该部分产品按</w:t>
      </w:r>
      <w:r>
        <w:rPr>
          <w:rFonts w:hint="eastAsia" w:ascii="宋体" w:hAnsi="宋体" w:eastAsia="宋体" w:cs="Times New Roman"/>
          <w:b/>
          <w:color w:val="auto"/>
          <w:szCs w:val="21"/>
          <w:highlight w:val="none"/>
        </w:rPr>
        <w:t>【谈判须知前附表】</w:t>
      </w:r>
      <w:r>
        <w:rPr>
          <w:rFonts w:hint="eastAsia" w:ascii="宋体" w:hAnsi="宋体" w:eastAsia="宋体" w:cs="Times New Roman"/>
          <w:color w:val="auto"/>
          <w:szCs w:val="21"/>
          <w:highlight w:val="none"/>
        </w:rPr>
        <w:t>规定给予价格折扣；</w:t>
      </w:r>
    </w:p>
    <w:p>
      <w:pPr>
        <w:widowControl w:val="0"/>
        <w:adjustRightInd w:val="0"/>
        <w:snapToGrid w:val="0"/>
        <w:spacing w:line="360" w:lineRule="auto"/>
        <w:jc w:val="both"/>
        <w:outlineLvl w:val="3"/>
        <w:rPr>
          <w:rFonts w:hint="eastAsia" w:ascii="黑体" w:hAnsi="黑体" w:eastAsia="黑体" w:cs="Times New Roman"/>
          <w:b/>
          <w:bCs/>
          <w:color w:val="auto"/>
          <w:sz w:val="24"/>
          <w:szCs w:val="24"/>
          <w:highlight w:val="none"/>
        </w:rPr>
      </w:pPr>
      <w:bookmarkStart w:id="166" w:name="_Toc107998010"/>
      <w:bookmarkStart w:id="167" w:name="_Toc107997883"/>
      <w:bookmarkStart w:id="168" w:name="_Toc62225468"/>
      <w:r>
        <w:rPr>
          <w:rFonts w:hint="eastAsia" w:ascii="黑体" w:hAnsi="黑体" w:eastAsia="黑体" w:cs="Times New Roman"/>
          <w:b/>
          <w:bCs/>
          <w:color w:val="auto"/>
          <w:sz w:val="24"/>
          <w:szCs w:val="24"/>
          <w:highlight w:val="none"/>
        </w:rPr>
        <w:t>41.价格评审优惠</w:t>
      </w:r>
      <w:bookmarkEnd w:id="166"/>
      <w:bookmarkEnd w:id="167"/>
      <w:bookmarkEnd w:id="168"/>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4</w:t>
      </w:r>
      <w:r>
        <w:rPr>
          <w:rFonts w:ascii="宋体" w:hAnsi="宋体" w:eastAsia="宋体" w:cs="Times New Roman"/>
          <w:color w:val="auto"/>
          <w:szCs w:val="24"/>
          <w:highlight w:val="none"/>
        </w:rPr>
        <w:t>1.1</w:t>
      </w:r>
      <w:r>
        <w:rPr>
          <w:rFonts w:hint="eastAsia" w:ascii="宋体" w:hAnsi="宋体" w:eastAsia="宋体" w:cs="Times New Roman"/>
          <w:color w:val="auto"/>
          <w:szCs w:val="24"/>
          <w:highlight w:val="none"/>
        </w:rPr>
        <w:t>在政府采购活动中，供应商提供的货物、工程或者服务符合下列情形的：</w:t>
      </w:r>
      <w:r>
        <w:rPr>
          <w:rFonts w:ascii="宋体" w:hAnsi="宋体" w:eastAsia="宋体" w:cs="Times New Roman"/>
          <w:color w:val="auto"/>
          <w:szCs w:val="24"/>
          <w:highlight w:val="none"/>
        </w:rPr>
        <w:t>（</w:t>
      </w:r>
      <w:r>
        <w:rPr>
          <w:rFonts w:hint="eastAsia" w:ascii="宋体" w:hAnsi="宋体" w:eastAsia="宋体" w:cs="Times New Roman"/>
          <w:color w:val="auto"/>
          <w:szCs w:val="24"/>
          <w:highlight w:val="none"/>
        </w:rPr>
        <w:t>1</w:t>
      </w:r>
      <w:r>
        <w:rPr>
          <w:rFonts w:ascii="宋体" w:hAnsi="宋体" w:eastAsia="宋体" w:cs="Times New Roman"/>
          <w:color w:val="auto"/>
          <w:szCs w:val="24"/>
          <w:highlight w:val="none"/>
        </w:rPr>
        <w:t>）</w:t>
      </w:r>
      <w:r>
        <w:rPr>
          <w:rFonts w:hint="eastAsia" w:ascii="宋体" w:hAnsi="宋体" w:eastAsia="宋体" w:cs="Times New Roman"/>
          <w:color w:val="auto"/>
          <w:szCs w:val="24"/>
          <w:highlight w:val="none"/>
        </w:rPr>
        <w:t>在货物采购项目中，货物由中小企业制造，即货物由中小企业生产且使用该中小企业商号或者注册商标；（2）在工程采购项目中，工程由中小企业承建，即工程施工单位为中小企业；（3）在服务采购项目中，服务由中小企业承接，即提供服务的人员为中小企业依照《中华人民共和国劳动合同法》订立劳动合同的从业人员；给予一定比例的价格折扣，用扣除后的价格参与评审；</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4</w:t>
      </w:r>
      <w:r>
        <w:rPr>
          <w:rFonts w:ascii="宋体" w:hAnsi="宋体" w:eastAsia="宋体" w:cs="Times New Roman"/>
          <w:color w:val="auto"/>
          <w:szCs w:val="24"/>
          <w:highlight w:val="none"/>
        </w:rPr>
        <w:t>1.2价格折扣比例</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（1）对于经主管预算单位统筹后未预留份额专门面向中小企业采购的采购项目，以及预留份额项目中的非预留部分采购包，符合小微企业生产的货物或者提供的服务、工程情形的，按照</w:t>
      </w:r>
      <w:r>
        <w:rPr>
          <w:rFonts w:hint="eastAsia" w:ascii="宋体" w:hAnsi="宋体" w:eastAsia="宋体" w:cs="Times New Roman"/>
          <w:b/>
          <w:color w:val="auto"/>
          <w:szCs w:val="21"/>
          <w:highlight w:val="none"/>
        </w:rPr>
        <w:t>【谈判须知前附表】</w:t>
      </w:r>
      <w:r>
        <w:rPr>
          <w:rFonts w:hint="eastAsia" w:ascii="宋体" w:hAnsi="宋体" w:eastAsia="宋体" w:cs="Times New Roman"/>
          <w:color w:val="auto"/>
          <w:szCs w:val="24"/>
          <w:highlight w:val="none"/>
        </w:rPr>
        <w:t>规定的比例给予价格折扣，用扣除后的价格参与评审。</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（2）接受大中型企业与小微企业组成联合体或者允许大中型企业向一家或者多家小微企业分包的采购项目，对于联合协议或者分包承诺约定小微企业的合同份额占到合同总金额30%以上的，按照</w:t>
      </w:r>
      <w:r>
        <w:rPr>
          <w:rFonts w:hint="eastAsia" w:ascii="宋体" w:hAnsi="宋体" w:eastAsia="宋体" w:cs="Times New Roman"/>
          <w:b/>
          <w:color w:val="auto"/>
          <w:szCs w:val="21"/>
          <w:highlight w:val="none"/>
        </w:rPr>
        <w:t>【谈判须知前附表】</w:t>
      </w:r>
      <w:r>
        <w:rPr>
          <w:rFonts w:hint="eastAsia" w:ascii="宋体" w:hAnsi="宋体" w:eastAsia="宋体" w:cs="Times New Roman"/>
          <w:color w:val="auto"/>
          <w:szCs w:val="24"/>
          <w:highlight w:val="none"/>
        </w:rPr>
        <w:t>规定的比例给予价格折扣，用扣除后的价格参与评审。以联合体形式参加政府采购活动，联合体各方均为中小企业的，联合体视同中小企业。其中，联合体各方均为小微企业的，联合体视同小微企业。</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4</w:t>
      </w:r>
      <w:r>
        <w:rPr>
          <w:rFonts w:ascii="宋体" w:hAnsi="宋体" w:eastAsia="宋体" w:cs="Times New Roman"/>
          <w:color w:val="auto"/>
          <w:szCs w:val="24"/>
          <w:highlight w:val="none"/>
        </w:rPr>
        <w:t>1.3</w:t>
      </w:r>
      <w:r>
        <w:rPr>
          <w:rFonts w:hint="eastAsia" w:ascii="宋体" w:hAnsi="宋体" w:eastAsia="宋体" w:cs="Times New Roman"/>
          <w:color w:val="auto"/>
          <w:szCs w:val="24"/>
          <w:highlight w:val="none"/>
        </w:rPr>
        <w:t>符合中小企业划分标准的个体工商户视同中小企业，享受评审中价格扣除等促进中小企业发展的政府采购政策。</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4</w:t>
      </w:r>
      <w:r>
        <w:rPr>
          <w:rFonts w:ascii="宋体" w:hAnsi="宋体" w:eastAsia="宋体" w:cs="Times New Roman"/>
          <w:color w:val="auto"/>
          <w:szCs w:val="24"/>
          <w:highlight w:val="none"/>
        </w:rPr>
        <w:t>1.4</w:t>
      </w:r>
      <w:r>
        <w:rPr>
          <w:rFonts w:hint="eastAsia" w:ascii="宋体" w:hAnsi="宋体" w:eastAsia="宋体" w:cs="Times New Roman"/>
          <w:color w:val="auto"/>
          <w:szCs w:val="24"/>
          <w:highlight w:val="none"/>
        </w:rPr>
        <w:t>监狱企业、残疾人福利性单位视同小型、微型企业，享受评审中价格扣除等促进中小企业发展的政府采购政策。</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4</w:t>
      </w:r>
      <w:r>
        <w:rPr>
          <w:rFonts w:ascii="宋体" w:hAnsi="宋体" w:eastAsia="宋体" w:cs="Times New Roman"/>
          <w:color w:val="auto"/>
          <w:szCs w:val="24"/>
          <w:highlight w:val="none"/>
        </w:rPr>
        <w:t>1.5</w:t>
      </w:r>
      <w:r>
        <w:rPr>
          <w:rFonts w:hint="eastAsia" w:ascii="宋体" w:hAnsi="宋体" w:eastAsia="宋体" w:cs="Times New Roman"/>
          <w:color w:val="auto"/>
          <w:szCs w:val="24"/>
          <w:highlight w:val="none"/>
        </w:rPr>
        <w:t xml:space="preserve">与大企业的负责人为同一人，或者与大企业存在直接控股、管理关系的中小企业，不享受评审中价格扣除等促进中小企业发展的政府采购政策。 </w:t>
      </w:r>
    </w:p>
    <w:p>
      <w:pPr>
        <w:widowControl w:val="0"/>
        <w:adjustRightInd w:val="0"/>
        <w:snapToGrid w:val="0"/>
        <w:spacing w:line="360" w:lineRule="auto"/>
        <w:ind w:firstLine="420" w:firstLineChars="200"/>
        <w:rPr>
          <w:rFonts w:hint="eastAsia" w:ascii="宋体" w:hAnsi="宋体" w:eastAsia="宋体" w:cs="Times New Roman"/>
          <w:bCs/>
          <w:color w:val="auto"/>
          <w:szCs w:val="21"/>
          <w:highlight w:val="none"/>
        </w:rPr>
      </w:pPr>
      <w:r>
        <w:rPr>
          <w:rFonts w:hint="eastAsia" w:ascii="宋体" w:hAnsi="宋体" w:eastAsia="宋体" w:cs="Times New Roman"/>
          <w:color w:val="auto"/>
          <w:szCs w:val="24"/>
          <w:highlight w:val="none"/>
        </w:rPr>
        <w:t>4</w:t>
      </w:r>
      <w:r>
        <w:rPr>
          <w:rFonts w:ascii="宋体" w:hAnsi="宋体" w:eastAsia="宋体" w:cs="Times New Roman"/>
          <w:color w:val="auto"/>
          <w:szCs w:val="24"/>
          <w:highlight w:val="none"/>
        </w:rPr>
        <w:t>1.6</w:t>
      </w:r>
      <w:r>
        <w:rPr>
          <w:rFonts w:hint="eastAsia" w:ascii="宋体" w:hAnsi="宋体" w:eastAsia="宋体" w:cs="Times New Roman"/>
          <w:color w:val="auto"/>
          <w:szCs w:val="24"/>
          <w:highlight w:val="none"/>
        </w:rPr>
        <w:t>本章第1.2款规定采购项目或者采购包属于“预留采购份额”的，预留部分不再享受本款“价格评审优惠”的小微企业扶持政策。</w:t>
      </w:r>
    </w:p>
    <w:p>
      <w:pPr>
        <w:widowControl w:val="0"/>
        <w:adjustRightInd w:val="0"/>
        <w:snapToGrid w:val="0"/>
        <w:spacing w:line="360" w:lineRule="auto"/>
        <w:jc w:val="both"/>
        <w:outlineLvl w:val="3"/>
        <w:rPr>
          <w:rFonts w:hint="eastAsia" w:ascii="黑体" w:hAnsi="黑体" w:eastAsia="黑体" w:cs="Times New Roman"/>
          <w:b/>
          <w:bCs/>
          <w:color w:val="auto"/>
          <w:sz w:val="24"/>
          <w:szCs w:val="24"/>
          <w:highlight w:val="none"/>
        </w:rPr>
      </w:pPr>
      <w:bookmarkStart w:id="169" w:name="_Toc107997884"/>
      <w:bookmarkStart w:id="170" w:name="_Toc107998011"/>
      <w:bookmarkStart w:id="171" w:name="_Toc62225469"/>
      <w:r>
        <w:rPr>
          <w:rFonts w:hint="eastAsia" w:ascii="黑体" w:hAnsi="黑体" w:eastAsia="黑体" w:cs="Times New Roman"/>
          <w:b/>
          <w:bCs/>
          <w:color w:val="auto"/>
          <w:sz w:val="24"/>
          <w:szCs w:val="24"/>
          <w:highlight w:val="none"/>
        </w:rPr>
        <w:t>42.政府采购政策其他规定</w:t>
      </w:r>
      <w:bookmarkEnd w:id="169"/>
      <w:bookmarkEnd w:id="170"/>
      <w:bookmarkEnd w:id="171"/>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42.1中型企业、小型企业和微型企业类型按照《关于印发＜政府采购促进中小企业发展办法＞的通知》(财库[2020]46号)和《关于印发中小企业划型标准规定的通知》（工信部联企业〔2011〕300号）规定认定。</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4"/>
          <w:highlight w:val="none"/>
        </w:rPr>
        <w:t>42.2监狱企业、残</w:t>
      </w:r>
      <w:r>
        <w:rPr>
          <w:rFonts w:hint="eastAsia" w:ascii="宋体" w:hAnsi="宋体" w:eastAsia="宋体" w:cs="Times New Roman"/>
          <w:color w:val="auto"/>
          <w:szCs w:val="21"/>
          <w:highlight w:val="none"/>
        </w:rPr>
        <w:t>疾人福利性单位以及个体工商户视同小型、微型企业，享受预留采购份额、价格扣除等促进中小企业发展的政府采购政策。监狱企业、残疾人福利性单位以及个体工商户属于小型、微型企业的，不重复享受扶持政策。</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42.3以联合体形式参加政府采购活动，联合体各方均为中小企业的，联合体视同中小企业。其中，联合体各方均为小微企业的，联合体视同小微企业。</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42.4在货物采购项目中，供应商提供的货物既有中小企业制造货物，也有大型企业制造货物的，不享受中小企业扶持政策。</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42.</w:t>
      </w:r>
      <w:r>
        <w:rPr>
          <w:rFonts w:ascii="宋体" w:hAnsi="宋体" w:eastAsia="宋体" w:cs="Times New Roman"/>
          <w:color w:val="auto"/>
          <w:szCs w:val="24"/>
          <w:highlight w:val="none"/>
        </w:rPr>
        <w:t>5</w:t>
      </w:r>
      <w:r>
        <w:rPr>
          <w:rFonts w:hint="eastAsia" w:ascii="宋体" w:hAnsi="宋体" w:eastAsia="宋体" w:cs="Times New Roman"/>
          <w:color w:val="auto"/>
          <w:szCs w:val="24"/>
          <w:highlight w:val="none"/>
        </w:rPr>
        <w:t>供应商提供的产品取得两个及以上优先采购产品认证的，评审时只有其中一项产品能够享受优先采购优惠（供应商自行选择，并在响应文件中并填报相关信息及数据）。</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42.</w:t>
      </w:r>
      <w:r>
        <w:rPr>
          <w:rFonts w:ascii="宋体" w:hAnsi="宋体" w:eastAsia="宋体" w:cs="Times New Roman"/>
          <w:color w:val="auto"/>
          <w:szCs w:val="24"/>
          <w:highlight w:val="none"/>
        </w:rPr>
        <w:t>6</w:t>
      </w:r>
      <w:r>
        <w:rPr>
          <w:rFonts w:hint="eastAsia" w:ascii="宋体" w:hAnsi="宋体" w:eastAsia="宋体" w:cs="Times New Roman"/>
          <w:color w:val="auto"/>
          <w:szCs w:val="24"/>
          <w:highlight w:val="none"/>
        </w:rPr>
        <w:t>“价格评审优惠”可以与同时属于“节能产品”、“环境标志产品”及“两型产品”中的一项“优先采购”累加计算。</w:t>
      </w:r>
    </w:p>
    <w:p>
      <w:pPr>
        <w:widowControl w:val="0"/>
        <w:adjustRightInd w:val="0"/>
        <w:snapToGrid w:val="0"/>
        <w:spacing w:line="360" w:lineRule="auto"/>
        <w:jc w:val="both"/>
        <w:outlineLvl w:val="3"/>
        <w:rPr>
          <w:rFonts w:hint="eastAsia" w:ascii="黑体" w:hAnsi="黑体" w:eastAsia="黑体" w:cs="Times New Roman"/>
          <w:b/>
          <w:bCs/>
          <w:color w:val="auto"/>
          <w:sz w:val="24"/>
          <w:szCs w:val="24"/>
          <w:highlight w:val="none"/>
        </w:rPr>
      </w:pPr>
      <w:bookmarkStart w:id="172" w:name="_Toc62225470"/>
      <w:bookmarkStart w:id="173" w:name="_Toc107998012"/>
      <w:bookmarkStart w:id="174" w:name="_Toc23255846"/>
      <w:bookmarkStart w:id="175" w:name="_Toc23243979"/>
      <w:bookmarkStart w:id="176" w:name="_Toc107997885"/>
      <w:r>
        <w:rPr>
          <w:rFonts w:hint="eastAsia" w:ascii="黑体" w:hAnsi="黑体" w:eastAsia="黑体" w:cs="Times New Roman"/>
          <w:b/>
          <w:bCs/>
          <w:color w:val="auto"/>
          <w:sz w:val="24"/>
          <w:szCs w:val="24"/>
          <w:highlight w:val="none"/>
        </w:rPr>
        <w:t>43.供应商应提供的政府采购政策证明资料</w:t>
      </w:r>
      <w:bookmarkEnd w:id="172"/>
      <w:bookmarkEnd w:id="173"/>
      <w:bookmarkEnd w:id="174"/>
      <w:bookmarkEnd w:id="175"/>
      <w:bookmarkEnd w:id="176"/>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43.1符合本章第38条、第39条、第40条、第41条规定的，供应商应在响应文件中提供相关证明资料。</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（1）节能产品、环境标志产品：提供国家确定的认证机构出具的、处于有效期之内的节能产品、环境标志产品认证证书（复印件）。</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（2）中小企业：货物类采购项目，按《关于印发＜政府采购促进中小企业发展办法＞的通知》(财库[2020]46号) 和《关于印发中小企业划型标准规定的通知》（工信部联企业〔2011〕300号）文件规定提供中小企业声明函（格式）；工程、服务类采购项目，按《湖南省财政厅关于政府采购促进中小企业发展的有关措施的通知》（湘财购[2022]17号）文件规定提供湖南省政府采购供应商资格承诺函（格式）</w:t>
      </w:r>
      <w:r>
        <w:rPr>
          <w:rFonts w:hint="eastAsia" w:ascii="宋体" w:hAnsi="宋体" w:eastAsia="宋体" w:cs="Times New Roman"/>
          <w:color w:val="auto"/>
          <w:szCs w:val="21"/>
          <w:highlight w:val="none"/>
        </w:rPr>
        <w:t>。</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（3）监狱企业：按《关于政府采购支持监狱企业发展有关问题的通知》(财库〔2014〕68号)文件规定提供证明文件（复印件）。</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（4）残疾人福利性单位：按《关于促进残疾人就业政府采购政策的通知》(财库〔2017〕141号)文件规定提供《残疾人福利性单位声明函》（格式）。</w:t>
      </w:r>
    </w:p>
    <w:p>
      <w:pPr>
        <w:widowControl w:val="0"/>
        <w:adjustRightInd w:val="0"/>
        <w:snapToGrid w:val="0"/>
        <w:spacing w:line="360" w:lineRule="auto"/>
        <w:jc w:val="both"/>
        <w:outlineLvl w:val="3"/>
        <w:rPr>
          <w:rFonts w:hint="eastAsia" w:ascii="黑体" w:hAnsi="黑体" w:eastAsia="黑体" w:cs="Times New Roman"/>
          <w:b/>
          <w:bCs/>
          <w:color w:val="auto"/>
          <w:sz w:val="24"/>
          <w:szCs w:val="24"/>
          <w:highlight w:val="none"/>
        </w:rPr>
      </w:pPr>
      <w:bookmarkStart w:id="177" w:name="_Toc62225472"/>
      <w:bookmarkStart w:id="178" w:name="_Toc107997886"/>
      <w:bookmarkStart w:id="179" w:name="_Toc107998013"/>
      <w:r>
        <w:rPr>
          <w:rFonts w:hint="eastAsia" w:ascii="黑体" w:hAnsi="黑体" w:eastAsia="黑体" w:cs="Times New Roman"/>
          <w:b/>
          <w:bCs/>
          <w:color w:val="auto"/>
          <w:sz w:val="24"/>
          <w:szCs w:val="24"/>
          <w:highlight w:val="none"/>
        </w:rPr>
        <w:t>4</w:t>
      </w:r>
      <w:r>
        <w:rPr>
          <w:rFonts w:ascii="黑体" w:hAnsi="黑体" w:eastAsia="黑体" w:cs="Times New Roman"/>
          <w:b/>
          <w:bCs/>
          <w:color w:val="auto"/>
          <w:sz w:val="24"/>
          <w:szCs w:val="24"/>
          <w:highlight w:val="none"/>
        </w:rPr>
        <w:t>4</w:t>
      </w:r>
      <w:r>
        <w:rPr>
          <w:rFonts w:hint="eastAsia" w:ascii="黑体" w:hAnsi="黑体" w:eastAsia="黑体" w:cs="Times New Roman"/>
          <w:b/>
          <w:bCs/>
          <w:color w:val="auto"/>
          <w:sz w:val="24"/>
          <w:szCs w:val="24"/>
          <w:highlight w:val="none"/>
        </w:rPr>
        <w:t>. 采购进口产品</w:t>
      </w:r>
    </w:p>
    <w:p>
      <w:pPr>
        <w:widowControl w:val="0"/>
        <w:adjustRightInd w:val="0"/>
        <w:snapToGrid w:val="0"/>
        <w:spacing w:line="360" w:lineRule="auto"/>
        <w:ind w:firstLine="420" w:firstLineChars="200"/>
        <w:rPr>
          <w:rFonts w:hint="eastAsia" w:ascii="黑体" w:hAnsi="黑体" w:eastAsia="黑体" w:cs="Times New Roman"/>
          <w:b/>
          <w:bCs/>
          <w:color w:val="auto"/>
          <w:sz w:val="24"/>
          <w:szCs w:val="24"/>
          <w:highlight w:val="none"/>
        </w:rPr>
      </w:pPr>
      <w:r>
        <w:rPr>
          <w:rFonts w:hint="eastAsia" w:ascii="宋体" w:hAnsi="宋体" w:eastAsia="宋体" w:cs="宋体"/>
          <w:bCs/>
          <w:color w:val="auto"/>
          <w:kern w:val="0"/>
          <w:szCs w:val="21"/>
          <w:highlight w:val="none"/>
        </w:rPr>
        <w:t>44.1</w:t>
      </w:r>
      <w:r>
        <w:rPr>
          <w:rFonts w:hint="eastAsia" w:ascii="宋体" w:hAnsi="宋体" w:eastAsia="宋体" w:cs="宋体"/>
          <w:bCs/>
          <w:color w:val="auto"/>
          <w:kern w:val="0"/>
          <w:szCs w:val="21"/>
          <w:highlight w:val="none"/>
          <w:lang w:val="zh-CN"/>
        </w:rPr>
        <w:t>进口产品是指符合《政府采购进口产品管理办法》（财库〔2007〕119号）和《关于政府采购进口产品管理有关问题的通知》（财办库〔2008〕248号）文件规定的产品。</w:t>
      </w:r>
      <w:r>
        <w:rPr>
          <w:rFonts w:hint="eastAsia" w:ascii="宋体" w:hAnsi="宋体" w:eastAsia="宋体" w:cs="宋体"/>
          <w:b/>
          <w:color w:val="auto"/>
          <w:kern w:val="0"/>
          <w:szCs w:val="21"/>
          <w:highlight w:val="none"/>
          <w:lang w:val="zh-CN"/>
        </w:rPr>
        <w:t>除【谈判须知前附表】另有规定外，采购项目拒绝进口产品参加谈判。</w:t>
      </w:r>
      <w:r>
        <w:rPr>
          <w:rFonts w:hint="eastAsia" w:ascii="宋体" w:hAnsi="宋体" w:eastAsia="宋体" w:cs="宋体"/>
          <w:bCs/>
          <w:color w:val="auto"/>
          <w:kern w:val="0"/>
          <w:szCs w:val="21"/>
          <w:highlight w:val="none"/>
          <w:lang w:val="zh-CN"/>
        </w:rPr>
        <w:t>本款规定同意购买进口产品的，不限制满足谈判文件要求的国内产品参与谈判竞争。</w:t>
      </w:r>
    </w:p>
    <w:p>
      <w:pPr>
        <w:widowControl w:val="0"/>
        <w:adjustRightInd w:val="0"/>
        <w:snapToGrid w:val="0"/>
        <w:spacing w:line="360" w:lineRule="auto"/>
        <w:jc w:val="both"/>
        <w:outlineLvl w:val="3"/>
        <w:rPr>
          <w:rFonts w:hint="eastAsia" w:ascii="黑体" w:hAnsi="黑体" w:eastAsia="黑体" w:cs="Times New Roman"/>
          <w:b/>
          <w:bCs/>
          <w:color w:val="auto"/>
          <w:sz w:val="24"/>
          <w:szCs w:val="24"/>
          <w:highlight w:val="none"/>
        </w:rPr>
      </w:pPr>
      <w:r>
        <w:rPr>
          <w:rFonts w:hint="eastAsia" w:ascii="黑体" w:hAnsi="黑体" w:eastAsia="黑体" w:cs="Times New Roman"/>
          <w:b/>
          <w:bCs/>
          <w:color w:val="auto"/>
          <w:sz w:val="24"/>
          <w:szCs w:val="24"/>
          <w:highlight w:val="none"/>
        </w:rPr>
        <w:t>45.融资、担保</w:t>
      </w:r>
      <w:bookmarkEnd w:id="177"/>
      <w:bookmarkEnd w:id="178"/>
      <w:bookmarkEnd w:id="179"/>
    </w:p>
    <w:p>
      <w:pPr>
        <w:widowControl w:val="0"/>
        <w:adjustRightInd w:val="0"/>
        <w:snapToGrid w:val="0"/>
        <w:spacing w:line="360" w:lineRule="auto"/>
        <w:ind w:firstLine="42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Cs w:val="24"/>
          <w:highlight w:val="none"/>
        </w:rPr>
        <w:t>45.1供应商有融资、担保需求的，可登陆中国湖南政府采购网查询相关银行、担保机构业务。</w:t>
      </w:r>
    </w:p>
    <w:p>
      <w:pPr>
        <w:widowControl w:val="0"/>
        <w:adjustRightInd w:val="0"/>
        <w:snapToGrid w:val="0"/>
        <w:spacing w:line="360" w:lineRule="auto"/>
        <w:jc w:val="center"/>
        <w:outlineLvl w:val="2"/>
        <w:rPr>
          <w:rFonts w:hint="eastAsia" w:ascii="黑体" w:hAnsi="黑体" w:eastAsia="黑体" w:cs="Times New Roman"/>
          <w:b/>
          <w:bCs/>
          <w:color w:val="auto"/>
          <w:sz w:val="28"/>
          <w:szCs w:val="28"/>
          <w:highlight w:val="none"/>
        </w:rPr>
      </w:pPr>
      <w:bookmarkStart w:id="180" w:name="_Toc107998014"/>
      <w:bookmarkStart w:id="181" w:name="_Toc214954910"/>
      <w:r>
        <w:rPr>
          <w:rFonts w:hint="eastAsia" w:ascii="黑体" w:hAnsi="黑体" w:eastAsia="黑体" w:cs="Times New Roman"/>
          <w:b/>
          <w:bCs/>
          <w:color w:val="auto"/>
          <w:sz w:val="28"/>
          <w:szCs w:val="28"/>
          <w:highlight w:val="none"/>
        </w:rPr>
        <w:t>八、其他规定</w:t>
      </w:r>
      <w:bookmarkEnd w:id="180"/>
      <w:bookmarkEnd w:id="181"/>
    </w:p>
    <w:p>
      <w:pPr>
        <w:widowControl w:val="0"/>
        <w:spacing w:line="360" w:lineRule="auto"/>
        <w:jc w:val="both"/>
        <w:outlineLvl w:val="3"/>
        <w:rPr>
          <w:rFonts w:hint="eastAsia" w:ascii="黑体" w:hAnsi="黑体" w:eastAsia="黑体" w:cs="Times New Roman"/>
          <w:b/>
          <w:bCs/>
          <w:color w:val="auto"/>
          <w:sz w:val="24"/>
          <w:szCs w:val="24"/>
          <w:highlight w:val="none"/>
        </w:rPr>
      </w:pPr>
      <w:bookmarkStart w:id="182" w:name="_Toc107998015"/>
      <w:bookmarkStart w:id="183" w:name="_Toc107997888"/>
      <w:r>
        <w:rPr>
          <w:rFonts w:hint="eastAsia" w:ascii="黑体" w:hAnsi="黑体" w:eastAsia="黑体" w:cs="Times New Roman"/>
          <w:b/>
          <w:bCs/>
          <w:color w:val="auto"/>
          <w:sz w:val="24"/>
          <w:szCs w:val="24"/>
          <w:highlight w:val="none"/>
        </w:rPr>
        <w:t>46.其他规定</w:t>
      </w:r>
      <w:bookmarkEnd w:id="182"/>
      <w:bookmarkEnd w:id="183"/>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ascii="宋体" w:hAnsi="宋体" w:eastAsia="宋体" w:cs="Times New Roman"/>
          <w:color w:val="auto"/>
          <w:szCs w:val="24"/>
          <w:highlight w:val="none"/>
        </w:rPr>
        <w:t>4</w:t>
      </w:r>
      <w:r>
        <w:rPr>
          <w:rFonts w:hint="eastAsia" w:ascii="宋体" w:hAnsi="宋体" w:eastAsia="宋体" w:cs="Times New Roman"/>
          <w:color w:val="auto"/>
          <w:szCs w:val="24"/>
          <w:highlight w:val="none"/>
        </w:rPr>
        <w:t>6</w:t>
      </w:r>
      <w:r>
        <w:rPr>
          <w:rFonts w:ascii="宋体" w:hAnsi="宋体" w:eastAsia="宋体" w:cs="Times New Roman"/>
          <w:color w:val="auto"/>
          <w:szCs w:val="24"/>
          <w:highlight w:val="none"/>
        </w:rPr>
        <w:t>.1</w:t>
      </w:r>
      <w:r>
        <w:rPr>
          <w:rFonts w:hint="eastAsia" w:ascii="宋体" w:hAnsi="宋体" w:eastAsia="宋体" w:cs="Times New Roman"/>
          <w:color w:val="auto"/>
          <w:szCs w:val="24"/>
          <w:highlight w:val="none"/>
        </w:rPr>
        <w:t>合同价款支付</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（1）竞争性谈判文件规定支付合同预付款的，采购人应按【</w:t>
      </w:r>
      <w:r>
        <w:rPr>
          <w:rFonts w:hint="eastAsia" w:ascii="宋体" w:hAnsi="宋体" w:eastAsia="宋体" w:cs="Times New Roman"/>
          <w:b/>
          <w:bCs/>
          <w:color w:val="auto"/>
          <w:szCs w:val="24"/>
          <w:highlight w:val="none"/>
        </w:rPr>
        <w:t>谈判须知前附表</w:t>
      </w:r>
      <w:r>
        <w:rPr>
          <w:rFonts w:hint="eastAsia" w:ascii="宋体" w:hAnsi="宋体" w:eastAsia="宋体" w:cs="Times New Roman"/>
          <w:color w:val="auto"/>
          <w:szCs w:val="24"/>
          <w:highlight w:val="none"/>
        </w:rPr>
        <w:t>】规定的支付比例和支付条件向符合要求的成交供应商及时支付相应款项，并在政府采购合同中进行明确。</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（2）竞争性谈判文件规定需提交质量保证金的，采购人可以按【</w:t>
      </w:r>
      <w:r>
        <w:rPr>
          <w:rFonts w:hint="eastAsia" w:ascii="宋体" w:hAnsi="宋体" w:eastAsia="宋体" w:cs="Times New Roman"/>
          <w:b/>
          <w:bCs/>
          <w:color w:val="auto"/>
          <w:szCs w:val="24"/>
          <w:highlight w:val="none"/>
        </w:rPr>
        <w:t>谈判须知前附表</w:t>
      </w:r>
      <w:r>
        <w:rPr>
          <w:rFonts w:hint="eastAsia" w:ascii="宋体" w:hAnsi="宋体" w:eastAsia="宋体" w:cs="Times New Roman"/>
          <w:color w:val="auto"/>
          <w:szCs w:val="24"/>
          <w:highlight w:val="none"/>
        </w:rPr>
        <w:t>】规定要求成交供应商提交质量保证金，并在政府采购合同中进行明确。</w:t>
      </w:r>
    </w:p>
    <w:p>
      <w:pPr>
        <w:widowControl w:val="0"/>
        <w:adjustRightInd w:val="0"/>
        <w:snapToGrid w:val="0"/>
        <w:spacing w:line="360" w:lineRule="auto"/>
        <w:ind w:firstLine="420" w:firstLineChars="200"/>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（3）供应商可以保函、电子增信替代预付款担保、质量保证金。</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4"/>
          <w:highlight w:val="none"/>
        </w:rPr>
        <w:t>46.</w:t>
      </w:r>
      <w:r>
        <w:rPr>
          <w:rFonts w:ascii="宋体" w:hAnsi="宋体" w:eastAsia="宋体" w:cs="Times New Roman"/>
          <w:color w:val="auto"/>
          <w:szCs w:val="24"/>
          <w:highlight w:val="none"/>
        </w:rPr>
        <w:t>2</w:t>
      </w:r>
      <w:r>
        <w:rPr>
          <w:rFonts w:hint="eastAsia" w:ascii="宋体" w:hAnsi="宋体" w:eastAsia="宋体" w:cs="Times New Roman"/>
          <w:color w:val="auto"/>
          <w:szCs w:val="21"/>
          <w:highlight w:val="none"/>
        </w:rPr>
        <w:t>谈判文件</w:t>
      </w:r>
      <w:r>
        <w:rPr>
          <w:rFonts w:hint="eastAsia" w:ascii="Times New Roman" w:hAnsi="宋体" w:eastAsia="宋体" w:cs="Times New Roman"/>
          <w:color w:val="auto"/>
          <w:szCs w:val="24"/>
          <w:highlight w:val="none"/>
        </w:rPr>
        <w:t>的其他规定</w:t>
      </w:r>
      <w:r>
        <w:rPr>
          <w:rFonts w:hint="eastAsia" w:ascii="宋体" w:hAnsi="宋体" w:eastAsia="宋体" w:cs="Times New Roman"/>
          <w:color w:val="auto"/>
          <w:szCs w:val="21"/>
          <w:highlight w:val="none"/>
        </w:rPr>
        <w:t>见</w:t>
      </w:r>
      <w:r>
        <w:rPr>
          <w:rFonts w:hint="eastAsia" w:ascii="宋体" w:hAnsi="宋体" w:eastAsia="宋体" w:cs="Times New Roman"/>
          <w:b/>
          <w:color w:val="auto"/>
          <w:szCs w:val="21"/>
          <w:highlight w:val="none"/>
        </w:rPr>
        <w:t>【谈判须知前附表】</w:t>
      </w:r>
      <w:r>
        <w:rPr>
          <w:rFonts w:hint="eastAsia" w:ascii="宋体" w:hAnsi="宋体" w:eastAsia="宋体" w:cs="Times New Roman"/>
          <w:color w:val="auto"/>
          <w:szCs w:val="21"/>
          <w:highlight w:val="none"/>
        </w:rPr>
        <w:t>。</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sectPr>
          <w:footerReference r:id="rId7" w:type="default"/>
          <w:pgSz w:w="11906" w:h="16838"/>
          <w:pgMar w:top="1418" w:right="1418" w:bottom="1134" w:left="1418" w:header="851" w:footer="992" w:gutter="0"/>
          <w:cols w:space="720" w:num="1"/>
          <w:docGrid w:type="linesAndChars" w:linePitch="312" w:charSpace="0"/>
        </w:sectPr>
      </w:pPr>
    </w:p>
    <w:p>
      <w:pPr>
        <w:keepNext/>
        <w:widowControl w:val="0"/>
        <w:spacing w:line="240" w:lineRule="auto"/>
        <w:jc w:val="center"/>
        <w:outlineLvl w:val="0"/>
        <w:rPr>
          <w:rFonts w:hint="eastAsia" w:ascii="黑体" w:hAnsi="黑体" w:eastAsia="黑体" w:cs="Times New Roman"/>
          <w:b/>
          <w:bCs/>
          <w:color w:val="auto"/>
          <w:sz w:val="32"/>
          <w:szCs w:val="32"/>
          <w:highlight w:val="none"/>
        </w:rPr>
      </w:pPr>
      <w:bookmarkStart w:id="184" w:name="_Toc214954911"/>
      <w:r>
        <w:rPr>
          <w:rFonts w:hint="eastAsia" w:ascii="黑体" w:hAnsi="黑体" w:eastAsia="黑体" w:cs="Times New Roman"/>
          <w:b/>
          <w:bCs/>
          <w:color w:val="auto"/>
          <w:sz w:val="32"/>
          <w:szCs w:val="32"/>
          <w:highlight w:val="none"/>
        </w:rPr>
        <w:t>第三章 采购需求</w:t>
      </w:r>
      <w:bookmarkEnd w:id="184"/>
    </w:p>
    <w:p>
      <w:pPr>
        <w:keepNext/>
        <w:keepLines/>
        <w:widowControl w:val="0"/>
        <w:adjustRightInd w:val="0"/>
        <w:snapToGrid w:val="0"/>
        <w:spacing w:before="156" w:beforeLines="50" w:line="240" w:lineRule="auto"/>
        <w:jc w:val="center"/>
        <w:outlineLvl w:val="1"/>
        <w:rPr>
          <w:rFonts w:hint="eastAsia" w:ascii="黑体" w:hAnsi="黑体" w:eastAsia="黑体" w:cs="Times New Roman"/>
          <w:b/>
          <w:bCs/>
          <w:color w:val="auto"/>
          <w:sz w:val="28"/>
          <w:szCs w:val="28"/>
          <w:highlight w:val="none"/>
        </w:rPr>
      </w:pPr>
      <w:bookmarkStart w:id="185" w:name="_Toc214954912"/>
      <w:r>
        <w:rPr>
          <w:rFonts w:hint="eastAsia" w:ascii="黑体" w:hAnsi="黑体" w:eastAsia="黑体" w:cs="Times New Roman"/>
          <w:b/>
          <w:bCs/>
          <w:color w:val="auto"/>
          <w:sz w:val="28"/>
          <w:szCs w:val="28"/>
          <w:highlight w:val="none"/>
        </w:rPr>
        <w:t>第一节 采购清单一览表</w:t>
      </w:r>
      <w:bookmarkEnd w:id="185"/>
    </w:p>
    <w:tbl>
      <w:tblPr>
        <w:tblStyle w:val="44"/>
        <w:tblW w:w="111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6"/>
        <w:gridCol w:w="773"/>
        <w:gridCol w:w="2273"/>
        <w:gridCol w:w="629"/>
        <w:gridCol w:w="834"/>
        <w:gridCol w:w="1006"/>
        <w:gridCol w:w="946"/>
        <w:gridCol w:w="1866"/>
        <w:gridCol w:w="22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11160" w:type="dxa"/>
            <w:gridSpan w:val="9"/>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国标黑体-GB / T 2312" w:hAnsi="国标黑体-GB / T 2312" w:eastAsia="国标黑体-GB / T 2312" w:cs="国标黑体-GB / T 2312"/>
                <w:i w:val="0"/>
                <w:iCs w:val="0"/>
                <w:color w:val="auto"/>
                <w:sz w:val="20"/>
                <w:szCs w:val="20"/>
                <w:highlight w:val="none"/>
                <w:u w:val="none"/>
              </w:rPr>
            </w:pP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t>序号</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i w:val="0"/>
                <w:iCs w:val="0"/>
                <w:color w:val="auto"/>
                <w:sz w:val="20"/>
                <w:szCs w:val="20"/>
                <w:highlight w:val="none"/>
                <w:u w:val="none"/>
              </w:rPr>
            </w:pP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t>品种</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i w:val="0"/>
                <w:iCs w:val="0"/>
                <w:color w:val="auto"/>
                <w:sz w:val="20"/>
                <w:szCs w:val="20"/>
                <w:highlight w:val="none"/>
                <w:u w:val="none"/>
              </w:rPr>
            </w:pP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t>规格</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i w:val="0"/>
                <w:iCs w:val="0"/>
                <w:color w:val="auto"/>
                <w:sz w:val="20"/>
                <w:szCs w:val="20"/>
                <w:highlight w:val="none"/>
                <w:u w:val="none"/>
              </w:rPr>
            </w:pP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t>单位</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i w:val="0"/>
                <w:iCs w:val="0"/>
                <w:color w:val="auto"/>
                <w:sz w:val="20"/>
                <w:szCs w:val="20"/>
                <w:highlight w:val="none"/>
                <w:u w:val="none"/>
              </w:rPr>
            </w:pP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t>数量</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i w:val="0"/>
                <w:iCs w:val="0"/>
                <w:color w:val="auto"/>
                <w:sz w:val="20"/>
                <w:szCs w:val="20"/>
                <w:highlight w:val="none"/>
                <w:u w:val="none"/>
              </w:rPr>
            </w:pP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t>最高单价限价</w:t>
            </w: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br w:type="textWrapping"/>
            </w: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t>（元）</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i w:val="0"/>
                <w:iCs w:val="0"/>
                <w:color w:val="auto"/>
                <w:sz w:val="20"/>
                <w:szCs w:val="20"/>
                <w:highlight w:val="none"/>
                <w:u w:val="none"/>
              </w:rPr>
            </w:pP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t>合价</w:t>
            </w: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br w:type="textWrapping"/>
            </w: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t>（元）</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i w:val="0"/>
                <w:iCs w:val="0"/>
                <w:color w:val="auto"/>
                <w:sz w:val="20"/>
                <w:szCs w:val="20"/>
                <w:highlight w:val="none"/>
                <w:u w:val="none"/>
              </w:rPr>
            </w:pP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t>图片</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i w:val="0"/>
                <w:iCs w:val="0"/>
                <w:color w:val="auto"/>
                <w:sz w:val="20"/>
                <w:szCs w:val="20"/>
                <w:highlight w:val="none"/>
                <w:u w:val="none"/>
              </w:rPr>
            </w:pP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11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b/>
                <w:bCs/>
                <w:i w:val="0"/>
                <w:iCs w:val="0"/>
                <w:color w:val="auto"/>
                <w:sz w:val="20"/>
                <w:szCs w:val="20"/>
                <w:highlight w:val="none"/>
                <w:u w:val="none"/>
              </w:rPr>
            </w:pPr>
            <w:r>
              <w:rPr>
                <w:rFonts w:hint="default" w:ascii="国标黑体-GB / T 2312" w:hAnsi="国标黑体-GB / T 2312" w:eastAsia="国标黑体-GB / T 2312" w:cs="国标黑体-GB / T 2312"/>
                <w:b/>
                <w:bCs/>
                <w:i w:val="0"/>
                <w:iCs w:val="0"/>
                <w:color w:val="auto"/>
                <w:kern w:val="0"/>
                <w:sz w:val="20"/>
                <w:szCs w:val="20"/>
                <w:highlight w:val="none"/>
                <w:u w:val="none"/>
                <w:lang w:val="en-US" w:eastAsia="zh-CN" w:bidi="ar"/>
              </w:rPr>
              <w:t>北湖公园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马尼拉草卷</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郴江河、园内补植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杜鹃毛球</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高45-50,冠幅40cm、丰满、精品、不空脚，纯土袋苗，无病虫害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郴江河潘家湾花海补植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高山杜鹃</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三年苗，高50cm以上</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月季（西子伊人）</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高20-25cm,冠幅20-25cm，袋苗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郴江河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百子莲</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园内南门至办公室补植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bookmarkStart w:id="275" w:name="_GoBack"/>
            <w:bookmarkEnd w:id="275"/>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合计</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35100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nil"/>
              <w:bottom w:val="single" w:color="000000" w:sz="4" w:space="0"/>
              <w:right w:val="nil"/>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nil"/>
              <w:bottom w:val="single" w:color="000000" w:sz="4" w:space="0"/>
              <w:right w:val="nil"/>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nil"/>
              <w:bottom w:val="single" w:color="000000" w:sz="4" w:space="0"/>
              <w:right w:val="nil"/>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nil"/>
              <w:bottom w:val="single" w:color="000000" w:sz="4" w:space="0"/>
              <w:right w:val="nil"/>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nil"/>
              <w:bottom w:val="single" w:color="000000" w:sz="4" w:space="0"/>
              <w:right w:val="nil"/>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nil"/>
              <w:bottom w:val="single" w:color="000000" w:sz="4" w:space="0"/>
              <w:right w:val="nil"/>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nil"/>
              <w:bottom w:val="single" w:color="000000" w:sz="4" w:space="0"/>
              <w:right w:val="nil"/>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11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b/>
                <w:bCs/>
                <w:i w:val="0"/>
                <w:iCs w:val="0"/>
                <w:color w:val="auto"/>
                <w:sz w:val="20"/>
                <w:szCs w:val="20"/>
                <w:highlight w:val="none"/>
                <w:u w:val="none"/>
              </w:rPr>
            </w:pPr>
            <w:r>
              <w:rPr>
                <w:rFonts w:hint="default" w:ascii="国标黑体-GB / T 2312" w:hAnsi="国标黑体-GB / T 2312" w:eastAsia="国标黑体-GB / T 2312" w:cs="国标黑体-GB / T 2312"/>
                <w:b/>
                <w:bCs/>
                <w:i w:val="0"/>
                <w:iCs w:val="0"/>
                <w:color w:val="auto"/>
                <w:kern w:val="0"/>
                <w:sz w:val="20"/>
                <w:szCs w:val="20"/>
                <w:highlight w:val="none"/>
                <w:u w:val="none"/>
                <w:lang w:val="en-US" w:eastAsia="zh-CN" w:bidi="ar"/>
              </w:rPr>
              <w:t>南塔公园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紫红落新妇</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高30-50cm,丰满，精品，地苗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老摩天轮旁绿地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金边麦冬</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H20-25cm,P15-20cm，袋苗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11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b/>
                <w:bCs/>
                <w:i w:val="0"/>
                <w:iCs w:val="0"/>
                <w:color w:val="auto"/>
                <w:sz w:val="20"/>
                <w:szCs w:val="20"/>
                <w:highlight w:val="none"/>
                <w:u w:val="none"/>
              </w:rPr>
            </w:pPr>
            <w:r>
              <w:rPr>
                <w:rFonts w:hint="default" w:ascii="国标黑体-GB / T 2312" w:hAnsi="国标黑体-GB / T 2312" w:eastAsia="国标黑体-GB / T 2312" w:cs="国标黑体-GB / T 2312"/>
                <w:b/>
                <w:bCs/>
                <w:i w:val="0"/>
                <w:iCs w:val="0"/>
                <w:color w:val="auto"/>
                <w:kern w:val="0"/>
                <w:sz w:val="20"/>
                <w:szCs w:val="20"/>
                <w:highlight w:val="none"/>
                <w:u w:val="none"/>
                <w:lang w:val="en-US" w:eastAsia="zh-CN" w:bidi="ar"/>
              </w:rPr>
              <w:t>五岭公园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大叶麦冬</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裸根，无土，无病虫害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斤</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五岭公园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兰引3号草卷</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auto"/>
                <w:sz w:val="20"/>
                <w:szCs w:val="20"/>
                <w:highlight w:val="none"/>
                <w:u w:val="none"/>
              </w:rPr>
            </w:pPr>
          </w:p>
        </w:tc>
        <w:tc>
          <w:tcPr>
            <w:tcW w:w="2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五岭广场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超级一串红</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高20cm，冠幅30cm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4.7</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auto"/>
                <w:sz w:val="20"/>
                <w:szCs w:val="20"/>
                <w:highlight w:val="none"/>
                <w:u w:val="none"/>
              </w:rPr>
            </w:pP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金边麦冬</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高20-25cm,冠幅15-20cm，袋苗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auto"/>
                <w:sz w:val="20"/>
                <w:szCs w:val="20"/>
                <w:highlight w:val="none"/>
                <w:u w:val="none"/>
              </w:rPr>
            </w:pP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紫叶桃</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中国红（重瓣）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地径4-5.9cm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冠幅120-149cm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高度120-140cm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123825</wp:posOffset>
                  </wp:positionH>
                  <wp:positionV relativeFrom="paragraph">
                    <wp:posOffset>218440</wp:posOffset>
                  </wp:positionV>
                  <wp:extent cx="944245" cy="927100"/>
                  <wp:effectExtent l="0" t="0" r="8255" b="6350"/>
                  <wp:wrapNone/>
                  <wp:docPr id="1073743877"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77" name="图片_1"/>
                          <pic:cNvPicPr>
                            <a:picLocks noChangeAspect="1"/>
                          </pic:cNvPicPr>
                        </pic:nvPicPr>
                        <pic:blipFill>
                          <a:blip r:embed="rId13"/>
                          <a:stretch>
                            <a:fillRect/>
                          </a:stretch>
                        </pic:blipFill>
                        <pic:spPr>
                          <a:xfrm>
                            <a:off x="5019675" y="8943340"/>
                            <a:ext cx="944245" cy="927100"/>
                          </a:xfrm>
                          <a:prstGeom prst="rect">
                            <a:avLst/>
                          </a:prstGeom>
                          <a:noFill/>
                          <a:ln w="9525">
                            <a:noFill/>
                          </a:ln>
                        </pic:spPr>
                      </pic:pic>
                    </a:graphicData>
                  </a:graphic>
                </wp:anchor>
              </w:drawing>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木子岭公园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3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合计（元）</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46950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11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1160" w:type="dxa"/>
            <w:gridSpan w:val="9"/>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b/>
                <w:bCs/>
                <w:i w:val="0"/>
                <w:iCs w:val="0"/>
                <w:color w:val="auto"/>
                <w:sz w:val="20"/>
                <w:szCs w:val="20"/>
                <w:highlight w:val="none"/>
                <w:u w:val="none"/>
              </w:rPr>
            </w:pPr>
            <w:r>
              <w:rPr>
                <w:rFonts w:hint="default" w:ascii="国标黑体-GB / T 2312" w:hAnsi="国标黑体-GB / T 2312" w:eastAsia="国标黑体-GB / T 2312" w:cs="国标黑体-GB / T 2312"/>
                <w:b/>
                <w:bCs/>
                <w:i w:val="0"/>
                <w:iCs w:val="0"/>
                <w:color w:val="auto"/>
                <w:kern w:val="0"/>
                <w:sz w:val="20"/>
                <w:szCs w:val="20"/>
                <w:highlight w:val="none"/>
                <w:u w:val="none"/>
                <w:lang w:val="en-US" w:eastAsia="zh-CN" w:bidi="ar"/>
              </w:rPr>
              <w:t>道路绿化队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i w:val="0"/>
                <w:iCs w:val="0"/>
                <w:color w:val="auto"/>
                <w:sz w:val="20"/>
                <w:szCs w:val="20"/>
                <w:highlight w:val="none"/>
                <w:u w:val="none"/>
              </w:rPr>
            </w:pPr>
            <w:r>
              <w:rPr>
                <w:rFonts w:hint="default" w:ascii="国标黑体-GB / T 2312" w:hAnsi="国标黑体-GB / T 2312" w:eastAsia="国标黑体-GB / T 2312" w:cs="国标黑体-GB / T 2312"/>
                <w:i w:val="0"/>
                <w:iCs w:val="0"/>
                <w:color w:val="auto"/>
                <w:kern w:val="0"/>
                <w:sz w:val="20"/>
                <w:szCs w:val="20"/>
                <w:highlight w:val="none"/>
                <w:u w:val="none"/>
                <w:lang w:val="en-US" w:eastAsia="zh-CN" w:bidi="ar"/>
              </w:rPr>
              <w:t>序号</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品种</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规格</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单位</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数量</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单价</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（元）</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合价</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（元）</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图片</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杜鹃毛球</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高45-50,冠幅40cm、丰满、精品、不空脚，纯土袋苗，无病虫害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12000</w:t>
            </w:r>
          </w:p>
        </w:tc>
        <w:tc>
          <w:tcPr>
            <w:tcW w:w="1866"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drawing>
                <wp:inline distT="0" distB="0" distL="114300" distR="114300">
                  <wp:extent cx="952500" cy="1009650"/>
                  <wp:effectExtent l="0" t="0" r="0" b="0"/>
                  <wp:docPr id="1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descr="IMG_256"/>
                          <pic:cNvPicPr>
                            <a:picLocks noChangeAspect="1"/>
                          </pic:cNvPicPr>
                        </pic:nvPicPr>
                        <pic:blipFill>
                          <a:blip r:embed="rId14"/>
                          <a:stretch>
                            <a:fillRect/>
                          </a:stretch>
                        </pic:blipFill>
                        <pic:spPr>
                          <a:xfrm>
                            <a:off x="0" y="0"/>
                            <a:ext cx="952500" cy="1009650"/>
                          </a:xfrm>
                          <a:prstGeom prst="rect">
                            <a:avLst/>
                          </a:prstGeom>
                          <a:noFill/>
                          <a:ln w="9525">
                            <a:noFill/>
                          </a:ln>
                        </pic:spPr>
                      </pic:pic>
                    </a:graphicData>
                  </a:graphic>
                </wp:inline>
              </w:drawing>
            </w:r>
          </w:p>
        </w:tc>
        <w:tc>
          <w:tcPr>
            <w:tcW w:w="221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人民东路延伸段、增湖路、郴州大道、南岭大道、郴江路等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四季桂毛球</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高45-50,冠幅40cm、丰满、精品、不空脚，纯土袋苗，无病虫害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12000</w:t>
            </w:r>
          </w:p>
        </w:tc>
        <w:tc>
          <w:tcPr>
            <w:tcW w:w="1866"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drawing>
                <wp:inline distT="0" distB="0" distL="114300" distR="114300">
                  <wp:extent cx="990600" cy="1009650"/>
                  <wp:effectExtent l="0" t="0" r="0" b="0"/>
                  <wp:docPr id="13" name="图片 11"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IMG_257"/>
                          <pic:cNvPicPr>
                            <a:picLocks noChangeAspect="1"/>
                          </pic:cNvPicPr>
                        </pic:nvPicPr>
                        <pic:blipFill>
                          <a:blip r:embed="rId15"/>
                          <a:stretch>
                            <a:fillRect/>
                          </a:stretch>
                        </pic:blipFill>
                        <pic:spPr>
                          <a:xfrm>
                            <a:off x="0" y="0"/>
                            <a:ext cx="990600" cy="1009650"/>
                          </a:xfrm>
                          <a:prstGeom prst="rect">
                            <a:avLst/>
                          </a:prstGeom>
                          <a:noFill/>
                          <a:ln w="9525">
                            <a:noFill/>
                          </a:ln>
                        </pic:spPr>
                      </pic:pic>
                    </a:graphicData>
                  </a:graphic>
                </wp:inline>
              </w:drawing>
            </w:r>
          </w:p>
        </w:tc>
        <w:tc>
          <w:tcPr>
            <w:tcW w:w="221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人民东路延伸段、增湖路、郴州大道、南岭大道、郴江路等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红继木毛球</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高45-50,冠幅40cm、丰满、精品、不空脚，纯土袋苗，无病虫害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12000</w:t>
            </w:r>
          </w:p>
        </w:tc>
        <w:tc>
          <w:tcPr>
            <w:tcW w:w="1866"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drawing>
                <wp:inline distT="0" distB="0" distL="114300" distR="114300">
                  <wp:extent cx="1038225" cy="1009650"/>
                  <wp:effectExtent l="0" t="0" r="9525" b="0"/>
                  <wp:docPr id="15" name="图片 12"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descr="IMG_258"/>
                          <pic:cNvPicPr>
                            <a:picLocks noChangeAspect="1"/>
                          </pic:cNvPicPr>
                        </pic:nvPicPr>
                        <pic:blipFill>
                          <a:blip r:embed="rId16"/>
                          <a:stretch>
                            <a:fillRect/>
                          </a:stretch>
                        </pic:blipFill>
                        <pic:spPr>
                          <a:xfrm>
                            <a:off x="0" y="0"/>
                            <a:ext cx="1038225" cy="1009650"/>
                          </a:xfrm>
                          <a:prstGeom prst="rect">
                            <a:avLst/>
                          </a:prstGeom>
                          <a:noFill/>
                          <a:ln w="9525">
                            <a:noFill/>
                          </a:ln>
                        </pic:spPr>
                      </pic:pic>
                    </a:graphicData>
                  </a:graphic>
                </wp:inline>
              </w:drawing>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人民东路延伸段、增湖路、郴州大道、南岭大道、郴江路等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红叶石楠毛球</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高45-50,冠幅40cm、丰满、精品、不空脚，纯土袋苗，无病虫害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6000</w:t>
            </w:r>
          </w:p>
        </w:tc>
        <w:tc>
          <w:tcPr>
            <w:tcW w:w="1866"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增湖路、郴江路、塘尾路等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马尼拉草卷</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20000</w:t>
            </w:r>
          </w:p>
        </w:tc>
        <w:tc>
          <w:tcPr>
            <w:tcW w:w="1866"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郴州大道、苏仙路、同福路、南岭大道等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小叶麦冬</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裸根，无土，无病虫害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斤</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12000</w:t>
            </w:r>
          </w:p>
        </w:tc>
        <w:tc>
          <w:tcPr>
            <w:tcW w:w="1866"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各路段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国槐</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胸径12cm、全冠、冠幅大于2.5m、高度350-400cm，全冠、分支点2-2.5米）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12600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塘尾路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香樟</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香樟15-16cm，全冠，冠幅大于3.5米,分支点2-2.5米，容器苗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1260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226800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郴州大道、同心路、城区各路段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榉树</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胸径15-16cm、全冠、冠幅大于3.5m、高度450-500cm，全冠、分支点2-2.5米）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700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民权路、爱莲路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小叶红皮榕</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全冠，胸径</w:t>
            </w:r>
            <w:r>
              <w:rPr>
                <w:rStyle w:val="296"/>
                <w:color w:val="auto"/>
                <w:highlight w:val="none"/>
                <w:lang w:val="en-US" w:eastAsia="zh-CN" w:bidi="ar"/>
              </w:rPr>
              <w:t>15—16cm，冠幅3.5—4米，高度3.5—4米，分支点</w:t>
            </w:r>
            <w:r>
              <w:rPr>
                <w:rStyle w:val="297"/>
                <w:rFonts w:eastAsia="宋体"/>
                <w:color w:val="auto"/>
                <w:highlight w:val="none"/>
                <w:lang w:val="en-US" w:eastAsia="zh-CN" w:bidi="ar"/>
              </w:rPr>
              <w:t>≥</w:t>
            </w:r>
            <w:r>
              <w:rPr>
                <w:rStyle w:val="296"/>
                <w:color w:val="auto"/>
                <w:highlight w:val="none"/>
                <w:lang w:val="en-US" w:eastAsia="zh-CN" w:bidi="ar"/>
              </w:rPr>
              <w:t>2.5米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青年大道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无患子</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胸径10-11.9cm、全冠、冠幅大于2.5m、高度350-400cm，全冠、分支点2-2.5米）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460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9200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九子塘路、同福路、温泉路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加拿大枫香</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胸径10-11.9cm、全冠、冠幅大于2.5m、高度350-400cm，全冠、分支点2-2.5米）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人民东路延伸段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染井吉野樱花</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胸径10-11.9cm、全冠、冠幅大于2.5m、高度350-400cm，全冠、分支点2-2.5米）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温泉路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紫叶桃（中国红丛瓣）</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地径8-9.9cm，冠幅200-249cm，高度200-249cm，原生苗，冠幅饱满，无病虫害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燕泉路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合计</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348500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0" w:type="auto"/>
            <w:tcBorders>
              <w:top w:val="nil"/>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773" w:type="dxa"/>
            <w:tcBorders>
              <w:top w:val="nil"/>
              <w:left w:val="nil"/>
              <w:bottom w:val="single" w:color="000000" w:sz="4" w:space="0"/>
              <w:right w:val="nil"/>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73" w:type="dxa"/>
            <w:tcBorders>
              <w:top w:val="single" w:color="000000" w:sz="4" w:space="0"/>
              <w:left w:val="nil"/>
              <w:bottom w:val="single" w:color="000000" w:sz="4" w:space="0"/>
              <w:right w:val="nil"/>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629" w:type="dxa"/>
            <w:tcBorders>
              <w:top w:val="single" w:color="000000" w:sz="4" w:space="0"/>
              <w:left w:val="nil"/>
              <w:bottom w:val="single" w:color="000000" w:sz="4" w:space="0"/>
              <w:right w:val="nil"/>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834" w:type="dxa"/>
            <w:tcBorders>
              <w:top w:val="single" w:color="000000" w:sz="4" w:space="0"/>
              <w:left w:val="nil"/>
              <w:bottom w:val="single" w:color="000000" w:sz="4" w:space="0"/>
              <w:right w:val="nil"/>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1006" w:type="dxa"/>
            <w:tcBorders>
              <w:top w:val="single" w:color="000000" w:sz="4" w:space="0"/>
              <w:left w:val="nil"/>
              <w:bottom w:val="single" w:color="000000" w:sz="4" w:space="0"/>
              <w:right w:val="nil"/>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946" w:type="dxa"/>
            <w:tcBorders>
              <w:top w:val="single" w:color="000000" w:sz="4" w:space="0"/>
              <w:left w:val="nil"/>
              <w:bottom w:val="single" w:color="000000" w:sz="4" w:space="0"/>
              <w:right w:val="nil"/>
            </w:tcBorders>
            <w:shd w:val="clear" w:color="auto" w:fill="auto"/>
            <w:vAlign w:val="center"/>
          </w:tcPr>
          <w:p>
            <w:pPr>
              <w:jc w:val="center"/>
              <w:rPr>
                <w:rFonts w:hint="eastAsia" w:ascii="宋体" w:hAnsi="宋体" w:eastAsia="宋体" w:cs="宋体"/>
                <w:b/>
                <w:bCs/>
                <w:i w:val="0"/>
                <w:iCs w:val="0"/>
                <w:color w:val="auto"/>
                <w:sz w:val="20"/>
                <w:szCs w:val="20"/>
                <w:highlight w:val="none"/>
                <w:u w:val="none"/>
              </w:rPr>
            </w:pPr>
          </w:p>
        </w:tc>
        <w:tc>
          <w:tcPr>
            <w:tcW w:w="0" w:type="auto"/>
            <w:tcBorders>
              <w:top w:val="single" w:color="000000" w:sz="4" w:space="0"/>
              <w:left w:val="nil"/>
              <w:bottom w:val="single" w:color="000000" w:sz="4" w:space="0"/>
              <w:right w:val="nil"/>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11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b/>
                <w:bCs/>
                <w:i w:val="0"/>
                <w:iCs w:val="0"/>
                <w:color w:val="auto"/>
                <w:sz w:val="20"/>
                <w:szCs w:val="20"/>
                <w:highlight w:val="none"/>
                <w:u w:val="none"/>
              </w:rPr>
            </w:pPr>
            <w:r>
              <w:rPr>
                <w:rFonts w:hint="default" w:ascii="国标黑体-GB / T 2312" w:hAnsi="国标黑体-GB / T 2312" w:eastAsia="国标黑体-GB / T 2312" w:cs="国标黑体-GB / T 2312"/>
                <w:b/>
                <w:bCs/>
                <w:i w:val="0"/>
                <w:iCs w:val="0"/>
                <w:color w:val="auto"/>
                <w:kern w:val="0"/>
                <w:sz w:val="20"/>
                <w:szCs w:val="20"/>
                <w:highlight w:val="none"/>
                <w:u w:val="none"/>
                <w:lang w:val="en-US" w:eastAsia="zh-CN" w:bidi="ar"/>
              </w:rPr>
              <w:t>石榴湾公园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序号</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品种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总价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图片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紫荆</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地径5cm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坝上游园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紫荆（四季春一号）</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地径3cm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兰引3号草卷</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平方米</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爱莲湖、苏仙湖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马尼拉草卷</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平方米</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小叶麦冬</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裸根，无土，无病虫害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斤</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爱莲湖、石榴湾公园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大叶麦冬</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裸根，无土，无病虫害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斤</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高山杜鹃</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三年苗，高50cm以上</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石榴湾公园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红花石蒜</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球</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石榴湾公园、王仙湖公园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金叶美人蕉</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高40-60cm，冠幅20-30cm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爱莲湖、王仙湖公园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千屈菜</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高40-60cm ，冠幅20-30cm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c>
          <w:tcPr>
            <w:tcW w:w="2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王仙湖公园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紫叶美人蕉</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高40-60cm ，冠幅20-30cm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粉花美人蕉</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高40-60cm ，冠幅20-30cm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橘色美人蕉</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高40-60cm ，冠幅20-30cm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姬岩垂草</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平方米</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沿江风光带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地果藤</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高35-40cm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小叶麦冬</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裸根，无土，无病虫害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斤</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爱莲湖公园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大叶麦冬</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裸根，无土，无病虫害</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斤</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红花玉兰</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胸径8cm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睡莲</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高20cm，颜色粉、紫</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带花苞，四芽以上</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盆苗</w:t>
            </w:r>
          </w:p>
        </w:tc>
        <w:tc>
          <w:tcPr>
            <w:tcW w:w="221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黄菖蒲</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高40-60cm 冠幅20-30cm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c>
          <w:tcPr>
            <w:tcW w:w="221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花菖蒲</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高40-60cm P=20-30cm，粉、紫常绿水生</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c>
          <w:tcPr>
            <w:tcW w:w="221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香蒲</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高40-60cm 冠幅20-30cm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c>
          <w:tcPr>
            <w:tcW w:w="221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花叶芦竹</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高40-60cm 冠幅20-30cm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c>
          <w:tcPr>
            <w:tcW w:w="221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水葱</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高40-60cm 冠幅20-30cm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c>
          <w:tcPr>
            <w:tcW w:w="221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花叶玉蝉花</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高40-60cm 冠幅20-30cm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c>
          <w:tcPr>
            <w:tcW w:w="221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旱伞草</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高40-60cm 冠幅20-30cm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c>
          <w:tcPr>
            <w:tcW w:w="221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0"/>
                <w:szCs w:val="20"/>
                <w:highlight w:val="none"/>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165500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111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b/>
                <w:bCs/>
                <w:i w:val="0"/>
                <w:iCs w:val="0"/>
                <w:color w:val="auto"/>
                <w:sz w:val="20"/>
                <w:szCs w:val="20"/>
                <w:highlight w:val="none"/>
                <w:u w:val="none"/>
              </w:rPr>
            </w:pPr>
            <w:r>
              <w:rPr>
                <w:rFonts w:hint="default" w:ascii="国标黑体-GB / T 2312" w:hAnsi="国标黑体-GB / T 2312" w:eastAsia="国标黑体-GB / T 2312" w:cs="国标黑体-GB / T 2312"/>
                <w:b/>
                <w:bCs/>
                <w:i w:val="0"/>
                <w:iCs w:val="0"/>
                <w:color w:val="auto"/>
                <w:kern w:val="0"/>
                <w:sz w:val="20"/>
                <w:szCs w:val="20"/>
                <w:highlight w:val="none"/>
                <w:u w:val="none"/>
                <w:lang w:val="en-US" w:eastAsia="zh-CN" w:bidi="ar"/>
              </w:rPr>
              <w:t>备用宿根花卉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五色梅</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冠幅20-25cm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大吴风草</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冠幅30cm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花叶玉簪</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冠幅20-25cm</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袋苗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红花酢浆草</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种球</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616" w:type="dxa"/>
            <w:tcBorders>
              <w:top w:val="single" w:color="000000" w:sz="4" w:space="0"/>
              <w:left w:val="single" w:color="000000" w:sz="4" w:space="0"/>
              <w:bottom w:val="single" w:color="000000" w:sz="4" w:space="0"/>
              <w:right w:val="nil"/>
            </w:tcBorders>
            <w:shd w:val="clear" w:color="auto" w:fill="auto"/>
            <w:vAlign w:val="center"/>
          </w:tcPr>
          <w:p>
            <w:pPr>
              <w:jc w:val="center"/>
              <w:rPr>
                <w:rFonts w:hint="default" w:ascii="国标黑体-GB / T 2312" w:hAnsi="国标黑体-GB / T 2312" w:eastAsia="国标黑体-GB / T 2312" w:cs="国标黑体-GB / T 2312"/>
                <w:b/>
                <w:bCs/>
                <w:i w:val="0"/>
                <w:iCs w:val="0"/>
                <w:color w:val="auto"/>
                <w:sz w:val="20"/>
                <w:szCs w:val="20"/>
                <w:highlight w:val="none"/>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吉祥草</w:t>
            </w:r>
          </w:p>
        </w:tc>
        <w:tc>
          <w:tcPr>
            <w:tcW w:w="2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H20cm，地苗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200000</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616" w:type="dxa"/>
            <w:tcBorders>
              <w:top w:val="single" w:color="000000" w:sz="4" w:space="0"/>
              <w:left w:val="single" w:color="000000" w:sz="4" w:space="0"/>
              <w:bottom w:val="single" w:color="000000" w:sz="4" w:space="0"/>
              <w:right w:val="nil"/>
            </w:tcBorders>
            <w:shd w:val="clear" w:color="auto" w:fill="auto"/>
            <w:vAlign w:val="center"/>
          </w:tcPr>
          <w:p>
            <w:pPr>
              <w:jc w:val="center"/>
              <w:rPr>
                <w:rFonts w:hint="default" w:ascii="国标黑体-GB / T 2312" w:hAnsi="国标黑体-GB / T 2312" w:eastAsia="国标黑体-GB / T 2312" w:cs="国标黑体-GB / T 2312"/>
                <w:b/>
                <w:bCs/>
                <w:i w:val="0"/>
                <w:iCs w:val="0"/>
                <w:color w:val="auto"/>
                <w:sz w:val="20"/>
                <w:szCs w:val="20"/>
                <w:highlight w:val="none"/>
                <w:u w:val="none"/>
              </w:rPr>
            </w:pPr>
          </w:p>
        </w:tc>
        <w:tc>
          <w:tcPr>
            <w:tcW w:w="773" w:type="dxa"/>
            <w:tcBorders>
              <w:top w:val="single" w:color="000000" w:sz="4" w:space="0"/>
              <w:left w:val="nil"/>
              <w:bottom w:val="single" w:color="000000" w:sz="4" w:space="0"/>
              <w:right w:val="nil"/>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73" w:type="dxa"/>
            <w:tcBorders>
              <w:top w:val="single" w:color="000000" w:sz="4" w:space="0"/>
              <w:left w:val="nil"/>
              <w:bottom w:val="single" w:color="000000" w:sz="4" w:space="0"/>
              <w:right w:val="nil"/>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629" w:type="dxa"/>
            <w:tcBorders>
              <w:top w:val="single" w:color="000000" w:sz="4" w:space="0"/>
              <w:left w:val="nil"/>
              <w:bottom w:val="single" w:color="000000" w:sz="4" w:space="0"/>
              <w:right w:val="nil"/>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834" w:type="dxa"/>
            <w:tcBorders>
              <w:top w:val="single" w:color="000000" w:sz="4" w:space="0"/>
              <w:left w:val="nil"/>
              <w:bottom w:val="single" w:color="000000" w:sz="4" w:space="0"/>
              <w:right w:val="nil"/>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1006"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49800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61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b/>
                <w:bCs/>
                <w:i w:val="0"/>
                <w:iCs w:val="0"/>
                <w:color w:val="auto"/>
                <w:sz w:val="20"/>
                <w:szCs w:val="20"/>
                <w:highlight w:val="none"/>
                <w:u w:val="none"/>
              </w:rPr>
            </w:pPr>
            <w:r>
              <w:rPr>
                <w:rFonts w:hint="default" w:ascii="国标黑体-GB / T 2312" w:hAnsi="国标黑体-GB / T 2312" w:eastAsia="国标黑体-GB / T 2312" w:cs="国标黑体-GB / T 2312"/>
                <w:b/>
                <w:bCs/>
                <w:i w:val="0"/>
                <w:iCs w:val="0"/>
                <w:color w:val="auto"/>
                <w:kern w:val="0"/>
                <w:sz w:val="20"/>
                <w:szCs w:val="20"/>
                <w:highlight w:val="none"/>
                <w:u w:val="none"/>
                <w:lang w:val="en-US" w:eastAsia="zh-CN" w:bidi="ar"/>
              </w:rPr>
              <w:t>分支机构苗木补栽合价：657650.00元</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黑体-GB / T 2312" w:hAnsi="国标黑体-GB / T 2312" w:eastAsia="国标黑体-GB / T 2312" w:cs="国标黑体-GB / T 2312"/>
                <w:b/>
                <w:bCs/>
                <w:i w:val="0"/>
                <w:iCs w:val="0"/>
                <w:color w:val="auto"/>
                <w:sz w:val="20"/>
                <w:szCs w:val="20"/>
                <w:highlight w:val="none"/>
                <w:u w:val="none"/>
              </w:rPr>
            </w:pPr>
            <w:r>
              <w:rPr>
                <w:rFonts w:hint="default" w:ascii="国标黑体-GB / T 2312" w:hAnsi="国标黑体-GB / T 2312" w:eastAsia="国标黑体-GB / T 2312" w:cs="国标黑体-GB / T 2312"/>
                <w:b/>
                <w:bCs/>
                <w:i w:val="0"/>
                <w:iCs w:val="0"/>
                <w:color w:val="auto"/>
                <w:kern w:val="0"/>
                <w:sz w:val="20"/>
                <w:szCs w:val="20"/>
                <w:highlight w:val="none"/>
                <w:u w:val="none"/>
                <w:lang w:val="en-US" w:eastAsia="zh-CN" w:bidi="ar"/>
              </w:rPr>
              <w:t>657650</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rPr>
            </w:pPr>
          </w:p>
        </w:tc>
      </w:tr>
    </w:tbl>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注：1.“包”为最小合同单位。每“包”内容应细化到具体的标的。</w:t>
      </w:r>
    </w:p>
    <w:p>
      <w:pPr>
        <w:widowControl w:val="0"/>
        <w:adjustRightInd w:val="0"/>
        <w:snapToGrid w:val="0"/>
        <w:spacing w:before="156" w:beforeLines="50" w:line="360" w:lineRule="auto"/>
        <w:ind w:firstLine="420" w:firstLineChars="200"/>
        <w:jc w:val="both"/>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2.供应商应</w:t>
      </w:r>
      <w:r>
        <w:rPr>
          <w:rFonts w:hint="eastAsia" w:ascii="宋体" w:hAnsi="宋体" w:eastAsia="宋体" w:cs="宋体"/>
          <w:color w:val="auto"/>
          <w:kern w:val="0"/>
          <w:szCs w:val="21"/>
          <w:highlight w:val="none"/>
        </w:rPr>
        <w:t>在响应文件</w:t>
      </w:r>
      <w:r>
        <w:rPr>
          <w:rFonts w:hint="eastAsia" w:ascii="华文中宋" w:hAnsi="华文中宋" w:eastAsia="华文中宋" w:cs="宋体"/>
          <w:color w:val="auto"/>
          <w:kern w:val="0"/>
          <w:szCs w:val="21"/>
          <w:highlight w:val="none"/>
        </w:rPr>
        <w:t>“</w:t>
      </w:r>
      <w:r>
        <w:rPr>
          <w:rFonts w:hint="eastAsia" w:ascii="宋体" w:hAnsi="宋体" w:eastAsia="宋体" w:cs="宋体"/>
          <w:color w:val="auto"/>
          <w:kern w:val="0"/>
          <w:szCs w:val="21"/>
          <w:highlight w:val="none"/>
        </w:rPr>
        <w:t>分项报价明细表</w:t>
      </w:r>
      <w:r>
        <w:rPr>
          <w:rFonts w:hint="eastAsia" w:ascii="华文中宋" w:hAnsi="华文中宋" w:eastAsia="华文中宋" w:cs="宋体"/>
          <w:color w:val="auto"/>
          <w:kern w:val="0"/>
          <w:szCs w:val="21"/>
          <w:highlight w:val="none"/>
        </w:rPr>
        <w:t>”</w:t>
      </w:r>
      <w:r>
        <w:rPr>
          <w:rFonts w:hint="eastAsia" w:ascii="宋体" w:hAnsi="宋体" w:eastAsia="宋体" w:cs="宋体"/>
          <w:color w:val="auto"/>
          <w:kern w:val="0"/>
          <w:szCs w:val="21"/>
          <w:highlight w:val="none"/>
        </w:rPr>
        <w:t>中按</w:t>
      </w:r>
      <w:r>
        <w:rPr>
          <w:rFonts w:ascii="宋体" w:hAnsi="宋体" w:eastAsia="宋体" w:cs="宋体"/>
          <w:color w:val="auto"/>
          <w:kern w:val="0"/>
          <w:szCs w:val="21"/>
          <w:highlight w:val="none"/>
        </w:rPr>
        <w:t>“</w:t>
      </w:r>
      <w:r>
        <w:rPr>
          <w:rFonts w:hint="eastAsia" w:ascii="宋体" w:hAnsi="宋体" w:eastAsia="宋体" w:cs="宋体"/>
          <w:color w:val="auto"/>
          <w:kern w:val="0"/>
          <w:szCs w:val="21"/>
          <w:highlight w:val="none"/>
        </w:rPr>
        <w:t>采购清单一览表</w:t>
      </w:r>
      <w:r>
        <w:rPr>
          <w:rFonts w:ascii="宋体" w:hAnsi="宋体" w:eastAsia="宋体" w:cs="宋体"/>
          <w:color w:val="auto"/>
          <w:kern w:val="0"/>
          <w:szCs w:val="21"/>
          <w:highlight w:val="none"/>
        </w:rPr>
        <w:t>”中</w:t>
      </w:r>
      <w:r>
        <w:rPr>
          <w:rFonts w:hint="eastAsia" w:ascii="宋体" w:hAnsi="宋体" w:eastAsia="宋体" w:cs="Times New Roman"/>
          <w:color w:val="auto"/>
          <w:szCs w:val="21"/>
          <w:highlight w:val="none"/>
        </w:rPr>
        <w:t>品种</w:t>
      </w:r>
      <w:r>
        <w:rPr>
          <w:rFonts w:hint="eastAsia" w:ascii="宋体" w:hAnsi="宋体" w:eastAsia="宋体" w:cs="宋体"/>
          <w:color w:val="auto"/>
          <w:kern w:val="0"/>
          <w:szCs w:val="21"/>
          <w:highlight w:val="none"/>
        </w:rPr>
        <w:t>顺序逐项填写，且每个标的均需按谈判文件规定报价。如有缺项、漏项，其</w:t>
      </w:r>
      <w:r>
        <w:rPr>
          <w:rFonts w:hint="eastAsia" w:ascii="宋体" w:hAnsi="宋体" w:eastAsia="宋体" w:cs="宋体"/>
          <w:b/>
          <w:color w:val="auto"/>
          <w:kern w:val="0"/>
          <w:szCs w:val="21"/>
          <w:highlight w:val="none"/>
        </w:rPr>
        <w:t>响应无效</w:t>
      </w:r>
      <w:r>
        <w:rPr>
          <w:rFonts w:hint="eastAsia" w:ascii="宋体" w:hAnsi="宋体" w:eastAsia="宋体" w:cs="宋体"/>
          <w:color w:val="auto"/>
          <w:kern w:val="0"/>
          <w:szCs w:val="21"/>
          <w:highlight w:val="none"/>
        </w:rPr>
        <w:t>。</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eastAsia="zh-CN"/>
        </w:rPr>
        <w:t>总</w:t>
      </w:r>
      <w:r>
        <w:rPr>
          <w:rFonts w:ascii="宋体" w:hAnsi="宋体" w:eastAsia="宋体" w:cs="Times New Roman"/>
          <w:color w:val="auto"/>
          <w:szCs w:val="21"/>
          <w:highlight w:val="none"/>
        </w:rPr>
        <w:t>报价不得超过采购预算</w:t>
      </w:r>
      <w:r>
        <w:rPr>
          <w:rFonts w:hint="eastAsia" w:ascii="宋体" w:hAnsi="宋体" w:eastAsia="宋体" w:cs="Times New Roman"/>
          <w:color w:val="auto"/>
          <w:szCs w:val="21"/>
          <w:highlight w:val="none"/>
          <w:lang w:eastAsia="zh-CN"/>
        </w:rPr>
        <w:t>总价，每个品种报价不得超过该品种最高单价</w:t>
      </w:r>
      <w:r>
        <w:rPr>
          <w:rFonts w:ascii="宋体" w:hAnsi="宋体" w:eastAsia="宋体" w:cs="Times New Roman"/>
          <w:color w:val="auto"/>
          <w:szCs w:val="21"/>
          <w:highlight w:val="none"/>
        </w:rPr>
        <w:t>，否则作无效投标处理（★）</w:t>
      </w:r>
    </w:p>
    <w:p>
      <w:pPr>
        <w:adjustRightInd w:val="0"/>
        <w:snapToGrid w:val="0"/>
        <w:spacing w:line="360" w:lineRule="auto"/>
        <w:ind w:firstLine="422" w:firstLineChars="200"/>
        <w:rPr>
          <w:rFonts w:hint="eastAsia" w:ascii="宋体" w:hAnsi="宋体" w:eastAsia="宋体" w:cs="Times New Roman"/>
          <w:color w:val="auto"/>
          <w:szCs w:val="21"/>
          <w:highlight w:val="none"/>
        </w:rPr>
      </w:pPr>
      <w:r>
        <w:rPr>
          <w:rFonts w:hint="eastAsia" w:ascii="宋体" w:hAnsi="宋体" w:eastAsia="宋体" w:cs="Times New Roman"/>
          <w:b/>
          <w:bCs/>
          <w:color w:val="auto"/>
          <w:szCs w:val="21"/>
          <w:highlight w:val="none"/>
        </w:rPr>
        <w:t>4、供应商提供的苗木质量规格不得低于采购人提供的清单图片参考标准</w:t>
      </w:r>
      <w:r>
        <w:rPr>
          <w:rFonts w:hint="eastAsia" w:ascii="宋体" w:hAnsi="宋体" w:eastAsia="宋体" w:cs="Times New Roman"/>
          <w:color w:val="auto"/>
          <w:szCs w:val="21"/>
          <w:highlight w:val="none"/>
        </w:rPr>
        <w:t>。</w:t>
      </w:r>
    </w:p>
    <w:p>
      <w:pPr>
        <w:widowControl w:val="0"/>
        <w:adjustRightInd w:val="0"/>
        <w:snapToGrid w:val="0"/>
        <w:spacing w:before="156" w:beforeLines="50" w:line="360" w:lineRule="auto"/>
        <w:ind w:firstLine="420" w:firstLineChars="200"/>
        <w:jc w:val="both"/>
        <w:rPr>
          <w:rFonts w:hint="eastAsia" w:ascii="宋体" w:hAnsi="宋体" w:eastAsia="宋体" w:cs="宋体"/>
          <w:color w:val="auto"/>
          <w:kern w:val="0"/>
          <w:szCs w:val="21"/>
          <w:highlight w:val="none"/>
        </w:rPr>
        <w:sectPr>
          <w:pgSz w:w="11906" w:h="16838"/>
          <w:pgMar w:top="1474" w:right="1474" w:bottom="1474" w:left="1588" w:header="851" w:footer="992" w:gutter="0"/>
          <w:cols w:space="720" w:num="1"/>
          <w:docGrid w:type="lines" w:linePitch="312" w:charSpace="0"/>
        </w:sectPr>
      </w:pPr>
    </w:p>
    <w:p>
      <w:pPr>
        <w:keepNext/>
        <w:keepLines/>
        <w:widowControl w:val="0"/>
        <w:adjustRightInd w:val="0"/>
        <w:snapToGrid w:val="0"/>
        <w:spacing w:before="156" w:beforeLines="50" w:line="360" w:lineRule="auto"/>
        <w:jc w:val="center"/>
        <w:outlineLvl w:val="1"/>
        <w:rPr>
          <w:rFonts w:hint="eastAsia" w:ascii="黑体" w:hAnsi="黑体" w:eastAsia="黑体" w:cs="Times New Roman"/>
          <w:b/>
          <w:bCs/>
          <w:color w:val="auto"/>
          <w:sz w:val="28"/>
          <w:szCs w:val="28"/>
          <w:highlight w:val="none"/>
        </w:rPr>
      </w:pPr>
      <w:bookmarkStart w:id="186" w:name="_Toc214954913"/>
      <w:r>
        <w:rPr>
          <w:rFonts w:hint="eastAsia" w:ascii="黑体" w:hAnsi="黑体" w:eastAsia="黑体" w:cs="Times New Roman"/>
          <w:b/>
          <w:bCs/>
          <w:color w:val="auto"/>
          <w:sz w:val="28"/>
          <w:szCs w:val="28"/>
          <w:highlight w:val="none"/>
        </w:rPr>
        <w:t xml:space="preserve">第二节 </w:t>
      </w:r>
      <w:r>
        <w:rPr>
          <w:rFonts w:ascii="黑体" w:hAnsi="黑体" w:eastAsia="黑体" w:cs="Times New Roman"/>
          <w:b/>
          <w:bCs/>
          <w:color w:val="auto"/>
          <w:sz w:val="28"/>
          <w:szCs w:val="28"/>
          <w:highlight w:val="none"/>
        </w:rPr>
        <w:t>技术要求</w:t>
      </w:r>
      <w:bookmarkEnd w:id="186"/>
    </w:p>
    <w:p>
      <w:pPr>
        <w:pStyle w:val="73"/>
        <w:widowControl w:val="0"/>
        <w:adjustRightInd w:val="0"/>
        <w:snapToGrid w:val="0"/>
        <w:spacing w:before="156" w:beforeLines="50" w:line="360" w:lineRule="auto"/>
        <w:ind w:left="0"/>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一、项目概况</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项目采购清单为今冬明春供苗的预估量，数量和品种可能根据实际需要进行适当调整，采购人保留对谈判文件及合同苗木清单中苗木实际采购数量调整的权利，采购人无法预计也无法保证向供应商采购确定数量。供应商需优先保障采购人需求，避免因数量调整导致供应延迟</w:t>
      </w:r>
      <w:r>
        <w:rPr>
          <w:rFonts w:ascii="宋体" w:hAnsi="宋体" w:eastAsia="宋体" w:cs="宋体"/>
          <w:color w:val="auto"/>
          <w:szCs w:val="21"/>
          <w:highlight w:val="none"/>
        </w:rPr>
        <w:t>。</w:t>
      </w:r>
      <w:r>
        <w:rPr>
          <w:rFonts w:hint="eastAsia" w:ascii="宋体" w:hAnsi="宋体" w:eastAsia="宋体" w:cs="宋体"/>
          <w:color w:val="auto"/>
          <w:szCs w:val="21"/>
          <w:highlight w:val="none"/>
        </w:rPr>
        <w:t>如需要临时增加苗木品种，单价按中标单价执行;清单无此品种的，由双方询价后另行约定</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2、项目实施地点：市园林中心管辖范围内的北湖公园、五岭公园、道路绿化队</w:t>
      </w:r>
      <w:r>
        <w:rPr>
          <w:rFonts w:hint="eastAsia" w:ascii="宋体" w:hAnsi="宋体" w:eastAsia="宋体" w:cs="宋体"/>
          <w:color w:val="auto"/>
          <w:szCs w:val="21"/>
          <w:highlight w:val="none"/>
          <w:lang w:eastAsia="zh-CN"/>
        </w:rPr>
        <w:t>、南塔公园、石榴湾公园</w:t>
      </w:r>
      <w:r>
        <w:rPr>
          <w:rFonts w:hint="eastAsia" w:ascii="宋体" w:hAnsi="宋体" w:eastAsia="宋体" w:cs="宋体"/>
          <w:color w:val="auto"/>
          <w:szCs w:val="21"/>
          <w:highlight w:val="none"/>
        </w:rPr>
        <w:t>及其他临时安排的地点）。</w:t>
      </w:r>
    </w:p>
    <w:p>
      <w:pPr>
        <w:pStyle w:val="73"/>
        <w:widowControl w:val="0"/>
        <w:adjustRightInd w:val="0"/>
        <w:snapToGrid w:val="0"/>
        <w:spacing w:before="156" w:beforeLines="50" w:line="360" w:lineRule="auto"/>
        <w:ind w:left="0"/>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二、采购标准及要求</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采购时，由采购人向供应商发起订单，供应商按照订单要求及投标承诺的投标报价进行供货，采购人确认订单后方可承担业务。</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1、供货标准：规格尺寸符合要求，出圃苗木要求充分木质化﹑株型茁壮,根系发达,叶色正常，无病虫害和机械损伤，乔木应为圃苗保持全冠，主干通直，具3 个以上主分枝，树形整齐美观。</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2、服务期限内，供应商应承担所需全部服务人员的保险、安全等全部责任，且应当委派1 名熟悉情况、能迅速作出决定的负责人，与采购人保持联系，如更换负责人时要提前通知采购人。</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3、供货时，供应商须按照与采购人签字确认的采购单各项内容要求进行供货，不得降低规格参数，具体要求如下：</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（1）供应商对供应苗木的质量负责。如发现苗木有质量问题（规格不符、干枯、病害等），采购人有权要求供应商将该部分苗木更换成符合要求的苗木。采购人给予1次更换机会，每次更换须在12 小时内完成。如供应商拒绝更换或经1次更换机会后仍未能将有问题的苗木全部更换为合格的，采购人可终止合同，另行按规定选择其他供应商采购，由此所引起的一切责任由供应商承担。</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须在约定供货时间内，将供应的苗木运抵采购人指定地点，并在到货后通知采购人检查和清点确认。供应商必须注意交通安全以及保护运输过程中苗木不损坏，如因供应商原因而出现的一切安全问题（如交通事故等）或苗木的损坏、丢失等，均由供应商自行负责。</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（3）接受采购人的监督、管理，遵守采购人制定的各项制度规定。</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4、成交供应商不得将本项目转包他人，否则，取消成交资格，由成交供应商承担违约责任。</w:t>
      </w:r>
    </w:p>
    <w:p>
      <w:pPr>
        <w:pStyle w:val="73"/>
        <w:widowControl w:val="0"/>
        <w:adjustRightInd w:val="0"/>
        <w:snapToGrid w:val="0"/>
        <w:spacing w:before="156" w:beforeLines="50" w:line="360" w:lineRule="auto"/>
        <w:ind w:left="0"/>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三、 苗木供货时效及质量考核</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1、供货时效考核</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供应商需严格按照送货任务单要求的供货时间送货，如遇特殊情况无法按时到达，需书面报告采购人，经采购人同意后可以延长送货时间。未经采购人许可，延迟供货的，每延迟一天，扣减供货任务单金额</w:t>
      </w:r>
      <w:r>
        <w:rPr>
          <w:rFonts w:ascii="宋体" w:hAnsi="宋体" w:eastAsia="宋体" w:cs="宋体"/>
          <w:color w:val="auto"/>
          <w:szCs w:val="21"/>
          <w:highlight w:val="none"/>
        </w:rPr>
        <w:t>5%</w:t>
      </w:r>
      <w:r>
        <w:rPr>
          <w:rFonts w:hint="eastAsia" w:ascii="宋体" w:hAnsi="宋体" w:eastAsia="宋体" w:cs="宋体"/>
          <w:color w:val="auto"/>
          <w:szCs w:val="21"/>
          <w:highlight w:val="none"/>
        </w:rPr>
        <w:t>的货款，采购人实际损失高于违约金时，乙方需补足差额。超过</w:t>
      </w:r>
      <w:r>
        <w:rPr>
          <w:rFonts w:ascii="宋体" w:hAnsi="宋体" w:eastAsia="宋体" w:cs="宋体"/>
          <w:color w:val="auto"/>
          <w:szCs w:val="21"/>
          <w:highlight w:val="none"/>
        </w:rPr>
        <w:t>3</w:t>
      </w:r>
      <w:r>
        <w:rPr>
          <w:rFonts w:hint="eastAsia" w:ascii="宋体" w:hAnsi="宋体" w:eastAsia="宋体" w:cs="宋体"/>
          <w:color w:val="auto"/>
          <w:szCs w:val="21"/>
          <w:highlight w:val="none"/>
        </w:rPr>
        <w:t>次延迟供货，或者单次延迟供货超</w:t>
      </w:r>
      <w:r>
        <w:rPr>
          <w:rFonts w:ascii="宋体" w:hAnsi="宋体" w:eastAsia="宋体" w:cs="宋体"/>
          <w:color w:val="auto"/>
          <w:szCs w:val="21"/>
          <w:highlight w:val="none"/>
        </w:rPr>
        <w:t>5</w:t>
      </w:r>
      <w:r>
        <w:rPr>
          <w:rFonts w:hint="eastAsia" w:ascii="宋体" w:hAnsi="宋体" w:eastAsia="宋体" w:cs="宋体"/>
          <w:color w:val="auto"/>
          <w:szCs w:val="21"/>
          <w:highlight w:val="none"/>
        </w:rPr>
        <w:t>天，采购人有权解除合同。</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2、苗木质量考核</w:t>
      </w:r>
      <w:r>
        <w:rPr>
          <w:rFonts w:ascii="宋体" w:hAnsi="宋体" w:eastAsia="宋体" w:cs="宋体"/>
          <w:color w:val="auto"/>
          <w:szCs w:val="21"/>
          <w:highlight w:val="none"/>
        </w:rPr>
        <w:t>:</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供应商应当严格按谈判文件要求保质保量供货，不能降低采购需求中的苗木规格标准、以次充好。除可能存在苗木正常的运输、装卸损耗外，苗木验收合格率需在</w:t>
      </w:r>
      <w:r>
        <w:rPr>
          <w:rFonts w:ascii="宋体" w:hAnsi="宋体" w:eastAsia="宋体" w:cs="宋体"/>
          <w:color w:val="auto"/>
          <w:szCs w:val="21"/>
          <w:highlight w:val="none"/>
        </w:rPr>
        <w:t>95%</w:t>
      </w:r>
      <w:r>
        <w:rPr>
          <w:rFonts w:hint="eastAsia" w:ascii="宋体" w:hAnsi="宋体" w:eastAsia="宋体" w:cs="宋体"/>
          <w:color w:val="auto"/>
          <w:szCs w:val="21"/>
          <w:highlight w:val="none"/>
        </w:rPr>
        <w:t>以上。如合格率低于</w:t>
      </w:r>
      <w:r>
        <w:rPr>
          <w:rFonts w:ascii="宋体" w:hAnsi="宋体" w:eastAsia="宋体" w:cs="宋体"/>
          <w:color w:val="auto"/>
          <w:szCs w:val="21"/>
          <w:highlight w:val="none"/>
        </w:rPr>
        <w:t>95%</w:t>
      </w:r>
      <w:r>
        <w:rPr>
          <w:rFonts w:hint="eastAsia" w:ascii="宋体" w:hAnsi="宋体" w:eastAsia="宋体" w:cs="宋体"/>
          <w:color w:val="auto"/>
          <w:szCs w:val="21"/>
          <w:highlight w:val="none"/>
        </w:rPr>
        <w:t>，采购人可以根据实际情况，采取以下两种处理方式：</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（1）拒收该批次苗木，并按时效考核原则，扣除延迟供货的违约金。</w:t>
      </w:r>
    </w:p>
    <w:p>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（2）接收合格部分苗木，并扣减本次供货任务单金额</w:t>
      </w:r>
      <w:r>
        <w:rPr>
          <w:rFonts w:ascii="宋体" w:hAnsi="宋体" w:eastAsia="宋体" w:cs="宋体"/>
          <w:color w:val="auto"/>
          <w:szCs w:val="21"/>
          <w:highlight w:val="none"/>
        </w:rPr>
        <w:t>20%</w:t>
      </w:r>
      <w:r>
        <w:rPr>
          <w:rFonts w:hint="eastAsia" w:ascii="宋体" w:hAnsi="宋体" w:eastAsia="宋体" w:cs="宋体"/>
          <w:color w:val="auto"/>
          <w:szCs w:val="21"/>
          <w:highlight w:val="none"/>
        </w:rPr>
        <w:t>的货款。</w:t>
      </w:r>
    </w:p>
    <w:p>
      <w:pPr>
        <w:adjustRightInd w:val="0"/>
        <w:snapToGrid w:val="0"/>
        <w:spacing w:line="360" w:lineRule="auto"/>
        <w:rPr>
          <w:rFonts w:hint="eastAsia" w:ascii="宋体" w:hAnsi="宋体" w:eastAsia="宋体" w:cs="Times New Roman"/>
          <w:color w:val="auto"/>
          <w:szCs w:val="21"/>
          <w:highlight w:val="none"/>
        </w:rPr>
      </w:pPr>
      <w:r>
        <w:rPr>
          <w:rFonts w:hint="eastAsia" w:ascii="宋体" w:hAnsi="宋体" w:eastAsia="宋体" w:cs="宋体"/>
          <w:color w:val="auto"/>
          <w:sz w:val="24"/>
          <w:szCs w:val="24"/>
          <w:highlight w:val="none"/>
        </w:rPr>
        <w:br w:type="page"/>
      </w:r>
      <w:bookmarkStart w:id="187" w:name="_Toc107998022"/>
    </w:p>
    <w:p>
      <w:pPr>
        <w:keepNext/>
        <w:keepLines/>
        <w:widowControl w:val="0"/>
        <w:spacing w:line="360" w:lineRule="auto"/>
        <w:jc w:val="center"/>
        <w:outlineLvl w:val="1"/>
        <w:rPr>
          <w:rFonts w:hint="eastAsia" w:ascii="黑体" w:hAnsi="黑体" w:eastAsia="黑体" w:cs="Times New Roman"/>
          <w:b/>
          <w:bCs/>
          <w:color w:val="auto"/>
          <w:sz w:val="24"/>
          <w:szCs w:val="32"/>
          <w:highlight w:val="none"/>
        </w:rPr>
      </w:pPr>
      <w:bookmarkStart w:id="188" w:name="_Toc214954914"/>
      <w:r>
        <w:rPr>
          <w:rFonts w:hint="eastAsia" w:ascii="黑体" w:hAnsi="黑体" w:eastAsia="黑体" w:cs="Times New Roman"/>
          <w:b/>
          <w:bCs/>
          <w:color w:val="auto"/>
          <w:sz w:val="28"/>
          <w:szCs w:val="28"/>
          <w:highlight w:val="none"/>
        </w:rPr>
        <w:t>第三节 商务</w:t>
      </w:r>
      <w:r>
        <w:rPr>
          <w:rFonts w:ascii="黑体" w:hAnsi="黑体" w:eastAsia="黑体" w:cs="Times New Roman"/>
          <w:b/>
          <w:bCs/>
          <w:color w:val="auto"/>
          <w:sz w:val="28"/>
          <w:szCs w:val="28"/>
          <w:highlight w:val="none"/>
        </w:rPr>
        <w:t>要求</w:t>
      </w:r>
      <w:bookmarkEnd w:id="187"/>
      <w:bookmarkEnd w:id="188"/>
    </w:p>
    <w:p>
      <w:pPr>
        <w:adjustRightInd w:val="0"/>
        <w:snapToGrid w:val="0"/>
        <w:spacing w:line="360" w:lineRule="auto"/>
        <w:ind w:firstLine="420" w:firstLineChars="200"/>
        <w:rPr>
          <w:rFonts w:hint="eastAsia" w:ascii="宋体" w:hAnsi="宋体" w:eastAsia="宋体" w:cs="宋体"/>
          <w:color w:val="auto"/>
          <w:szCs w:val="21"/>
          <w:highlight w:val="none"/>
        </w:rPr>
      </w:pPr>
      <w:bookmarkStart w:id="189" w:name="_Toc17319"/>
      <w:r>
        <w:rPr>
          <w:rFonts w:hint="eastAsia" w:ascii="宋体" w:hAnsi="宋体" w:eastAsia="宋体" w:cs="Times New Roman"/>
          <w:b/>
          <w:bCs/>
          <w:color w:val="auto"/>
          <w:szCs w:val="21"/>
          <w:highlight w:val="none"/>
        </w:rPr>
        <w:t>一、交货时间及地点</w:t>
      </w:r>
      <w:r>
        <w:rPr>
          <w:rFonts w:hint="eastAsia" w:ascii="宋体" w:hAnsi="宋体" w:eastAsia="宋体" w:cs="宋体"/>
          <w:color w:val="auto"/>
          <w:sz w:val="24"/>
          <w:highlight w:val="none"/>
        </w:rPr>
        <w:br w:type="textWrapping"/>
      </w:r>
      <w:r>
        <w:rPr>
          <w:rFonts w:hint="eastAsia" w:ascii="宋体" w:hAnsi="宋体" w:eastAsia="宋体" w:cs="宋体"/>
          <w:color w:val="auto"/>
          <w:sz w:val="24"/>
          <w:highlight w:val="none"/>
        </w:rPr>
        <w:t xml:space="preserve">    </w:t>
      </w:r>
      <w:r>
        <w:rPr>
          <w:rFonts w:hint="eastAsia" w:ascii="宋体" w:hAnsi="宋体" w:eastAsia="宋体" w:cs="宋体"/>
          <w:color w:val="auto"/>
          <w:szCs w:val="21"/>
          <w:highlight w:val="none"/>
        </w:rPr>
        <w:t>1、</w:t>
      </w:r>
      <w:bookmarkStart w:id="190" w:name="OLE_LINK66"/>
      <w:r>
        <w:rPr>
          <w:rFonts w:hint="eastAsia" w:ascii="宋体" w:hAnsi="宋体" w:eastAsia="宋体" w:cs="宋体"/>
          <w:color w:val="auto"/>
          <w:szCs w:val="21"/>
          <w:highlight w:val="none"/>
        </w:rPr>
        <w:t>交货时间：</w:t>
      </w:r>
      <w:bookmarkStart w:id="191" w:name="OLE_LINK2"/>
      <w:r>
        <w:rPr>
          <w:rFonts w:hint="eastAsia" w:ascii="宋体" w:hAnsi="宋体" w:eastAsia="宋体" w:cs="宋体"/>
          <w:color w:val="auto"/>
          <w:szCs w:val="21"/>
          <w:highlight w:val="none"/>
        </w:rPr>
        <w:t>由采购人指定时间</w:t>
      </w:r>
      <w:r>
        <w:rPr>
          <w:rFonts w:ascii="宋体" w:hAnsi="宋体" w:eastAsia="宋体" w:cs="宋体"/>
          <w:color w:val="auto"/>
          <w:szCs w:val="21"/>
          <w:highlight w:val="none"/>
        </w:rPr>
        <w:t>。</w:t>
      </w:r>
      <w:bookmarkEnd w:id="190"/>
    </w:p>
    <w:bookmarkEnd w:id="191"/>
    <w:p>
      <w:pPr>
        <w:adjustRightInd w:val="0"/>
        <w:snapToGrid w:val="0"/>
        <w:spacing w:line="360" w:lineRule="auto"/>
        <w:ind w:firstLine="48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2、交货地点：采购人指定地点。</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 xml:space="preserve">     3、交货方式：由采购人约定苗木供货数量，分批次进行供货。</w:t>
      </w:r>
    </w:p>
    <w:bookmarkEnd w:id="189"/>
    <w:p>
      <w:pPr>
        <w:pStyle w:val="293"/>
        <w:adjustRightInd w:val="0"/>
        <w:snapToGrid w:val="0"/>
        <w:spacing w:line="500" w:lineRule="exact"/>
        <w:ind w:firstLine="420" w:firstLineChars="200"/>
        <w:jc w:val="left"/>
        <w:rPr>
          <w:rFonts w:hint="eastAsia" w:ascii="宋体" w:hAnsi="宋体"/>
          <w:color w:val="auto"/>
          <w:szCs w:val="21"/>
          <w:highlight w:val="none"/>
        </w:rPr>
      </w:pPr>
      <w:r>
        <w:rPr>
          <w:rFonts w:hint="eastAsia" w:ascii="宋体" w:hAnsi="宋体" w:cs="Times New Roman"/>
          <w:b/>
          <w:bCs/>
          <w:color w:val="auto"/>
          <w:szCs w:val="21"/>
          <w:highlight w:val="none"/>
        </w:rPr>
        <w:t>二、售后服务要求</w:t>
      </w:r>
      <w:r>
        <w:rPr>
          <w:rFonts w:hint="eastAsia" w:ascii="宋体" w:hAnsi="宋体" w:cs="Times New Roman"/>
          <w:b/>
          <w:bCs/>
          <w:color w:val="auto"/>
          <w:szCs w:val="21"/>
          <w:highlight w:val="none"/>
        </w:rPr>
        <w:br w:type="textWrapping"/>
      </w:r>
      <w:r>
        <w:rPr>
          <w:rFonts w:hint="eastAsia" w:ascii="宋体" w:hAnsi="宋体"/>
          <w:color w:val="auto"/>
          <w:sz w:val="24"/>
          <w:highlight w:val="none"/>
        </w:rPr>
        <w:t xml:space="preserve">   </w:t>
      </w:r>
      <w:r>
        <w:rPr>
          <w:rFonts w:hint="eastAsia" w:ascii="宋体" w:hAnsi="宋体"/>
          <w:color w:val="auto"/>
          <w:szCs w:val="21"/>
          <w:highlight w:val="none"/>
        </w:rPr>
        <w:t xml:space="preserve"> 1、质量保证：供应商保证货物的质量。符合国家质量检测标准和行业标准。</w:t>
      </w:r>
    </w:p>
    <w:p>
      <w:pPr>
        <w:pStyle w:val="293"/>
        <w:adjustRightInd w:val="0"/>
        <w:snapToGrid w:val="0"/>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2、供应商负责将货物送到采购人指定供货地点全过程的装车、运输、卸车，并承担全部费用。</w:t>
      </w:r>
    </w:p>
    <w:p>
      <w:pPr>
        <w:pStyle w:val="293"/>
        <w:adjustRightInd w:val="0"/>
        <w:snapToGrid w:val="0"/>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3、供应商必须确保货物的完整性。对于谈判文件没有列出，而对货物的正常使用必不可少的且应属于货物需求配带的物品，供应商有责任给予补充。   </w:t>
      </w:r>
    </w:p>
    <w:p>
      <w:pPr>
        <w:pStyle w:val="293"/>
        <w:adjustRightInd w:val="0"/>
        <w:snapToGrid w:val="0"/>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响应时间：保证质保期内每周7×24小时技术支持，2小时响应，4小时内到达现场，12小时内解决苗木质量问题。如遇恶劣天气、特殊情况或不可抗力等发生的紧急情况，采购人需要成交供应商作出紧急响应的，成交供应商应立即作出响应。</w:t>
      </w:r>
    </w:p>
    <w:p>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Times New Roman"/>
          <w:b/>
          <w:bCs/>
          <w:color w:val="auto"/>
          <w:szCs w:val="21"/>
          <w:highlight w:val="none"/>
        </w:rPr>
        <w:t>三、付款方式和条件</w:t>
      </w:r>
      <w:r>
        <w:rPr>
          <w:rFonts w:hint="eastAsia" w:ascii="宋体" w:hAnsi="宋体" w:eastAsia="宋体" w:cs="Times New Roman"/>
          <w:b/>
          <w:bCs/>
          <w:color w:val="auto"/>
          <w:szCs w:val="21"/>
          <w:highlight w:val="none"/>
        </w:rPr>
        <w:br w:type="textWrapping"/>
      </w:r>
      <w:r>
        <w:rPr>
          <w:rFonts w:hint="eastAsia" w:ascii="宋体" w:hAnsi="宋体" w:eastAsia="宋体"/>
          <w:color w:val="auto"/>
          <w:sz w:val="24"/>
          <w:highlight w:val="none"/>
        </w:rPr>
        <w:t xml:space="preserve">   </w:t>
      </w:r>
      <w:r>
        <w:rPr>
          <w:rFonts w:hint="eastAsia" w:ascii="宋体" w:hAnsi="宋体" w:eastAsia="宋体"/>
          <w:color w:val="auto"/>
          <w:szCs w:val="21"/>
          <w:highlight w:val="none"/>
        </w:rPr>
        <w:t xml:space="preserve"> 签订合同时约定。</w:t>
      </w:r>
      <w:r>
        <w:rPr>
          <w:rFonts w:hint="eastAsia" w:ascii="宋体" w:hAnsi="宋体" w:eastAsia="宋体" w:cs="宋体"/>
          <w:color w:val="auto"/>
          <w:sz w:val="24"/>
          <w:highlight w:val="none"/>
        </w:rPr>
        <w:br w:type="textWrapping"/>
      </w:r>
      <w:r>
        <w:rPr>
          <w:rFonts w:hint="eastAsia" w:ascii="宋体" w:hAnsi="宋体" w:eastAsia="宋体" w:cs="宋体"/>
          <w:b/>
          <w:bCs/>
          <w:color w:val="auto"/>
          <w:sz w:val="24"/>
          <w:highlight w:val="none"/>
        </w:rPr>
        <w:t xml:space="preserve">    </w:t>
      </w:r>
      <w:r>
        <w:rPr>
          <w:rFonts w:hint="eastAsia" w:ascii="宋体" w:hAnsi="宋体" w:eastAsia="宋体" w:cs="Times New Roman"/>
          <w:b/>
          <w:bCs/>
          <w:color w:val="auto"/>
          <w:szCs w:val="21"/>
          <w:highlight w:val="none"/>
        </w:rPr>
        <w:t>四、项目实施的其他要求</w:t>
      </w:r>
      <w:r>
        <w:rPr>
          <w:rFonts w:hint="eastAsia" w:ascii="宋体" w:hAnsi="宋体" w:eastAsia="宋体" w:cs="Times New Roman"/>
          <w:b/>
          <w:bCs/>
          <w:color w:val="auto"/>
          <w:szCs w:val="21"/>
          <w:highlight w:val="none"/>
        </w:rPr>
        <w:br w:type="textWrapping"/>
      </w:r>
      <w:r>
        <w:rPr>
          <w:rFonts w:hint="eastAsia" w:ascii="宋体" w:hAnsi="宋体" w:eastAsia="宋体" w:cs="宋体"/>
          <w:color w:val="auto"/>
          <w:sz w:val="24"/>
          <w:highlight w:val="none"/>
        </w:rPr>
        <w:t xml:space="preserve">   </w:t>
      </w:r>
      <w:r>
        <w:rPr>
          <w:rFonts w:hint="eastAsia" w:ascii="宋体" w:hAnsi="宋体" w:eastAsia="宋体" w:cs="宋体"/>
          <w:color w:val="auto"/>
          <w:szCs w:val="21"/>
          <w:highlight w:val="none"/>
        </w:rPr>
        <w:t>1、因本项目对标的物的单次采购数量根据种植方的组织能力确定，每次要求数量存在随机性和不确定性，供应商应对该情况予以响应。</w:t>
      </w:r>
    </w:p>
    <w:p>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在投标前，可自行踏勘现场，有关费用自理，踏勘期间发生的意外自负。采购人在签订合同前将核查供应商投标过程中所提供的证明材料原件，如发现弄虚作假，取消成交资格并上报财政监管部门严格处理。</w:t>
      </w:r>
    </w:p>
    <w:p>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3、本谈判文件中载明的采购数量均为暂估值，采购人不保证采购数量，供货数量由采购人自行安排，最终结算数量以实际供货量为准。</w:t>
      </w:r>
    </w:p>
    <w:p>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4、供应商报价时，应考虑市场在服务期限内的物价上涨因素，结算时仅按照合同单价执行，价格不予调整。</w:t>
      </w:r>
    </w:p>
    <w:p>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5、供应商从事本项目的所有人员在服务期间发生任何人身伤亡、人身疾病及财产损失或涉及其他法律问题，与采购人无关，均由供应商承担全部责任并自行负责解决，采购人不承担任何法律责任和费用。</w:t>
      </w:r>
    </w:p>
    <w:p>
      <w:pPr>
        <w:spacing w:line="240" w:lineRule="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五、其他未尽事宜合同中约定</w:t>
      </w:r>
      <w:r>
        <w:rPr>
          <w:rFonts w:hint="eastAsia" w:ascii="宋体" w:hAnsi="宋体" w:eastAsia="宋体" w:cs="宋体"/>
          <w:color w:val="auto"/>
          <w:sz w:val="24"/>
          <w:highlight w:val="none"/>
        </w:rPr>
        <w:t> </w:t>
      </w:r>
      <w:r>
        <w:rPr>
          <w:rFonts w:hint="eastAsia" w:ascii="宋体" w:hAnsi="宋体" w:eastAsia="宋体" w:cs="宋体"/>
          <w:color w:val="auto"/>
          <w:sz w:val="24"/>
          <w:highlight w:val="none"/>
        </w:rPr>
        <w:br w:type="textWrapping"/>
      </w:r>
      <w:r>
        <w:rPr>
          <w:rFonts w:ascii="宋体" w:hAnsi="宋体" w:eastAsia="宋体" w:cs="Times New Roman"/>
          <w:color w:val="auto"/>
          <w:szCs w:val="21"/>
          <w:highlight w:val="none"/>
        </w:rPr>
        <w:br w:type="page"/>
      </w:r>
    </w:p>
    <w:p>
      <w:pPr>
        <w:keepNext/>
        <w:widowControl w:val="0"/>
        <w:adjustRightInd w:val="0"/>
        <w:snapToGrid w:val="0"/>
        <w:spacing w:before="156" w:beforeLines="50" w:line="360" w:lineRule="auto"/>
        <w:jc w:val="center"/>
        <w:outlineLvl w:val="0"/>
        <w:rPr>
          <w:rFonts w:hint="eastAsia" w:ascii="黑体" w:hAnsi="黑体" w:eastAsia="黑体" w:cs="Times New Roman"/>
          <w:b/>
          <w:bCs/>
          <w:color w:val="auto"/>
          <w:sz w:val="32"/>
          <w:szCs w:val="32"/>
          <w:highlight w:val="none"/>
        </w:rPr>
      </w:pPr>
      <w:bookmarkStart w:id="192" w:name="_Toc214954915"/>
      <w:r>
        <w:rPr>
          <w:rFonts w:hint="eastAsia" w:ascii="黑体" w:hAnsi="黑体" w:eastAsia="黑体" w:cs="Times New Roman"/>
          <w:b/>
          <w:bCs/>
          <w:color w:val="auto"/>
          <w:sz w:val="32"/>
          <w:szCs w:val="32"/>
          <w:highlight w:val="none"/>
        </w:rPr>
        <w:t>第四章 合同草案条款</w:t>
      </w:r>
      <w:bookmarkEnd w:id="192"/>
    </w:p>
    <w:p>
      <w:pPr>
        <w:keepNext/>
        <w:keepLines/>
        <w:widowControl w:val="0"/>
        <w:adjustRightInd w:val="0"/>
        <w:snapToGrid w:val="0"/>
        <w:spacing w:before="156" w:beforeLines="50" w:line="360" w:lineRule="auto"/>
        <w:jc w:val="center"/>
        <w:outlineLvl w:val="1"/>
        <w:rPr>
          <w:rFonts w:hint="eastAsia" w:ascii="黑体" w:hAnsi="华文中宋" w:eastAsia="黑体" w:cs="Times New Roman"/>
          <w:b/>
          <w:bCs/>
          <w:color w:val="auto"/>
          <w:sz w:val="28"/>
          <w:szCs w:val="28"/>
          <w:highlight w:val="none"/>
          <w:lang w:eastAsia="zh-CN"/>
        </w:rPr>
      </w:pPr>
      <w:bookmarkStart w:id="193" w:name="_Toc214954916"/>
      <w:bookmarkStart w:id="194" w:name="_Toc22201110"/>
      <w:r>
        <w:rPr>
          <w:rFonts w:hint="eastAsia" w:ascii="黑体" w:hAnsi="华文中宋" w:eastAsia="黑体" w:cs="Times New Roman"/>
          <w:b/>
          <w:bCs/>
          <w:color w:val="auto"/>
          <w:sz w:val="28"/>
          <w:szCs w:val="28"/>
          <w:highlight w:val="none"/>
        </w:rPr>
        <w:t>第一节 合同协议书</w:t>
      </w:r>
      <w:bookmarkEnd w:id="193"/>
      <w:bookmarkEnd w:id="194"/>
      <w:r>
        <w:rPr>
          <w:rFonts w:hint="eastAsia" w:ascii="黑体" w:hAnsi="华文中宋" w:eastAsia="黑体" w:cs="Times New Roman"/>
          <w:b/>
          <w:bCs/>
          <w:color w:val="auto"/>
          <w:sz w:val="28"/>
          <w:szCs w:val="28"/>
          <w:highlight w:val="none"/>
          <w:lang w:eastAsia="zh-CN"/>
        </w:rPr>
        <w:t>（参考）</w:t>
      </w:r>
    </w:p>
    <w:p>
      <w:pPr>
        <w:widowControl w:val="0"/>
        <w:adjustRightInd w:val="0"/>
        <w:snapToGrid w:val="0"/>
        <w:spacing w:before="156" w:beforeLines="50" w:line="360" w:lineRule="auto"/>
        <w:ind w:firstLine="5460" w:firstLineChars="2600"/>
        <w:jc w:val="both"/>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采购合同编号：</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采购人（全称）：</w:t>
      </w:r>
      <w:r>
        <w:rPr>
          <w:rFonts w:hint="eastAsia" w:ascii="宋体" w:hAnsi="宋体" w:eastAsia="宋体" w:cs="Times New Roman"/>
          <w:color w:val="auto"/>
          <w:szCs w:val="21"/>
          <w:highlight w:val="none"/>
          <w:u w:val="single"/>
        </w:rPr>
        <w:t>郴州市园林绿化服务中心</w:t>
      </w:r>
      <w:r>
        <w:rPr>
          <w:rFonts w:hint="eastAsia" w:ascii="宋体" w:hAnsi="宋体" w:eastAsia="宋体" w:cs="Times New Roman"/>
          <w:color w:val="auto"/>
          <w:szCs w:val="21"/>
          <w:highlight w:val="none"/>
        </w:rPr>
        <w:t>（甲方）</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供应商（全称）：</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（乙方）</w:t>
      </w:r>
    </w:p>
    <w:p>
      <w:pPr>
        <w:widowControl w:val="0"/>
        <w:adjustRightInd w:val="0"/>
        <w:snapToGrid w:val="0"/>
        <w:spacing w:before="156" w:beforeLines="50" w:line="360" w:lineRule="auto"/>
        <w:ind w:left="420" w:leftChars="200"/>
        <w:jc w:val="both"/>
        <w:rPr>
          <w:rFonts w:hint="eastAsia" w:ascii="宋体" w:hAnsi="宋体" w:eastAsia="宋体" w:cs="Times New Roman"/>
          <w:color w:val="auto"/>
          <w:szCs w:val="21"/>
          <w:highlight w:val="none"/>
        </w:rPr>
      </w:pP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为了保护甲、乙双方合法权益，根据《中华人民共和国民法典》、《中华人民共和国政府采购法》及其他有关法律、法规、规章，双方签订本合同协议书。</w:t>
      </w:r>
    </w:p>
    <w:p>
      <w:pPr>
        <w:widowControl w:val="0"/>
        <w:adjustRightInd w:val="0"/>
        <w:snapToGrid w:val="0"/>
        <w:spacing w:before="156" w:beforeLines="50" w:line="360" w:lineRule="auto"/>
        <w:ind w:firstLine="420" w:firstLineChars="200"/>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1.项目信息</w:t>
      </w:r>
    </w:p>
    <w:p>
      <w:pPr>
        <w:widowControl w:val="0"/>
        <w:adjustRightInd w:val="0"/>
        <w:snapToGrid w:val="0"/>
        <w:spacing w:before="156" w:beforeLines="50" w:line="360" w:lineRule="auto"/>
        <w:ind w:left="420" w:leftChars="200"/>
        <w:jc w:val="both"/>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（1）采购项目名称：</w:t>
      </w:r>
      <w:r>
        <w:rPr>
          <w:rFonts w:hint="eastAsia" w:ascii="宋体" w:hAnsi="宋体" w:eastAsia="宋体" w:cs="Times New Roman"/>
          <w:color w:val="auto"/>
          <w:szCs w:val="21"/>
          <w:highlight w:val="none"/>
          <w:u w:val="single"/>
          <w:lang w:eastAsia="zh-CN"/>
        </w:rPr>
        <w:t>2026年度苗木采购</w:t>
      </w:r>
    </w:p>
    <w:p>
      <w:pPr>
        <w:widowControl w:val="0"/>
        <w:adjustRightInd w:val="0"/>
        <w:snapToGrid w:val="0"/>
        <w:spacing w:before="156" w:beforeLines="50" w:line="360" w:lineRule="auto"/>
        <w:ind w:left="420" w:left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（2）政府采购计划编号：</w:t>
      </w:r>
      <w:r>
        <w:rPr>
          <w:rFonts w:hint="eastAsia" w:ascii="宋体" w:hAnsi="宋体" w:eastAsia="宋体" w:cs="Times New Roman"/>
          <w:color w:val="auto"/>
          <w:szCs w:val="21"/>
          <w:highlight w:val="none"/>
          <w:u w:val="single"/>
          <w:lang w:eastAsia="zh-CN"/>
        </w:rPr>
        <w:t>(2026)431000000276-1</w:t>
      </w:r>
      <w:r>
        <w:rPr>
          <w:rFonts w:ascii="宋体" w:hAnsi="宋体" w:eastAsia="宋体" w:cs="Times New Roman"/>
          <w:color w:val="auto"/>
          <w:szCs w:val="21"/>
          <w:highlight w:val="none"/>
        </w:rPr>
        <w:t xml:space="preserve"> </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（3）项目内容：</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（4）是否分包：</w:t>
      </w:r>
      <w:r>
        <w:rPr>
          <w:rFonts w:hint="eastAsia" w:ascii="宋体" w:hAnsi="宋体" w:eastAsia="宋体" w:cs="Times New Roman"/>
          <w:color w:val="auto"/>
          <w:szCs w:val="21"/>
          <w:highlight w:val="none"/>
          <w:u w:val="single"/>
        </w:rPr>
        <w:t>否</w:t>
      </w:r>
      <w:r>
        <w:rPr>
          <w:rFonts w:hint="eastAsia" w:ascii="宋体" w:hAnsi="宋体" w:eastAsia="宋体" w:cs="Times New Roman"/>
          <w:color w:val="auto"/>
          <w:szCs w:val="21"/>
          <w:highlight w:val="none"/>
        </w:rPr>
        <w:t>。</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（5）项目负责人：</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（6）联系电话：</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w:t>
      </w:r>
    </w:p>
    <w:p>
      <w:pPr>
        <w:widowControl w:val="0"/>
        <w:adjustRightInd w:val="0"/>
        <w:snapToGrid w:val="0"/>
        <w:spacing w:before="156" w:beforeLines="50" w:line="360" w:lineRule="auto"/>
        <w:ind w:firstLine="411" w:firstLineChars="196"/>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2.合同金额</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（1）合同金额小写：</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ind w:firstLine="1260" w:firstLineChars="600"/>
        <w:jc w:val="both"/>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大写：</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（2）具体标的见附件。</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（3）合同定价方式：</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固定总价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固定单价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成本补偿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绩效激励</w:t>
      </w:r>
    </w:p>
    <w:p>
      <w:pPr>
        <w:widowControl w:val="0"/>
        <w:spacing w:line="360" w:lineRule="auto"/>
        <w:ind w:firstLine="420" w:firstLineChars="200"/>
        <w:jc w:val="both"/>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（4）付款方式（按项目实际勾选填写）：</w:t>
      </w:r>
    </w:p>
    <w:p>
      <w:pPr>
        <w:widowControl w:val="0"/>
        <w:adjustRightInd w:val="0"/>
        <w:snapToGrid w:val="0"/>
        <w:spacing w:before="156" w:beforeLines="50" w:line="360" w:lineRule="auto"/>
        <w:ind w:firstLine="630" w:firstLineChars="300"/>
        <w:jc w:val="both"/>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全额付款：</w:t>
      </w:r>
      <w:r>
        <w:rPr>
          <w:rFonts w:hint="eastAsia" w:ascii="宋体" w:hAnsi="宋体" w:eastAsia="宋体" w:cs="Times New Roman"/>
          <w:color w:val="auto"/>
          <w:szCs w:val="21"/>
          <w:highlight w:val="none"/>
          <w:u w:val="single"/>
        </w:rPr>
        <w:t xml:space="preserve">     （应一次性支付全部合同款项）                    </w:t>
      </w:r>
    </w:p>
    <w:p>
      <w:pPr>
        <w:widowControl w:val="0"/>
        <w:adjustRightInd w:val="0"/>
        <w:snapToGrid w:val="0"/>
        <w:spacing w:before="156" w:beforeLines="50" w:line="360" w:lineRule="auto"/>
        <w:ind w:firstLine="630" w:firstLineChars="300"/>
        <w:jc w:val="both"/>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预付款：</w:t>
      </w:r>
      <w:r>
        <w:rPr>
          <w:rFonts w:hint="eastAsia" w:ascii="宋体" w:hAnsi="宋体" w:eastAsia="宋体" w:cs="Times New Roman"/>
          <w:color w:val="auto"/>
          <w:szCs w:val="21"/>
          <w:highlight w:val="none"/>
          <w:u w:val="single"/>
        </w:rPr>
        <w:t xml:space="preserve">    （应明确预付款的支付比例和支付条件）               </w:t>
      </w:r>
    </w:p>
    <w:p>
      <w:pPr>
        <w:widowControl w:val="0"/>
        <w:adjustRightInd w:val="0"/>
        <w:snapToGrid w:val="0"/>
        <w:spacing w:before="156" w:beforeLines="50" w:line="360" w:lineRule="auto"/>
        <w:ind w:firstLine="630" w:firstLineChars="3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分期付款：</w:t>
      </w:r>
      <w:r>
        <w:rPr>
          <w:rFonts w:hint="eastAsia" w:ascii="宋体" w:hAnsi="宋体" w:eastAsia="宋体" w:cs="Times New Roman"/>
          <w:color w:val="auto"/>
          <w:szCs w:val="21"/>
          <w:highlight w:val="none"/>
          <w:u w:val="single"/>
        </w:rPr>
        <w:t xml:space="preserve">     （应按照季度分期支付合同款项）                   </w:t>
      </w:r>
    </w:p>
    <w:p>
      <w:pPr>
        <w:widowControl w:val="0"/>
        <w:adjustRightInd w:val="0"/>
        <w:snapToGrid w:val="0"/>
        <w:spacing w:before="156" w:beforeLines="50" w:line="360" w:lineRule="auto"/>
        <w:ind w:firstLine="630" w:firstLineChars="3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成本补偿：</w:t>
      </w:r>
      <w:r>
        <w:rPr>
          <w:rFonts w:hint="eastAsia" w:ascii="宋体" w:hAnsi="宋体" w:eastAsia="宋体" w:cs="Times New Roman"/>
          <w:color w:val="auto"/>
          <w:szCs w:val="21"/>
          <w:highlight w:val="none"/>
          <w:u w:val="single"/>
        </w:rPr>
        <w:t xml:space="preserve">      （应明确按照成本补偿方式的支付方式和支付条件）   </w:t>
      </w:r>
    </w:p>
    <w:p>
      <w:pPr>
        <w:widowControl w:val="0"/>
        <w:adjustRightInd w:val="0"/>
        <w:snapToGrid w:val="0"/>
        <w:spacing w:before="156" w:beforeLines="50" w:line="360" w:lineRule="auto"/>
        <w:ind w:firstLine="630" w:firstLineChars="3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绩效激励：</w:t>
      </w:r>
      <w:r>
        <w:rPr>
          <w:rFonts w:hint="eastAsia" w:ascii="宋体" w:hAnsi="宋体" w:eastAsia="宋体" w:cs="Times New Roman"/>
          <w:color w:val="auto"/>
          <w:szCs w:val="21"/>
          <w:highlight w:val="none"/>
          <w:u w:val="single"/>
        </w:rPr>
        <w:t xml:space="preserve">      （应明确按照绩效激励方式的支付方式和支付条件）   </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u w:val="single"/>
        </w:rPr>
      </w:pPr>
      <w:r>
        <w:rPr>
          <w:rFonts w:hint="eastAsia" w:ascii="宋体" w:hAnsi="宋体" w:eastAsia="宋体" w:cs="Times New Roman"/>
          <w:b/>
          <w:color w:val="auto"/>
          <w:szCs w:val="21"/>
          <w:highlight w:val="none"/>
        </w:rPr>
        <w:t>3.合同履行</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（1）起始日期：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日，完成日期：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日。总日历天数：</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天。</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（2）地点</w:t>
      </w:r>
      <w:r>
        <w:rPr>
          <w:rFonts w:hint="eastAsia" w:ascii="宋体" w:hAnsi="宋体" w:eastAsia="宋体" w:cs="Times New Roman"/>
          <w:b/>
          <w:color w:val="auto"/>
          <w:szCs w:val="21"/>
          <w:highlight w:val="none"/>
        </w:rPr>
        <w:t>：</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（3）方式：</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ind w:firstLine="420" w:firstLineChars="200"/>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（4）履约担保：</w:t>
      </w:r>
      <w:r>
        <w:rPr>
          <w:rFonts w:hint="eastAsia" w:ascii="宋体" w:hAnsi="宋体" w:eastAsia="宋体" w:cs="Times New Roman"/>
          <w:bCs/>
          <w:color w:val="auto"/>
          <w:szCs w:val="21"/>
          <w:highlight w:val="none"/>
          <w:u w:val="single"/>
        </w:rPr>
        <w:t>履约担保的金额、形式和期限要求</w:t>
      </w:r>
      <w:r>
        <w:rPr>
          <w:rFonts w:hint="eastAsia" w:ascii="宋体" w:hAnsi="宋体" w:eastAsia="宋体" w:cs="Times New Roman"/>
          <w:bCs/>
          <w:color w:val="auto"/>
          <w:szCs w:val="21"/>
          <w:highlight w:val="none"/>
        </w:rPr>
        <w:t>。</w:t>
      </w:r>
    </w:p>
    <w:p>
      <w:pPr>
        <w:widowControl w:val="0"/>
        <w:adjustRightInd w:val="0"/>
        <w:snapToGrid w:val="0"/>
        <w:spacing w:before="156" w:beforeLines="50" w:line="360" w:lineRule="auto"/>
        <w:ind w:firstLine="420" w:firstLineChars="200"/>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（5）质量保证金：</w:t>
      </w:r>
      <w:r>
        <w:rPr>
          <w:rFonts w:hint="eastAsia" w:ascii="宋体" w:hAnsi="宋体" w:eastAsia="宋体" w:cs="Times New Roman"/>
          <w:bCs/>
          <w:color w:val="auto"/>
          <w:szCs w:val="21"/>
          <w:highlight w:val="none"/>
          <w:u w:val="single"/>
        </w:rPr>
        <w:t>质量保证金的金额、形式和期限要求</w:t>
      </w:r>
      <w:r>
        <w:rPr>
          <w:rFonts w:hint="eastAsia" w:ascii="宋体" w:hAnsi="宋体" w:eastAsia="宋体" w:cs="Times New Roman"/>
          <w:bCs/>
          <w:color w:val="auto"/>
          <w:szCs w:val="21"/>
          <w:highlight w:val="none"/>
        </w:rPr>
        <w:t>。</w:t>
      </w:r>
    </w:p>
    <w:p>
      <w:pPr>
        <w:widowControl w:val="0"/>
        <w:adjustRightInd w:val="0"/>
        <w:snapToGrid w:val="0"/>
        <w:spacing w:before="156" w:beforeLines="50" w:line="360" w:lineRule="auto"/>
        <w:ind w:firstLine="420" w:firstLineChars="200"/>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4.合同验收</w:t>
      </w:r>
    </w:p>
    <w:p>
      <w:pPr>
        <w:widowControl w:val="0"/>
        <w:adjustRightInd w:val="0"/>
        <w:snapToGrid w:val="0"/>
        <w:spacing w:before="156" w:beforeLines="50" w:line="360" w:lineRule="auto"/>
        <w:ind w:firstLine="420" w:firstLineChars="200"/>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（1）验收主体：</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rPr>
        <w:t>。</w:t>
      </w:r>
    </w:p>
    <w:p>
      <w:pPr>
        <w:widowControl w:val="0"/>
        <w:adjustRightInd w:val="0"/>
        <w:snapToGrid w:val="0"/>
        <w:spacing w:before="156" w:beforeLines="50" w:line="360" w:lineRule="auto"/>
        <w:ind w:firstLine="420" w:firstLineChars="200"/>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（2）验收方式：</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rPr>
        <w:t>。</w:t>
      </w:r>
    </w:p>
    <w:p>
      <w:pPr>
        <w:widowControl w:val="0"/>
        <w:adjustRightInd w:val="0"/>
        <w:snapToGrid w:val="0"/>
        <w:spacing w:before="156" w:beforeLines="50" w:line="360" w:lineRule="auto"/>
        <w:ind w:firstLine="420" w:firstLineChars="200"/>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（3）验收标准：</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rPr>
        <w:t>。</w:t>
      </w:r>
    </w:p>
    <w:p>
      <w:pPr>
        <w:widowControl w:val="0"/>
        <w:adjustRightInd w:val="0"/>
        <w:snapToGrid w:val="0"/>
        <w:spacing w:before="156" w:beforeLines="50" w:line="360" w:lineRule="auto"/>
        <w:ind w:firstLine="420" w:firstLineChars="200"/>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5.组成合同的文件</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本协议书与下列文件一起构成合同文件，如下述文件之间有任何抵触、矛盾或歧义，应按以下顺序解释：</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（1）在采购或合同履行过程中乙方作出的承诺以及双方协商达成的变更或补充协议</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（2）本合同协议书</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（3）成交通知书</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（4）响应文件</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（5）政府采购合同专用条款</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（6）政府采购合同通用条款</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（7）标准、规范及有关技术文件，图纸。</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（8）其他合同文件。</w:t>
      </w:r>
    </w:p>
    <w:p>
      <w:pPr>
        <w:widowControl w:val="0"/>
        <w:adjustRightInd w:val="0"/>
        <w:snapToGrid w:val="0"/>
        <w:spacing w:before="156" w:beforeLines="50" w:line="360" w:lineRule="auto"/>
        <w:ind w:firstLine="308" w:firstLineChars="147"/>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6.合同生效</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本合同自</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生效。</w:t>
      </w:r>
    </w:p>
    <w:p>
      <w:pPr>
        <w:widowControl w:val="0"/>
        <w:adjustRightInd w:val="0"/>
        <w:snapToGrid w:val="0"/>
        <w:spacing w:before="156" w:beforeLines="50" w:line="360" w:lineRule="auto"/>
        <w:ind w:firstLine="308" w:firstLineChars="147"/>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7.合同份数</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本合同一式</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份，采购人执</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份，供应商执</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份，均具有同等法律效力。</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合同订立时间：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合同订立地点：</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附件：具体标的明细、分包合同等。    </w:t>
      </w:r>
    </w:p>
    <w:p>
      <w:pPr>
        <w:widowControl w:val="0"/>
        <w:spacing w:line="240" w:lineRule="auto"/>
        <w:ind w:firstLine="420" w:firstLineChars="200"/>
        <w:jc w:val="both"/>
        <w:rPr>
          <w:rFonts w:hint="eastAsia" w:ascii="宋体" w:hAnsi="宋体" w:eastAsia="宋体" w:cs="Times New Roman"/>
          <w:color w:val="auto"/>
          <w:szCs w:val="21"/>
          <w:highlight w:val="none"/>
        </w:rPr>
      </w:pPr>
    </w:p>
    <w:p>
      <w:pPr>
        <w:widowControl w:val="0"/>
        <w:spacing w:line="240" w:lineRule="auto"/>
        <w:ind w:firstLine="420" w:firstLineChars="200"/>
        <w:jc w:val="both"/>
        <w:rPr>
          <w:rFonts w:hint="eastAsia" w:ascii="宋体" w:hAnsi="宋体" w:eastAsia="宋体" w:cs="Times New Roman"/>
          <w:color w:val="auto"/>
          <w:szCs w:val="21"/>
          <w:highlight w:val="none"/>
        </w:rPr>
      </w:pP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甲      方：（公章）                     乙      方：（公章）</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法定代表人：</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委托代理人：</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委托代理人：</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电      话：</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电      话：</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传      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传      真：</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开 户 银 行：</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jc w:val="center"/>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 xml:space="preserve">      账      号：</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jc w:val="both"/>
        <w:rPr>
          <w:rFonts w:hint="eastAsia" w:ascii="宋体" w:hAnsi="宋体" w:eastAsia="宋体" w:cs="Times New Roman"/>
          <w:b/>
          <w:color w:val="auto"/>
          <w:szCs w:val="21"/>
          <w:highlight w:val="none"/>
        </w:rPr>
        <w:sectPr>
          <w:pgSz w:w="11906" w:h="16838"/>
          <w:pgMar w:top="1418" w:right="1418" w:bottom="1134" w:left="1418" w:header="851" w:footer="992" w:gutter="0"/>
          <w:cols w:space="720" w:num="1"/>
          <w:docGrid w:type="linesAndChars" w:linePitch="312" w:charSpace="0"/>
        </w:sectPr>
      </w:pPr>
    </w:p>
    <w:p>
      <w:pPr>
        <w:keepNext/>
        <w:keepLines/>
        <w:widowControl w:val="0"/>
        <w:adjustRightInd w:val="0"/>
        <w:snapToGrid w:val="0"/>
        <w:spacing w:before="156" w:beforeLines="50" w:line="360" w:lineRule="auto"/>
        <w:jc w:val="center"/>
        <w:outlineLvl w:val="1"/>
        <w:rPr>
          <w:rFonts w:hint="eastAsia" w:ascii="黑体" w:hAnsi="黑体" w:eastAsia="黑体" w:cs="Times New Roman"/>
          <w:b/>
          <w:bCs/>
          <w:color w:val="auto"/>
          <w:sz w:val="28"/>
          <w:szCs w:val="28"/>
          <w:highlight w:val="none"/>
        </w:rPr>
      </w:pPr>
      <w:bookmarkStart w:id="195" w:name="_Toc22201111"/>
      <w:bookmarkStart w:id="196" w:name="_Toc214954917"/>
      <w:r>
        <w:rPr>
          <w:rFonts w:hint="eastAsia" w:ascii="黑体" w:hAnsi="黑体" w:eastAsia="黑体" w:cs="Times New Roman"/>
          <w:b/>
          <w:bCs/>
          <w:color w:val="auto"/>
          <w:sz w:val="28"/>
          <w:szCs w:val="28"/>
          <w:highlight w:val="none"/>
        </w:rPr>
        <w:t xml:space="preserve">第二节 </w:t>
      </w:r>
      <w:bookmarkEnd w:id="195"/>
      <w:r>
        <w:rPr>
          <w:rFonts w:hint="eastAsia" w:ascii="黑体" w:hAnsi="黑体" w:eastAsia="黑体" w:cs="Times New Roman"/>
          <w:b/>
          <w:bCs/>
          <w:color w:val="auto"/>
          <w:sz w:val="28"/>
          <w:szCs w:val="28"/>
          <w:highlight w:val="none"/>
        </w:rPr>
        <w:t>政府采购合同通用条款</w:t>
      </w:r>
      <w:bookmarkEnd w:id="196"/>
    </w:p>
    <w:p>
      <w:pPr>
        <w:widowControl w:val="0"/>
        <w:spacing w:line="240" w:lineRule="auto"/>
        <w:jc w:val="both"/>
        <w:rPr>
          <w:rFonts w:ascii="Times New Roman" w:hAnsi="Times New Roman" w:eastAsia="宋体" w:cs="Times New Roman"/>
          <w:color w:val="auto"/>
          <w:szCs w:val="24"/>
          <w:highlight w:val="none"/>
        </w:rPr>
      </w:pPr>
    </w:p>
    <w:p>
      <w:pPr>
        <w:widowControl w:val="0"/>
        <w:tabs>
          <w:tab w:val="left" w:pos="8820"/>
          <w:tab w:val="left" w:pos="9345"/>
          <w:tab w:val="left" w:pos="9765"/>
        </w:tabs>
        <w:adjustRightInd w:val="0"/>
        <w:snapToGrid w:val="0"/>
        <w:spacing w:before="156" w:beforeLines="50" w:line="360" w:lineRule="auto"/>
        <w:ind w:right="384" w:rightChars="183"/>
        <w:jc w:val="center"/>
        <w:rPr>
          <w:rFonts w:hint="eastAsia" w:ascii="宋体" w:hAnsi="宋体" w:eastAsia="宋体" w:cs="Times New Roman"/>
          <w:b/>
          <w:bCs/>
          <w:color w:val="auto"/>
          <w:sz w:val="28"/>
          <w:szCs w:val="28"/>
          <w:highlight w:val="none"/>
        </w:rPr>
      </w:pPr>
      <w:r>
        <w:rPr>
          <w:rFonts w:hint="eastAsia" w:ascii="宋体" w:hAnsi="宋体" w:eastAsia="宋体" w:cs="Times New Roman"/>
          <w:b/>
          <w:bCs/>
          <w:color w:val="auto"/>
          <w:sz w:val="28"/>
          <w:szCs w:val="28"/>
          <w:highlight w:val="none"/>
        </w:rPr>
        <w:t>政府采购合同通用条款</w:t>
      </w:r>
    </w:p>
    <w:p>
      <w:pPr>
        <w:widowControl w:val="0"/>
        <w:tabs>
          <w:tab w:val="left" w:pos="8820"/>
          <w:tab w:val="left" w:pos="9345"/>
          <w:tab w:val="left" w:pos="9765"/>
        </w:tabs>
        <w:adjustRightInd w:val="0"/>
        <w:snapToGrid w:val="0"/>
        <w:spacing w:line="360" w:lineRule="auto"/>
        <w:ind w:right="384" w:rightChars="183"/>
        <w:jc w:val="both"/>
        <w:rPr>
          <w:rFonts w:hint="eastAsia" w:ascii="宋体" w:hAnsi="宋体" w:eastAsia="宋体" w:cs="Times New Roman"/>
          <w:b/>
          <w:bCs/>
          <w:color w:val="auto"/>
          <w:szCs w:val="21"/>
          <w:highlight w:val="none"/>
        </w:rPr>
      </w:pPr>
      <w:r>
        <w:rPr>
          <w:rFonts w:hint="eastAsia" w:ascii="宋体" w:hAnsi="宋体" w:eastAsia="宋体" w:cs="Times New Roman"/>
          <w:b/>
          <w:color w:val="auto"/>
          <w:szCs w:val="21"/>
          <w:highlight w:val="none"/>
        </w:rPr>
        <w:t>1.</w:t>
      </w:r>
      <w:r>
        <w:rPr>
          <w:rFonts w:hint="eastAsia" w:ascii="宋体" w:hAnsi="宋体" w:eastAsia="宋体" w:cs="Times New Roman"/>
          <w:b/>
          <w:bCs/>
          <w:color w:val="auto"/>
          <w:szCs w:val="21"/>
          <w:highlight w:val="none"/>
        </w:rPr>
        <w:t>定义</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1.1合同当事人</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（1）采购人(以下称甲方)是指使用财政性资金，通过政府采购程序向供应商购买货物、服务的国家机关、事业单位、团体组织。</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（2）供应商(以下称乙方)是指参加政府采购活动而取得成交资格，并向采购人提供货物、服务的法人、其他组织或者自然人。</w:t>
      </w:r>
    </w:p>
    <w:p>
      <w:pPr>
        <w:widowControl w:val="0"/>
        <w:tabs>
          <w:tab w:val="left" w:pos="570"/>
          <w:tab w:val="left" w:pos="9240"/>
          <w:tab w:val="left" w:pos="9555"/>
        </w:tabs>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1.2本合同下列术语应解释为：</w:t>
      </w:r>
    </w:p>
    <w:p>
      <w:pPr>
        <w:widowControl w:val="0"/>
        <w:tabs>
          <w:tab w:val="left" w:pos="570"/>
          <w:tab w:val="left" w:pos="9240"/>
          <w:tab w:val="left" w:pos="9555"/>
        </w:tabs>
        <w:adjustRightInd w:val="0"/>
        <w:snapToGrid w:val="0"/>
        <w:spacing w:line="360" w:lineRule="auto"/>
        <w:ind w:right="-92" w:rightChars="-44"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（1）“合同”系指甲乙双方签署的、政府采购合同协议书中载明的甲乙双方所达成的协议，包括所有的附件、附录和上述文件所提到的构成合同的所有文件。</w:t>
      </w:r>
    </w:p>
    <w:p>
      <w:pPr>
        <w:widowControl w:val="0"/>
        <w:tabs>
          <w:tab w:val="left" w:pos="570"/>
          <w:tab w:val="left" w:pos="9240"/>
          <w:tab w:val="left" w:pos="9555"/>
        </w:tabs>
        <w:adjustRightInd w:val="0"/>
        <w:snapToGrid w:val="0"/>
        <w:spacing w:line="360" w:lineRule="auto"/>
        <w:ind w:left="315" w:leftChars="150" w:right="-92" w:rightChars="-44"/>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合同价”系指根据本合同规定乙方在正确地完全履行合同义务后甲方应支付给乙方的价款。（3）“货物”系指乙方根据本合同规定须向甲方提供的各种形态和种类的物品，包括原材料、设备、产品(包括软件)及相关的其备品备件、工具、手册及其它技术资料和材料。</w:t>
      </w:r>
    </w:p>
    <w:p>
      <w:pPr>
        <w:widowControl w:val="0"/>
        <w:tabs>
          <w:tab w:val="left" w:pos="570"/>
          <w:tab w:val="left" w:pos="8880"/>
          <w:tab w:val="left" w:pos="9555"/>
        </w:tabs>
        <w:adjustRightInd w:val="0"/>
        <w:snapToGrid w:val="0"/>
        <w:spacing w:line="360" w:lineRule="auto"/>
        <w:ind w:right="-92" w:rightChars="-44" w:firstLine="315" w:firstLineChars="15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（4）“伴随服务”系指根据本合同规定乙方承担与供货有关的辅助服务，如运输、保</w:t>
      </w:r>
      <w:r>
        <w:rPr>
          <w:rFonts w:hint="eastAsia" w:ascii="宋体" w:hAnsi="宋体" w:eastAsia="宋体" w:cs="Times New Roman"/>
          <w:color w:val="auto"/>
          <w:spacing w:val="2"/>
          <w:szCs w:val="21"/>
          <w:highlight w:val="none"/>
        </w:rPr>
        <w:t>险以及其它的伴随服务，例如安装、调试、提供技术</w:t>
      </w:r>
      <w:r>
        <w:rPr>
          <w:rFonts w:hint="eastAsia" w:ascii="宋体" w:hAnsi="宋体" w:eastAsia="宋体" w:cs="Times New Roman"/>
          <w:color w:val="auto"/>
          <w:szCs w:val="21"/>
          <w:highlight w:val="none"/>
        </w:rPr>
        <w:t>协</w:t>
      </w:r>
      <w:r>
        <w:rPr>
          <w:rFonts w:hint="eastAsia" w:ascii="宋体" w:hAnsi="宋体" w:eastAsia="宋体" w:cs="Times New Roman"/>
          <w:color w:val="auto"/>
          <w:spacing w:val="2"/>
          <w:szCs w:val="21"/>
          <w:highlight w:val="none"/>
        </w:rPr>
        <w:t>助、培训和合同中规定</w:t>
      </w:r>
      <w:r>
        <w:rPr>
          <w:rFonts w:hint="eastAsia" w:ascii="宋体" w:hAnsi="宋体" w:eastAsia="宋体" w:cs="Times New Roman"/>
          <w:color w:val="auto"/>
          <w:szCs w:val="21"/>
          <w:highlight w:val="none"/>
        </w:rPr>
        <w:t>乙方应承担的其它义务。</w:t>
      </w:r>
    </w:p>
    <w:p>
      <w:pPr>
        <w:widowControl w:val="0"/>
        <w:tabs>
          <w:tab w:val="left" w:pos="570"/>
          <w:tab w:val="left" w:pos="9240"/>
          <w:tab w:val="left" w:pos="9555"/>
        </w:tabs>
        <w:adjustRightInd w:val="0"/>
        <w:snapToGrid w:val="0"/>
        <w:spacing w:line="360" w:lineRule="auto"/>
        <w:ind w:right="-92" w:rightChars="-44" w:firstLine="315" w:firstLineChars="15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（5）“合同条款”系指本合同条款。</w:t>
      </w:r>
    </w:p>
    <w:p>
      <w:pPr>
        <w:widowControl w:val="0"/>
        <w:tabs>
          <w:tab w:val="left" w:pos="570"/>
          <w:tab w:val="left" w:pos="9240"/>
          <w:tab w:val="left" w:pos="9555"/>
        </w:tabs>
        <w:adjustRightInd w:val="0"/>
        <w:snapToGrid w:val="0"/>
        <w:spacing w:line="360" w:lineRule="auto"/>
        <w:ind w:right="-92" w:rightChars="-44" w:firstLine="315" w:firstLineChars="15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（6）“项目现场”系指本合同项下货物安装、运行的现场，其名称在</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指明。</w:t>
      </w:r>
    </w:p>
    <w:p>
      <w:pPr>
        <w:widowControl w:val="0"/>
        <w:autoSpaceDE w:val="0"/>
        <w:autoSpaceDN w:val="0"/>
        <w:adjustRightInd w:val="0"/>
        <w:snapToGrid w:val="0"/>
        <w:spacing w:line="360" w:lineRule="auto"/>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2.合同的适用范围</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2.1 本合同条款适用于没有被本合同其他部分的条款所取代的范围。</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2.2 合同内容根据谈判文件、响应文件而确定。</w:t>
      </w:r>
    </w:p>
    <w:p>
      <w:pPr>
        <w:widowControl w:val="0"/>
        <w:autoSpaceDE w:val="0"/>
        <w:autoSpaceDN w:val="0"/>
        <w:adjustRightInd w:val="0"/>
        <w:snapToGrid w:val="0"/>
        <w:spacing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3.</w:t>
      </w:r>
      <w:r>
        <w:rPr>
          <w:rFonts w:hint="eastAsia" w:ascii="宋体" w:hAnsi="宋体" w:eastAsia="宋体" w:cs="Times New Roman"/>
          <w:b/>
          <w:color w:val="auto"/>
          <w:szCs w:val="21"/>
          <w:highlight w:val="none"/>
        </w:rPr>
        <w:t>合同标的及金额</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3.1 合同标的及金额应与成交结果一致，具体的货物名称、规格、型号、数量和价格见</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w:t>
      </w:r>
    </w:p>
    <w:p>
      <w:pPr>
        <w:widowControl w:val="0"/>
        <w:autoSpaceDE w:val="0"/>
        <w:autoSpaceDN w:val="0"/>
        <w:adjustRightInd w:val="0"/>
        <w:snapToGrid w:val="0"/>
        <w:spacing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4.</w:t>
      </w:r>
      <w:r>
        <w:rPr>
          <w:rFonts w:hint="eastAsia" w:ascii="宋体" w:hAnsi="宋体" w:eastAsia="宋体" w:cs="Times New Roman"/>
          <w:b/>
          <w:color w:val="auto"/>
          <w:szCs w:val="21"/>
          <w:highlight w:val="none"/>
        </w:rPr>
        <w:t>合同价款</w:t>
      </w:r>
    </w:p>
    <w:p>
      <w:pPr>
        <w:widowControl w:val="0"/>
        <w:adjustRightInd w:val="0"/>
        <w:snapToGrid w:val="0"/>
        <w:spacing w:line="360" w:lineRule="auto"/>
        <w:ind w:firstLine="560"/>
        <w:jc w:val="both"/>
        <w:rPr>
          <w:rFonts w:hint="eastAsia" w:ascii="宋体" w:hAnsi="宋体" w:eastAsia="宋体" w:cs="Times New Roman"/>
          <w:b/>
          <w:bCs/>
          <w:i/>
          <w:iCs/>
          <w:color w:val="auto"/>
          <w:szCs w:val="21"/>
          <w:highlight w:val="none"/>
        </w:rPr>
      </w:pPr>
      <w:r>
        <w:rPr>
          <w:rFonts w:hint="eastAsia" w:ascii="宋体" w:hAnsi="宋体" w:eastAsia="宋体" w:cs="Times New Roman"/>
          <w:color w:val="auto"/>
          <w:szCs w:val="21"/>
          <w:highlight w:val="none"/>
        </w:rPr>
        <w:t>4.1具体合同价款见本合同第3.1项。乙方为履行本合同而发生的所有费用均应包含在合同价款中，甲方不再另行支付其它任何费用。</w:t>
      </w:r>
    </w:p>
    <w:p>
      <w:pPr>
        <w:widowControl w:val="0"/>
        <w:adjustRightInd w:val="0"/>
        <w:snapToGrid w:val="0"/>
        <w:spacing w:line="360" w:lineRule="auto"/>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5.履行合同的时间、地点和方式</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5.1 乙方应当在甲方确定的时间、指定的地点履行合同，具体的交货时间、地点和方式见</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5.2 乙方提供服务的应当在甲方指定的地点完成服务项目。</w:t>
      </w:r>
    </w:p>
    <w:p>
      <w:pPr>
        <w:widowControl w:val="0"/>
        <w:adjustRightInd w:val="0"/>
        <w:snapToGrid w:val="0"/>
        <w:spacing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6.</w:t>
      </w:r>
      <w:r>
        <w:rPr>
          <w:rFonts w:hint="eastAsia" w:ascii="宋体" w:hAnsi="宋体" w:eastAsia="宋体" w:cs="Times New Roman"/>
          <w:b/>
          <w:color w:val="auto"/>
          <w:szCs w:val="21"/>
          <w:highlight w:val="none"/>
        </w:rPr>
        <w:t>货物的验收</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6.1 甲方在收到乙方交付的货物后应当及时组织验收。</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6.2 货物的表面瑕疵，甲方应在验收时当面提出；对质量问题有异议的应在安装调试后十个工作日内提出。</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6.3 在验收过程中发现数量不足或有质量、技术等问题，乙方应负责按照甲方的要求采取补足、更换或退货等处理措施，并承担由此发生的一切费用和损失。</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6.4 甲方在乙方按合同规定交货或安装、调试后，无正当理由而拖延接收、验收或拒绝接收、验收的，应承担因此给乙方造成的直接损失。</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6.5 甲方对货物进行检查验收合格后，应当收取发票并在《交货验收单》上签署验收意见及加盖单位印章。</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6.6 大型或者复杂的货物采购项目，甲方可以邀请国家认可的质量检测机构参加验收工作，并由其出具验收报告单。</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6.7 乙方提供的进口产品，乙方应出示中华人民共和国进出口商品检验部门出具的检验证书（采购文件另有约定的除外）。</w:t>
      </w:r>
    </w:p>
    <w:p>
      <w:pPr>
        <w:widowControl w:val="0"/>
        <w:adjustRightInd w:val="0"/>
        <w:snapToGrid w:val="0"/>
        <w:spacing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7.货物包装要求</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7.2 每一个包装箱内应附一份详细装箱单、质量证书和保修保养证书。</w:t>
      </w:r>
    </w:p>
    <w:p>
      <w:pPr>
        <w:widowControl w:val="0"/>
        <w:adjustRightInd w:val="0"/>
        <w:snapToGrid w:val="0"/>
        <w:spacing w:line="360" w:lineRule="auto"/>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8.运输和保险</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8.1乙方负责办理将货物运抵本合同第五条规定的交货地点的一切运输事项，相关费用应包括在合同总价中。</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8.2乙方应向保险公司投保以甲方为受益人的发运合同货物发票金额的110％运输一切险。</w:t>
      </w:r>
    </w:p>
    <w:p>
      <w:pPr>
        <w:widowControl w:val="0"/>
        <w:adjustRightInd w:val="0"/>
        <w:snapToGrid w:val="0"/>
        <w:spacing w:line="360" w:lineRule="auto"/>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9.质量标准和保证</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9.1 质量标准</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（1）本合同下交付的货物应符合第七章采购需求所述的标准。如果没有提及适用标准，则应符合中华人民共和国有关机构发布的最新版本的标准。</w:t>
      </w:r>
    </w:p>
    <w:p>
      <w:pPr>
        <w:widowControl w:val="0"/>
        <w:adjustRightInd w:val="0"/>
        <w:snapToGrid w:val="0"/>
        <w:spacing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（2）采用中华人民共和国法定计量单位。</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（3）乙方所出售的货物还应符合国家有关安全、环保、卫生之规定。</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9.2 保证</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规定或乙方承诺（两者以较长的为准）的质量保证期内，本保证保持有效。</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（2）在质量保证期内所发现的缺陷，甲方应尽快以书面形式通知乙方。</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（3）乙方收到通知后应在</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规定的响应时间内以合理的速度免费维修或更换有缺陷的货物或部件。</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（4）在质量保证期内，如果货物的质量或规格与合同不符，或证实货物是有缺陷的，包括潜在的缺陷或使用不符合要求的材料等，甲方可以根据本合同第15.1项规定以书面形式向乙方提出补救措施或索赔。</w:t>
      </w:r>
    </w:p>
    <w:p>
      <w:pPr>
        <w:widowControl w:val="0"/>
        <w:adjustRightInd w:val="0"/>
        <w:snapToGrid w:val="0"/>
        <w:spacing w:line="360" w:lineRule="auto"/>
        <w:ind w:firstLine="420" w:firstLineChars="200"/>
        <w:jc w:val="both"/>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（5）乙方在约定的时间内未能弥补缺陷，甲方可采取必要的补救措施，但其风险和费用将由乙方承担，甲方根据合同规定对乙方行使的其他权利不受影响。</w:t>
      </w:r>
    </w:p>
    <w:p>
      <w:pPr>
        <w:widowControl w:val="0"/>
        <w:adjustRightInd w:val="0"/>
        <w:snapToGrid w:val="0"/>
        <w:spacing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10.权利瑕疵担保</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10.1 乙方保证对其出售的货物享有合法的权利。</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10.2 乙方保证在其出售的货物上不存在任何未曾向甲方透露的担保物权，如抵押权、质押权、留置权等。</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10.3 如甲方使用该货物构成上述侵权的，则由乙方承担全部责任。</w:t>
      </w:r>
    </w:p>
    <w:p>
      <w:pPr>
        <w:widowControl w:val="0"/>
        <w:autoSpaceDE w:val="0"/>
        <w:autoSpaceDN w:val="0"/>
        <w:adjustRightInd w:val="0"/>
        <w:snapToGrid w:val="0"/>
        <w:spacing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11.知识产权保护</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11.1 乙方对其所销售的货物应当享有知识产权或经权利人合法授权，保证没有侵犯任何第三人的知识产权和商业秘密等权利。</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11.2 甲方使用乙方提供的货物对第三人构成侵权的，应当由乙方承担全部法律责任，给甲方造成损害的，乙方应当承担赔偿责任。</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11.3 甲方委托乙方开发的产品，甲方享有知识产权，未经甲方许可不得转让任何第三人。</w:t>
      </w:r>
    </w:p>
    <w:p>
      <w:pPr>
        <w:widowControl w:val="0"/>
        <w:autoSpaceDE w:val="0"/>
        <w:autoSpaceDN w:val="0"/>
        <w:adjustRightInd w:val="0"/>
        <w:snapToGrid w:val="0"/>
        <w:spacing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12.保密义务</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12.1 甲、乙双方在采购和履行合同过程中所获悉的对方属于保密的内容，甲乙双方均有保密义务。</w:t>
      </w:r>
    </w:p>
    <w:p>
      <w:pPr>
        <w:widowControl w:val="0"/>
        <w:autoSpaceDE w:val="0"/>
        <w:autoSpaceDN w:val="0"/>
        <w:adjustRightInd w:val="0"/>
        <w:snapToGrid w:val="0"/>
        <w:spacing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13.合同价款支付</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13.1验收合格后，乙方出具正规发票给甲方，凭甲方开具的《政府采购合同验收报告单》办理合同价</w:t>
      </w:r>
      <w:r>
        <w:rPr>
          <w:rFonts w:hint="eastAsia" w:ascii="宋体" w:hAnsi="宋体" w:eastAsia="宋体" w:cs="Times New Roman"/>
          <w:bCs/>
          <w:color w:val="auto"/>
          <w:szCs w:val="21"/>
          <w:highlight w:val="none"/>
        </w:rPr>
        <w:t>款</w:t>
      </w:r>
      <w:r>
        <w:rPr>
          <w:rFonts w:hint="eastAsia" w:ascii="宋体" w:hAnsi="宋体" w:eastAsia="宋体" w:cs="Times New Roman"/>
          <w:color w:val="auto"/>
          <w:szCs w:val="21"/>
          <w:highlight w:val="none"/>
        </w:rPr>
        <w:t>结算手续。</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13.2 合同价款构成中应当由财政支付的部分，甲方应当在货物验收合格后的十五个工作日内向国库管理部门申请支付，经国库管理部门审核后直接支付给乙方。</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13.3 合同价款构成中应当由甲方自行支付的部分，甲方应当在货物验收合格后十五个工作内支付。</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13.4支付合同价</w:t>
      </w:r>
      <w:r>
        <w:rPr>
          <w:rFonts w:hint="eastAsia" w:ascii="宋体" w:hAnsi="宋体" w:eastAsia="宋体" w:cs="Times New Roman"/>
          <w:bCs/>
          <w:color w:val="auto"/>
          <w:szCs w:val="21"/>
          <w:highlight w:val="none"/>
        </w:rPr>
        <w:t>款</w:t>
      </w:r>
      <w:r>
        <w:rPr>
          <w:rFonts w:hint="eastAsia" w:ascii="宋体" w:hAnsi="宋体" w:eastAsia="宋体" w:cs="Times New Roman"/>
          <w:color w:val="auto"/>
          <w:szCs w:val="21"/>
          <w:highlight w:val="none"/>
        </w:rPr>
        <w:t>时，一律不向乙方以外的任何第三方办理付款手续。开户行和帐号以签订的政府采购合同为准，如果乙方要求变更，则乙方必须提供加盖财务专用章、法人代表签字的证明文件，报经甲方审查核准，并报财政部门备案。</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13.5 合同价款支付方式</w:t>
      </w:r>
      <w:r>
        <w:rPr>
          <w:rFonts w:hint="eastAsia" w:ascii="宋体" w:hAnsi="宋体" w:eastAsia="宋体" w:cs="Times New Roman"/>
          <w:bCs/>
          <w:color w:val="auto"/>
          <w:szCs w:val="21"/>
          <w:highlight w:val="none"/>
        </w:rPr>
        <w:t>和条件在</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中另有规定。</w:t>
      </w:r>
    </w:p>
    <w:p>
      <w:pPr>
        <w:widowControl w:val="0"/>
        <w:autoSpaceDE w:val="0"/>
        <w:autoSpaceDN w:val="0"/>
        <w:adjustRightInd w:val="0"/>
        <w:snapToGrid w:val="0"/>
        <w:spacing w:line="360" w:lineRule="auto"/>
        <w:jc w:val="both"/>
        <w:rPr>
          <w:rFonts w:hint="eastAsia" w:ascii="宋体" w:hAnsi="宋体" w:eastAsia="宋体" w:cs="Times New Roman"/>
          <w:b/>
          <w:color w:val="auto"/>
          <w:szCs w:val="21"/>
          <w:highlight w:val="none"/>
        </w:rPr>
      </w:pPr>
      <w:r>
        <w:rPr>
          <w:rFonts w:hint="eastAsia" w:ascii="宋体" w:hAnsi="宋体" w:eastAsia="宋体" w:cs="Times New Roman"/>
          <w:b/>
          <w:bCs/>
          <w:color w:val="auto"/>
          <w:szCs w:val="21"/>
          <w:highlight w:val="none"/>
        </w:rPr>
        <w:t>14.</w:t>
      </w:r>
      <w:r>
        <w:rPr>
          <w:rFonts w:hint="eastAsia" w:ascii="宋体" w:hAnsi="宋体" w:eastAsia="宋体" w:cs="Times New Roman"/>
          <w:b/>
          <w:color w:val="auto"/>
          <w:szCs w:val="21"/>
          <w:highlight w:val="none"/>
        </w:rPr>
        <w:t>伴随服务</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14.1 乙方应向甲方提交所提供货物的技术文件，包括相应的中文技术文件，如：产品目录、图纸、操作手册、使用说明、维护手册或服务指南。这些文件应包装好随同货物一起发运。</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14.2 乙方还应提供下列服务：</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（1）货物的现场移动、安装、调试、启动监督及技术支持；</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（2）提供货物组装和维修所需的专用工具和辅助材料；</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（3）在合同各方商定的一定期限内对所有的货物实施运行监督、维修，但前提条件是该服务并不能免除乙方在质量保证期内所承担的义务；</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（4）在制造商或项目现场就货物的安装、启动、运营、维护对甲方操作人员进行培训。</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与第四章采购需求规定的其他伴随服务</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14.3 乙方提供的伴随服务的费用应包含在合同价款中，甲方不再另行支付。</w:t>
      </w:r>
    </w:p>
    <w:p>
      <w:pPr>
        <w:widowControl w:val="0"/>
        <w:adjustRightInd w:val="0"/>
        <w:snapToGrid w:val="0"/>
        <w:spacing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15.违约责任</w:t>
      </w:r>
    </w:p>
    <w:p>
      <w:pPr>
        <w:widowControl w:val="0"/>
        <w:adjustRightInd w:val="0"/>
        <w:snapToGrid w:val="0"/>
        <w:spacing w:line="360" w:lineRule="auto"/>
        <w:ind w:firstLine="315" w:firstLineChars="150"/>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15.1质量瑕疵的补救措施和索赔</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①乙方同意退货并将货款退还给甲方，由此发生的一切费用和损失由乙方承担。</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②根据货物的质量状况以及甲方所遭受的损失，经过甲乙双方商定降低货物的价格。</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15.2 迟延交货的违约责任</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（2）除本合同</w:t>
      </w:r>
      <w:r>
        <w:rPr>
          <w:rFonts w:hint="eastAsia" w:ascii="宋体" w:hAnsi="宋体" w:eastAsia="宋体" w:cs="Times New Roman"/>
          <w:bCs/>
          <w:color w:val="auto"/>
          <w:szCs w:val="21"/>
          <w:highlight w:val="none"/>
        </w:rPr>
        <w:t>第19条</w:t>
      </w:r>
      <w:r>
        <w:rPr>
          <w:rFonts w:hint="eastAsia" w:ascii="宋体" w:hAnsi="宋体" w:eastAsia="宋体" w:cs="Times New Roman"/>
          <w:color w:val="auto"/>
          <w:szCs w:val="21"/>
          <w:highlight w:val="none"/>
        </w:rPr>
        <w:t>规定情况外，如果乙方没有按照合同规定的时间交货和提供服务，甲方有权从货款中扣除误期赔偿费而不影响合同项下的其他补救方法，赔偿费按每周（一周按七日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pPr>
        <w:widowControl w:val="0"/>
        <w:autoSpaceDE w:val="0"/>
        <w:autoSpaceDN w:val="0"/>
        <w:adjustRightInd w:val="0"/>
        <w:snapToGrid w:val="0"/>
        <w:spacing w:line="360" w:lineRule="auto"/>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16.合同的变更</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16.1 在合同履行过程中，甲、乙双方可就合同履行的时间、地点和方式等协商进行变更。协商一致后，双方应签订书面的补充协议。</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16.2 在不改变合同其他条款的前提下，甲方有权在合同价款百分之十的范围内追加与合同标的相同的货物或服务，并就此与乙方签订补充合同，乙方不得拒绝。</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16.3 除双方签署书面协议，并成为合同不可分割的一部分外，本合同条件不得有任何变更。</w:t>
      </w:r>
    </w:p>
    <w:p>
      <w:pPr>
        <w:widowControl w:val="0"/>
        <w:autoSpaceDE w:val="0"/>
        <w:autoSpaceDN w:val="0"/>
        <w:adjustRightInd w:val="0"/>
        <w:snapToGrid w:val="0"/>
        <w:spacing w:line="360" w:lineRule="auto"/>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17.合同中止与终止</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17.1合同的中止</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（1）合同在履行过程中，因采购计划调整，甲方可以要求中止履行，待计划确定后继续履行；</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（2）合同履行过程中因供应商就采购过程或结果提起投诉的，甲方认为有必要或财政部门责令中止的，应当中止合同的履行。</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17.2合同的终止</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（1）合同因有效期限届满而终止；</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（2）乙方未能依照本合同约定条件履行合同，已构成根本性违约的，甲方有权终止本合同，并追究乙方的违约责任。</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（3）如果乙方丧失履约能力或被宣告破产，甲方可在任何时候以书面形式通知乙方终止合同而不给乙方补偿。</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（4）如果乙方在履行合同过程中有不正当竞争行为，甲方有权解除合同，并按《中华人民共和国反不正当竞争法》规定由有关部门追究其法律责任。</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（5）如果合同的履行将损害国家利益或社会公共利益，甲方有权终止合同的履行，给乙方造成损失的予以相应补偿。</w:t>
      </w:r>
    </w:p>
    <w:p>
      <w:pPr>
        <w:widowControl w:val="0"/>
        <w:autoSpaceDE w:val="0"/>
        <w:autoSpaceDN w:val="0"/>
        <w:adjustRightInd w:val="0"/>
        <w:snapToGrid w:val="0"/>
        <w:spacing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18.合同转让和分包</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18.1 乙方不得以任何形式将合同转包。</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18.2 乙方未在响应文件中说明，且未经甲方书面同意，乙方不得将</w:t>
      </w:r>
      <w:r>
        <w:rPr>
          <w:rFonts w:hint="eastAsia" w:ascii="宋体" w:hAnsi="宋体" w:eastAsia="宋体" w:cs="Times New Roman"/>
          <w:bCs/>
          <w:color w:val="auto"/>
          <w:szCs w:val="21"/>
          <w:highlight w:val="none"/>
        </w:rPr>
        <w:t>合同</w:t>
      </w:r>
      <w:r>
        <w:rPr>
          <w:rFonts w:hint="eastAsia" w:ascii="宋体" w:hAnsi="宋体" w:eastAsia="宋体" w:cs="Times New Roman"/>
          <w:color w:val="auto"/>
          <w:szCs w:val="21"/>
          <w:highlight w:val="none"/>
        </w:rPr>
        <w:t>的主体、关键性工作分包给他人。</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18.3 根据政府采购</w:t>
      </w:r>
      <w:r>
        <w:rPr>
          <w:rFonts w:hint="eastAsia" w:ascii="宋体" w:hAnsi="宋体" w:eastAsia="宋体" w:cs="宋体"/>
          <w:bCs/>
          <w:color w:val="auto"/>
          <w:kern w:val="0"/>
          <w:szCs w:val="21"/>
          <w:highlight w:val="none"/>
        </w:rPr>
        <w:t>支持</w:t>
      </w:r>
      <w:r>
        <w:rPr>
          <w:rFonts w:hint="eastAsia" w:ascii="宋体" w:hAnsi="宋体" w:eastAsia="宋体" w:cs="Times New Roman"/>
          <w:color w:val="auto"/>
          <w:szCs w:val="21"/>
          <w:highlight w:val="none"/>
        </w:rPr>
        <w:t>中小企业发展政策规定，经甲方同意，获得政府采购合同的大型企业可依法向中小企业分包。</w:t>
      </w:r>
    </w:p>
    <w:p>
      <w:pPr>
        <w:widowControl w:val="0"/>
        <w:autoSpaceDE w:val="0"/>
        <w:autoSpaceDN w:val="0"/>
        <w:adjustRightInd w:val="0"/>
        <w:snapToGrid w:val="0"/>
        <w:spacing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19.不可抗力</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19.1 不可抗力是指合同双方不可预见、不可避免、不可克服的自然灾害和社会事件。</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19.2 任何一方对由于不可抗力造成的部分或全部不能履行合同不承担违约责任。但迟延履行后发生不可抗力的，不能免除责任。</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19.3 遇有不可抗力的一方，应在三日内将事件的情况以书面形式通知另一方，并在事件发生后十日内，向另一方提交合同不能履行或部分不能履行或需要延期履行理由的报告。</w:t>
      </w:r>
    </w:p>
    <w:p>
      <w:pPr>
        <w:widowControl w:val="0"/>
        <w:autoSpaceDE w:val="0"/>
        <w:autoSpaceDN w:val="0"/>
        <w:adjustRightInd w:val="0"/>
        <w:snapToGrid w:val="0"/>
        <w:spacing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20.解决争议的方法</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20.1 合同各方应通过友好协商，解决在执行合同过程中所发生的或与合同有关的一切争端。如从协商开始后十日内仍不能解决，可以向财政部门提请调解。</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20.2 调解不成可以按</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中规定下列方式之一提起仲裁或诉讼：</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（1）向甲方所在地仲裁机构提起仲裁；</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（2）向甲方所在地人民法院提起诉讼。</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20.3 如仲裁或诉讼事项不影响合同其它部分的履行，则在仲裁或诉讼期间，除正在进行仲裁或诉讼的部分外，合同的其它部分应继续执行。</w:t>
      </w:r>
    </w:p>
    <w:p>
      <w:pPr>
        <w:widowControl w:val="0"/>
        <w:autoSpaceDE w:val="0"/>
        <w:autoSpaceDN w:val="0"/>
        <w:adjustRightInd w:val="0"/>
        <w:snapToGrid w:val="0"/>
        <w:spacing w:line="360" w:lineRule="auto"/>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21.法律适用</w:t>
      </w:r>
    </w:p>
    <w:p>
      <w:pPr>
        <w:widowControl w:val="0"/>
        <w:autoSpaceDE w:val="0"/>
        <w:autoSpaceDN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21.1 本合同适用中华人民共和国现行法律、行政法规和规章，如合同条款与法律、行政法规和规章不一致的，按照法律、行政法规和规章修改本合同。</w:t>
      </w:r>
    </w:p>
    <w:p>
      <w:pPr>
        <w:widowControl w:val="0"/>
        <w:autoSpaceDE w:val="0"/>
        <w:autoSpaceDN w:val="0"/>
        <w:adjustRightInd w:val="0"/>
        <w:snapToGrid w:val="0"/>
        <w:spacing w:line="360" w:lineRule="auto"/>
        <w:jc w:val="both"/>
        <w:rPr>
          <w:rFonts w:hint="eastAsia" w:ascii="宋体" w:hAnsi="宋体" w:eastAsia="宋体" w:cs="Times New Roman"/>
          <w:b/>
          <w:color w:val="auto"/>
          <w:szCs w:val="21"/>
          <w:highlight w:val="none"/>
        </w:rPr>
      </w:pPr>
      <w:r>
        <w:rPr>
          <w:rFonts w:hint="eastAsia" w:ascii="宋体" w:hAnsi="宋体" w:eastAsia="宋体" w:cs="Times New Roman"/>
          <w:b/>
          <w:bCs/>
          <w:color w:val="auto"/>
          <w:szCs w:val="21"/>
          <w:highlight w:val="none"/>
        </w:rPr>
        <w:t>22.</w:t>
      </w:r>
      <w:r>
        <w:rPr>
          <w:rFonts w:hint="eastAsia" w:ascii="宋体" w:hAnsi="宋体" w:eastAsia="宋体" w:cs="Times New Roman"/>
          <w:b/>
          <w:color w:val="auto"/>
          <w:szCs w:val="21"/>
          <w:highlight w:val="none"/>
        </w:rPr>
        <w:t>通知</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22.1本合同一方给另一方的通知均应采用书面形式，传真或快递送到本合同中规定的对方的地址和办理签收手续，</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22.2通知以送到之日或通知书中规定的生效之日起生效，两者中以较迟之日为准。</w:t>
      </w:r>
    </w:p>
    <w:p>
      <w:pPr>
        <w:widowControl w:val="0"/>
        <w:adjustRightInd w:val="0"/>
        <w:snapToGrid w:val="0"/>
        <w:spacing w:line="360" w:lineRule="auto"/>
        <w:jc w:val="both"/>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23.合同生效</w:t>
      </w:r>
    </w:p>
    <w:p>
      <w:pPr>
        <w:widowControl w:val="0"/>
        <w:adjustRightInd w:val="0"/>
        <w:snapToGrid w:val="0"/>
        <w:spacing w:line="360" w:lineRule="auto"/>
        <w:ind w:firstLine="420" w:firstLineChars="200"/>
        <w:jc w:val="both"/>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23.1 本合同在合同各方签字盖章后生效</w:t>
      </w:r>
    </w:p>
    <w:p>
      <w:pPr>
        <w:widowControl w:val="0"/>
        <w:adjustRightInd w:val="0"/>
        <w:snapToGrid w:val="0"/>
        <w:spacing w:line="360" w:lineRule="auto"/>
        <w:jc w:val="both"/>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rPr>
        <w:t>24.附则</w:t>
      </w:r>
    </w:p>
    <w:p>
      <w:pPr>
        <w:widowControl w:val="0"/>
        <w:tabs>
          <w:tab w:val="left" w:pos="8820"/>
          <w:tab w:val="left" w:pos="9345"/>
          <w:tab w:val="left" w:pos="9765"/>
        </w:tabs>
        <w:adjustRightInd w:val="0"/>
        <w:snapToGrid w:val="0"/>
        <w:spacing w:before="156" w:beforeLines="50" w:line="360" w:lineRule="auto"/>
        <w:ind w:right="384" w:rightChars="183"/>
        <w:rPr>
          <w:rFonts w:hint="eastAsia" w:ascii="宋体" w:hAnsi="宋体" w:eastAsia="宋体" w:cs="Times New Roman"/>
          <w:bCs/>
          <w:color w:val="auto"/>
          <w:szCs w:val="21"/>
          <w:highlight w:val="none"/>
        </w:rPr>
      </w:pPr>
      <w:r>
        <w:rPr>
          <w:rFonts w:hint="eastAsia" w:ascii="宋体" w:hAnsi="宋体" w:eastAsia="宋体" w:cs="Times New Roman"/>
          <w:color w:val="auto"/>
          <w:szCs w:val="21"/>
          <w:highlight w:val="none"/>
        </w:rPr>
        <w:t>24.1本合同未尽事宜，见</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b/>
          <w:color w:val="auto"/>
          <w:szCs w:val="21"/>
          <w:highlight w:val="none"/>
        </w:rPr>
        <w:t>。</w:t>
      </w:r>
    </w:p>
    <w:p>
      <w:pPr>
        <w:widowControl w:val="0"/>
        <w:snapToGrid w:val="0"/>
        <w:spacing w:after="120" w:line="240" w:lineRule="auto"/>
        <w:ind w:left="105" w:leftChars="50"/>
        <w:jc w:val="both"/>
        <w:rPr>
          <w:rFonts w:hint="eastAsia" w:ascii="宋体" w:hAnsi="宋体" w:eastAsia="宋体" w:cs="Times New Roman"/>
          <w:bCs/>
          <w:color w:val="auto"/>
          <w:szCs w:val="21"/>
          <w:highlight w:val="none"/>
        </w:rPr>
      </w:pPr>
    </w:p>
    <w:p>
      <w:pPr>
        <w:widowControl w:val="0"/>
        <w:snapToGrid w:val="0"/>
        <w:spacing w:after="120" w:line="240" w:lineRule="auto"/>
        <w:ind w:left="105" w:leftChars="50"/>
        <w:jc w:val="both"/>
        <w:rPr>
          <w:rFonts w:hint="eastAsia" w:ascii="宋体" w:hAnsi="宋体" w:eastAsia="宋体" w:cs="Times New Roman"/>
          <w:bCs/>
          <w:color w:val="auto"/>
          <w:szCs w:val="21"/>
          <w:highlight w:val="none"/>
        </w:rPr>
      </w:pPr>
    </w:p>
    <w:p>
      <w:pPr>
        <w:widowControl w:val="0"/>
        <w:snapToGrid w:val="0"/>
        <w:spacing w:after="120" w:line="240" w:lineRule="auto"/>
        <w:ind w:left="105" w:leftChars="50"/>
        <w:jc w:val="both"/>
        <w:rPr>
          <w:rFonts w:hint="eastAsia" w:ascii="宋体" w:hAnsi="宋体" w:eastAsia="宋体" w:cs="Times New Roman"/>
          <w:bCs/>
          <w:color w:val="auto"/>
          <w:szCs w:val="21"/>
          <w:highlight w:val="none"/>
        </w:rPr>
      </w:pPr>
    </w:p>
    <w:p>
      <w:pPr>
        <w:widowControl w:val="0"/>
        <w:snapToGrid w:val="0"/>
        <w:spacing w:after="120" w:line="240" w:lineRule="auto"/>
        <w:ind w:left="105" w:leftChars="50"/>
        <w:jc w:val="both"/>
        <w:rPr>
          <w:rFonts w:hint="eastAsia" w:ascii="宋体" w:hAnsi="宋体" w:eastAsia="宋体" w:cs="Times New Roman"/>
          <w:bCs/>
          <w:color w:val="auto"/>
          <w:szCs w:val="21"/>
          <w:highlight w:val="none"/>
        </w:rPr>
      </w:pPr>
    </w:p>
    <w:p>
      <w:pPr>
        <w:widowControl w:val="0"/>
        <w:snapToGrid w:val="0"/>
        <w:spacing w:after="120" w:line="240" w:lineRule="auto"/>
        <w:ind w:left="105" w:leftChars="50"/>
        <w:jc w:val="both"/>
        <w:rPr>
          <w:rFonts w:hint="eastAsia" w:ascii="宋体" w:hAnsi="宋体" w:eastAsia="宋体" w:cs="Times New Roman"/>
          <w:bCs/>
          <w:color w:val="auto"/>
          <w:szCs w:val="21"/>
          <w:highlight w:val="none"/>
        </w:rPr>
      </w:pPr>
    </w:p>
    <w:p>
      <w:pPr>
        <w:rPr>
          <w:rFonts w:ascii="Cambria" w:hAnsi="Cambria" w:eastAsia="宋体" w:cs="Times New Roman"/>
          <w:b/>
          <w:bCs/>
          <w:color w:val="auto"/>
          <w:sz w:val="32"/>
          <w:szCs w:val="32"/>
          <w:highlight w:val="none"/>
        </w:rPr>
      </w:pPr>
      <w:bookmarkStart w:id="197" w:name="_Toc8051"/>
      <w:bookmarkStart w:id="198" w:name="_Toc9463"/>
      <w:bookmarkStart w:id="199" w:name="_Toc84587220"/>
      <w:r>
        <w:rPr>
          <w:rFonts w:ascii="Cambria" w:hAnsi="Cambria" w:eastAsia="宋体" w:cs="Times New Roman"/>
          <w:b/>
          <w:bCs/>
          <w:color w:val="auto"/>
          <w:sz w:val="32"/>
          <w:szCs w:val="32"/>
          <w:highlight w:val="none"/>
        </w:rPr>
        <w:br w:type="page"/>
      </w:r>
    </w:p>
    <w:p>
      <w:pPr>
        <w:keepNext/>
        <w:keepLines/>
        <w:widowControl w:val="0"/>
        <w:adjustRightInd w:val="0"/>
        <w:snapToGrid w:val="0"/>
        <w:spacing w:before="156" w:beforeLines="50" w:line="360" w:lineRule="auto"/>
        <w:jc w:val="center"/>
        <w:outlineLvl w:val="1"/>
        <w:rPr>
          <w:rFonts w:hint="eastAsia" w:ascii="黑体" w:hAnsi="黑体" w:eastAsia="黑体" w:cs="Times New Roman"/>
          <w:b/>
          <w:bCs/>
          <w:color w:val="auto"/>
          <w:sz w:val="28"/>
          <w:szCs w:val="28"/>
          <w:highlight w:val="none"/>
        </w:rPr>
      </w:pPr>
      <w:bookmarkStart w:id="200" w:name="_Toc214954918"/>
      <w:r>
        <w:rPr>
          <w:rFonts w:hint="eastAsia" w:ascii="黑体" w:hAnsi="黑体" w:eastAsia="黑体" w:cs="Times New Roman"/>
          <w:b/>
          <w:bCs/>
          <w:color w:val="auto"/>
          <w:sz w:val="28"/>
          <w:szCs w:val="28"/>
          <w:highlight w:val="none"/>
        </w:rPr>
        <w:t>第三节 采购合同专用条款</w:t>
      </w:r>
      <w:bookmarkEnd w:id="197"/>
      <w:bookmarkEnd w:id="198"/>
      <w:bookmarkEnd w:id="199"/>
      <w:bookmarkEnd w:id="200"/>
    </w:p>
    <w:tbl>
      <w:tblPr>
        <w:tblStyle w:val="44"/>
        <w:tblW w:w="9008"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464"/>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c>
          <w:tcPr>
            <w:tcW w:w="1701" w:type="dxa"/>
            <w:vAlign w:val="center"/>
          </w:tcPr>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本章第二节</w:t>
            </w:r>
          </w:p>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第1.1款</w:t>
            </w:r>
          </w:p>
        </w:tc>
        <w:tc>
          <w:tcPr>
            <w:tcW w:w="1843"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ascii="宋体" w:hAnsi="宋体" w:eastAsia="宋体" w:cs="宋体"/>
                <w:color w:val="auto"/>
                <w:szCs w:val="21"/>
                <w:highlight w:val="none"/>
              </w:rPr>
              <w:t xml:space="preserve">甲方名称、地址 </w:t>
            </w:r>
          </w:p>
        </w:tc>
        <w:tc>
          <w:tcPr>
            <w:tcW w:w="5464"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Times New Roman"/>
                <w:color w:val="auto"/>
                <w:szCs w:val="21"/>
                <w:highlight w:val="none"/>
              </w:rPr>
              <w:t>郴州市园林绿化服务中心</w:t>
            </w:r>
            <w:r>
              <w:rPr>
                <w:rFonts w:ascii="宋体" w:hAnsi="宋体" w:eastAsia="宋体" w:cs="Times New Roman"/>
                <w:color w:val="auto"/>
                <w:szCs w:val="21"/>
                <w:highlight w:val="none"/>
              </w:rPr>
              <w:t>、</w:t>
            </w:r>
            <w:r>
              <w:rPr>
                <w:rFonts w:hint="eastAsia" w:ascii="宋体" w:hAnsi="宋体" w:eastAsia="宋体" w:cs="Times New Roman"/>
                <w:color w:val="auto"/>
                <w:kern w:val="0"/>
                <w:szCs w:val="21"/>
                <w:highlight w:val="none"/>
              </w:rPr>
              <w:t>郴州市北湖区民权路五岭公园管理所内</w:t>
            </w:r>
            <w:r>
              <w:rPr>
                <w:rFonts w:ascii="宋体" w:hAnsi="宋体" w:eastAsia="宋体" w:cs="Times New Roman"/>
                <w:color w:val="auto"/>
                <w:kern w:val="0"/>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本章第二节</w:t>
            </w:r>
          </w:p>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第1.2（6）项</w:t>
            </w:r>
          </w:p>
        </w:tc>
        <w:tc>
          <w:tcPr>
            <w:tcW w:w="1843"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ascii="宋体" w:hAnsi="宋体" w:eastAsia="宋体" w:cs="宋体"/>
                <w:color w:val="auto"/>
                <w:szCs w:val="21"/>
                <w:highlight w:val="none"/>
              </w:rPr>
              <w:t>项目现场</w:t>
            </w:r>
          </w:p>
        </w:tc>
        <w:tc>
          <w:tcPr>
            <w:tcW w:w="5464"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市园林中心管辖范围内的所有公园、游园、城区主干道及其他临时安排的地点）</w:t>
            </w:r>
            <w:r>
              <w:rPr>
                <w:rFonts w:ascii="宋体" w:hAnsi="宋体" w:eastAsia="宋体" w:cs="宋体"/>
                <w:color w:val="auto"/>
                <w:kern w:val="0"/>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本章第二节</w:t>
            </w:r>
          </w:p>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第5.1款</w:t>
            </w:r>
          </w:p>
        </w:tc>
        <w:tc>
          <w:tcPr>
            <w:tcW w:w="1843"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ascii="宋体" w:hAnsi="宋体" w:eastAsia="宋体" w:cs="宋体"/>
                <w:color w:val="auto"/>
                <w:szCs w:val="21"/>
                <w:highlight w:val="none"/>
              </w:rPr>
              <w:t>履行合同的时间、地点及方式</w:t>
            </w:r>
          </w:p>
        </w:tc>
        <w:tc>
          <w:tcPr>
            <w:tcW w:w="5464" w:type="dxa"/>
            <w:vAlign w:val="center"/>
          </w:tcPr>
          <w:p>
            <w:pPr>
              <w:widowControl w:val="0"/>
              <w:spacing w:line="276" w:lineRule="auto"/>
              <w:jc w:val="both"/>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1、交货时间：</w:t>
            </w:r>
            <w:r>
              <w:rPr>
                <w:rFonts w:hint="eastAsia" w:ascii="宋体" w:hAnsi="宋体" w:eastAsia="宋体" w:cs="宋体"/>
                <w:color w:val="auto"/>
                <w:szCs w:val="21"/>
                <w:highlight w:val="none"/>
              </w:rPr>
              <w:t>由采购人指定时间。</w:t>
            </w:r>
          </w:p>
          <w:p>
            <w:pPr>
              <w:widowControl w:val="0"/>
              <w:spacing w:line="276" w:lineRule="auto"/>
              <w:jc w:val="both"/>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2、交货地点：</w:t>
            </w:r>
            <w:r>
              <w:rPr>
                <w:rFonts w:hint="eastAsia" w:ascii="宋体" w:hAnsi="宋体" w:eastAsia="宋体" w:cs="宋体"/>
                <w:color w:val="auto"/>
                <w:szCs w:val="21"/>
                <w:highlight w:val="none"/>
              </w:rPr>
              <w:t>采购人指定地点</w:t>
            </w:r>
            <w:r>
              <w:rPr>
                <w:rFonts w:ascii="宋体" w:hAnsi="宋体" w:eastAsia="宋体" w:cs="Times New Roman"/>
                <w:color w:val="auto"/>
                <w:szCs w:val="21"/>
                <w:highlight w:val="none"/>
              </w:rPr>
              <w:t>。</w:t>
            </w:r>
          </w:p>
          <w:p>
            <w:pPr>
              <w:widowControl w:val="0"/>
              <w:spacing w:line="276" w:lineRule="auto"/>
              <w:jc w:val="both"/>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3、交货方式：</w:t>
            </w:r>
            <w:r>
              <w:rPr>
                <w:rFonts w:hint="eastAsia" w:ascii="宋体" w:hAnsi="宋体" w:eastAsia="宋体" w:cs="宋体"/>
                <w:color w:val="auto"/>
                <w:szCs w:val="21"/>
                <w:highlight w:val="none"/>
              </w:rPr>
              <w:t>由采购人约定苗木供货数量，分批次进行供货</w:t>
            </w:r>
            <w:r>
              <w:rPr>
                <w:rFonts w:ascii="宋体" w:hAnsi="宋体" w:eastAsia="宋体" w:cs="Times New Roman"/>
                <w:color w:val="auto"/>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本章第二节</w:t>
            </w:r>
          </w:p>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第9.2（3）项</w:t>
            </w:r>
          </w:p>
        </w:tc>
        <w:tc>
          <w:tcPr>
            <w:tcW w:w="1843"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ascii="宋体" w:hAnsi="宋体" w:eastAsia="宋体" w:cs="宋体"/>
                <w:color w:val="auto"/>
                <w:szCs w:val="21"/>
                <w:highlight w:val="none"/>
              </w:rPr>
              <w:t>响应时间</w:t>
            </w:r>
          </w:p>
        </w:tc>
        <w:tc>
          <w:tcPr>
            <w:tcW w:w="5464"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保证质保期内每周7×24小时技术支持，2小时响应，4小时内到达现场，12小时内解决苗木质量问题。如遇恶劣天气、特殊情况或不可抗力等发生的紧急情况，采购人需要成交供应商作出紧急响应的，成交供应商应立即作出响应</w:t>
            </w:r>
            <w:r>
              <w:rPr>
                <w:rFonts w:ascii="宋体" w:hAnsi="宋体" w:eastAsia="宋体" w:cs="宋体"/>
                <w:color w:val="auto"/>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本章第二节</w:t>
            </w:r>
          </w:p>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第13.5款</w:t>
            </w:r>
          </w:p>
        </w:tc>
        <w:tc>
          <w:tcPr>
            <w:tcW w:w="1843"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ascii="宋体" w:hAnsi="宋体" w:eastAsia="宋体" w:cs="宋体"/>
                <w:color w:val="auto"/>
                <w:szCs w:val="21"/>
                <w:highlight w:val="none"/>
              </w:rPr>
              <w:t>合同价款支付方式</w:t>
            </w:r>
            <w:r>
              <w:rPr>
                <w:rFonts w:ascii="宋体" w:hAnsi="宋体" w:eastAsia="宋体" w:cs="宋体"/>
                <w:bCs/>
                <w:color w:val="auto"/>
                <w:szCs w:val="21"/>
                <w:highlight w:val="none"/>
              </w:rPr>
              <w:t>和条件</w:t>
            </w:r>
          </w:p>
        </w:tc>
        <w:tc>
          <w:tcPr>
            <w:tcW w:w="5464"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olor w:val="auto"/>
                <w:szCs w:val="21"/>
                <w:highlight w:val="none"/>
              </w:rPr>
              <w:t>签订合同时约定。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本章第二节</w:t>
            </w:r>
          </w:p>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第14.2（6）项</w:t>
            </w:r>
          </w:p>
        </w:tc>
        <w:tc>
          <w:tcPr>
            <w:tcW w:w="1843"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ascii="宋体" w:hAnsi="宋体" w:eastAsia="宋体" w:cs="宋体"/>
                <w:color w:val="auto"/>
                <w:szCs w:val="21"/>
                <w:highlight w:val="none"/>
              </w:rPr>
              <w:t>乙方提供的其他服务</w:t>
            </w:r>
          </w:p>
        </w:tc>
        <w:tc>
          <w:tcPr>
            <w:tcW w:w="5464"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，或第五章采购需求。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本章第二节</w:t>
            </w:r>
          </w:p>
          <w:p>
            <w:pPr>
              <w:widowControl w:val="0"/>
              <w:adjustRightInd w:val="0"/>
              <w:snapToGrid w:val="0"/>
              <w:spacing w:line="360" w:lineRule="auto"/>
              <w:jc w:val="center"/>
              <w:rPr>
                <w:rFonts w:hint="eastAsia" w:ascii="宋体" w:hAnsi="宋体" w:eastAsia="宋体" w:cs="宋体"/>
                <w:bCs/>
                <w:color w:val="auto"/>
                <w:szCs w:val="21"/>
                <w:highlight w:val="none"/>
              </w:rPr>
            </w:pPr>
            <w:r>
              <w:rPr>
                <w:rFonts w:ascii="宋体" w:hAnsi="宋体" w:eastAsia="宋体" w:cs="宋体"/>
                <w:color w:val="auto"/>
                <w:szCs w:val="21"/>
                <w:highlight w:val="none"/>
              </w:rPr>
              <w:t>第20.2款</w:t>
            </w:r>
          </w:p>
        </w:tc>
        <w:tc>
          <w:tcPr>
            <w:tcW w:w="1843" w:type="dxa"/>
            <w:vAlign w:val="center"/>
          </w:tcPr>
          <w:p>
            <w:pPr>
              <w:widowControl w:val="0"/>
              <w:adjustRightInd w:val="0"/>
              <w:snapToGrid w:val="0"/>
              <w:spacing w:line="360" w:lineRule="auto"/>
              <w:rPr>
                <w:rFonts w:hint="eastAsia" w:ascii="宋体" w:hAnsi="宋体" w:eastAsia="宋体" w:cs="宋体"/>
                <w:bCs/>
                <w:color w:val="auto"/>
                <w:szCs w:val="21"/>
                <w:highlight w:val="none"/>
              </w:rPr>
            </w:pPr>
            <w:r>
              <w:rPr>
                <w:rFonts w:ascii="宋体" w:hAnsi="宋体" w:eastAsia="宋体" w:cs="宋体"/>
                <w:color w:val="auto"/>
                <w:szCs w:val="21"/>
                <w:highlight w:val="none"/>
              </w:rPr>
              <w:t>解决争议的方式</w:t>
            </w:r>
          </w:p>
        </w:tc>
        <w:tc>
          <w:tcPr>
            <w:tcW w:w="5464"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ascii="宋体" w:hAnsi="宋体" w:eastAsia="宋体" w:cs="宋体"/>
                <w:color w:val="auto"/>
                <w:szCs w:val="21"/>
                <w:highlight w:val="none"/>
              </w:rPr>
              <w:sym w:font="Wingdings 2" w:char="0052"/>
            </w:r>
            <w:r>
              <w:rPr>
                <w:rFonts w:ascii="宋体" w:hAnsi="宋体" w:eastAsia="宋体" w:cs="宋体"/>
                <w:color w:val="auto"/>
                <w:szCs w:val="21"/>
                <w:highlight w:val="none"/>
              </w:rPr>
              <w:t xml:space="preserve"> 诉讼</w:t>
            </w:r>
          </w:p>
          <w:p>
            <w:pPr>
              <w:widowControl w:val="0"/>
              <w:adjustRightInd w:val="0"/>
              <w:snapToGrid w:val="0"/>
              <w:spacing w:line="360" w:lineRule="auto"/>
              <w:rPr>
                <w:rFonts w:hint="eastAsia" w:ascii="宋体" w:hAnsi="宋体" w:eastAsia="宋体" w:cs="宋体"/>
                <w:color w:val="auto"/>
                <w:szCs w:val="21"/>
                <w:highlight w:val="none"/>
              </w:rPr>
            </w:pPr>
            <w:r>
              <w:rPr>
                <w:rFonts w:ascii="宋体" w:hAnsi="宋体" w:eastAsia="宋体" w:cs="宋体"/>
                <w:color w:val="auto"/>
                <w:szCs w:val="21"/>
                <w:highlight w:val="none"/>
              </w:rPr>
              <w:t>□ 仲裁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本章第二节</w:t>
            </w:r>
          </w:p>
          <w:p>
            <w:pPr>
              <w:widowControl w:val="0"/>
              <w:adjustRightInd w:val="0"/>
              <w:snapToGrid w:val="0"/>
              <w:spacing w:line="360" w:lineRule="auto"/>
              <w:jc w:val="center"/>
              <w:rPr>
                <w:rFonts w:hint="eastAsia" w:ascii="宋体" w:hAnsi="宋体" w:eastAsia="宋体" w:cs="宋体"/>
                <w:color w:val="auto"/>
                <w:szCs w:val="21"/>
                <w:highlight w:val="none"/>
              </w:rPr>
            </w:pPr>
            <w:r>
              <w:rPr>
                <w:rFonts w:ascii="宋体" w:hAnsi="宋体" w:eastAsia="宋体" w:cs="宋体"/>
                <w:color w:val="auto"/>
                <w:szCs w:val="21"/>
                <w:highlight w:val="none"/>
              </w:rPr>
              <w:t>第23.1款</w:t>
            </w:r>
          </w:p>
        </w:tc>
        <w:tc>
          <w:tcPr>
            <w:tcW w:w="1843"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ascii="宋体" w:hAnsi="宋体" w:eastAsia="宋体" w:cs="宋体"/>
                <w:bCs/>
                <w:color w:val="auto"/>
                <w:szCs w:val="21"/>
                <w:highlight w:val="none"/>
              </w:rPr>
              <w:t>合同未尽事项</w:t>
            </w:r>
          </w:p>
        </w:tc>
        <w:tc>
          <w:tcPr>
            <w:tcW w:w="5464" w:type="dxa"/>
            <w:vAlign w:val="center"/>
          </w:tcPr>
          <w:p>
            <w:pPr>
              <w:widowControl w:val="0"/>
              <w:adjustRightInd w:val="0"/>
              <w:snapToGrid w:val="0"/>
              <w:spacing w:line="360" w:lineRule="auto"/>
              <w:rPr>
                <w:rFonts w:hint="eastAsia" w:ascii="宋体" w:hAnsi="宋体" w:eastAsia="宋体" w:cs="宋体"/>
                <w:color w:val="auto"/>
                <w:szCs w:val="21"/>
                <w:highlight w:val="none"/>
              </w:rPr>
            </w:pPr>
            <w:r>
              <w:rPr>
                <w:rFonts w:ascii="宋体" w:hAnsi="宋体" w:eastAsia="宋体" w:cs="宋体"/>
                <w:color w:val="auto"/>
                <w:szCs w:val="21"/>
                <w:highlight w:val="none"/>
              </w:rPr>
              <w:t>双方协商解决。</w:t>
            </w:r>
          </w:p>
        </w:tc>
      </w:tr>
    </w:tbl>
    <w:p>
      <w:pPr>
        <w:widowControl w:val="0"/>
        <w:spacing w:line="240" w:lineRule="auto"/>
        <w:jc w:val="both"/>
        <w:rPr>
          <w:rFonts w:hint="eastAsia" w:ascii="宋体" w:hAnsi="宋体" w:eastAsia="宋体" w:cs="宋体"/>
          <w:color w:val="auto"/>
          <w:szCs w:val="24"/>
          <w:highlight w:val="none"/>
        </w:rPr>
      </w:pPr>
    </w:p>
    <w:p>
      <w:pPr>
        <w:widowControl w:val="0"/>
        <w:spacing w:line="240" w:lineRule="auto"/>
        <w:jc w:val="both"/>
        <w:rPr>
          <w:rFonts w:hint="eastAsia" w:ascii="宋体" w:hAnsi="宋体" w:eastAsia="宋体" w:cs="宋体"/>
          <w:color w:val="auto"/>
          <w:szCs w:val="24"/>
          <w:highlight w:val="none"/>
        </w:rPr>
      </w:pPr>
      <w:r>
        <w:rPr>
          <w:rFonts w:ascii="宋体" w:hAnsi="宋体" w:eastAsia="宋体" w:cs="宋体"/>
          <w:color w:val="auto"/>
          <w:szCs w:val="24"/>
          <w:highlight w:val="none"/>
        </w:rPr>
        <w:t>注：政府采购合同具体内容以成交供应商与采购人签订合同为准。</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p>
    <w:p>
      <w:pPr>
        <w:widowControl w:val="0"/>
        <w:spacing w:line="240" w:lineRule="auto"/>
        <w:jc w:val="both"/>
        <w:rPr>
          <w:rFonts w:ascii="Times New Roman" w:hAnsi="Times New Roman" w:eastAsia="宋体" w:cs="Times New Roman"/>
          <w:color w:val="auto"/>
          <w:szCs w:val="24"/>
          <w:highlight w:val="none"/>
        </w:rPr>
        <w:sectPr>
          <w:pgSz w:w="11906" w:h="16838"/>
          <w:pgMar w:top="1474" w:right="1474" w:bottom="1474" w:left="1588" w:header="851" w:footer="992" w:gutter="0"/>
          <w:cols w:space="720" w:num="1"/>
          <w:docGrid w:type="lines" w:linePitch="312" w:charSpace="0"/>
        </w:sectPr>
      </w:pPr>
    </w:p>
    <w:p>
      <w:pPr>
        <w:keepNext/>
        <w:widowControl w:val="0"/>
        <w:adjustRightInd w:val="0"/>
        <w:snapToGrid w:val="0"/>
        <w:spacing w:before="156" w:beforeLines="50" w:line="360" w:lineRule="auto"/>
        <w:jc w:val="center"/>
        <w:outlineLvl w:val="0"/>
        <w:rPr>
          <w:rFonts w:hint="eastAsia" w:ascii="黑体" w:hAnsi="黑体" w:eastAsia="黑体" w:cs="Times New Roman"/>
          <w:b/>
          <w:bCs/>
          <w:color w:val="auto"/>
          <w:sz w:val="32"/>
          <w:szCs w:val="32"/>
          <w:highlight w:val="none"/>
        </w:rPr>
      </w:pPr>
      <w:bookmarkStart w:id="201" w:name="_Toc19628646"/>
      <w:bookmarkStart w:id="202" w:name="_Toc214954919"/>
      <w:r>
        <w:rPr>
          <w:rFonts w:hint="eastAsia" w:ascii="黑体" w:hAnsi="黑体" w:eastAsia="黑体" w:cs="Times New Roman"/>
          <w:b/>
          <w:bCs/>
          <w:color w:val="auto"/>
          <w:sz w:val="32"/>
          <w:szCs w:val="32"/>
          <w:highlight w:val="none"/>
        </w:rPr>
        <w:t>第五章 响应文件组成</w:t>
      </w:r>
      <w:bookmarkEnd w:id="201"/>
      <w:bookmarkEnd w:id="202"/>
    </w:p>
    <w:p>
      <w:pPr>
        <w:tabs>
          <w:tab w:val="left" w:pos="753"/>
        </w:tabs>
        <w:adjustRightInd w:val="0"/>
        <w:snapToGrid w:val="0"/>
        <w:spacing w:before="156" w:beforeLines="50" w:line="360" w:lineRule="auto"/>
        <w:ind w:firstLine="480" w:firstLineChars="200"/>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目录</w:t>
      </w:r>
    </w:p>
    <w:p>
      <w:pPr>
        <w:widowControl w:val="0"/>
        <w:adjustRightInd w:val="0"/>
        <w:snapToGrid w:val="0"/>
        <w:spacing w:before="156" w:beforeLines="50" w:line="360" w:lineRule="auto"/>
        <w:jc w:val="both"/>
        <w:rPr>
          <w:rFonts w:ascii="宋体" w:hAnsi="Times New Roman" w:eastAsia="宋体" w:cs="Times New Roman"/>
          <w:color w:val="auto"/>
          <w:szCs w:val="24"/>
          <w:highlight w:val="none"/>
        </w:rPr>
      </w:pPr>
      <w:r>
        <w:rPr>
          <w:rFonts w:hint="eastAsia" w:ascii="宋体" w:hAnsi="Times New Roman" w:eastAsia="宋体" w:cs="Times New Roman"/>
          <w:color w:val="auto"/>
          <w:szCs w:val="24"/>
          <w:highlight w:val="none"/>
        </w:rPr>
        <w:t>供应商的响应文件应包含以下部分：</w:t>
      </w:r>
    </w:p>
    <w:p>
      <w:pPr>
        <w:tabs>
          <w:tab w:val="left" w:pos="753"/>
        </w:tabs>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一</w:t>
      </w:r>
      <w:r>
        <w:rPr>
          <w:rFonts w:hint="eastAsia" w:ascii="宋体" w:hAnsi="宋体" w:eastAsia="宋体" w:cs="Times New Roman"/>
          <w:color w:val="auto"/>
          <w:szCs w:val="21"/>
          <w:highlight w:val="none"/>
        </w:rPr>
        <w:t>、首次报价表及报价文件(格式)</w:t>
      </w:r>
    </w:p>
    <w:p>
      <w:pPr>
        <w:tabs>
          <w:tab w:val="left" w:pos="753"/>
        </w:tabs>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二、谈判响应声明(格式)</w:t>
      </w:r>
    </w:p>
    <w:p>
      <w:pPr>
        <w:tabs>
          <w:tab w:val="left" w:pos="753"/>
        </w:tabs>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三、法定代表人（单位负责人）身份证明(格式)、授权委托书(格式)</w:t>
      </w:r>
    </w:p>
    <w:p>
      <w:pPr>
        <w:tabs>
          <w:tab w:val="left" w:pos="753"/>
        </w:tabs>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四、</w:t>
      </w:r>
      <w:r>
        <w:rPr>
          <w:rFonts w:hint="eastAsia" w:ascii="宋体" w:hAnsi="宋体" w:eastAsia="宋体" w:cs="Times New Roman"/>
          <w:color w:val="auto"/>
          <w:kern w:val="32"/>
          <w:szCs w:val="21"/>
          <w:highlight w:val="none"/>
        </w:rPr>
        <w:t>供应商资格审查材料</w:t>
      </w:r>
    </w:p>
    <w:p>
      <w:pPr>
        <w:tabs>
          <w:tab w:val="left" w:pos="753"/>
        </w:tabs>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五、采购需求响应</w:t>
      </w:r>
    </w:p>
    <w:p>
      <w:pPr>
        <w:tabs>
          <w:tab w:val="left" w:pos="753"/>
        </w:tabs>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六、合同条款偏离表</w:t>
      </w:r>
    </w:p>
    <w:p>
      <w:pPr>
        <w:tabs>
          <w:tab w:val="left" w:pos="753"/>
        </w:tabs>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七、采购需求偏离表</w:t>
      </w:r>
    </w:p>
    <w:p>
      <w:pPr>
        <w:tabs>
          <w:tab w:val="left" w:pos="753"/>
        </w:tabs>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八、享受政府采购政策的证明资料</w:t>
      </w:r>
    </w:p>
    <w:p>
      <w:pPr>
        <w:tabs>
          <w:tab w:val="left" w:pos="753"/>
        </w:tabs>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kern w:val="32"/>
          <w:szCs w:val="21"/>
          <w:highlight w:val="none"/>
        </w:rPr>
        <w:t>九、</w:t>
      </w:r>
      <w:r>
        <w:rPr>
          <w:rFonts w:hint="eastAsia" w:ascii="宋体" w:hAnsi="宋体" w:eastAsia="宋体" w:cs="Times New Roman"/>
          <w:color w:val="auto"/>
          <w:szCs w:val="21"/>
          <w:highlight w:val="none"/>
        </w:rPr>
        <w:t>响应标的符合谈判文件规定的证明文件</w:t>
      </w:r>
    </w:p>
    <w:p>
      <w:pPr>
        <w:tabs>
          <w:tab w:val="left" w:pos="753"/>
        </w:tabs>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十、供应商认为需提供的其他资料（如有）</w:t>
      </w:r>
    </w:p>
    <w:p>
      <w:pPr>
        <w:tabs>
          <w:tab w:val="left" w:pos="753"/>
        </w:tabs>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十一、多轮或最后报价</w:t>
      </w:r>
    </w:p>
    <w:p>
      <w:pPr>
        <w:tabs>
          <w:tab w:val="left" w:pos="753"/>
        </w:tabs>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p>
    <w:p>
      <w:pPr>
        <w:widowControl w:val="0"/>
        <w:adjustRightInd w:val="0"/>
        <w:snapToGrid w:val="0"/>
        <w:spacing w:before="156" w:beforeLines="50" w:line="360" w:lineRule="auto"/>
        <w:jc w:val="both"/>
        <w:rPr>
          <w:rFonts w:ascii="宋体" w:hAnsi="Times New Roman" w:eastAsia="宋体" w:cs="Times New Roman"/>
          <w:color w:val="auto"/>
          <w:szCs w:val="24"/>
          <w:highlight w:val="none"/>
        </w:rPr>
      </w:pPr>
    </w:p>
    <w:p>
      <w:pPr>
        <w:widowControl w:val="0"/>
        <w:spacing w:line="360" w:lineRule="exact"/>
        <w:jc w:val="center"/>
        <w:rPr>
          <w:rFonts w:ascii="黑体" w:hAnsi="Times New Roman" w:eastAsia="黑体" w:cs="Times New Roman"/>
          <w:b/>
          <w:color w:val="auto"/>
          <w:sz w:val="32"/>
          <w:szCs w:val="32"/>
          <w:highlight w:val="none"/>
        </w:rPr>
      </w:pPr>
    </w:p>
    <w:p>
      <w:pPr>
        <w:widowControl w:val="0"/>
        <w:spacing w:line="360" w:lineRule="exact"/>
        <w:jc w:val="center"/>
        <w:rPr>
          <w:rFonts w:ascii="黑体" w:hAnsi="Times New Roman" w:eastAsia="黑体" w:cs="Times New Roman"/>
          <w:b/>
          <w:color w:val="auto"/>
          <w:sz w:val="32"/>
          <w:szCs w:val="32"/>
          <w:highlight w:val="none"/>
        </w:rPr>
      </w:pPr>
    </w:p>
    <w:p>
      <w:pPr>
        <w:widowControl w:val="0"/>
        <w:spacing w:line="360" w:lineRule="exact"/>
        <w:jc w:val="center"/>
        <w:rPr>
          <w:rFonts w:ascii="黑体" w:hAnsi="Times New Roman" w:eastAsia="黑体" w:cs="Times New Roman"/>
          <w:b/>
          <w:color w:val="auto"/>
          <w:sz w:val="32"/>
          <w:szCs w:val="32"/>
          <w:highlight w:val="none"/>
        </w:rPr>
      </w:pPr>
    </w:p>
    <w:p>
      <w:pPr>
        <w:widowControl w:val="0"/>
        <w:spacing w:line="360" w:lineRule="exact"/>
        <w:jc w:val="center"/>
        <w:rPr>
          <w:rFonts w:ascii="黑体" w:hAnsi="Times New Roman" w:eastAsia="黑体" w:cs="Times New Roman"/>
          <w:b/>
          <w:color w:val="auto"/>
          <w:sz w:val="32"/>
          <w:szCs w:val="32"/>
          <w:highlight w:val="none"/>
        </w:rPr>
      </w:pPr>
    </w:p>
    <w:p>
      <w:pPr>
        <w:widowControl w:val="0"/>
        <w:spacing w:line="360" w:lineRule="exact"/>
        <w:jc w:val="center"/>
        <w:rPr>
          <w:rFonts w:ascii="黑体" w:hAnsi="Times New Roman" w:eastAsia="黑体" w:cs="Times New Roman"/>
          <w:b/>
          <w:color w:val="auto"/>
          <w:sz w:val="32"/>
          <w:szCs w:val="32"/>
          <w:highlight w:val="none"/>
        </w:rPr>
      </w:pPr>
    </w:p>
    <w:p>
      <w:pPr>
        <w:widowControl w:val="0"/>
        <w:spacing w:line="360" w:lineRule="exact"/>
        <w:jc w:val="center"/>
        <w:rPr>
          <w:rFonts w:ascii="黑体" w:hAnsi="Times New Roman" w:eastAsia="黑体" w:cs="Times New Roman"/>
          <w:b/>
          <w:color w:val="auto"/>
          <w:sz w:val="32"/>
          <w:szCs w:val="32"/>
          <w:highlight w:val="none"/>
        </w:rPr>
      </w:pPr>
    </w:p>
    <w:p>
      <w:pPr>
        <w:widowControl w:val="0"/>
        <w:spacing w:line="360" w:lineRule="exact"/>
        <w:jc w:val="center"/>
        <w:rPr>
          <w:rFonts w:ascii="黑体" w:hAnsi="Times New Roman" w:eastAsia="黑体" w:cs="Times New Roman"/>
          <w:b/>
          <w:color w:val="auto"/>
          <w:sz w:val="32"/>
          <w:szCs w:val="32"/>
          <w:highlight w:val="none"/>
        </w:rPr>
      </w:pPr>
    </w:p>
    <w:p>
      <w:pPr>
        <w:widowControl w:val="0"/>
        <w:spacing w:line="360" w:lineRule="exact"/>
        <w:jc w:val="center"/>
        <w:rPr>
          <w:rFonts w:ascii="黑体" w:hAnsi="Times New Roman" w:eastAsia="黑体" w:cs="Times New Roman"/>
          <w:b/>
          <w:color w:val="auto"/>
          <w:sz w:val="32"/>
          <w:szCs w:val="32"/>
          <w:highlight w:val="none"/>
        </w:rPr>
      </w:pPr>
    </w:p>
    <w:p>
      <w:pPr>
        <w:widowControl w:val="0"/>
        <w:adjustRightInd w:val="0"/>
        <w:snapToGrid w:val="0"/>
        <w:spacing w:line="360" w:lineRule="auto"/>
        <w:jc w:val="center"/>
        <w:rPr>
          <w:rFonts w:ascii="黑体" w:hAnsi="Times New Roman" w:eastAsia="黑体" w:cs="Times New Roman"/>
          <w:color w:val="auto"/>
          <w:sz w:val="32"/>
          <w:szCs w:val="32"/>
          <w:highlight w:val="none"/>
        </w:rPr>
      </w:pPr>
      <w:r>
        <w:rPr>
          <w:rFonts w:ascii="Times New Roman" w:hAnsi="Times New Roman" w:eastAsia="宋体" w:cs="Times New Roman"/>
          <w:color w:val="auto"/>
          <w:szCs w:val="24"/>
          <w:highlight w:val="none"/>
        </w:rPr>
        <w:br w:type="page"/>
      </w:r>
    </w:p>
    <w:p>
      <w:pPr>
        <w:widowControl w:val="0"/>
        <w:adjustRightInd w:val="0"/>
        <w:snapToGrid w:val="0"/>
        <w:spacing w:line="360" w:lineRule="auto"/>
        <w:jc w:val="center"/>
        <w:rPr>
          <w:rFonts w:ascii="黑体" w:hAnsi="Times New Roman" w:eastAsia="黑体" w:cs="Times New Roman"/>
          <w:color w:val="auto"/>
          <w:sz w:val="32"/>
          <w:szCs w:val="32"/>
          <w:highlight w:val="none"/>
        </w:rPr>
      </w:pPr>
    </w:p>
    <w:p>
      <w:pPr>
        <w:widowControl w:val="0"/>
        <w:autoSpaceDE w:val="0"/>
        <w:autoSpaceDN w:val="0"/>
        <w:adjustRightInd w:val="0"/>
        <w:spacing w:line="240" w:lineRule="auto"/>
        <w:jc w:val="center"/>
        <w:rPr>
          <w:rFonts w:hint="eastAsia" w:ascii="宋体" w:hAnsi="宋体" w:eastAsia="宋体" w:cs="宋体"/>
          <w:color w:val="auto"/>
          <w:kern w:val="0"/>
          <w:sz w:val="84"/>
          <w:szCs w:val="84"/>
          <w:highlight w:val="none"/>
        </w:rPr>
      </w:pPr>
      <w:r>
        <w:rPr>
          <w:rFonts w:hint="eastAsia" w:ascii="宋体" w:hAnsi="宋体" w:eastAsia="宋体" w:cs="宋体"/>
          <w:bCs/>
          <w:color w:val="auto"/>
          <w:kern w:val="0"/>
          <w:sz w:val="72"/>
          <w:szCs w:val="72"/>
          <w:highlight w:val="none"/>
        </w:rPr>
        <w:t>【郴州电子非标】</w:t>
      </w:r>
    </w:p>
    <w:p>
      <w:pPr>
        <w:widowControl w:val="0"/>
        <w:spacing w:line="240" w:lineRule="auto"/>
        <w:ind w:left="2940"/>
        <w:jc w:val="both"/>
        <w:rPr>
          <w:rFonts w:hint="eastAsia" w:ascii="宋体" w:hAnsi="宋体" w:eastAsia="宋体" w:cs="宋体"/>
          <w:color w:val="auto"/>
          <w:kern w:val="0"/>
          <w:szCs w:val="20"/>
          <w:highlight w:val="none"/>
        </w:rPr>
      </w:pPr>
    </w:p>
    <w:p>
      <w:pPr>
        <w:adjustRightInd w:val="0"/>
        <w:snapToGrid w:val="0"/>
        <w:spacing w:line="360" w:lineRule="auto"/>
        <w:jc w:val="center"/>
        <w:rPr>
          <w:rFonts w:hint="eastAsia" w:ascii="宋体" w:hAnsi="宋体" w:eastAsia="宋体" w:cs="宋体"/>
          <w:color w:val="auto"/>
          <w:kern w:val="0"/>
          <w:sz w:val="72"/>
          <w:szCs w:val="72"/>
          <w:highlight w:val="none"/>
        </w:rPr>
      </w:pPr>
      <w:r>
        <w:rPr>
          <w:rFonts w:hint="eastAsia" w:ascii="宋体" w:hAnsi="宋体" w:eastAsia="宋体" w:cs="宋体"/>
          <w:color w:val="auto"/>
          <w:kern w:val="0"/>
          <w:sz w:val="72"/>
          <w:szCs w:val="72"/>
          <w:highlight w:val="none"/>
        </w:rPr>
        <w:t>政府采购-竞争性谈判</w:t>
      </w:r>
    </w:p>
    <w:p>
      <w:pPr>
        <w:adjustRightInd w:val="0"/>
        <w:snapToGrid w:val="0"/>
        <w:spacing w:line="360" w:lineRule="auto"/>
        <w:jc w:val="center"/>
        <w:rPr>
          <w:rFonts w:hint="eastAsia" w:ascii="宋体" w:hAnsi="宋体" w:cs="宋体"/>
          <w:b/>
          <w:bCs/>
          <w:color w:val="auto"/>
          <w:sz w:val="84"/>
          <w:szCs w:val="84"/>
          <w:highlight w:val="none"/>
        </w:rPr>
      </w:pPr>
      <w:r>
        <w:rPr>
          <w:rFonts w:hint="eastAsia" w:ascii="宋体" w:hAnsi="宋体" w:cs="宋体"/>
          <w:b/>
          <w:bCs/>
          <w:color w:val="auto"/>
          <w:sz w:val="84"/>
          <w:szCs w:val="84"/>
          <w:highlight w:val="none"/>
        </w:rPr>
        <w:t>响应文件</w:t>
      </w:r>
    </w:p>
    <w:p>
      <w:pPr>
        <w:widowControl w:val="0"/>
        <w:adjustRightInd w:val="0"/>
        <w:snapToGrid w:val="0"/>
        <w:spacing w:line="360" w:lineRule="auto"/>
        <w:jc w:val="both"/>
        <w:rPr>
          <w:rFonts w:hint="eastAsia" w:ascii="黑体" w:hAnsi="黑体" w:eastAsia="黑体" w:cs="Times New Roman"/>
          <w:b/>
          <w:color w:val="auto"/>
          <w:sz w:val="32"/>
          <w:szCs w:val="32"/>
          <w:highlight w:val="none"/>
        </w:rPr>
      </w:pPr>
    </w:p>
    <w:p>
      <w:pPr>
        <w:widowControl w:val="0"/>
        <w:adjustRightInd w:val="0"/>
        <w:snapToGrid w:val="0"/>
        <w:spacing w:line="360" w:lineRule="auto"/>
        <w:jc w:val="both"/>
        <w:rPr>
          <w:rFonts w:hint="eastAsia" w:ascii="宋体" w:hAnsi="宋体" w:eastAsia="宋体" w:cs="Times New Roman"/>
          <w:b/>
          <w:color w:val="auto"/>
          <w:sz w:val="30"/>
          <w:szCs w:val="30"/>
          <w:highlight w:val="none"/>
        </w:rPr>
      </w:pPr>
      <w:r>
        <w:rPr>
          <w:rFonts w:hint="eastAsia" w:ascii="宋体" w:hAnsi="宋体" w:eastAsia="宋体" w:cs="Times New Roman"/>
          <w:b/>
          <w:color w:val="auto"/>
          <w:sz w:val="32"/>
          <w:szCs w:val="32"/>
          <w:highlight w:val="none"/>
        </w:rPr>
        <w:t xml:space="preserve">                     </w:t>
      </w:r>
    </w:p>
    <w:p>
      <w:pPr>
        <w:widowControl w:val="0"/>
        <w:adjustRightInd w:val="0"/>
        <w:snapToGrid w:val="0"/>
        <w:spacing w:line="360" w:lineRule="auto"/>
        <w:ind w:firstLine="1988" w:firstLineChars="660"/>
        <w:jc w:val="both"/>
        <w:rPr>
          <w:rFonts w:hint="eastAsia" w:ascii="宋体" w:hAnsi="宋体" w:eastAsia="宋体" w:cs="Courier New"/>
          <w:b/>
          <w:bCs/>
          <w:color w:val="auto"/>
          <w:sz w:val="30"/>
          <w:szCs w:val="30"/>
          <w:highlight w:val="none"/>
          <w:u w:val="single"/>
        </w:rPr>
      </w:pPr>
      <w:r>
        <w:rPr>
          <w:rFonts w:hint="eastAsia" w:ascii="宋体" w:hAnsi="宋体" w:eastAsia="宋体" w:cs="Courier New"/>
          <w:b/>
          <w:bCs/>
          <w:color w:val="auto"/>
          <w:sz w:val="30"/>
          <w:szCs w:val="30"/>
          <w:highlight w:val="none"/>
        </w:rPr>
        <w:t>采购项目名称:</w:t>
      </w:r>
      <w:r>
        <w:rPr>
          <w:rFonts w:hint="eastAsia" w:ascii="宋体" w:hAnsi="宋体" w:eastAsia="宋体" w:cs="Courier New"/>
          <w:b/>
          <w:bCs/>
          <w:color w:val="auto"/>
          <w:sz w:val="30"/>
          <w:szCs w:val="30"/>
          <w:highlight w:val="none"/>
          <w:u w:val="single"/>
        </w:rPr>
        <w:t xml:space="preserve">                       </w:t>
      </w:r>
    </w:p>
    <w:p>
      <w:pPr>
        <w:widowControl w:val="0"/>
        <w:adjustRightInd w:val="0"/>
        <w:snapToGrid w:val="0"/>
        <w:spacing w:line="360" w:lineRule="auto"/>
        <w:ind w:firstLine="1988" w:firstLineChars="660"/>
        <w:jc w:val="both"/>
        <w:rPr>
          <w:rFonts w:hint="eastAsia" w:ascii="宋体" w:hAnsi="宋体" w:eastAsia="宋体" w:cs="Courier New"/>
          <w:b/>
          <w:bCs/>
          <w:color w:val="auto"/>
          <w:sz w:val="30"/>
          <w:szCs w:val="30"/>
          <w:highlight w:val="none"/>
        </w:rPr>
      </w:pPr>
      <w:r>
        <w:rPr>
          <w:rFonts w:hint="eastAsia" w:ascii="宋体" w:hAnsi="宋体" w:eastAsia="宋体" w:cs="Courier New"/>
          <w:b/>
          <w:bCs/>
          <w:color w:val="auto"/>
          <w:sz w:val="30"/>
          <w:szCs w:val="30"/>
          <w:highlight w:val="none"/>
        </w:rPr>
        <w:t>采   购   人：</w:t>
      </w:r>
      <w:r>
        <w:rPr>
          <w:rFonts w:hint="eastAsia" w:ascii="宋体" w:hAnsi="宋体" w:eastAsia="宋体" w:cs="Courier New"/>
          <w:b/>
          <w:bCs/>
          <w:color w:val="auto"/>
          <w:sz w:val="30"/>
          <w:szCs w:val="30"/>
          <w:highlight w:val="none"/>
          <w:u w:val="single"/>
        </w:rPr>
        <w:t xml:space="preserve">                      </w:t>
      </w:r>
    </w:p>
    <w:p>
      <w:pPr>
        <w:widowControl w:val="0"/>
        <w:adjustRightInd w:val="0"/>
        <w:snapToGrid w:val="0"/>
        <w:spacing w:line="360" w:lineRule="auto"/>
        <w:ind w:firstLine="1988" w:firstLineChars="660"/>
        <w:jc w:val="both"/>
        <w:rPr>
          <w:rFonts w:hint="eastAsia" w:ascii="宋体" w:hAnsi="宋体" w:eastAsia="宋体" w:cs="Courier New"/>
          <w:b/>
          <w:bCs/>
          <w:color w:val="auto"/>
          <w:sz w:val="30"/>
          <w:szCs w:val="30"/>
          <w:highlight w:val="none"/>
        </w:rPr>
      </w:pPr>
      <w:r>
        <w:rPr>
          <w:rFonts w:hint="eastAsia" w:ascii="宋体" w:hAnsi="宋体" w:eastAsia="宋体" w:cs="Courier New"/>
          <w:b/>
          <w:bCs/>
          <w:color w:val="auto"/>
          <w:sz w:val="30"/>
          <w:szCs w:val="30"/>
          <w:highlight w:val="none"/>
        </w:rPr>
        <w:t xml:space="preserve">政府采购计划编号: </w:t>
      </w:r>
      <w:r>
        <w:rPr>
          <w:rFonts w:hint="eastAsia" w:ascii="宋体" w:hAnsi="宋体" w:eastAsia="宋体" w:cs="Courier New"/>
          <w:b/>
          <w:bCs/>
          <w:color w:val="auto"/>
          <w:sz w:val="30"/>
          <w:szCs w:val="30"/>
          <w:highlight w:val="none"/>
          <w:u w:val="single"/>
        </w:rPr>
        <w:t xml:space="preserve">                 </w:t>
      </w:r>
      <w:r>
        <w:rPr>
          <w:rFonts w:hint="eastAsia" w:ascii="宋体" w:hAnsi="宋体" w:eastAsia="宋体" w:cs="Courier New"/>
          <w:b/>
          <w:bCs/>
          <w:color w:val="auto"/>
          <w:sz w:val="30"/>
          <w:szCs w:val="30"/>
          <w:highlight w:val="none"/>
        </w:rPr>
        <w:t xml:space="preserve"> </w:t>
      </w:r>
    </w:p>
    <w:p>
      <w:pPr>
        <w:widowControl w:val="0"/>
        <w:adjustRightInd w:val="0"/>
        <w:snapToGrid w:val="0"/>
        <w:spacing w:line="360" w:lineRule="auto"/>
        <w:ind w:firstLine="1988" w:firstLineChars="660"/>
        <w:jc w:val="both"/>
        <w:rPr>
          <w:rFonts w:hint="eastAsia" w:ascii="宋体" w:hAnsi="宋体" w:eastAsia="宋体" w:cs="Courier New"/>
          <w:b/>
          <w:bCs/>
          <w:color w:val="auto"/>
          <w:sz w:val="30"/>
          <w:szCs w:val="30"/>
          <w:highlight w:val="none"/>
          <w:lang w:eastAsia="zh-CN"/>
        </w:rPr>
      </w:pPr>
      <w:r>
        <w:rPr>
          <w:rFonts w:hint="eastAsia" w:ascii="宋体" w:hAnsi="宋体" w:eastAsia="宋体" w:cs="Courier New"/>
          <w:b/>
          <w:bCs/>
          <w:color w:val="auto"/>
          <w:sz w:val="30"/>
          <w:szCs w:val="30"/>
          <w:highlight w:val="none"/>
        </w:rPr>
        <w:t>委托代理编号：</w:t>
      </w:r>
      <w:r>
        <w:rPr>
          <w:rFonts w:hint="eastAsia" w:ascii="宋体" w:hAnsi="宋体" w:eastAsia="宋体" w:cs="Courier New"/>
          <w:b/>
          <w:bCs/>
          <w:color w:val="auto"/>
          <w:sz w:val="30"/>
          <w:szCs w:val="30"/>
          <w:highlight w:val="none"/>
          <w:lang w:eastAsia="zh-CN"/>
        </w:rPr>
        <w:t>ZCBS2026-CZ-018</w:t>
      </w:r>
    </w:p>
    <w:p>
      <w:pPr>
        <w:widowControl w:val="0"/>
        <w:adjustRightInd w:val="0"/>
        <w:snapToGrid w:val="0"/>
        <w:spacing w:line="360" w:lineRule="auto"/>
        <w:ind w:firstLine="1988" w:firstLineChars="660"/>
        <w:jc w:val="both"/>
        <w:rPr>
          <w:rFonts w:hint="eastAsia" w:ascii="宋体" w:hAnsi="宋体" w:eastAsia="宋体" w:cs="Courier New"/>
          <w:b/>
          <w:bCs/>
          <w:color w:val="auto"/>
          <w:sz w:val="30"/>
          <w:szCs w:val="30"/>
          <w:highlight w:val="none"/>
        </w:rPr>
      </w:pPr>
      <w:r>
        <w:rPr>
          <w:rFonts w:hint="eastAsia" w:ascii="宋体" w:hAnsi="宋体" w:eastAsia="宋体" w:cs="Courier New"/>
          <w:b/>
          <w:bCs/>
          <w:color w:val="auto"/>
          <w:sz w:val="30"/>
          <w:szCs w:val="30"/>
          <w:highlight w:val="none"/>
          <w:lang w:val="en-US" w:eastAsia="zh-CN"/>
        </w:rPr>
        <w:t>采购项目编号：</w:t>
      </w:r>
      <w:r>
        <w:rPr>
          <w:rFonts w:hint="eastAsia" w:ascii="宋体" w:hAnsi="宋体" w:eastAsia="宋体" w:cs="Courier New"/>
          <w:b/>
          <w:bCs/>
          <w:color w:val="auto"/>
          <w:sz w:val="30"/>
          <w:szCs w:val="30"/>
          <w:highlight w:val="none"/>
          <w:lang w:eastAsia="zh-CN"/>
        </w:rPr>
        <w:t>CGXM2026431000000292</w:t>
      </w:r>
    </w:p>
    <w:p>
      <w:pPr>
        <w:widowControl w:val="0"/>
        <w:adjustRightInd w:val="0"/>
        <w:snapToGrid w:val="0"/>
        <w:spacing w:line="360" w:lineRule="auto"/>
        <w:ind w:firstLine="1988" w:firstLineChars="660"/>
        <w:jc w:val="both"/>
        <w:rPr>
          <w:rFonts w:hint="eastAsia" w:ascii="宋体" w:hAnsi="宋体" w:eastAsia="宋体" w:cs="Courier New"/>
          <w:b/>
          <w:bCs/>
          <w:color w:val="auto"/>
          <w:sz w:val="30"/>
          <w:szCs w:val="30"/>
          <w:highlight w:val="none"/>
          <w:u w:val="single"/>
        </w:rPr>
      </w:pPr>
      <w:r>
        <w:rPr>
          <w:rFonts w:hint="eastAsia" w:ascii="宋体" w:hAnsi="宋体" w:eastAsia="宋体" w:cs="Courier New"/>
          <w:b/>
          <w:bCs/>
          <w:color w:val="auto"/>
          <w:sz w:val="30"/>
          <w:szCs w:val="30"/>
          <w:highlight w:val="none"/>
        </w:rPr>
        <w:t>采购代理机构：</w:t>
      </w:r>
      <w:r>
        <w:rPr>
          <w:rFonts w:hint="eastAsia" w:ascii="宋体" w:hAnsi="宋体" w:eastAsia="宋体" w:cs="Courier New"/>
          <w:b/>
          <w:bCs/>
          <w:color w:val="auto"/>
          <w:sz w:val="30"/>
          <w:szCs w:val="30"/>
          <w:highlight w:val="none"/>
          <w:u w:val="single"/>
        </w:rPr>
        <w:t xml:space="preserve">                      </w:t>
      </w:r>
    </w:p>
    <w:p>
      <w:pPr>
        <w:widowControl w:val="0"/>
        <w:adjustRightInd w:val="0"/>
        <w:snapToGrid w:val="0"/>
        <w:spacing w:line="360" w:lineRule="auto"/>
        <w:jc w:val="both"/>
        <w:rPr>
          <w:rFonts w:hint="eastAsia" w:ascii="黑体" w:hAnsi="黑体" w:eastAsia="黑体" w:cs="Times New Roman"/>
          <w:color w:val="auto"/>
          <w:sz w:val="30"/>
          <w:szCs w:val="30"/>
          <w:highlight w:val="none"/>
        </w:rPr>
      </w:pPr>
    </w:p>
    <w:p>
      <w:pPr>
        <w:widowControl w:val="0"/>
        <w:adjustRightInd w:val="0"/>
        <w:snapToGrid w:val="0"/>
        <w:spacing w:line="240" w:lineRule="auto"/>
        <w:jc w:val="both"/>
        <w:rPr>
          <w:rFonts w:hint="eastAsia" w:ascii="黑体" w:hAnsi="宋体" w:eastAsia="黑体" w:cs="Times New Roman"/>
          <w:color w:val="auto"/>
          <w:sz w:val="30"/>
          <w:szCs w:val="30"/>
          <w:highlight w:val="none"/>
        </w:rPr>
      </w:pPr>
    </w:p>
    <w:p>
      <w:pPr>
        <w:widowControl w:val="0"/>
        <w:adjustRightInd w:val="0"/>
        <w:snapToGrid w:val="0"/>
        <w:spacing w:line="360" w:lineRule="auto"/>
        <w:jc w:val="both"/>
        <w:rPr>
          <w:rFonts w:hint="eastAsia" w:ascii="黑体" w:hAnsi="宋体" w:eastAsia="黑体" w:cs="Times New Roman"/>
          <w:color w:val="auto"/>
          <w:sz w:val="30"/>
          <w:szCs w:val="30"/>
          <w:highlight w:val="none"/>
        </w:rPr>
      </w:pPr>
    </w:p>
    <w:p>
      <w:pPr>
        <w:widowControl w:val="0"/>
        <w:adjustRightInd w:val="0"/>
        <w:snapToGrid w:val="0"/>
        <w:spacing w:line="360" w:lineRule="auto"/>
        <w:jc w:val="both"/>
        <w:rPr>
          <w:rFonts w:hint="eastAsia" w:ascii="黑体" w:hAnsi="宋体" w:eastAsia="黑体" w:cs="Times New Roman"/>
          <w:color w:val="auto"/>
          <w:sz w:val="30"/>
          <w:szCs w:val="30"/>
          <w:highlight w:val="none"/>
        </w:rPr>
      </w:pPr>
    </w:p>
    <w:p>
      <w:pPr>
        <w:widowControl w:val="0"/>
        <w:adjustRightInd w:val="0"/>
        <w:snapToGrid w:val="0"/>
        <w:spacing w:line="360" w:lineRule="auto"/>
        <w:ind w:firstLine="1984" w:firstLineChars="620"/>
        <w:jc w:val="both"/>
        <w:rPr>
          <w:rFonts w:hint="eastAsia" w:ascii="黑体" w:hAnsi="黑体" w:eastAsia="黑体" w:cs="Times New Roman"/>
          <w:color w:val="auto"/>
          <w:sz w:val="32"/>
          <w:szCs w:val="32"/>
          <w:highlight w:val="none"/>
          <w:u w:val="single"/>
        </w:rPr>
      </w:pPr>
      <w:r>
        <w:rPr>
          <w:rFonts w:hint="eastAsia" w:ascii="黑体" w:hAnsi="黑体" w:eastAsia="黑体" w:cs="Times New Roman"/>
          <w:color w:val="auto"/>
          <w:sz w:val="32"/>
          <w:szCs w:val="32"/>
          <w:highlight w:val="none"/>
        </w:rPr>
        <w:t>供应商</w:t>
      </w:r>
      <w:r>
        <w:rPr>
          <w:rFonts w:hint="eastAsia" w:ascii="黑体" w:hAnsi="黑体" w:eastAsia="黑体" w:cs="Times New Roman"/>
          <w:color w:val="auto"/>
          <w:sz w:val="32"/>
          <w:szCs w:val="32"/>
          <w:highlight w:val="none"/>
          <w:u w:val="single"/>
        </w:rPr>
        <w:t xml:space="preserve">            （盖单位电子公章）</w:t>
      </w:r>
    </w:p>
    <w:p>
      <w:pPr>
        <w:widowControl w:val="0"/>
        <w:spacing w:line="240" w:lineRule="auto"/>
        <w:jc w:val="center"/>
        <w:rPr>
          <w:rFonts w:hint="eastAsia" w:ascii="黑体" w:hAnsi="黑体" w:eastAsia="黑体" w:cs="Times New Roman"/>
          <w:color w:val="auto"/>
          <w:sz w:val="32"/>
          <w:szCs w:val="32"/>
          <w:highlight w:val="none"/>
        </w:rPr>
      </w:pPr>
      <w:r>
        <w:rPr>
          <w:rFonts w:hint="eastAsia" w:ascii="黑体" w:hAnsi="黑体" w:eastAsia="黑体" w:cs="Times New Roman"/>
          <w:color w:val="auto"/>
          <w:sz w:val="32"/>
          <w:szCs w:val="32"/>
          <w:highlight w:val="none"/>
        </w:rPr>
        <w:t>年  月  日</w:t>
      </w:r>
    </w:p>
    <w:p>
      <w:pPr>
        <w:widowControl w:val="0"/>
        <w:spacing w:line="240" w:lineRule="auto"/>
        <w:rPr>
          <w:rFonts w:hint="eastAsia" w:ascii="黑体" w:hAnsi="黑体" w:eastAsia="黑体" w:cs="Times New Roman"/>
          <w:color w:val="auto"/>
          <w:sz w:val="32"/>
          <w:szCs w:val="32"/>
          <w:highlight w:val="none"/>
        </w:rPr>
        <w:sectPr>
          <w:pgSz w:w="11906" w:h="16838"/>
          <w:pgMar w:top="1474" w:right="1474" w:bottom="1474" w:left="1588" w:header="851" w:footer="992" w:gutter="0"/>
          <w:cols w:space="720" w:num="1"/>
          <w:docGrid w:type="lines" w:linePitch="312" w:charSpace="0"/>
        </w:sectPr>
      </w:pPr>
    </w:p>
    <w:p>
      <w:pPr>
        <w:keepNext/>
        <w:keepLines/>
        <w:widowControl w:val="0"/>
        <w:spacing w:line="360" w:lineRule="auto"/>
        <w:jc w:val="center"/>
        <w:outlineLvl w:val="1"/>
        <w:rPr>
          <w:rFonts w:hint="eastAsia" w:ascii="黑体" w:hAnsi="黑体" w:eastAsia="黑体" w:cs="Times New Roman"/>
          <w:b/>
          <w:bCs/>
          <w:color w:val="auto"/>
          <w:sz w:val="28"/>
          <w:szCs w:val="28"/>
          <w:highlight w:val="none"/>
        </w:rPr>
      </w:pPr>
      <w:bookmarkStart w:id="203" w:name="_Toc214954920"/>
      <w:bookmarkStart w:id="204" w:name="_Toc107998028"/>
      <w:r>
        <w:rPr>
          <w:rFonts w:hint="eastAsia" w:ascii="黑体" w:hAnsi="黑体" w:eastAsia="黑体" w:cs="Times New Roman"/>
          <w:b/>
          <w:bCs/>
          <w:color w:val="auto"/>
          <w:sz w:val="28"/>
          <w:szCs w:val="28"/>
          <w:highlight w:val="none"/>
        </w:rPr>
        <w:t>一、首次报价表及报价文件(格式)</w:t>
      </w:r>
      <w:bookmarkEnd w:id="203"/>
      <w:bookmarkEnd w:id="204"/>
    </w:p>
    <w:p>
      <w:pPr>
        <w:keepNext/>
        <w:keepLines/>
        <w:widowControl w:val="0"/>
        <w:spacing w:before="260" w:after="260" w:line="416" w:lineRule="auto"/>
        <w:jc w:val="both"/>
        <w:outlineLvl w:val="2"/>
        <w:rPr>
          <w:rFonts w:hint="eastAsia" w:ascii="宋体" w:hAnsi="宋体" w:eastAsia="宋体" w:cs="Times New Roman"/>
          <w:b/>
          <w:bCs/>
          <w:color w:val="auto"/>
          <w:szCs w:val="21"/>
          <w:highlight w:val="none"/>
        </w:rPr>
      </w:pPr>
      <w:bookmarkStart w:id="205" w:name="_Toc107998029"/>
      <w:bookmarkStart w:id="206" w:name="_Toc214954921"/>
      <w:bookmarkStart w:id="207" w:name="_Toc207373255"/>
      <w:r>
        <w:rPr>
          <w:rFonts w:hint="eastAsia" w:ascii="宋体" w:hAnsi="宋体" w:eastAsia="宋体" w:cs="Times New Roman"/>
          <w:b/>
          <w:bCs/>
          <w:color w:val="auto"/>
          <w:szCs w:val="21"/>
          <w:highlight w:val="none"/>
        </w:rPr>
        <w:t>附件</w:t>
      </w:r>
      <w:r>
        <w:rPr>
          <w:rFonts w:ascii="宋体" w:hAnsi="宋体" w:eastAsia="宋体" w:cs="Times New Roman"/>
          <w:b/>
          <w:bCs/>
          <w:color w:val="auto"/>
          <w:szCs w:val="21"/>
          <w:highlight w:val="none"/>
        </w:rPr>
        <w:t>1</w:t>
      </w:r>
      <w:r>
        <w:rPr>
          <w:rFonts w:hint="eastAsia" w:ascii="宋体" w:hAnsi="宋体" w:eastAsia="宋体" w:cs="Times New Roman"/>
          <w:b/>
          <w:bCs/>
          <w:color w:val="auto"/>
          <w:szCs w:val="21"/>
          <w:highlight w:val="none"/>
        </w:rPr>
        <w:t>-1 首次报价表</w:t>
      </w:r>
      <w:bookmarkEnd w:id="205"/>
      <w:bookmarkEnd w:id="206"/>
      <w:bookmarkEnd w:id="207"/>
    </w:p>
    <w:p>
      <w:pPr>
        <w:widowControl w:val="0"/>
        <w:spacing w:line="240" w:lineRule="auto"/>
        <w:jc w:val="center"/>
        <w:rPr>
          <w:rFonts w:hint="eastAsia" w:ascii="黑体" w:hAnsi="黑体" w:eastAsia="黑体" w:cs="Times New Roman"/>
          <w:b/>
          <w:color w:val="auto"/>
          <w:sz w:val="28"/>
          <w:szCs w:val="28"/>
          <w:highlight w:val="none"/>
        </w:rPr>
      </w:pPr>
      <w:r>
        <w:rPr>
          <w:rFonts w:hint="eastAsia" w:ascii="黑体" w:hAnsi="黑体" w:eastAsia="黑体" w:cs="Times New Roman"/>
          <w:b/>
          <w:color w:val="auto"/>
          <w:sz w:val="28"/>
          <w:szCs w:val="28"/>
          <w:highlight w:val="none"/>
        </w:rPr>
        <w:t>首次报价表</w:t>
      </w:r>
    </w:p>
    <w:p>
      <w:pPr>
        <w:widowControl w:val="0"/>
        <w:adjustRightInd w:val="0"/>
        <w:snapToGrid w:val="0"/>
        <w:spacing w:line="360" w:lineRule="auto"/>
        <w:ind w:left="-88" w:leftChars="-42"/>
        <w:jc w:val="center"/>
        <w:rPr>
          <w:rFonts w:hint="eastAsia" w:ascii="仿宋_GB2312" w:hAnsi="宋体" w:eastAsia="仿宋_GB2312" w:cs="Times New Roman"/>
          <w:color w:val="auto"/>
          <w:sz w:val="24"/>
          <w:szCs w:val="24"/>
          <w:highlight w:val="none"/>
        </w:rPr>
      </w:pP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政府采购计划编号：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采购项目名称：</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jc w:val="both"/>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包名称：</w:t>
      </w:r>
      <w:r>
        <w:rPr>
          <w:rFonts w:hint="eastAsia" w:ascii="宋体" w:hAnsi="宋体" w:eastAsia="宋体" w:cs="Times New Roman"/>
          <w:color w:val="auto"/>
          <w:szCs w:val="21"/>
          <w:highlight w:val="none"/>
          <w:u w:val="single"/>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pPr>
              <w:widowControl w:val="0"/>
              <w:adjustRightInd w:val="0"/>
              <w:snapToGrid w:val="0"/>
              <w:spacing w:before="156" w:beforeLines="50" w:line="360" w:lineRule="auto"/>
              <w:jc w:val="center"/>
              <w:rPr>
                <w:rFonts w:hint="eastAsia" w:ascii="宋体" w:hAnsi="宋体" w:eastAsia="宋体" w:cs="Times New Roman"/>
                <w:b/>
                <w:color w:val="auto"/>
                <w:kern w:val="0"/>
                <w:sz w:val="20"/>
                <w:szCs w:val="21"/>
                <w:highlight w:val="none"/>
              </w:rPr>
            </w:pPr>
            <w:r>
              <w:rPr>
                <w:rFonts w:hint="eastAsia" w:ascii="宋体" w:hAnsi="宋体" w:eastAsia="宋体" w:cs="Times New Roman"/>
                <w:b/>
                <w:color w:val="auto"/>
                <w:kern w:val="0"/>
                <w:szCs w:val="21"/>
                <w:highlight w:val="none"/>
              </w:rPr>
              <w:t>首次报价</w:t>
            </w:r>
          </w:p>
        </w:tc>
        <w:tc>
          <w:tcPr>
            <w:tcW w:w="3119" w:type="dxa"/>
            <w:vAlign w:val="center"/>
          </w:tcPr>
          <w:p>
            <w:pPr>
              <w:widowControl w:val="0"/>
              <w:adjustRightInd w:val="0"/>
              <w:snapToGrid w:val="0"/>
              <w:spacing w:before="156" w:beforeLines="50" w:line="360" w:lineRule="auto"/>
              <w:jc w:val="center"/>
              <w:rPr>
                <w:rFonts w:hint="eastAsia" w:ascii="宋体" w:hAnsi="宋体" w:eastAsia="宋体" w:cs="Times New Roman"/>
                <w:b/>
                <w:color w:val="auto"/>
                <w:kern w:val="0"/>
                <w:szCs w:val="21"/>
                <w:highlight w:val="none"/>
              </w:rPr>
            </w:pPr>
            <w:r>
              <w:rPr>
                <w:rFonts w:hint="eastAsia" w:ascii="宋体" w:hAnsi="宋体" w:eastAsia="宋体" w:cs="Times New Roman"/>
                <w:b/>
                <w:color w:val="auto"/>
                <w:kern w:val="0"/>
                <w:szCs w:val="21"/>
                <w:highlight w:val="none"/>
              </w:rPr>
              <w:t>其他内容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pPr>
              <w:widowControl w:val="0"/>
              <w:adjustRightInd w:val="0"/>
              <w:snapToGrid w:val="0"/>
              <w:spacing w:before="156" w:beforeLines="50"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小写金额：</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 w:val="20"/>
                <w:szCs w:val="21"/>
                <w:highlight w:val="none"/>
              </w:rPr>
              <w:t>人民币元</w:t>
            </w:r>
            <w:r>
              <w:rPr>
                <w:rFonts w:hint="eastAsia" w:ascii="宋体" w:hAnsi="宋体" w:eastAsia="宋体" w:cs="Times New Roman"/>
                <w:color w:val="auto"/>
                <w:kern w:val="0"/>
                <w:szCs w:val="21"/>
                <w:highlight w:val="none"/>
              </w:rPr>
              <w:t>）</w:t>
            </w:r>
          </w:p>
          <w:p>
            <w:pPr>
              <w:widowControl w:val="0"/>
              <w:adjustRightInd w:val="0"/>
              <w:snapToGrid w:val="0"/>
              <w:spacing w:before="156" w:beforeLines="50" w:line="360" w:lineRule="auto"/>
              <w:jc w:val="center"/>
              <w:rPr>
                <w:rFonts w:hint="eastAsia" w:ascii="宋体" w:hAnsi="宋体" w:eastAsia="宋体" w:cs="Times New Roman"/>
                <w:color w:val="auto"/>
                <w:kern w:val="0"/>
                <w:szCs w:val="21"/>
                <w:highlight w:val="none"/>
                <w:u w:val="single"/>
              </w:rPr>
            </w:pPr>
            <w:r>
              <w:rPr>
                <w:rFonts w:hint="eastAsia" w:ascii="宋体" w:hAnsi="宋体" w:eastAsia="宋体" w:cs="Times New Roman"/>
                <w:color w:val="auto"/>
                <w:kern w:val="0"/>
                <w:szCs w:val="21"/>
                <w:highlight w:val="none"/>
              </w:rPr>
              <w:t>大写金额：</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 w:val="20"/>
                <w:szCs w:val="21"/>
                <w:highlight w:val="none"/>
              </w:rPr>
              <w:t>人民币元</w:t>
            </w:r>
            <w:r>
              <w:rPr>
                <w:rFonts w:hint="eastAsia" w:ascii="宋体" w:hAnsi="宋体" w:eastAsia="宋体" w:cs="Times New Roman"/>
                <w:color w:val="auto"/>
                <w:kern w:val="0"/>
                <w:szCs w:val="21"/>
                <w:highlight w:val="none"/>
              </w:rPr>
              <w:t>）</w:t>
            </w:r>
          </w:p>
          <w:p>
            <w:pPr>
              <w:widowControl w:val="0"/>
              <w:adjustRightInd w:val="0"/>
              <w:snapToGrid w:val="0"/>
              <w:spacing w:before="156" w:beforeLines="50" w:line="360" w:lineRule="auto"/>
              <w:jc w:val="center"/>
              <w:rPr>
                <w:rFonts w:hint="eastAsia" w:ascii="宋体" w:hAnsi="宋体" w:eastAsia="宋体" w:cs="Times New Roman"/>
                <w:color w:val="auto"/>
                <w:kern w:val="0"/>
                <w:sz w:val="20"/>
                <w:szCs w:val="21"/>
                <w:highlight w:val="none"/>
              </w:rPr>
            </w:pPr>
            <w:r>
              <w:rPr>
                <w:rFonts w:hint="eastAsia" w:ascii="宋体" w:hAnsi="宋体" w:eastAsia="宋体" w:cs="Times New Roman"/>
                <w:color w:val="auto"/>
                <w:kern w:val="0"/>
                <w:szCs w:val="21"/>
                <w:highlight w:val="none"/>
              </w:rPr>
              <w:t>（</w:t>
            </w:r>
            <w:r>
              <w:rPr>
                <w:rFonts w:hint="eastAsia" w:ascii="黑体" w:hAnsi="黑体" w:eastAsia="黑体" w:cs="Times New Roman"/>
                <w:color w:val="auto"/>
                <w:kern w:val="0"/>
                <w:sz w:val="24"/>
                <w:szCs w:val="24"/>
                <w:highlight w:val="none"/>
              </w:rPr>
              <w:t>大写金额与小写金额不一致时，以大写金额为准</w:t>
            </w:r>
            <w:r>
              <w:rPr>
                <w:rFonts w:hint="eastAsia" w:ascii="宋体" w:hAnsi="宋体" w:eastAsia="宋体" w:cs="Times New Roman"/>
                <w:color w:val="auto"/>
                <w:kern w:val="0"/>
                <w:szCs w:val="21"/>
                <w:highlight w:val="none"/>
              </w:rPr>
              <w:t>）</w:t>
            </w:r>
          </w:p>
        </w:tc>
        <w:tc>
          <w:tcPr>
            <w:tcW w:w="3119" w:type="dxa"/>
            <w:vAlign w:val="center"/>
          </w:tcPr>
          <w:p>
            <w:pPr>
              <w:widowControl w:val="0"/>
              <w:adjustRightInd w:val="0"/>
              <w:snapToGrid w:val="0"/>
              <w:spacing w:before="156" w:beforeLines="50" w:line="360" w:lineRule="auto"/>
              <w:jc w:val="center"/>
              <w:rPr>
                <w:rFonts w:hint="eastAsia" w:ascii="宋体" w:hAnsi="宋体" w:eastAsia="宋体" w:cs="Times New Roman"/>
                <w:color w:val="auto"/>
                <w:kern w:val="0"/>
                <w:szCs w:val="21"/>
                <w:highlight w:val="none"/>
              </w:rPr>
            </w:pPr>
          </w:p>
        </w:tc>
      </w:tr>
    </w:tbl>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注：</w:t>
      </w:r>
      <w:r>
        <w:rPr>
          <w:rFonts w:hint="eastAsia" w:ascii="宋体" w:hAnsi="宋体" w:eastAsia="宋体" w:cs="Times New Roman"/>
          <w:color w:val="auto"/>
          <w:szCs w:val="21"/>
          <w:highlight w:val="none"/>
        </w:rPr>
        <w:t>本表须按包填写，一个“包号”一份。</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p>
    <w:p>
      <w:pPr>
        <w:widowControl w:val="0"/>
        <w:adjustRightInd w:val="0"/>
        <w:snapToGrid w:val="0"/>
        <w:spacing w:line="360" w:lineRule="auto"/>
        <w:jc w:val="both"/>
        <w:rPr>
          <w:rFonts w:hint="eastAsia" w:ascii="宋体" w:hAnsi="宋体" w:eastAsia="宋体" w:cs="Times New Roman"/>
          <w:color w:val="auto"/>
          <w:szCs w:val="21"/>
          <w:highlight w:val="none"/>
        </w:rPr>
      </w:pPr>
    </w:p>
    <w:p>
      <w:pPr>
        <w:widowControl w:val="0"/>
        <w:adjustRightInd w:val="0"/>
        <w:snapToGrid w:val="0"/>
        <w:spacing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供应商名称（盖单位电子公章）：</w:t>
      </w:r>
    </w:p>
    <w:p>
      <w:pPr>
        <w:widowControl w:val="0"/>
        <w:adjustRightInd w:val="0"/>
        <w:snapToGrid w:val="0"/>
        <w:spacing w:line="360" w:lineRule="auto"/>
        <w:jc w:val="both"/>
        <w:rPr>
          <w:rFonts w:hint="eastAsia"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或其授权的代理人（签字或签章）：</w:t>
      </w:r>
    </w:p>
    <w:p>
      <w:pPr>
        <w:widowControl w:val="0"/>
        <w:adjustRightInd w:val="0"/>
        <w:snapToGrid w:val="0"/>
        <w:spacing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pPr>
        <w:widowControl w:val="0"/>
        <w:adjustRightInd w:val="0"/>
        <w:snapToGrid w:val="0"/>
        <w:spacing w:line="240" w:lineRule="auto"/>
        <w:jc w:val="center"/>
        <w:rPr>
          <w:rFonts w:hint="eastAsia" w:ascii="黑体" w:hAnsi="黑体" w:eastAsia="黑体" w:cs="Times New Roman"/>
          <w:bCs/>
          <w:color w:val="auto"/>
          <w:sz w:val="30"/>
          <w:szCs w:val="30"/>
          <w:highlight w:val="none"/>
        </w:rPr>
        <w:sectPr>
          <w:pgSz w:w="11906" w:h="16838"/>
          <w:pgMar w:top="1418" w:right="1418" w:bottom="1134" w:left="1418" w:header="851" w:footer="992" w:gutter="0"/>
          <w:cols w:space="720" w:num="1"/>
          <w:docGrid w:type="linesAndChars" w:linePitch="312" w:charSpace="0"/>
        </w:sectPr>
      </w:pPr>
    </w:p>
    <w:p>
      <w:pPr>
        <w:keepNext/>
        <w:keepLines/>
        <w:widowControl w:val="0"/>
        <w:adjustRightInd w:val="0"/>
        <w:snapToGrid w:val="0"/>
        <w:spacing w:before="156" w:beforeLines="50" w:line="360" w:lineRule="auto"/>
        <w:jc w:val="both"/>
        <w:outlineLvl w:val="2"/>
        <w:rPr>
          <w:rFonts w:hint="eastAsia" w:ascii="宋体" w:hAnsi="宋体" w:eastAsia="宋体" w:cs="Times New Roman"/>
          <w:b/>
          <w:bCs/>
          <w:color w:val="auto"/>
          <w:szCs w:val="21"/>
          <w:highlight w:val="none"/>
        </w:rPr>
      </w:pPr>
      <w:bookmarkStart w:id="208" w:name="_Toc207373256"/>
      <w:bookmarkStart w:id="209" w:name="_Toc214954922"/>
      <w:bookmarkStart w:id="210" w:name="_Toc107998030"/>
      <w:r>
        <w:rPr>
          <w:rFonts w:hint="eastAsia" w:ascii="宋体" w:hAnsi="宋体" w:eastAsia="宋体" w:cs="Times New Roman"/>
          <w:b/>
          <w:bCs/>
          <w:color w:val="auto"/>
          <w:szCs w:val="21"/>
          <w:highlight w:val="none"/>
        </w:rPr>
        <w:t>附件</w:t>
      </w:r>
      <w:r>
        <w:rPr>
          <w:rFonts w:ascii="宋体" w:hAnsi="宋体" w:eastAsia="宋体" w:cs="Times New Roman"/>
          <w:b/>
          <w:bCs/>
          <w:color w:val="auto"/>
          <w:szCs w:val="21"/>
          <w:highlight w:val="none"/>
        </w:rPr>
        <w:t>1</w:t>
      </w:r>
      <w:r>
        <w:rPr>
          <w:rFonts w:hint="eastAsia" w:ascii="宋体" w:hAnsi="宋体" w:eastAsia="宋体" w:cs="Times New Roman"/>
          <w:b/>
          <w:bCs/>
          <w:color w:val="auto"/>
          <w:szCs w:val="21"/>
          <w:highlight w:val="none"/>
        </w:rPr>
        <w:t>-2分项报价说明</w:t>
      </w:r>
      <w:bookmarkEnd w:id="208"/>
      <w:bookmarkEnd w:id="209"/>
      <w:bookmarkEnd w:id="210"/>
    </w:p>
    <w:p>
      <w:pPr>
        <w:widowControl w:val="0"/>
        <w:autoSpaceDE w:val="0"/>
        <w:autoSpaceDN w:val="0"/>
        <w:adjustRightInd w:val="0"/>
        <w:snapToGrid w:val="0"/>
        <w:spacing w:before="156" w:beforeLines="50" w:line="360" w:lineRule="auto"/>
        <w:jc w:val="center"/>
        <w:rPr>
          <w:rFonts w:hint="eastAsia" w:ascii="黑体" w:hAnsi="宋体" w:eastAsia="黑体" w:cs="微软雅黑"/>
          <w:b/>
          <w:color w:val="auto"/>
          <w:kern w:val="0"/>
          <w:sz w:val="28"/>
          <w:szCs w:val="28"/>
          <w:highlight w:val="none"/>
        </w:rPr>
      </w:pPr>
      <w:r>
        <w:rPr>
          <w:rFonts w:hint="eastAsia" w:ascii="黑体" w:hAnsi="宋体" w:eastAsia="黑体" w:cs="微软雅黑"/>
          <w:b/>
          <w:color w:val="auto"/>
          <w:spacing w:val="-2"/>
          <w:kern w:val="0"/>
          <w:sz w:val="28"/>
          <w:szCs w:val="28"/>
          <w:highlight w:val="none"/>
        </w:rPr>
        <w:t>分</w:t>
      </w:r>
      <w:r>
        <w:rPr>
          <w:rFonts w:hint="eastAsia" w:ascii="黑体" w:hAnsi="宋体" w:eastAsia="黑体" w:cs="微软雅黑"/>
          <w:b/>
          <w:color w:val="auto"/>
          <w:kern w:val="0"/>
          <w:sz w:val="28"/>
          <w:szCs w:val="28"/>
          <w:highlight w:val="none"/>
        </w:rPr>
        <w:t>项</w:t>
      </w:r>
      <w:r>
        <w:rPr>
          <w:rFonts w:hint="eastAsia" w:ascii="黑体" w:hAnsi="宋体" w:eastAsia="黑体" w:cs="微软雅黑"/>
          <w:b/>
          <w:color w:val="auto"/>
          <w:spacing w:val="-2"/>
          <w:kern w:val="0"/>
          <w:sz w:val="28"/>
          <w:szCs w:val="28"/>
          <w:highlight w:val="none"/>
        </w:rPr>
        <w:t>报</w:t>
      </w:r>
      <w:r>
        <w:rPr>
          <w:rFonts w:hint="eastAsia" w:ascii="黑体" w:hAnsi="宋体" w:eastAsia="黑体" w:cs="微软雅黑"/>
          <w:b/>
          <w:color w:val="auto"/>
          <w:kern w:val="0"/>
          <w:sz w:val="28"/>
          <w:szCs w:val="28"/>
          <w:highlight w:val="none"/>
        </w:rPr>
        <w:t>价说明</w:t>
      </w:r>
    </w:p>
    <w:p>
      <w:pPr>
        <w:widowControl w:val="0"/>
        <w:autoSpaceDE w:val="0"/>
        <w:autoSpaceDN w:val="0"/>
        <w:adjustRightInd w:val="0"/>
        <w:snapToGrid w:val="0"/>
        <w:spacing w:before="156" w:beforeLines="50" w:line="360" w:lineRule="auto"/>
        <w:rPr>
          <w:rFonts w:hint="eastAsia" w:ascii="宋体" w:hAnsi="宋体" w:eastAsia="宋体" w:cs="微软雅黑"/>
          <w:color w:val="auto"/>
          <w:kern w:val="0"/>
          <w:szCs w:val="21"/>
          <w:highlight w:val="none"/>
        </w:rPr>
      </w:pPr>
    </w:p>
    <w:p>
      <w:pPr>
        <w:widowControl w:val="0"/>
        <w:autoSpaceDE w:val="0"/>
        <w:autoSpaceDN w:val="0"/>
        <w:adjustRightInd w:val="0"/>
        <w:snapToGrid w:val="0"/>
        <w:spacing w:before="156" w:beforeLines="50"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注：1.供应商应按谈判文件第二章相关要求，对本节</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分项报价明细表</w:t>
      </w:r>
      <w:r>
        <w:rPr>
          <w:rFonts w:hint="eastAsia" w:ascii="宋体" w:hAnsi="宋体" w:eastAsia="宋体" w:cs="宋体"/>
          <w:bCs/>
          <w:color w:val="auto"/>
          <w:szCs w:val="21"/>
          <w:highlight w:val="none"/>
        </w:rPr>
        <w:t>”进行</w:t>
      </w:r>
      <w:r>
        <w:rPr>
          <w:rFonts w:hint="eastAsia" w:ascii="宋体" w:hAnsi="宋体" w:eastAsia="宋体" w:cs="宋体"/>
          <w:color w:val="auto"/>
          <w:kern w:val="0"/>
          <w:szCs w:val="21"/>
          <w:highlight w:val="none"/>
        </w:rPr>
        <w:t>编制，并说明。</w:t>
      </w:r>
    </w:p>
    <w:p>
      <w:pPr>
        <w:widowControl w:val="0"/>
        <w:autoSpaceDE w:val="0"/>
        <w:autoSpaceDN w:val="0"/>
        <w:adjustRightInd w:val="0"/>
        <w:snapToGrid w:val="0"/>
        <w:spacing w:before="156" w:beforeLines="50" w:line="360" w:lineRule="auto"/>
        <w:rPr>
          <w:rFonts w:hint="eastAsia" w:ascii="宋体" w:hAnsi="宋体" w:eastAsia="宋体" w:cs="宋体"/>
          <w:color w:val="auto"/>
          <w:kern w:val="0"/>
          <w:szCs w:val="21"/>
          <w:highlight w:val="none"/>
        </w:rPr>
      </w:pPr>
    </w:p>
    <w:p>
      <w:pPr>
        <w:widowControl w:val="0"/>
        <w:adjustRightInd w:val="0"/>
        <w:snapToGrid w:val="0"/>
        <w:spacing w:before="156" w:beforeLines="50" w:line="360" w:lineRule="auto"/>
        <w:jc w:val="both"/>
        <w:rPr>
          <w:rFonts w:hint="eastAsia" w:ascii="宋体" w:hAnsi="宋体" w:eastAsia="宋体" w:cs="宋体"/>
          <w:color w:val="auto"/>
          <w:szCs w:val="24"/>
          <w:highlight w:val="none"/>
        </w:rPr>
      </w:pPr>
    </w:p>
    <w:p>
      <w:pPr>
        <w:keepNext/>
        <w:keepLines/>
        <w:widowControl w:val="0"/>
        <w:adjustRightInd w:val="0"/>
        <w:snapToGrid w:val="0"/>
        <w:spacing w:before="156" w:beforeLines="50" w:line="360" w:lineRule="auto"/>
        <w:jc w:val="both"/>
        <w:outlineLvl w:val="2"/>
        <w:rPr>
          <w:rFonts w:hint="eastAsia" w:ascii="宋体" w:hAnsi="宋体" w:eastAsia="宋体" w:cs="宋体"/>
          <w:b/>
          <w:bCs/>
          <w:color w:val="auto"/>
          <w:spacing w:val="-2"/>
          <w:position w:val="-3"/>
          <w:szCs w:val="21"/>
          <w:highlight w:val="none"/>
        </w:rPr>
      </w:pPr>
      <w:bookmarkStart w:id="211" w:name="_Toc3241"/>
      <w:bookmarkStart w:id="212" w:name="_Toc107998032"/>
      <w:bookmarkStart w:id="213" w:name="_Toc181004494"/>
      <w:bookmarkStart w:id="214" w:name="_Toc214954923"/>
      <w:bookmarkStart w:id="215" w:name="_Toc212820456"/>
      <w:r>
        <w:rPr>
          <w:rFonts w:hint="eastAsia" w:ascii="宋体" w:hAnsi="宋体" w:eastAsia="宋体" w:cs="宋体"/>
          <w:b/>
          <w:bCs/>
          <w:color w:val="auto"/>
          <w:szCs w:val="21"/>
          <w:highlight w:val="none"/>
        </w:rPr>
        <w:t>附件1-3</w:t>
      </w:r>
      <w:bookmarkEnd w:id="211"/>
      <w:bookmarkEnd w:id="212"/>
      <w:bookmarkEnd w:id="213"/>
      <w:r>
        <w:rPr>
          <w:rFonts w:hint="eastAsia" w:ascii="宋体" w:hAnsi="宋体" w:eastAsia="宋体" w:cs="宋体"/>
          <w:b/>
          <w:bCs/>
          <w:color w:val="auto"/>
          <w:spacing w:val="-2"/>
          <w:position w:val="-3"/>
          <w:szCs w:val="21"/>
          <w:highlight w:val="none"/>
        </w:rPr>
        <w:t>分项报价表</w:t>
      </w:r>
      <w:bookmarkEnd w:id="214"/>
      <w:bookmarkEnd w:id="215"/>
    </w:p>
    <w:p>
      <w:pPr>
        <w:widowControl w:val="0"/>
        <w:spacing w:line="360" w:lineRule="exact"/>
        <w:ind w:firstLine="276" w:firstLineChars="100"/>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spacing w:val="-2"/>
          <w:kern w:val="0"/>
          <w:sz w:val="28"/>
          <w:szCs w:val="28"/>
          <w:highlight w:val="none"/>
        </w:rPr>
        <w:t>分</w:t>
      </w:r>
      <w:r>
        <w:rPr>
          <w:rFonts w:hint="eastAsia" w:ascii="宋体" w:hAnsi="宋体" w:eastAsia="宋体" w:cs="宋体"/>
          <w:b/>
          <w:color w:val="auto"/>
          <w:kern w:val="0"/>
          <w:sz w:val="28"/>
          <w:szCs w:val="28"/>
          <w:highlight w:val="none"/>
        </w:rPr>
        <w:t>项</w:t>
      </w:r>
      <w:r>
        <w:rPr>
          <w:rFonts w:hint="eastAsia" w:ascii="宋体" w:hAnsi="宋体" w:eastAsia="宋体" w:cs="宋体"/>
          <w:b/>
          <w:color w:val="auto"/>
          <w:spacing w:val="-2"/>
          <w:kern w:val="0"/>
          <w:sz w:val="28"/>
          <w:szCs w:val="28"/>
          <w:highlight w:val="none"/>
        </w:rPr>
        <w:t>报</w:t>
      </w:r>
      <w:r>
        <w:rPr>
          <w:rFonts w:hint="eastAsia" w:ascii="宋体" w:hAnsi="宋体" w:eastAsia="宋体" w:cs="宋体"/>
          <w:b/>
          <w:color w:val="auto"/>
          <w:kern w:val="0"/>
          <w:sz w:val="28"/>
          <w:szCs w:val="28"/>
          <w:highlight w:val="none"/>
        </w:rPr>
        <w:t>价明细表</w:t>
      </w:r>
    </w:p>
    <w:p>
      <w:pPr>
        <w:widowControl w:val="0"/>
        <w:spacing w:after="120" w:line="276" w:lineRule="auto"/>
        <w:ind w:left="420" w:leftChars="200"/>
        <w:jc w:val="both"/>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采购项目名称：</w:t>
      </w:r>
    </w:p>
    <w:p>
      <w:pPr>
        <w:widowControl w:val="0"/>
        <w:spacing w:after="120" w:line="276" w:lineRule="auto"/>
        <w:ind w:left="420" w:leftChars="200"/>
        <w:jc w:val="both"/>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包号：</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金额单位：元</w:t>
      </w:r>
    </w:p>
    <w:tbl>
      <w:tblPr>
        <w:tblStyle w:val="44"/>
        <w:tblW w:w="8505" w:type="dxa"/>
        <w:tblInd w:w="15" w:type="dxa"/>
        <w:tblLayout w:type="fixed"/>
        <w:tblCellMar>
          <w:top w:w="0" w:type="dxa"/>
          <w:left w:w="0" w:type="dxa"/>
          <w:bottom w:w="0" w:type="dxa"/>
          <w:right w:w="0" w:type="dxa"/>
        </w:tblCellMar>
      </w:tblPr>
      <w:tblGrid>
        <w:gridCol w:w="349"/>
        <w:gridCol w:w="1069"/>
        <w:gridCol w:w="1417"/>
        <w:gridCol w:w="1134"/>
        <w:gridCol w:w="1843"/>
        <w:gridCol w:w="567"/>
        <w:gridCol w:w="425"/>
        <w:gridCol w:w="567"/>
        <w:gridCol w:w="567"/>
        <w:gridCol w:w="567"/>
      </w:tblGrid>
      <w:tr>
        <w:tblPrEx>
          <w:tblCellMar>
            <w:top w:w="0" w:type="dxa"/>
            <w:left w:w="0" w:type="dxa"/>
            <w:bottom w:w="0" w:type="dxa"/>
            <w:right w:w="0" w:type="dxa"/>
          </w:tblCellMar>
        </w:tblPrEx>
        <w:trPr>
          <w:trHeight w:val="555" w:hRule="atLeast"/>
        </w:trPr>
        <w:tc>
          <w:tcPr>
            <w:tcW w:w="1418" w:type="dxa"/>
            <w:gridSpan w:val="2"/>
            <w:vMerge w:val="restart"/>
            <w:tcBorders>
              <w:top w:val="double" w:color="auto" w:sz="4" w:space="0"/>
              <w:left w:val="double" w:color="auto" w:sz="4" w:space="0"/>
              <w:bottom w:val="single" w:color="auto" w:sz="6" w:space="0"/>
              <w:right w:val="single" w:color="auto" w:sz="6" w:space="0"/>
            </w:tcBorders>
            <w:vAlign w:val="center"/>
          </w:tcPr>
          <w:p>
            <w:pPr>
              <w:widowControl w:val="0"/>
              <w:autoSpaceDE w:val="0"/>
              <w:autoSpaceDN w:val="0"/>
              <w:adjustRightInd w:val="0"/>
              <w:snapToGrid w:val="0"/>
              <w:spacing w:line="360" w:lineRule="auto"/>
              <w:ind w:right="-20"/>
              <w:jc w:val="center"/>
              <w:rPr>
                <w:rFonts w:hint="eastAsia"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分项项目名称</w:t>
            </w:r>
          </w:p>
        </w:tc>
        <w:tc>
          <w:tcPr>
            <w:tcW w:w="1417" w:type="dxa"/>
            <w:vMerge w:val="restart"/>
            <w:tcBorders>
              <w:top w:val="double" w:color="auto" w:sz="4" w:space="0"/>
              <w:left w:val="single" w:color="auto" w:sz="6" w:space="0"/>
              <w:bottom w:val="single" w:color="auto" w:sz="6" w:space="0"/>
              <w:right w:val="single" w:color="auto" w:sz="4" w:space="0"/>
            </w:tcBorders>
            <w:vAlign w:val="center"/>
          </w:tcPr>
          <w:p>
            <w:pPr>
              <w:widowControl w:val="0"/>
              <w:autoSpaceDE w:val="0"/>
              <w:autoSpaceDN w:val="0"/>
              <w:adjustRightInd w:val="0"/>
              <w:snapToGrid w:val="0"/>
              <w:spacing w:line="360" w:lineRule="auto"/>
              <w:ind w:right="-20"/>
              <w:jc w:val="center"/>
              <w:rPr>
                <w:rFonts w:hint="eastAsia" w:ascii="宋体" w:hAnsi="宋体" w:eastAsia="宋体" w:cs="Times New Roman"/>
                <w:bCs/>
                <w:color w:val="auto"/>
                <w:szCs w:val="21"/>
                <w:highlight w:val="none"/>
              </w:rPr>
            </w:pPr>
            <w:r>
              <w:rPr>
                <w:rFonts w:hint="eastAsia" w:ascii="宋体" w:hAnsi="宋体" w:eastAsia="宋体" w:cs="Times New Roman"/>
                <w:color w:val="auto"/>
                <w:szCs w:val="21"/>
                <w:highlight w:val="none"/>
              </w:rPr>
              <w:t>货物</w:t>
            </w:r>
            <w:r>
              <w:rPr>
                <w:rFonts w:hint="eastAsia" w:ascii="宋体" w:hAnsi="宋体" w:eastAsia="宋体" w:cs="Times New Roman"/>
                <w:bCs/>
                <w:color w:val="auto"/>
                <w:szCs w:val="21"/>
                <w:highlight w:val="none"/>
              </w:rPr>
              <w:t>名称</w:t>
            </w:r>
          </w:p>
          <w:p>
            <w:pPr>
              <w:widowControl w:val="0"/>
              <w:autoSpaceDE w:val="0"/>
              <w:autoSpaceDN w:val="0"/>
              <w:adjustRightInd w:val="0"/>
              <w:snapToGrid w:val="0"/>
              <w:spacing w:line="360" w:lineRule="auto"/>
              <w:ind w:right="-20"/>
              <w:jc w:val="center"/>
              <w:rPr>
                <w:rFonts w:hint="eastAsia" w:ascii="宋体" w:hAnsi="宋体" w:eastAsia="宋体" w:cs="微软雅黑"/>
                <w:color w:val="auto"/>
                <w:kern w:val="0"/>
                <w:position w:val="-1"/>
                <w:szCs w:val="21"/>
                <w:highlight w:val="none"/>
              </w:rPr>
            </w:pPr>
            <w:r>
              <w:rPr>
                <w:rFonts w:hint="eastAsia" w:ascii="宋体" w:hAnsi="宋体" w:eastAsia="宋体" w:cs="Times New Roman"/>
                <w:bCs/>
                <w:color w:val="auto"/>
                <w:szCs w:val="21"/>
                <w:highlight w:val="none"/>
              </w:rPr>
              <w:t>（品目分类）</w:t>
            </w:r>
          </w:p>
        </w:tc>
        <w:tc>
          <w:tcPr>
            <w:tcW w:w="1134" w:type="dxa"/>
            <w:vMerge w:val="restart"/>
            <w:tcBorders>
              <w:top w:val="double" w:color="auto" w:sz="4" w:space="0"/>
              <w:left w:val="single" w:color="auto" w:sz="4" w:space="0"/>
              <w:bottom w:val="single" w:color="auto" w:sz="6" w:space="0"/>
              <w:right w:val="single" w:color="auto" w:sz="4" w:space="0"/>
            </w:tcBorders>
            <w:vAlign w:val="center"/>
          </w:tcPr>
          <w:p>
            <w:pPr>
              <w:widowControl w:val="0"/>
              <w:adjustRightInd w:val="0"/>
              <w:snapToGrid w:val="0"/>
              <w:spacing w:line="240" w:lineRule="auto"/>
              <w:ind w:left="-88" w:leftChars="-42" w:firstLine="88" w:firstLineChars="42"/>
              <w:jc w:val="center"/>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制造商名称</w:t>
            </w:r>
          </w:p>
        </w:tc>
        <w:tc>
          <w:tcPr>
            <w:tcW w:w="1843" w:type="dxa"/>
            <w:vMerge w:val="restart"/>
            <w:tcBorders>
              <w:top w:val="double" w:color="auto" w:sz="4" w:space="0"/>
              <w:left w:val="single" w:color="auto" w:sz="4" w:space="0"/>
              <w:bottom w:val="single" w:color="auto" w:sz="6" w:space="0"/>
              <w:right w:val="single" w:color="auto" w:sz="4" w:space="0"/>
            </w:tcBorders>
            <w:vAlign w:val="center"/>
          </w:tcPr>
          <w:p>
            <w:pPr>
              <w:widowControl w:val="0"/>
              <w:autoSpaceDE w:val="0"/>
              <w:autoSpaceDN w:val="0"/>
              <w:adjustRightInd w:val="0"/>
              <w:snapToGrid w:val="0"/>
              <w:spacing w:line="360" w:lineRule="auto"/>
              <w:ind w:right="-20"/>
              <w:jc w:val="center"/>
              <w:rPr>
                <w:rFonts w:hint="eastAsia" w:ascii="宋体" w:hAnsi="宋体" w:eastAsia="宋体" w:cs="微软雅黑"/>
                <w:color w:val="auto"/>
                <w:kern w:val="0"/>
                <w:position w:val="-1"/>
                <w:szCs w:val="21"/>
                <w:highlight w:val="none"/>
              </w:rPr>
            </w:pPr>
            <w:r>
              <w:rPr>
                <w:rFonts w:hint="eastAsia" w:ascii="宋体" w:hAnsi="宋体" w:eastAsia="宋体" w:cs="Times New Roman"/>
                <w:bCs/>
                <w:color w:val="auto"/>
                <w:szCs w:val="21"/>
                <w:highlight w:val="none"/>
              </w:rPr>
              <w:t>规格型号（</w:t>
            </w:r>
            <w:r>
              <w:rPr>
                <w:rFonts w:hint="eastAsia" w:ascii="Times New Roman" w:hAnsi="Times New Roman" w:eastAsia="宋体" w:cs="Times New Roman"/>
                <w:color w:val="auto"/>
                <w:szCs w:val="21"/>
                <w:highlight w:val="none"/>
              </w:rPr>
              <w:t>功能简述或项目特征描述）</w:t>
            </w:r>
          </w:p>
        </w:tc>
        <w:tc>
          <w:tcPr>
            <w:tcW w:w="567" w:type="dxa"/>
            <w:vMerge w:val="restart"/>
            <w:tcBorders>
              <w:top w:val="double" w:color="auto" w:sz="4" w:space="0"/>
              <w:left w:val="single" w:color="auto" w:sz="4" w:space="0"/>
              <w:bottom w:val="single" w:color="auto" w:sz="6" w:space="0"/>
              <w:right w:val="single" w:color="auto" w:sz="4" w:space="0"/>
            </w:tcBorders>
            <w:vAlign w:val="center"/>
          </w:tcPr>
          <w:p>
            <w:pPr>
              <w:widowControl w:val="0"/>
              <w:autoSpaceDE w:val="0"/>
              <w:autoSpaceDN w:val="0"/>
              <w:adjustRightInd w:val="0"/>
              <w:snapToGrid w:val="0"/>
              <w:spacing w:line="360" w:lineRule="auto"/>
              <w:ind w:right="-20"/>
              <w:jc w:val="center"/>
              <w:rPr>
                <w:rFonts w:hint="eastAsia"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数量</w:t>
            </w:r>
          </w:p>
        </w:tc>
        <w:tc>
          <w:tcPr>
            <w:tcW w:w="425" w:type="dxa"/>
            <w:vMerge w:val="restart"/>
            <w:tcBorders>
              <w:top w:val="double" w:color="auto" w:sz="4" w:space="0"/>
              <w:left w:val="single" w:color="auto" w:sz="4" w:space="0"/>
              <w:bottom w:val="single" w:color="auto" w:sz="6" w:space="0"/>
              <w:right w:val="single" w:color="auto" w:sz="4" w:space="0"/>
            </w:tcBorders>
            <w:vAlign w:val="center"/>
          </w:tcPr>
          <w:p>
            <w:pPr>
              <w:widowControl w:val="0"/>
              <w:autoSpaceDE w:val="0"/>
              <w:autoSpaceDN w:val="0"/>
              <w:adjustRightInd w:val="0"/>
              <w:snapToGrid w:val="0"/>
              <w:spacing w:line="360" w:lineRule="auto"/>
              <w:ind w:right="-20"/>
              <w:jc w:val="center"/>
              <w:rPr>
                <w:rFonts w:hint="eastAsia" w:ascii="宋体" w:hAnsi="宋体" w:eastAsia="宋体" w:cs="微软雅黑"/>
                <w:color w:val="auto"/>
                <w:kern w:val="0"/>
                <w:position w:val="-1"/>
                <w:szCs w:val="21"/>
                <w:highlight w:val="none"/>
              </w:rPr>
            </w:pPr>
            <w:r>
              <w:rPr>
                <w:rFonts w:hint="eastAsia" w:ascii="宋体" w:hAnsi="宋体" w:eastAsia="宋体" w:cs="Times New Roman"/>
                <w:color w:val="auto"/>
                <w:szCs w:val="21"/>
                <w:highlight w:val="none"/>
              </w:rPr>
              <w:t>单位</w:t>
            </w:r>
          </w:p>
        </w:tc>
        <w:tc>
          <w:tcPr>
            <w:tcW w:w="1134" w:type="dxa"/>
            <w:gridSpan w:val="2"/>
            <w:tcBorders>
              <w:top w:val="double" w:color="auto" w:sz="4" w:space="0"/>
              <w:left w:val="single" w:color="auto" w:sz="4" w:space="0"/>
              <w:bottom w:val="single" w:color="auto" w:sz="6" w:space="0"/>
              <w:right w:val="single" w:color="auto" w:sz="6" w:space="0"/>
            </w:tcBorders>
            <w:vAlign w:val="center"/>
          </w:tcPr>
          <w:p>
            <w:pPr>
              <w:widowControl w:val="0"/>
              <w:autoSpaceDE w:val="0"/>
              <w:autoSpaceDN w:val="0"/>
              <w:adjustRightInd w:val="0"/>
              <w:snapToGrid w:val="0"/>
              <w:spacing w:line="360" w:lineRule="auto"/>
              <w:ind w:right="-20"/>
              <w:jc w:val="center"/>
              <w:rPr>
                <w:rFonts w:hint="eastAsia"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金额（元）</w:t>
            </w:r>
          </w:p>
        </w:tc>
        <w:tc>
          <w:tcPr>
            <w:tcW w:w="567" w:type="dxa"/>
            <w:vMerge w:val="restart"/>
            <w:tcBorders>
              <w:top w:val="double" w:color="auto" w:sz="4" w:space="0"/>
              <w:left w:val="single" w:color="auto" w:sz="6" w:space="0"/>
              <w:bottom w:val="single" w:color="auto" w:sz="6" w:space="0"/>
              <w:right w:val="double" w:color="auto" w:sz="4" w:space="0"/>
            </w:tcBorders>
            <w:vAlign w:val="center"/>
          </w:tcPr>
          <w:p>
            <w:pPr>
              <w:widowControl w:val="0"/>
              <w:autoSpaceDE w:val="0"/>
              <w:autoSpaceDN w:val="0"/>
              <w:adjustRightInd w:val="0"/>
              <w:snapToGrid w:val="0"/>
              <w:spacing w:line="360" w:lineRule="auto"/>
              <w:ind w:right="-20"/>
              <w:jc w:val="center"/>
              <w:rPr>
                <w:rFonts w:hint="eastAsia"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备注</w:t>
            </w:r>
          </w:p>
        </w:tc>
      </w:tr>
      <w:tr>
        <w:tblPrEx>
          <w:tblCellMar>
            <w:top w:w="0" w:type="dxa"/>
            <w:left w:w="0" w:type="dxa"/>
            <w:bottom w:w="0" w:type="dxa"/>
            <w:right w:w="0" w:type="dxa"/>
          </w:tblCellMar>
        </w:tblPrEx>
        <w:trPr>
          <w:trHeight w:val="394" w:hRule="exact"/>
        </w:trPr>
        <w:tc>
          <w:tcPr>
            <w:tcW w:w="2487" w:type="dxa"/>
            <w:gridSpan w:val="2"/>
            <w:vMerge w:val="continue"/>
            <w:tcBorders>
              <w:top w:val="double" w:color="auto" w:sz="4" w:space="0"/>
              <w:left w:val="double" w:color="auto" w:sz="4" w:space="0"/>
              <w:bottom w:val="single" w:color="auto" w:sz="6" w:space="0"/>
              <w:right w:val="single" w:color="auto" w:sz="6" w:space="0"/>
            </w:tcBorders>
            <w:vAlign w:val="center"/>
          </w:tcPr>
          <w:p>
            <w:pPr>
              <w:spacing w:line="240" w:lineRule="auto"/>
              <w:rPr>
                <w:rFonts w:hint="eastAsia" w:ascii="宋体" w:hAnsi="宋体" w:eastAsia="宋体" w:cs="微软雅黑"/>
                <w:color w:val="auto"/>
                <w:kern w:val="0"/>
                <w:position w:val="-1"/>
                <w:szCs w:val="21"/>
                <w:highlight w:val="none"/>
              </w:rPr>
            </w:pPr>
          </w:p>
        </w:tc>
        <w:tc>
          <w:tcPr>
            <w:tcW w:w="7087" w:type="dxa"/>
            <w:vMerge w:val="continue"/>
            <w:tcBorders>
              <w:top w:val="double" w:color="auto" w:sz="4" w:space="0"/>
              <w:left w:val="single" w:color="auto" w:sz="6" w:space="0"/>
              <w:bottom w:val="single" w:color="auto" w:sz="6" w:space="0"/>
              <w:right w:val="single" w:color="auto" w:sz="4" w:space="0"/>
            </w:tcBorders>
            <w:vAlign w:val="center"/>
          </w:tcPr>
          <w:p>
            <w:pPr>
              <w:spacing w:line="240" w:lineRule="auto"/>
              <w:rPr>
                <w:rFonts w:hint="eastAsia" w:ascii="宋体" w:hAnsi="宋体" w:eastAsia="宋体" w:cs="微软雅黑"/>
                <w:color w:val="auto"/>
                <w:kern w:val="0"/>
                <w:position w:val="-1"/>
                <w:szCs w:val="21"/>
                <w:highlight w:val="none"/>
              </w:rPr>
            </w:pPr>
          </w:p>
        </w:tc>
        <w:tc>
          <w:tcPr>
            <w:tcW w:w="1134" w:type="dxa"/>
            <w:vMerge w:val="continue"/>
            <w:tcBorders>
              <w:top w:val="double" w:color="auto" w:sz="4" w:space="0"/>
              <w:left w:val="single" w:color="auto" w:sz="4" w:space="0"/>
              <w:bottom w:val="single" w:color="auto" w:sz="6" w:space="0"/>
              <w:right w:val="single" w:color="auto" w:sz="4" w:space="0"/>
            </w:tcBorders>
            <w:vAlign w:val="center"/>
          </w:tcPr>
          <w:p>
            <w:pPr>
              <w:spacing w:line="240" w:lineRule="auto"/>
              <w:rPr>
                <w:rFonts w:hint="eastAsia" w:ascii="宋体" w:hAnsi="宋体" w:eastAsia="宋体" w:cs="Times New Roman"/>
                <w:bCs/>
                <w:color w:val="auto"/>
                <w:szCs w:val="21"/>
                <w:highlight w:val="none"/>
              </w:rPr>
            </w:pPr>
          </w:p>
        </w:tc>
        <w:tc>
          <w:tcPr>
            <w:tcW w:w="1843" w:type="dxa"/>
            <w:vMerge w:val="continue"/>
            <w:tcBorders>
              <w:top w:val="double" w:color="auto" w:sz="4" w:space="0"/>
              <w:left w:val="single" w:color="auto" w:sz="4" w:space="0"/>
              <w:bottom w:val="single" w:color="auto" w:sz="6" w:space="0"/>
              <w:right w:val="single" w:color="auto" w:sz="4" w:space="0"/>
            </w:tcBorders>
            <w:vAlign w:val="center"/>
          </w:tcPr>
          <w:p>
            <w:pPr>
              <w:spacing w:line="240" w:lineRule="auto"/>
              <w:rPr>
                <w:rFonts w:hint="eastAsia" w:ascii="宋体" w:hAnsi="宋体" w:eastAsia="宋体" w:cs="微软雅黑"/>
                <w:color w:val="auto"/>
                <w:kern w:val="0"/>
                <w:position w:val="-1"/>
                <w:szCs w:val="21"/>
                <w:highlight w:val="none"/>
              </w:rPr>
            </w:pPr>
          </w:p>
        </w:tc>
        <w:tc>
          <w:tcPr>
            <w:tcW w:w="567" w:type="dxa"/>
            <w:vMerge w:val="continue"/>
            <w:tcBorders>
              <w:top w:val="double" w:color="auto" w:sz="4" w:space="0"/>
              <w:left w:val="single" w:color="auto" w:sz="4" w:space="0"/>
              <w:bottom w:val="single" w:color="auto" w:sz="6" w:space="0"/>
              <w:right w:val="single" w:color="auto" w:sz="4" w:space="0"/>
            </w:tcBorders>
            <w:vAlign w:val="center"/>
          </w:tcPr>
          <w:p>
            <w:pPr>
              <w:spacing w:line="240" w:lineRule="auto"/>
              <w:rPr>
                <w:rFonts w:hint="eastAsia" w:ascii="宋体" w:hAnsi="宋体" w:eastAsia="宋体" w:cs="微软雅黑"/>
                <w:color w:val="auto"/>
                <w:kern w:val="0"/>
                <w:position w:val="-1"/>
                <w:szCs w:val="21"/>
                <w:highlight w:val="none"/>
              </w:rPr>
            </w:pPr>
          </w:p>
        </w:tc>
        <w:tc>
          <w:tcPr>
            <w:tcW w:w="425" w:type="dxa"/>
            <w:vMerge w:val="continue"/>
            <w:tcBorders>
              <w:top w:val="double" w:color="auto" w:sz="4" w:space="0"/>
              <w:left w:val="single" w:color="auto" w:sz="4" w:space="0"/>
              <w:bottom w:val="single" w:color="auto" w:sz="6" w:space="0"/>
              <w:right w:val="single" w:color="auto" w:sz="4" w:space="0"/>
            </w:tcBorders>
            <w:vAlign w:val="center"/>
          </w:tcPr>
          <w:p>
            <w:pPr>
              <w:spacing w:line="240" w:lineRule="auto"/>
              <w:rPr>
                <w:rFonts w:hint="eastAsia" w:ascii="宋体" w:hAnsi="宋体" w:eastAsia="宋体" w:cs="微软雅黑"/>
                <w:color w:val="auto"/>
                <w:kern w:val="0"/>
                <w:position w:val="-1"/>
                <w:szCs w:val="21"/>
                <w:highlight w:val="none"/>
              </w:rPr>
            </w:pPr>
          </w:p>
        </w:tc>
        <w:tc>
          <w:tcPr>
            <w:tcW w:w="567" w:type="dxa"/>
            <w:tcBorders>
              <w:top w:val="single" w:color="auto" w:sz="6" w:space="0"/>
              <w:left w:val="single" w:color="auto" w:sz="4" w:space="0"/>
              <w:bottom w:val="single" w:color="auto" w:sz="6" w:space="0"/>
              <w:right w:val="single" w:color="auto" w:sz="4" w:space="0"/>
            </w:tcBorders>
            <w:vAlign w:val="center"/>
          </w:tcPr>
          <w:p>
            <w:pPr>
              <w:widowControl w:val="0"/>
              <w:autoSpaceDE w:val="0"/>
              <w:autoSpaceDN w:val="0"/>
              <w:adjustRightInd w:val="0"/>
              <w:snapToGrid w:val="0"/>
              <w:spacing w:line="360" w:lineRule="auto"/>
              <w:ind w:right="-20"/>
              <w:jc w:val="center"/>
              <w:rPr>
                <w:rFonts w:hint="eastAsia" w:ascii="宋体" w:hAnsi="宋体" w:eastAsia="宋体" w:cs="Times New Roman"/>
                <w:color w:val="auto"/>
                <w:kern w:val="0"/>
                <w:szCs w:val="21"/>
                <w:highlight w:val="none"/>
              </w:rPr>
            </w:pPr>
            <w:r>
              <w:rPr>
                <w:rFonts w:hint="eastAsia" w:ascii="宋体" w:hAnsi="宋体" w:eastAsia="宋体" w:cs="微软雅黑"/>
                <w:color w:val="auto"/>
                <w:kern w:val="0"/>
                <w:position w:val="-1"/>
                <w:szCs w:val="21"/>
                <w:highlight w:val="none"/>
              </w:rPr>
              <w:t>单价</w:t>
            </w:r>
          </w:p>
        </w:tc>
        <w:tc>
          <w:tcPr>
            <w:tcW w:w="567" w:type="dxa"/>
            <w:tcBorders>
              <w:top w:val="single" w:color="auto" w:sz="6" w:space="0"/>
              <w:left w:val="single" w:color="auto" w:sz="4" w:space="0"/>
              <w:bottom w:val="single" w:color="auto" w:sz="6" w:space="0"/>
              <w:right w:val="single" w:color="auto" w:sz="6" w:space="0"/>
            </w:tcBorders>
            <w:vAlign w:val="center"/>
          </w:tcPr>
          <w:p>
            <w:pPr>
              <w:widowControl w:val="0"/>
              <w:autoSpaceDE w:val="0"/>
              <w:autoSpaceDN w:val="0"/>
              <w:adjustRightInd w:val="0"/>
              <w:snapToGrid w:val="0"/>
              <w:spacing w:line="360" w:lineRule="auto"/>
              <w:ind w:left="70" w:right="-20"/>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小计</w:t>
            </w:r>
          </w:p>
        </w:tc>
        <w:tc>
          <w:tcPr>
            <w:tcW w:w="567" w:type="dxa"/>
            <w:vMerge w:val="continue"/>
            <w:tcBorders>
              <w:top w:val="double" w:color="auto" w:sz="4" w:space="0"/>
              <w:left w:val="single" w:color="auto" w:sz="6" w:space="0"/>
              <w:bottom w:val="single" w:color="auto" w:sz="6" w:space="0"/>
              <w:right w:val="double" w:color="auto" w:sz="4" w:space="0"/>
            </w:tcBorders>
            <w:vAlign w:val="center"/>
          </w:tcPr>
          <w:p>
            <w:pPr>
              <w:spacing w:line="240" w:lineRule="auto"/>
              <w:rPr>
                <w:rFonts w:hint="eastAsia" w:ascii="宋体" w:hAnsi="宋体" w:eastAsia="宋体" w:cs="微软雅黑"/>
                <w:color w:val="auto"/>
                <w:kern w:val="0"/>
                <w:position w:val="-1"/>
                <w:szCs w:val="21"/>
                <w:highlight w:val="none"/>
              </w:rPr>
            </w:pPr>
          </w:p>
        </w:tc>
      </w:tr>
      <w:tr>
        <w:tblPrEx>
          <w:tblCellMar>
            <w:top w:w="0" w:type="dxa"/>
            <w:left w:w="0" w:type="dxa"/>
            <w:bottom w:w="0" w:type="dxa"/>
            <w:right w:w="0" w:type="dxa"/>
          </w:tblCellMar>
        </w:tblPrEx>
        <w:trPr>
          <w:trHeight w:val="505" w:hRule="exact"/>
        </w:trPr>
        <w:tc>
          <w:tcPr>
            <w:tcW w:w="349" w:type="dxa"/>
            <w:tcBorders>
              <w:top w:val="single" w:color="auto" w:sz="6" w:space="0"/>
              <w:left w:val="double" w:color="auto" w:sz="4" w:space="0"/>
              <w:bottom w:val="single" w:color="auto" w:sz="6" w:space="0"/>
              <w:right w:val="single" w:color="auto" w:sz="6" w:space="0"/>
            </w:tcBorders>
            <w:vAlign w:val="center"/>
          </w:tcPr>
          <w:p>
            <w:pPr>
              <w:widowControl w:val="0"/>
              <w:spacing w:line="240" w:lineRule="auto"/>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rPr>
              <w:t>1</w:t>
            </w:r>
          </w:p>
        </w:tc>
        <w:tc>
          <w:tcPr>
            <w:tcW w:w="1069" w:type="dxa"/>
            <w:tcBorders>
              <w:top w:val="single" w:color="auto" w:sz="6" w:space="0"/>
              <w:left w:val="single" w:color="auto" w:sz="6" w:space="0"/>
              <w:bottom w:val="single" w:color="auto" w:sz="6" w:space="0"/>
              <w:right w:val="single" w:color="auto" w:sz="6" w:space="0"/>
            </w:tcBorders>
            <w:vAlign w:val="center"/>
          </w:tcPr>
          <w:p>
            <w:pPr>
              <w:widowControl w:val="0"/>
              <w:autoSpaceDE w:val="0"/>
              <w:autoSpaceDN w:val="0"/>
              <w:adjustRightInd w:val="0"/>
              <w:snapToGrid w:val="0"/>
              <w:spacing w:line="360" w:lineRule="auto"/>
              <w:jc w:val="center"/>
              <w:rPr>
                <w:rFonts w:hint="eastAsia" w:ascii="宋体" w:hAnsi="宋体" w:eastAsia="宋体" w:cs="Times New Roman"/>
                <w:color w:val="auto"/>
                <w:kern w:val="0"/>
                <w:szCs w:val="21"/>
                <w:highlight w:val="none"/>
              </w:rPr>
            </w:pPr>
          </w:p>
        </w:tc>
        <w:tc>
          <w:tcPr>
            <w:tcW w:w="1417" w:type="dxa"/>
            <w:tcBorders>
              <w:top w:val="single" w:color="auto" w:sz="6" w:space="0"/>
              <w:left w:val="single" w:color="auto" w:sz="6"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1134"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1843"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425"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doub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r>
      <w:tr>
        <w:trPr>
          <w:trHeight w:val="555" w:hRule="exact"/>
        </w:trPr>
        <w:tc>
          <w:tcPr>
            <w:tcW w:w="349" w:type="dxa"/>
            <w:tcBorders>
              <w:top w:val="single" w:color="auto" w:sz="6" w:space="0"/>
              <w:left w:val="double" w:color="auto" w:sz="4" w:space="0"/>
              <w:bottom w:val="single" w:color="auto" w:sz="6" w:space="0"/>
              <w:right w:val="single" w:color="auto" w:sz="6" w:space="0"/>
            </w:tcBorders>
            <w:vAlign w:val="center"/>
          </w:tcPr>
          <w:p>
            <w:pPr>
              <w:widowControl w:val="0"/>
              <w:spacing w:line="240" w:lineRule="auto"/>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rPr>
              <w:t>2</w:t>
            </w:r>
          </w:p>
        </w:tc>
        <w:tc>
          <w:tcPr>
            <w:tcW w:w="1069" w:type="dxa"/>
            <w:tcBorders>
              <w:top w:val="single" w:color="auto" w:sz="6" w:space="0"/>
              <w:left w:val="single" w:color="auto" w:sz="6" w:space="0"/>
              <w:bottom w:val="single" w:color="auto" w:sz="6" w:space="0"/>
              <w:right w:val="single" w:color="auto" w:sz="6" w:space="0"/>
            </w:tcBorders>
            <w:vAlign w:val="center"/>
          </w:tcPr>
          <w:p>
            <w:pPr>
              <w:widowControl w:val="0"/>
              <w:autoSpaceDE w:val="0"/>
              <w:autoSpaceDN w:val="0"/>
              <w:adjustRightInd w:val="0"/>
              <w:snapToGrid w:val="0"/>
              <w:spacing w:line="360" w:lineRule="auto"/>
              <w:jc w:val="center"/>
              <w:rPr>
                <w:rFonts w:hint="eastAsia" w:ascii="宋体" w:hAnsi="宋体" w:eastAsia="宋体" w:cs="Times New Roman"/>
                <w:color w:val="auto"/>
                <w:kern w:val="0"/>
                <w:szCs w:val="21"/>
                <w:highlight w:val="none"/>
              </w:rPr>
            </w:pPr>
          </w:p>
        </w:tc>
        <w:tc>
          <w:tcPr>
            <w:tcW w:w="1417" w:type="dxa"/>
            <w:tcBorders>
              <w:top w:val="single" w:color="auto" w:sz="6" w:space="0"/>
              <w:left w:val="single" w:color="auto" w:sz="6"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1134"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1843"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425"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doub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r>
      <w:tr>
        <w:tblPrEx>
          <w:tblCellMar>
            <w:top w:w="0" w:type="dxa"/>
            <w:left w:w="0" w:type="dxa"/>
            <w:bottom w:w="0" w:type="dxa"/>
            <w:right w:w="0" w:type="dxa"/>
          </w:tblCellMar>
        </w:tblPrEx>
        <w:trPr>
          <w:trHeight w:val="555" w:hRule="exact"/>
        </w:trPr>
        <w:tc>
          <w:tcPr>
            <w:tcW w:w="349" w:type="dxa"/>
            <w:tcBorders>
              <w:top w:val="single" w:color="auto" w:sz="6" w:space="0"/>
              <w:left w:val="double" w:color="auto" w:sz="4" w:space="0"/>
              <w:bottom w:val="single" w:color="auto" w:sz="6" w:space="0"/>
              <w:right w:val="single" w:color="auto" w:sz="6" w:space="0"/>
            </w:tcBorders>
            <w:vAlign w:val="center"/>
          </w:tcPr>
          <w:p>
            <w:pPr>
              <w:widowControl w:val="0"/>
              <w:spacing w:line="240" w:lineRule="auto"/>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rPr>
              <w:t>3</w:t>
            </w:r>
          </w:p>
        </w:tc>
        <w:tc>
          <w:tcPr>
            <w:tcW w:w="1069" w:type="dxa"/>
            <w:tcBorders>
              <w:top w:val="single" w:color="auto" w:sz="6" w:space="0"/>
              <w:left w:val="single" w:color="auto" w:sz="6" w:space="0"/>
              <w:bottom w:val="single" w:color="auto" w:sz="6" w:space="0"/>
              <w:right w:val="single" w:color="auto" w:sz="6" w:space="0"/>
            </w:tcBorders>
            <w:vAlign w:val="center"/>
          </w:tcPr>
          <w:p>
            <w:pPr>
              <w:widowControl w:val="0"/>
              <w:autoSpaceDE w:val="0"/>
              <w:autoSpaceDN w:val="0"/>
              <w:adjustRightInd w:val="0"/>
              <w:snapToGrid w:val="0"/>
              <w:spacing w:line="360" w:lineRule="auto"/>
              <w:jc w:val="center"/>
              <w:rPr>
                <w:rFonts w:hint="eastAsia" w:ascii="宋体" w:hAnsi="宋体" w:eastAsia="宋体" w:cs="Times New Roman"/>
                <w:color w:val="auto"/>
                <w:kern w:val="0"/>
                <w:szCs w:val="21"/>
                <w:highlight w:val="none"/>
              </w:rPr>
            </w:pPr>
          </w:p>
        </w:tc>
        <w:tc>
          <w:tcPr>
            <w:tcW w:w="1417" w:type="dxa"/>
            <w:tcBorders>
              <w:top w:val="single" w:color="auto" w:sz="6" w:space="0"/>
              <w:left w:val="single" w:color="auto" w:sz="6"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1134"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1843"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425"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doub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r>
      <w:tr>
        <w:tblPrEx>
          <w:tblCellMar>
            <w:top w:w="0" w:type="dxa"/>
            <w:left w:w="0" w:type="dxa"/>
            <w:bottom w:w="0" w:type="dxa"/>
            <w:right w:w="0" w:type="dxa"/>
          </w:tblCellMar>
        </w:tblPrEx>
        <w:trPr>
          <w:trHeight w:val="555" w:hRule="exact"/>
        </w:trPr>
        <w:tc>
          <w:tcPr>
            <w:tcW w:w="349" w:type="dxa"/>
            <w:tcBorders>
              <w:top w:val="single" w:color="auto" w:sz="6" w:space="0"/>
              <w:left w:val="double" w:color="auto" w:sz="4" w:space="0"/>
              <w:bottom w:val="single" w:color="auto" w:sz="6" w:space="0"/>
              <w:right w:val="single" w:color="auto" w:sz="6" w:space="0"/>
            </w:tcBorders>
            <w:vAlign w:val="center"/>
          </w:tcPr>
          <w:p>
            <w:pPr>
              <w:widowControl w:val="0"/>
              <w:spacing w:line="240" w:lineRule="auto"/>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rPr>
              <w:t>4</w:t>
            </w:r>
          </w:p>
        </w:tc>
        <w:tc>
          <w:tcPr>
            <w:tcW w:w="1069" w:type="dxa"/>
            <w:tcBorders>
              <w:top w:val="single" w:color="auto" w:sz="6" w:space="0"/>
              <w:left w:val="single" w:color="auto" w:sz="6" w:space="0"/>
              <w:bottom w:val="single" w:color="auto" w:sz="6" w:space="0"/>
              <w:right w:val="single" w:color="auto" w:sz="6" w:space="0"/>
            </w:tcBorders>
            <w:vAlign w:val="center"/>
          </w:tcPr>
          <w:p>
            <w:pPr>
              <w:widowControl w:val="0"/>
              <w:autoSpaceDE w:val="0"/>
              <w:autoSpaceDN w:val="0"/>
              <w:adjustRightInd w:val="0"/>
              <w:snapToGrid w:val="0"/>
              <w:spacing w:line="360" w:lineRule="auto"/>
              <w:jc w:val="center"/>
              <w:rPr>
                <w:rFonts w:hint="eastAsia" w:ascii="宋体" w:hAnsi="宋体" w:eastAsia="宋体" w:cs="Times New Roman"/>
                <w:color w:val="auto"/>
                <w:kern w:val="0"/>
                <w:szCs w:val="21"/>
                <w:highlight w:val="none"/>
              </w:rPr>
            </w:pPr>
          </w:p>
        </w:tc>
        <w:tc>
          <w:tcPr>
            <w:tcW w:w="1417" w:type="dxa"/>
            <w:tcBorders>
              <w:top w:val="single" w:color="auto" w:sz="6" w:space="0"/>
              <w:left w:val="single" w:color="auto" w:sz="6"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1134"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1843"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425"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4" w:space="0"/>
              <w:bottom w:val="single" w:color="auto" w:sz="6" w:space="0"/>
              <w:right w:val="single" w:color="auto" w:sz="6"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doub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r>
      <w:tr>
        <w:tblPrEx>
          <w:tblCellMar>
            <w:top w:w="0" w:type="dxa"/>
            <w:left w:w="0" w:type="dxa"/>
            <w:bottom w:w="0" w:type="dxa"/>
            <w:right w:w="0" w:type="dxa"/>
          </w:tblCellMar>
        </w:tblPrEx>
        <w:trPr>
          <w:trHeight w:val="555" w:hRule="exact"/>
        </w:trPr>
        <w:tc>
          <w:tcPr>
            <w:tcW w:w="349" w:type="dxa"/>
            <w:tcBorders>
              <w:top w:val="single" w:color="auto" w:sz="6" w:space="0"/>
              <w:left w:val="double" w:color="auto" w:sz="4" w:space="0"/>
              <w:bottom w:val="single" w:color="auto" w:sz="6" w:space="0"/>
              <w:right w:val="single" w:color="auto" w:sz="6" w:space="0"/>
            </w:tcBorders>
            <w:vAlign w:val="center"/>
          </w:tcPr>
          <w:p>
            <w:pPr>
              <w:widowControl w:val="0"/>
              <w:spacing w:line="240" w:lineRule="auto"/>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rPr>
              <w:t>5</w:t>
            </w:r>
          </w:p>
        </w:tc>
        <w:tc>
          <w:tcPr>
            <w:tcW w:w="1069" w:type="dxa"/>
            <w:tcBorders>
              <w:top w:val="single" w:color="auto" w:sz="6" w:space="0"/>
              <w:left w:val="single" w:color="auto" w:sz="6" w:space="0"/>
              <w:bottom w:val="single" w:color="auto" w:sz="6" w:space="0"/>
              <w:right w:val="single" w:color="auto" w:sz="6" w:space="0"/>
            </w:tcBorders>
            <w:vAlign w:val="center"/>
          </w:tcPr>
          <w:p>
            <w:pPr>
              <w:widowControl w:val="0"/>
              <w:autoSpaceDE w:val="0"/>
              <w:autoSpaceDN w:val="0"/>
              <w:adjustRightInd w:val="0"/>
              <w:snapToGrid w:val="0"/>
              <w:spacing w:line="360" w:lineRule="auto"/>
              <w:jc w:val="center"/>
              <w:rPr>
                <w:rFonts w:hint="eastAsia" w:ascii="宋体" w:hAnsi="宋体" w:eastAsia="宋体" w:cs="Times New Roman"/>
                <w:color w:val="auto"/>
                <w:kern w:val="0"/>
                <w:szCs w:val="21"/>
                <w:highlight w:val="none"/>
              </w:rPr>
            </w:pPr>
          </w:p>
        </w:tc>
        <w:tc>
          <w:tcPr>
            <w:tcW w:w="1417" w:type="dxa"/>
            <w:tcBorders>
              <w:top w:val="single" w:color="auto" w:sz="6" w:space="0"/>
              <w:left w:val="single" w:color="auto" w:sz="6"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1134"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1843"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425"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4" w:space="0"/>
              <w:bottom w:val="single" w:color="auto" w:sz="6" w:space="0"/>
              <w:right w:val="single" w:color="auto" w:sz="6"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doub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r>
      <w:tr>
        <w:tblPrEx>
          <w:tblCellMar>
            <w:top w:w="0" w:type="dxa"/>
            <w:left w:w="0" w:type="dxa"/>
            <w:bottom w:w="0" w:type="dxa"/>
            <w:right w:w="0" w:type="dxa"/>
          </w:tblCellMar>
        </w:tblPrEx>
        <w:trPr>
          <w:trHeight w:val="555" w:hRule="exact"/>
        </w:trPr>
        <w:tc>
          <w:tcPr>
            <w:tcW w:w="349" w:type="dxa"/>
            <w:tcBorders>
              <w:top w:val="single" w:color="auto" w:sz="6" w:space="0"/>
              <w:left w:val="double" w:color="auto" w:sz="4" w:space="0"/>
              <w:bottom w:val="single" w:color="auto" w:sz="6" w:space="0"/>
              <w:right w:val="single" w:color="auto" w:sz="4" w:space="0"/>
            </w:tcBorders>
            <w:vAlign w:val="center"/>
          </w:tcPr>
          <w:p>
            <w:pPr>
              <w:widowControl w:val="0"/>
              <w:spacing w:line="240" w:lineRule="auto"/>
              <w:jc w:val="center"/>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w:t>
            </w:r>
          </w:p>
        </w:tc>
        <w:tc>
          <w:tcPr>
            <w:tcW w:w="1069"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ind w:left="527" w:right="507"/>
              <w:jc w:val="center"/>
              <w:rPr>
                <w:rFonts w:hint="eastAsia" w:ascii="宋体" w:hAnsi="宋体" w:eastAsia="宋体" w:cs="Times New Roman"/>
                <w:color w:val="auto"/>
                <w:kern w:val="0"/>
                <w:szCs w:val="21"/>
                <w:highlight w:val="none"/>
              </w:rPr>
            </w:pPr>
          </w:p>
        </w:tc>
        <w:tc>
          <w:tcPr>
            <w:tcW w:w="1417"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1134"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1843"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425" w:type="dxa"/>
            <w:tcBorders>
              <w:top w:val="single" w:color="auto" w:sz="6" w:space="0"/>
              <w:left w:val="single" w:color="auto" w:sz="4" w:space="0"/>
              <w:bottom w:val="single" w:color="auto" w:sz="6" w:space="0"/>
              <w:right w:val="sing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4" w:space="0"/>
              <w:bottom w:val="single" w:color="auto" w:sz="6" w:space="0"/>
              <w:right w:val="single" w:color="auto" w:sz="6"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c>
          <w:tcPr>
            <w:tcW w:w="567" w:type="dxa"/>
            <w:tcBorders>
              <w:top w:val="single" w:color="auto" w:sz="6" w:space="0"/>
              <w:left w:val="single" w:color="auto" w:sz="6" w:space="0"/>
              <w:bottom w:val="single" w:color="auto" w:sz="6" w:space="0"/>
              <w:right w:val="double" w:color="auto" w:sz="4" w:space="0"/>
            </w:tcBorders>
          </w:tcPr>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r>
      <w:tr>
        <w:trPr>
          <w:trHeight w:val="752" w:hRule="exact"/>
        </w:trPr>
        <w:tc>
          <w:tcPr>
            <w:tcW w:w="1418" w:type="dxa"/>
            <w:gridSpan w:val="2"/>
            <w:tcBorders>
              <w:top w:val="single" w:color="auto" w:sz="6" w:space="0"/>
              <w:left w:val="double" w:color="auto" w:sz="4" w:space="0"/>
              <w:bottom w:val="double" w:color="auto" w:sz="4" w:space="0"/>
              <w:right w:val="single" w:color="auto" w:sz="4" w:space="0"/>
            </w:tcBorders>
            <w:vAlign w:val="center"/>
          </w:tcPr>
          <w:p>
            <w:pPr>
              <w:widowControl w:val="0"/>
              <w:autoSpaceDE w:val="0"/>
              <w:autoSpaceDN w:val="0"/>
              <w:adjustRightInd w:val="0"/>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微软雅黑"/>
                <w:color w:val="auto"/>
                <w:kern w:val="0"/>
                <w:position w:val="-1"/>
                <w:szCs w:val="21"/>
                <w:highlight w:val="none"/>
              </w:rPr>
              <w:t>投标报价合计</w:t>
            </w:r>
          </w:p>
        </w:tc>
        <w:tc>
          <w:tcPr>
            <w:tcW w:w="7087" w:type="dxa"/>
            <w:gridSpan w:val="8"/>
            <w:tcBorders>
              <w:top w:val="single" w:color="auto" w:sz="6" w:space="0"/>
              <w:left w:val="single" w:color="auto" w:sz="4" w:space="0"/>
              <w:bottom w:val="double" w:color="auto" w:sz="4" w:space="0"/>
              <w:right w:val="double" w:color="auto" w:sz="4" w:space="0"/>
            </w:tcBorders>
            <w:vAlign w:val="center"/>
          </w:tcPr>
          <w:p>
            <w:pPr>
              <w:widowControl w:val="0"/>
              <w:autoSpaceDE w:val="0"/>
              <w:autoSpaceDN w:val="0"/>
              <w:adjustRightInd w:val="0"/>
              <w:snapToGrid w:val="0"/>
              <w:spacing w:line="360" w:lineRule="auto"/>
              <w:ind w:firstLine="315" w:firstLineChars="150"/>
              <w:jc w:val="both"/>
              <w:rPr>
                <w:rFonts w:hint="eastAsia"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 xml:space="preserve">人民币大写：          </w:t>
            </w:r>
          </w:p>
          <w:p>
            <w:pPr>
              <w:widowControl w:val="0"/>
              <w:autoSpaceDE w:val="0"/>
              <w:autoSpaceDN w:val="0"/>
              <w:adjustRightInd w:val="0"/>
              <w:snapToGrid w:val="0"/>
              <w:spacing w:line="360" w:lineRule="auto"/>
              <w:ind w:firstLine="945" w:firstLineChars="450"/>
              <w:jc w:val="both"/>
              <w:rPr>
                <w:rFonts w:hint="eastAsia"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小写：</w:t>
            </w:r>
          </w:p>
          <w:p>
            <w:pPr>
              <w:widowControl w:val="0"/>
              <w:autoSpaceDE w:val="0"/>
              <w:autoSpaceDN w:val="0"/>
              <w:adjustRightInd w:val="0"/>
              <w:snapToGrid w:val="0"/>
              <w:spacing w:line="360" w:lineRule="auto"/>
              <w:jc w:val="center"/>
              <w:rPr>
                <w:rFonts w:hint="eastAsia" w:ascii="宋体" w:hAnsi="宋体" w:eastAsia="宋体" w:cs="微软雅黑"/>
                <w:color w:val="auto"/>
                <w:kern w:val="0"/>
                <w:position w:val="-1"/>
                <w:szCs w:val="21"/>
                <w:highlight w:val="none"/>
              </w:rPr>
            </w:pPr>
          </w:p>
          <w:p>
            <w:pPr>
              <w:widowControl w:val="0"/>
              <w:autoSpaceDE w:val="0"/>
              <w:autoSpaceDN w:val="0"/>
              <w:adjustRightInd w:val="0"/>
              <w:snapToGrid w:val="0"/>
              <w:spacing w:line="360" w:lineRule="auto"/>
              <w:rPr>
                <w:rFonts w:hint="eastAsia" w:ascii="宋体" w:hAnsi="宋体" w:eastAsia="宋体" w:cs="Times New Roman"/>
                <w:color w:val="auto"/>
                <w:kern w:val="0"/>
                <w:szCs w:val="21"/>
                <w:highlight w:val="none"/>
              </w:rPr>
            </w:pPr>
          </w:p>
        </w:tc>
      </w:tr>
    </w:tbl>
    <w:p>
      <w:pPr>
        <w:widowControl w:val="0"/>
        <w:adjustRightInd w:val="0"/>
        <w:snapToGrid w:val="0"/>
        <w:spacing w:line="360" w:lineRule="auto"/>
        <w:jc w:val="both"/>
        <w:rPr>
          <w:rFonts w:hint="eastAsia" w:ascii="宋体" w:hAnsi="宋体" w:eastAsia="宋体" w:cs="宋体"/>
          <w:color w:val="auto"/>
          <w:szCs w:val="21"/>
          <w:highlight w:val="none"/>
        </w:rPr>
      </w:pPr>
    </w:p>
    <w:p>
      <w:pPr>
        <w:widowControl w:val="0"/>
        <w:adjustRightInd w:val="0"/>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供应商名称（盖单位电子公章）：</w:t>
      </w:r>
    </w:p>
    <w:p>
      <w:pPr>
        <w:widowControl w:val="0"/>
        <w:adjustRightInd w:val="0"/>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法定代表人</w:t>
      </w:r>
      <w:r>
        <w:rPr>
          <w:rFonts w:hint="eastAsia" w:ascii="宋体" w:hAnsi="宋体" w:eastAsia="宋体" w:cs="宋体"/>
          <w:color w:val="auto"/>
          <w:szCs w:val="21"/>
          <w:highlight w:val="none"/>
        </w:rPr>
        <w:t>或授权代表人（</w:t>
      </w:r>
      <w:bookmarkStart w:id="216" w:name="_Hlk211935460"/>
      <w:r>
        <w:rPr>
          <w:rFonts w:hint="eastAsia" w:ascii="宋体" w:hAnsi="宋体" w:eastAsia="宋体" w:cs="宋体"/>
          <w:color w:val="auto"/>
          <w:szCs w:val="21"/>
          <w:highlight w:val="none"/>
        </w:rPr>
        <w:t>签字或签章</w:t>
      </w:r>
      <w:bookmarkEnd w:id="216"/>
      <w:r>
        <w:rPr>
          <w:rFonts w:hint="eastAsia" w:ascii="宋体" w:hAnsi="宋体" w:eastAsia="宋体" w:cs="宋体"/>
          <w:color w:val="auto"/>
          <w:szCs w:val="21"/>
          <w:highlight w:val="none"/>
        </w:rPr>
        <w:t>）：</w:t>
      </w:r>
    </w:p>
    <w:p>
      <w:pPr>
        <w:widowControl w:val="0"/>
        <w:spacing w:line="240" w:lineRule="auto"/>
        <w:jc w:val="both"/>
        <w:rPr>
          <w:rFonts w:hint="eastAsia" w:ascii="宋体" w:hAnsi="宋体" w:eastAsia="宋体" w:cs="宋体"/>
          <w:color w:val="auto"/>
          <w:sz w:val="28"/>
          <w:szCs w:val="28"/>
          <w:highlight w:val="none"/>
        </w:rPr>
      </w:pPr>
      <w:r>
        <w:rPr>
          <w:rFonts w:hint="eastAsia" w:ascii="宋体" w:hAnsi="宋体" w:eastAsia="宋体" w:cs="宋体"/>
          <w:color w:val="auto"/>
          <w:szCs w:val="21"/>
          <w:highlight w:val="none"/>
        </w:rPr>
        <w:t>日期：    年    月     日</w:t>
      </w:r>
    </w:p>
    <w:p>
      <w:pPr>
        <w:spacing w:line="240" w:lineRule="auto"/>
        <w:rPr>
          <w:rFonts w:hint="eastAsia" w:ascii="宋体" w:hAnsi="宋体" w:eastAsia="宋体" w:cs="宋体"/>
          <w:color w:val="auto"/>
          <w:sz w:val="24"/>
          <w:highlight w:val="none"/>
        </w:rPr>
      </w:pPr>
      <w:r>
        <w:rPr>
          <w:rFonts w:hint="eastAsia" w:ascii="宋体" w:hAnsi="宋体" w:eastAsia="宋体" w:cs="宋体"/>
          <w:color w:val="auto"/>
          <w:szCs w:val="24"/>
          <w:highlight w:val="none"/>
        </w:rPr>
        <w:br w:type="page"/>
      </w:r>
    </w:p>
    <w:p>
      <w:pPr>
        <w:keepNext/>
        <w:keepLines/>
        <w:widowControl w:val="0"/>
        <w:spacing w:line="360" w:lineRule="auto"/>
        <w:jc w:val="center"/>
        <w:outlineLvl w:val="1"/>
        <w:rPr>
          <w:rFonts w:hint="eastAsia" w:ascii="黑体" w:hAnsi="黑体" w:eastAsia="黑体" w:cs="Times New Roman"/>
          <w:b/>
          <w:bCs/>
          <w:color w:val="auto"/>
          <w:sz w:val="28"/>
          <w:szCs w:val="28"/>
          <w:highlight w:val="none"/>
        </w:rPr>
      </w:pPr>
      <w:bookmarkStart w:id="217" w:name="_Toc107998033"/>
      <w:bookmarkStart w:id="218" w:name="_Toc214954924"/>
      <w:r>
        <w:rPr>
          <w:rFonts w:hint="eastAsia" w:ascii="黑体" w:hAnsi="黑体" w:eastAsia="黑体" w:cs="Times New Roman"/>
          <w:b/>
          <w:bCs/>
          <w:color w:val="auto"/>
          <w:sz w:val="28"/>
          <w:szCs w:val="28"/>
          <w:highlight w:val="none"/>
        </w:rPr>
        <w:t>二、谈判响应声明(格式)</w:t>
      </w:r>
      <w:bookmarkEnd w:id="217"/>
      <w:bookmarkEnd w:id="218"/>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致</w:t>
      </w:r>
      <w:r>
        <w:rPr>
          <w:rFonts w:hint="eastAsia" w:ascii="宋体" w:hAnsi="宋体" w:eastAsia="宋体" w:cs="Times New Roman"/>
          <w:color w:val="auto"/>
          <w:szCs w:val="21"/>
          <w:highlight w:val="none"/>
          <w:u w:val="single"/>
        </w:rPr>
        <w:t xml:space="preserve"> (采购人、采购代理机构)</w:t>
      </w:r>
      <w:r>
        <w:rPr>
          <w:rFonts w:hint="eastAsia" w:ascii="宋体" w:hAnsi="宋体" w:eastAsia="宋体" w:cs="Times New Roman"/>
          <w:color w:val="auto"/>
          <w:szCs w:val="21"/>
          <w:highlight w:val="none"/>
        </w:rPr>
        <w:t>：</w:t>
      </w:r>
    </w:p>
    <w:p>
      <w:pPr>
        <w:adjustRightInd w:val="0"/>
        <w:snapToGrid w:val="0"/>
        <w:spacing w:before="156" w:beforeLines="50" w:line="360" w:lineRule="auto"/>
        <w:ind w:firstLine="435"/>
        <w:rPr>
          <w:rFonts w:hint="eastAsia" w:ascii="宋体" w:hAnsi="宋体" w:eastAsia="宋体" w:cs="宋体"/>
          <w:color w:val="auto"/>
          <w:szCs w:val="21"/>
          <w:highlight w:val="none"/>
        </w:rPr>
      </w:pPr>
      <w:r>
        <w:rPr>
          <w:rFonts w:hint="eastAsia" w:ascii="宋体" w:hAnsi="宋体" w:eastAsia="宋体" w:cs="Times New Roman"/>
          <w:color w:val="auto"/>
          <w:szCs w:val="21"/>
          <w:highlight w:val="none"/>
        </w:rPr>
        <w:t>根据贵方为</w:t>
      </w:r>
      <w:r>
        <w:rPr>
          <w:rFonts w:hint="eastAsia" w:ascii="宋体" w:hAnsi="宋体" w:eastAsia="宋体" w:cs="Times New Roman"/>
          <w:color w:val="auto"/>
          <w:szCs w:val="21"/>
          <w:highlight w:val="none"/>
          <w:u w:val="single"/>
        </w:rPr>
        <w:t xml:space="preserve"> （采购项目名称）</w:t>
      </w:r>
      <w:r>
        <w:rPr>
          <w:rFonts w:hint="eastAsia" w:ascii="宋体" w:hAnsi="宋体" w:eastAsia="宋体" w:cs="Times New Roman"/>
          <w:color w:val="auto"/>
          <w:szCs w:val="21"/>
          <w:highlight w:val="none"/>
        </w:rPr>
        <w:t>的谈判邀请（</w:t>
      </w:r>
      <w:r>
        <w:rPr>
          <w:rFonts w:hint="eastAsia" w:ascii="宋体" w:hAnsi="宋体" w:eastAsia="宋体" w:cs="Times New Roman"/>
          <w:color w:val="auto"/>
          <w:szCs w:val="24"/>
          <w:highlight w:val="none"/>
        </w:rPr>
        <w:t>政府采购计划编号</w:t>
      </w:r>
      <w:r>
        <w:rPr>
          <w:rFonts w:hint="eastAsia" w:ascii="宋体" w:hAnsi="宋体" w:eastAsia="宋体" w:cs="Times New Roman"/>
          <w:iCs/>
          <w:color w:val="auto"/>
          <w:szCs w:val="24"/>
          <w:highlight w:val="none"/>
        </w:rPr>
        <w:t>：</w:t>
      </w:r>
      <w:r>
        <w:rPr>
          <w:rFonts w:hint="eastAsia" w:ascii="宋体" w:hAnsi="宋体" w:eastAsia="宋体" w:cs="Times New Roman"/>
          <w:iCs/>
          <w:color w:val="auto"/>
          <w:szCs w:val="24"/>
          <w:highlight w:val="none"/>
          <w:u w:val="single"/>
        </w:rPr>
        <w:t xml:space="preserve">           </w:t>
      </w:r>
      <w:r>
        <w:rPr>
          <w:rFonts w:hint="eastAsia" w:ascii="宋体" w:hAnsi="宋体" w:eastAsia="宋体" w:cs="Times New Roman"/>
          <w:iCs/>
          <w:color w:val="auto"/>
          <w:szCs w:val="24"/>
          <w:highlight w:val="none"/>
        </w:rPr>
        <w:t xml:space="preserve"> ，</w:t>
      </w:r>
      <w:r>
        <w:rPr>
          <w:rFonts w:hint="eastAsia" w:ascii="宋体" w:hAnsi="宋体" w:eastAsia="宋体" w:cs="Times New Roman"/>
          <w:color w:val="auto"/>
          <w:szCs w:val="21"/>
          <w:highlight w:val="none"/>
        </w:rPr>
        <w:t>委托代理编号：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），签字代表</w:t>
      </w:r>
      <w:r>
        <w:rPr>
          <w:rFonts w:hint="eastAsia" w:ascii="宋体" w:hAnsi="宋体" w:eastAsia="宋体" w:cs="Times New Roman"/>
          <w:color w:val="auto"/>
          <w:szCs w:val="21"/>
          <w:highlight w:val="none"/>
          <w:u w:val="single"/>
        </w:rPr>
        <w:t xml:space="preserve"> （姓名、职务）</w:t>
      </w:r>
      <w:r>
        <w:rPr>
          <w:rFonts w:hint="eastAsia" w:ascii="宋体" w:hAnsi="宋体" w:eastAsia="宋体" w:cs="Times New Roman"/>
          <w:color w:val="auto"/>
          <w:szCs w:val="21"/>
          <w:highlight w:val="none"/>
        </w:rPr>
        <w:t>经正式授权并代表供应商</w:t>
      </w:r>
      <w:r>
        <w:rPr>
          <w:rFonts w:hint="eastAsia" w:ascii="宋体" w:hAnsi="宋体" w:eastAsia="宋体" w:cs="Times New Roman"/>
          <w:color w:val="auto"/>
          <w:szCs w:val="21"/>
          <w:highlight w:val="none"/>
          <w:u w:val="single"/>
        </w:rPr>
        <w:t xml:space="preserve"> （供应商名称）</w:t>
      </w:r>
      <w:r>
        <w:rPr>
          <w:rFonts w:ascii="宋体" w:hAnsi="宋体" w:eastAsia="宋体" w:cs="宋体"/>
          <w:color w:val="auto"/>
          <w:szCs w:val="21"/>
          <w:highlight w:val="none"/>
        </w:rPr>
        <w:t>递交下述内容的响应文件一份至郴州市公共资源（非标）电子交易平台，参加本采购项目第</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包的响应，并在此声明，所递交的响应文件内容完整、真实</w:t>
      </w:r>
      <w:r>
        <w:rPr>
          <w:rFonts w:hint="eastAsia" w:ascii="宋体" w:hAnsi="宋体" w:eastAsia="宋体" w:cs="Times New Roman"/>
          <w:color w:val="auto"/>
          <w:szCs w:val="21"/>
          <w:highlight w:val="none"/>
        </w:rPr>
        <w:t>。</w:t>
      </w:r>
    </w:p>
    <w:p>
      <w:pPr>
        <w:widowControl w:val="0"/>
        <w:adjustRightInd w:val="0"/>
        <w:snapToGrid w:val="0"/>
        <w:spacing w:before="156" w:beforeLines="50"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一、我方已详细审查谈判文件。我们完全理解并同意放弃对这方面有不明及误解的权力。</w:t>
      </w:r>
    </w:p>
    <w:p>
      <w:pPr>
        <w:widowControl w:val="0"/>
        <w:adjustRightInd w:val="0"/>
        <w:snapToGrid w:val="0"/>
        <w:spacing w:before="156" w:beforeLines="50" w:line="360" w:lineRule="auto"/>
        <w:ind w:firstLine="420" w:firstLineChars="200"/>
        <w:jc w:val="both"/>
        <w:rPr>
          <w:rFonts w:hint="eastAsia" w:ascii="宋体" w:hAnsi="宋体" w:eastAsia="宋体" w:cs="Courier New"/>
          <w:bCs/>
          <w:color w:val="auto"/>
          <w:szCs w:val="21"/>
          <w:highlight w:val="none"/>
        </w:rPr>
      </w:pPr>
      <w:r>
        <w:rPr>
          <w:rFonts w:hint="eastAsia" w:ascii="宋体" w:hAnsi="宋体" w:eastAsia="宋体" w:cs="Courier New"/>
          <w:color w:val="auto"/>
          <w:szCs w:val="21"/>
          <w:highlight w:val="none"/>
        </w:rPr>
        <w:t>二、我方愿意向贵方提供任何与本项采购有关的数据、情况和技术资料。若贵方需要，我方愿意提供我方作出的一切承诺的证明材料。</w:t>
      </w:r>
    </w:p>
    <w:p>
      <w:pPr>
        <w:widowControl w:val="0"/>
        <w:adjustRightInd w:val="0"/>
        <w:snapToGrid w:val="0"/>
        <w:spacing w:before="156" w:beforeLines="50"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三、我方愿意按谈判文件规定和谈判小组要求重新提交响应文件和最后报价。</w:t>
      </w:r>
    </w:p>
    <w:p>
      <w:pPr>
        <w:widowControl w:val="0"/>
        <w:adjustRightInd w:val="0"/>
        <w:snapToGrid w:val="0"/>
        <w:spacing w:before="156" w:beforeLines="50"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四、我方同意在谈判文件中规定的提交首次响应文件截止时间起</w:t>
      </w:r>
      <w:r>
        <w:rPr>
          <w:rFonts w:hint="eastAsia" w:ascii="宋体" w:hAnsi="宋体" w:eastAsia="宋体" w:cs="Courier New"/>
          <w:color w:val="auto"/>
          <w:szCs w:val="21"/>
          <w:highlight w:val="none"/>
          <w:u w:val="single"/>
        </w:rPr>
        <w:t xml:space="preserve">     </w:t>
      </w:r>
      <w:r>
        <w:rPr>
          <w:rFonts w:hint="eastAsia" w:ascii="宋体" w:hAnsi="宋体" w:eastAsia="宋体" w:cs="Courier New"/>
          <w:color w:val="auto"/>
          <w:szCs w:val="21"/>
          <w:highlight w:val="none"/>
        </w:rPr>
        <w:t>日内(响应文件有效期)遵守本响应文件中的承诺且在此期限期满之前均具有法律约束力。</w:t>
      </w:r>
    </w:p>
    <w:p>
      <w:pPr>
        <w:widowControl w:val="0"/>
        <w:adjustRightInd w:val="0"/>
        <w:snapToGrid w:val="0"/>
        <w:spacing w:before="156" w:beforeLines="50"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pPr>
        <w:widowControl w:val="0"/>
        <w:adjustRightInd w:val="0"/>
        <w:snapToGrid w:val="0"/>
        <w:spacing w:before="156" w:beforeLines="50" w:line="360" w:lineRule="auto"/>
        <w:ind w:firstLine="420" w:firstLineChars="200"/>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六、我方承诺在参与竞争性谈判过程中，若出现《政府采购法》第七十七条、《政府采购法实施条例》第七十二条和《政府采购非招标方式管理办法》第五十四条规定之情形，我方同意接受条款规定作出的处罚。</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七、我方的联系方式：</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地址：</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；邮编：</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；电话：</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；电子邮箱：</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w:t>
      </w:r>
    </w:p>
    <w:p>
      <w:pPr>
        <w:widowControl w:val="0"/>
        <w:adjustRightInd w:val="0"/>
        <w:snapToGrid w:val="0"/>
        <w:spacing w:before="156" w:beforeLines="50" w:line="360" w:lineRule="auto"/>
        <w:jc w:val="both"/>
        <w:rPr>
          <w:rFonts w:hint="eastAsia" w:ascii="宋体" w:hAnsi="宋体" w:eastAsia="宋体" w:cs="Courier New"/>
          <w:color w:val="auto"/>
          <w:szCs w:val="21"/>
          <w:highlight w:val="none"/>
        </w:rPr>
      </w:pPr>
    </w:p>
    <w:p>
      <w:pPr>
        <w:widowControl w:val="0"/>
        <w:adjustRightInd w:val="0"/>
        <w:snapToGrid w:val="0"/>
        <w:spacing w:before="156" w:beforeLines="50" w:line="360" w:lineRule="auto"/>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供应商名称(盖单位电子公章)：</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u w:val="singl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或其授权的代理人（签字或签章）：</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pP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br w:type="page"/>
      </w:r>
    </w:p>
    <w:p>
      <w:pPr>
        <w:pStyle w:val="3"/>
        <w:jc w:val="center"/>
        <w:rPr>
          <w:rFonts w:hint="eastAsia" w:ascii="黑体" w:hAnsi="黑体" w:eastAsia="黑体" w:cs="Times New Roman"/>
          <w:b/>
          <w:bCs/>
          <w:color w:val="auto"/>
          <w:sz w:val="28"/>
          <w:szCs w:val="28"/>
          <w:highlight w:val="none"/>
        </w:rPr>
      </w:pPr>
      <w:bookmarkStart w:id="219" w:name="_Toc214954925"/>
      <w:bookmarkStart w:id="220" w:name="_Toc107998035"/>
      <w:r>
        <w:rPr>
          <w:rFonts w:hint="eastAsia" w:ascii="黑体" w:hAnsi="黑体" w:eastAsia="黑体" w:cs="Times New Roman"/>
          <w:b/>
          <w:bCs/>
          <w:color w:val="auto"/>
          <w:sz w:val="28"/>
          <w:szCs w:val="28"/>
          <w:highlight w:val="none"/>
        </w:rPr>
        <w:t>三、法定代表人（单位负责人）身份证明(格式)</w:t>
      </w:r>
      <w:bookmarkEnd w:id="219"/>
    </w:p>
    <w:p>
      <w:pPr>
        <w:widowControl w:val="0"/>
        <w:tabs>
          <w:tab w:val="left" w:pos="3880"/>
        </w:tabs>
        <w:autoSpaceDE w:val="0"/>
        <w:autoSpaceDN w:val="0"/>
        <w:adjustRightInd w:val="0"/>
        <w:snapToGrid w:val="0"/>
        <w:spacing w:before="156" w:beforeLines="50" w:line="360" w:lineRule="auto"/>
        <w:ind w:left="100" w:right="-20"/>
        <w:rPr>
          <w:rFonts w:hint="eastAsia" w:ascii="宋体" w:hAnsi="宋体" w:eastAsia="宋体" w:cs="微软雅黑"/>
          <w:color w:val="auto"/>
          <w:kern w:val="0"/>
          <w:position w:val="-4"/>
          <w:szCs w:val="21"/>
          <w:highlight w:val="none"/>
        </w:rPr>
      </w:pPr>
    </w:p>
    <w:p>
      <w:pPr>
        <w:widowControl w:val="0"/>
        <w:tabs>
          <w:tab w:val="left" w:pos="3880"/>
        </w:tabs>
        <w:autoSpaceDE w:val="0"/>
        <w:autoSpaceDN w:val="0"/>
        <w:adjustRightInd w:val="0"/>
        <w:snapToGrid w:val="0"/>
        <w:spacing w:before="156" w:beforeLines="50" w:line="360" w:lineRule="auto"/>
        <w:ind w:left="100" w:right="-20"/>
        <w:rPr>
          <w:rFonts w:hint="eastAsia" w:ascii="宋体" w:hAnsi="宋体" w:eastAsia="宋体" w:cs="微软雅黑"/>
          <w:color w:val="auto"/>
          <w:kern w:val="0"/>
          <w:szCs w:val="21"/>
          <w:highlight w:val="none"/>
        </w:rPr>
      </w:pPr>
      <w:r>
        <w:rPr>
          <w:rFonts w:hint="eastAsia" w:ascii="宋体" w:hAnsi="宋体" w:eastAsia="宋体" w:cs="微软雅黑"/>
          <w:color w:val="auto"/>
          <w:kern w:val="0"/>
          <w:position w:val="-4"/>
          <w:szCs w:val="21"/>
          <w:highlight w:val="none"/>
        </w:rPr>
        <w:t>供应商名</w:t>
      </w:r>
      <w:r>
        <w:rPr>
          <w:rFonts w:hint="eastAsia" w:ascii="宋体" w:hAnsi="宋体" w:eastAsia="宋体" w:cs="微软雅黑"/>
          <w:color w:val="auto"/>
          <w:spacing w:val="-2"/>
          <w:kern w:val="0"/>
          <w:position w:val="-4"/>
          <w:szCs w:val="21"/>
          <w:highlight w:val="none"/>
        </w:rPr>
        <w:t>称</w:t>
      </w:r>
      <w:r>
        <w:rPr>
          <w:rFonts w:hint="eastAsia" w:ascii="宋体" w:hAnsi="宋体" w:eastAsia="宋体" w:cs="微软雅黑"/>
          <w:color w:val="auto"/>
          <w:kern w:val="0"/>
          <w:position w:val="-4"/>
          <w:szCs w:val="21"/>
          <w:highlight w:val="none"/>
        </w:rPr>
        <w:t>：</w:t>
      </w:r>
      <w:r>
        <w:rPr>
          <w:rFonts w:hint="eastAsia" w:ascii="宋体" w:hAnsi="宋体" w:eastAsia="宋体" w:cs="Times New Roman"/>
          <w:color w:val="auto"/>
          <w:szCs w:val="21"/>
          <w:highlight w:val="none"/>
          <w:u w:val="single"/>
        </w:rPr>
        <w:t xml:space="preserve">                 </w:t>
      </w:r>
    </w:p>
    <w:p>
      <w:pPr>
        <w:widowControl w:val="0"/>
        <w:tabs>
          <w:tab w:val="left" w:pos="2400"/>
          <w:tab w:val="left" w:pos="3880"/>
          <w:tab w:val="left" w:pos="5340"/>
          <w:tab w:val="left" w:pos="6820"/>
        </w:tabs>
        <w:autoSpaceDE w:val="0"/>
        <w:autoSpaceDN w:val="0"/>
        <w:adjustRightInd w:val="0"/>
        <w:snapToGrid w:val="0"/>
        <w:spacing w:before="156" w:beforeLines="50" w:line="360" w:lineRule="auto"/>
        <w:ind w:left="100" w:right="-20"/>
        <w:rPr>
          <w:rFonts w:hint="eastAsia" w:ascii="宋体" w:hAnsi="宋体" w:eastAsia="宋体" w:cs="微软雅黑"/>
          <w:color w:val="auto"/>
          <w:kern w:val="0"/>
          <w:position w:val="-2"/>
          <w:szCs w:val="21"/>
          <w:highlight w:val="none"/>
        </w:rPr>
      </w:pPr>
      <w:r>
        <w:rPr>
          <w:rFonts w:hint="eastAsia" w:ascii="宋体" w:hAnsi="宋体" w:eastAsia="宋体" w:cs="微软雅黑"/>
          <w:color w:val="auto"/>
          <w:kern w:val="0"/>
          <w:position w:val="-2"/>
          <w:szCs w:val="21"/>
          <w:highlight w:val="none"/>
        </w:rPr>
        <w:t>统一社会信用代码：</w:t>
      </w:r>
      <w:r>
        <w:rPr>
          <w:rFonts w:hint="eastAsia" w:ascii="宋体" w:hAnsi="宋体" w:eastAsia="宋体" w:cs="Times New Roman"/>
          <w:color w:val="auto"/>
          <w:szCs w:val="21"/>
          <w:highlight w:val="none"/>
          <w:u w:val="single"/>
        </w:rPr>
        <w:t xml:space="preserve">                 </w:t>
      </w:r>
    </w:p>
    <w:p>
      <w:pPr>
        <w:widowControl w:val="0"/>
        <w:tabs>
          <w:tab w:val="left" w:pos="2400"/>
          <w:tab w:val="left" w:pos="3880"/>
          <w:tab w:val="left" w:pos="5340"/>
          <w:tab w:val="left" w:pos="6820"/>
        </w:tabs>
        <w:autoSpaceDE w:val="0"/>
        <w:autoSpaceDN w:val="0"/>
        <w:adjustRightInd w:val="0"/>
        <w:snapToGrid w:val="0"/>
        <w:spacing w:before="156" w:beforeLines="50" w:line="360" w:lineRule="auto"/>
        <w:ind w:left="100" w:right="-20"/>
        <w:rPr>
          <w:rFonts w:hint="eastAsia" w:ascii="宋体" w:hAnsi="宋体" w:eastAsia="宋体" w:cs="微软雅黑"/>
          <w:color w:val="auto"/>
          <w:kern w:val="0"/>
          <w:position w:val="-2"/>
          <w:szCs w:val="21"/>
          <w:highlight w:val="none"/>
        </w:rPr>
      </w:pPr>
      <w:r>
        <w:rPr>
          <w:rFonts w:hint="eastAsia" w:ascii="宋体" w:hAnsi="宋体" w:eastAsia="宋体" w:cs="微软雅黑"/>
          <w:color w:val="auto"/>
          <w:kern w:val="0"/>
          <w:position w:val="-2"/>
          <w:szCs w:val="21"/>
          <w:highlight w:val="none"/>
        </w:rPr>
        <w:t>注册地址：</w:t>
      </w:r>
      <w:r>
        <w:rPr>
          <w:rFonts w:hint="eastAsia" w:ascii="宋体" w:hAnsi="宋体" w:eastAsia="宋体" w:cs="Times New Roman"/>
          <w:color w:val="auto"/>
          <w:szCs w:val="21"/>
          <w:highlight w:val="none"/>
          <w:u w:val="single"/>
        </w:rPr>
        <w:t xml:space="preserve">                 </w:t>
      </w:r>
    </w:p>
    <w:p>
      <w:pPr>
        <w:widowControl w:val="0"/>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rPr>
          <w:rFonts w:hint="eastAsia" w:ascii="宋体" w:hAnsi="宋体" w:eastAsia="宋体" w:cs="微软雅黑"/>
          <w:color w:val="auto"/>
          <w:kern w:val="0"/>
          <w:szCs w:val="21"/>
          <w:highlight w:val="none"/>
        </w:rPr>
      </w:pPr>
      <w:r>
        <w:rPr>
          <w:rFonts w:hint="eastAsia" w:ascii="宋体" w:hAnsi="宋体" w:eastAsia="宋体" w:cs="微软雅黑"/>
          <w:color w:val="auto"/>
          <w:kern w:val="0"/>
          <w:position w:val="-2"/>
          <w:szCs w:val="21"/>
          <w:highlight w:val="none"/>
        </w:rPr>
        <w:t>姓名</w:t>
      </w:r>
      <w:r>
        <w:rPr>
          <w:rFonts w:hint="eastAsia" w:ascii="宋体" w:hAnsi="宋体" w:eastAsia="宋体" w:cs="微软雅黑"/>
          <w:color w:val="auto"/>
          <w:spacing w:val="-2"/>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性别</w:t>
      </w:r>
      <w:r>
        <w:rPr>
          <w:rFonts w:hint="eastAsia" w:ascii="宋体" w:hAnsi="宋体" w:eastAsia="宋体" w:cs="微软雅黑"/>
          <w:color w:val="auto"/>
          <w:spacing w:val="-2"/>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年</w:t>
      </w:r>
      <w:r>
        <w:rPr>
          <w:rFonts w:hint="eastAsia" w:ascii="宋体" w:hAnsi="宋体" w:eastAsia="宋体" w:cs="微软雅黑"/>
          <w:color w:val="auto"/>
          <w:spacing w:val="-2"/>
          <w:kern w:val="0"/>
          <w:position w:val="-2"/>
          <w:szCs w:val="21"/>
          <w:highlight w:val="none"/>
        </w:rPr>
        <w:t>龄</w:t>
      </w:r>
      <w:r>
        <w:rPr>
          <w:rFonts w:hint="eastAsia" w:ascii="宋体" w:hAnsi="宋体" w:eastAsia="宋体" w:cs="微软雅黑"/>
          <w:color w:val="auto"/>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职</w:t>
      </w:r>
      <w:r>
        <w:rPr>
          <w:rFonts w:hint="eastAsia" w:ascii="宋体" w:hAnsi="宋体" w:eastAsia="宋体" w:cs="微软雅黑"/>
          <w:color w:val="auto"/>
          <w:spacing w:val="-2"/>
          <w:kern w:val="0"/>
          <w:position w:val="-2"/>
          <w:szCs w:val="21"/>
          <w:highlight w:val="none"/>
        </w:rPr>
        <w:t>务</w:t>
      </w:r>
      <w:r>
        <w:rPr>
          <w:rFonts w:hint="eastAsia" w:ascii="宋体" w:hAnsi="宋体" w:eastAsia="宋体" w:cs="微软雅黑"/>
          <w:color w:val="auto"/>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系</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spacing w:val="-2"/>
          <w:kern w:val="0"/>
          <w:position w:val="-2"/>
          <w:szCs w:val="21"/>
          <w:highlight w:val="none"/>
        </w:rPr>
        <w:t>（</w:t>
      </w:r>
      <w:r>
        <w:rPr>
          <w:rFonts w:hint="eastAsia" w:ascii="宋体" w:hAnsi="宋体" w:eastAsia="宋体" w:cs="微软雅黑"/>
          <w:color w:val="auto"/>
          <w:kern w:val="0"/>
          <w:position w:val="-2"/>
          <w:szCs w:val="21"/>
          <w:highlight w:val="none"/>
        </w:rPr>
        <w:t>供应商</w:t>
      </w:r>
      <w:r>
        <w:rPr>
          <w:rFonts w:hint="eastAsia" w:ascii="宋体" w:hAnsi="宋体" w:eastAsia="宋体" w:cs="微软雅黑"/>
          <w:color w:val="auto"/>
          <w:spacing w:val="-2"/>
          <w:kern w:val="0"/>
          <w:position w:val="-2"/>
          <w:szCs w:val="21"/>
          <w:highlight w:val="none"/>
        </w:rPr>
        <w:t>名</w:t>
      </w:r>
      <w:r>
        <w:rPr>
          <w:rFonts w:hint="eastAsia" w:ascii="宋体" w:hAnsi="宋体" w:eastAsia="宋体" w:cs="微软雅黑"/>
          <w:color w:val="auto"/>
          <w:kern w:val="0"/>
          <w:position w:val="-2"/>
          <w:szCs w:val="21"/>
          <w:highlight w:val="none"/>
        </w:rPr>
        <w:t>称</w:t>
      </w:r>
      <w:r>
        <w:rPr>
          <w:rFonts w:hint="eastAsia" w:ascii="宋体" w:hAnsi="宋体" w:eastAsia="宋体" w:cs="微软雅黑"/>
          <w:color w:val="auto"/>
          <w:spacing w:val="-2"/>
          <w:kern w:val="0"/>
          <w:position w:val="-2"/>
          <w:szCs w:val="21"/>
          <w:highlight w:val="none"/>
        </w:rPr>
        <w:t>）</w:t>
      </w:r>
      <w:r>
        <w:rPr>
          <w:rFonts w:hint="eastAsia" w:ascii="宋体" w:hAnsi="宋体" w:eastAsia="宋体" w:cs="微软雅黑"/>
          <w:color w:val="auto"/>
          <w:kern w:val="0"/>
          <w:position w:val="-2"/>
          <w:szCs w:val="21"/>
          <w:highlight w:val="none"/>
        </w:rPr>
        <w:t>的</w:t>
      </w:r>
      <w:r>
        <w:rPr>
          <w:rFonts w:hint="eastAsia" w:ascii="宋体" w:hAnsi="宋体" w:eastAsia="宋体" w:cs="微软雅黑"/>
          <w:color w:val="auto"/>
          <w:spacing w:val="-2"/>
          <w:kern w:val="0"/>
          <w:position w:val="-2"/>
          <w:szCs w:val="21"/>
          <w:highlight w:val="none"/>
        </w:rPr>
        <w:t>法定</w:t>
      </w:r>
      <w:r>
        <w:rPr>
          <w:rFonts w:hint="eastAsia" w:ascii="宋体" w:hAnsi="宋体" w:eastAsia="宋体" w:cs="微软雅黑"/>
          <w:color w:val="auto"/>
          <w:kern w:val="0"/>
          <w:position w:val="-2"/>
          <w:szCs w:val="21"/>
          <w:highlight w:val="none"/>
        </w:rPr>
        <w:t>代表</w:t>
      </w:r>
      <w:r>
        <w:rPr>
          <w:rFonts w:hint="eastAsia" w:ascii="宋体" w:hAnsi="宋体" w:eastAsia="宋体" w:cs="微软雅黑"/>
          <w:color w:val="auto"/>
          <w:spacing w:val="-2"/>
          <w:kern w:val="0"/>
          <w:position w:val="-2"/>
          <w:szCs w:val="21"/>
          <w:highlight w:val="none"/>
        </w:rPr>
        <w:t>人</w:t>
      </w:r>
      <w:r>
        <w:rPr>
          <w:rFonts w:hint="eastAsia" w:ascii="宋体" w:hAnsi="宋体" w:eastAsia="宋体" w:cs="微软雅黑"/>
          <w:color w:val="auto"/>
          <w:kern w:val="0"/>
          <w:position w:val="-2"/>
          <w:szCs w:val="21"/>
          <w:highlight w:val="none"/>
        </w:rPr>
        <w:t>（</w:t>
      </w:r>
      <w:r>
        <w:rPr>
          <w:rFonts w:hint="eastAsia" w:ascii="宋体" w:hAnsi="宋体" w:eastAsia="宋体" w:cs="微软雅黑"/>
          <w:color w:val="auto"/>
          <w:spacing w:val="-2"/>
          <w:kern w:val="0"/>
          <w:position w:val="-2"/>
          <w:szCs w:val="21"/>
          <w:highlight w:val="none"/>
        </w:rPr>
        <w:t>单</w:t>
      </w:r>
      <w:r>
        <w:rPr>
          <w:rFonts w:hint="eastAsia" w:ascii="宋体" w:hAnsi="宋体" w:eastAsia="宋体" w:cs="微软雅黑"/>
          <w:color w:val="auto"/>
          <w:kern w:val="0"/>
          <w:position w:val="-2"/>
          <w:szCs w:val="21"/>
          <w:highlight w:val="none"/>
        </w:rPr>
        <w:t>位</w:t>
      </w:r>
      <w:r>
        <w:rPr>
          <w:rFonts w:hint="eastAsia" w:ascii="宋体" w:hAnsi="宋体" w:eastAsia="宋体" w:cs="微软雅黑"/>
          <w:color w:val="auto"/>
          <w:spacing w:val="-2"/>
          <w:kern w:val="0"/>
          <w:position w:val="-2"/>
          <w:szCs w:val="21"/>
          <w:highlight w:val="none"/>
        </w:rPr>
        <w:t>负</w:t>
      </w:r>
      <w:r>
        <w:rPr>
          <w:rFonts w:hint="eastAsia" w:ascii="宋体" w:hAnsi="宋体" w:eastAsia="宋体" w:cs="微软雅黑"/>
          <w:color w:val="auto"/>
          <w:kern w:val="0"/>
          <w:position w:val="-2"/>
          <w:szCs w:val="21"/>
          <w:highlight w:val="none"/>
        </w:rPr>
        <w:t>责</w:t>
      </w:r>
      <w:r>
        <w:rPr>
          <w:rFonts w:hint="eastAsia" w:ascii="宋体" w:hAnsi="宋体" w:eastAsia="宋体" w:cs="微软雅黑"/>
          <w:color w:val="auto"/>
          <w:spacing w:val="-2"/>
          <w:kern w:val="0"/>
          <w:position w:val="-2"/>
          <w:szCs w:val="21"/>
          <w:highlight w:val="none"/>
        </w:rPr>
        <w:t>人</w:t>
      </w:r>
      <w:r>
        <w:rPr>
          <w:rFonts w:hint="eastAsia" w:ascii="宋体" w:hAnsi="宋体" w:eastAsia="宋体" w:cs="微软雅黑"/>
          <w:color w:val="auto"/>
          <w:spacing w:val="-106"/>
          <w:kern w:val="0"/>
          <w:position w:val="-2"/>
          <w:szCs w:val="21"/>
          <w:highlight w:val="none"/>
        </w:rPr>
        <w:t>）</w:t>
      </w:r>
      <w:r>
        <w:rPr>
          <w:rFonts w:hint="eastAsia" w:ascii="宋体" w:hAnsi="宋体" w:eastAsia="宋体" w:cs="微软雅黑"/>
          <w:color w:val="auto"/>
          <w:kern w:val="0"/>
          <w:position w:val="-2"/>
          <w:szCs w:val="21"/>
          <w:highlight w:val="none"/>
        </w:rPr>
        <w:t>。</w:t>
      </w:r>
    </w:p>
    <w:p>
      <w:pPr>
        <w:widowControl w:val="0"/>
        <w:autoSpaceDE w:val="0"/>
        <w:autoSpaceDN w:val="0"/>
        <w:adjustRightInd w:val="0"/>
        <w:snapToGrid w:val="0"/>
        <w:spacing w:before="156" w:beforeLines="50" w:line="360" w:lineRule="auto"/>
        <w:ind w:left="520" w:right="-20"/>
        <w:rPr>
          <w:rFonts w:hint="eastAsia"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特此</w:t>
      </w:r>
      <w:r>
        <w:rPr>
          <w:rFonts w:hint="eastAsia" w:ascii="宋体" w:hAnsi="宋体" w:eastAsia="宋体" w:cs="微软雅黑"/>
          <w:color w:val="auto"/>
          <w:spacing w:val="-2"/>
          <w:kern w:val="0"/>
          <w:szCs w:val="21"/>
          <w:highlight w:val="none"/>
        </w:rPr>
        <w:t>证</w:t>
      </w:r>
      <w:r>
        <w:rPr>
          <w:rFonts w:hint="eastAsia" w:ascii="宋体" w:hAnsi="宋体" w:eastAsia="宋体" w:cs="微软雅黑"/>
          <w:color w:val="auto"/>
          <w:kern w:val="0"/>
          <w:szCs w:val="21"/>
          <w:highlight w:val="none"/>
        </w:rPr>
        <w:t>明。</w:t>
      </w:r>
    </w:p>
    <w:p>
      <w:pPr>
        <w:widowControl w:val="0"/>
        <w:autoSpaceDE w:val="0"/>
        <w:autoSpaceDN w:val="0"/>
        <w:adjustRightInd w:val="0"/>
        <w:snapToGrid w:val="0"/>
        <w:spacing w:before="156" w:beforeLines="50" w:line="360" w:lineRule="auto"/>
        <w:ind w:left="100" w:right="4231"/>
        <w:rPr>
          <w:rFonts w:hint="eastAsia"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附：</w:t>
      </w: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微软雅黑"/>
          <w:color w:val="auto"/>
          <w:kern w:val="0"/>
          <w:szCs w:val="21"/>
          <w:highlight w:val="none"/>
        </w:rPr>
        <w:t>身</w:t>
      </w:r>
      <w:r>
        <w:rPr>
          <w:rFonts w:hint="eastAsia" w:ascii="宋体" w:hAnsi="宋体" w:eastAsia="宋体" w:cs="微软雅黑"/>
          <w:color w:val="auto"/>
          <w:spacing w:val="-2"/>
          <w:kern w:val="0"/>
          <w:szCs w:val="21"/>
          <w:highlight w:val="none"/>
        </w:rPr>
        <w:t>份</w:t>
      </w:r>
      <w:r>
        <w:rPr>
          <w:rFonts w:hint="eastAsia" w:ascii="宋体" w:hAnsi="宋体" w:eastAsia="宋体" w:cs="微软雅黑"/>
          <w:color w:val="auto"/>
          <w:kern w:val="0"/>
          <w:szCs w:val="21"/>
          <w:highlight w:val="none"/>
        </w:rPr>
        <w:t>证</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r>
        <w:rPr>
          <w:rFonts w:hint="eastAsia" w:ascii="宋体" w:hAnsi="宋体" w:eastAsia="宋体" w:cs="微软雅黑"/>
          <w:color w:val="auto"/>
          <w:kern w:val="0"/>
          <w:szCs w:val="21"/>
          <w:highlight w:val="none"/>
        </w:rPr>
        <w:t>。</w:t>
      </w:r>
    </w:p>
    <w:tbl>
      <w:tblPr>
        <w:tblStyle w:val="4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pPr>
              <w:widowControl w:val="0"/>
              <w:adjustRightInd w:val="0"/>
              <w:snapToGrid w:val="0"/>
              <w:spacing w:before="156" w:beforeLines="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身份证（正面）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3899" w:type="dxa"/>
            <w:vAlign w:val="center"/>
          </w:tcPr>
          <w:p>
            <w:pPr>
              <w:widowControl w:val="0"/>
              <w:adjustRightInd w:val="0"/>
              <w:snapToGrid w:val="0"/>
              <w:spacing w:before="156" w:beforeLines="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身份证（反面）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bl>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注：供应商代表为法定代表人（单位负责人）的提供。供应商为自然人的无需提供。</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p>
    <w:p>
      <w:pPr>
        <w:widowControl w:val="0"/>
        <w:adjustRightInd w:val="0"/>
        <w:snapToGrid w:val="0"/>
        <w:spacing w:before="156" w:beforeLines="50" w:line="360" w:lineRule="auto"/>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供应商名称(盖单位电子公章)：</w:t>
      </w:r>
    </w:p>
    <w:p>
      <w:pPr>
        <w:widowControl w:val="0"/>
        <w:adjustRightInd w:val="0"/>
        <w:snapToGrid w:val="0"/>
        <w:spacing w:before="156" w:beforeLines="50" w:line="360" w:lineRule="auto"/>
        <w:ind w:right="24"/>
        <w:jc w:val="both"/>
        <w:rPr>
          <w:rFonts w:hint="eastAsia" w:ascii="仿宋_GB2312" w:hAnsi="宋体" w:eastAsia="仿宋_GB2312" w:cs="Times New Roman"/>
          <w:color w:val="auto"/>
          <w:szCs w:val="21"/>
          <w:highlight w:val="none"/>
        </w:rPr>
      </w:pPr>
      <w:r>
        <w:rPr>
          <w:rFonts w:hint="eastAsia" w:ascii="宋体" w:hAnsi="宋体" w:eastAsia="宋体" w:cs="Times New Roman"/>
          <w:color w:val="auto"/>
          <w:szCs w:val="21"/>
          <w:highlight w:val="none"/>
        </w:rPr>
        <w:t>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w:t>
      </w:r>
    </w:p>
    <w:p>
      <w:pPr>
        <w:keepNext/>
        <w:keepLines/>
        <w:widowControl w:val="0"/>
        <w:spacing w:line="360" w:lineRule="auto"/>
        <w:jc w:val="center"/>
        <w:outlineLvl w:val="1"/>
        <w:rPr>
          <w:rFonts w:hint="eastAsia" w:ascii="黑体" w:hAnsi="黑体" w:eastAsia="黑体" w:cs="Times New Roman"/>
          <w:b/>
          <w:bCs/>
          <w:color w:val="auto"/>
          <w:sz w:val="28"/>
          <w:szCs w:val="28"/>
          <w:highlight w:val="none"/>
        </w:rPr>
      </w:pPr>
      <w:r>
        <w:rPr>
          <w:rFonts w:ascii="Times New Roman" w:hAnsi="Times New Roman" w:eastAsia="宋体" w:cs="Times New Roman"/>
          <w:color w:val="auto"/>
          <w:szCs w:val="24"/>
          <w:highlight w:val="none"/>
        </w:rPr>
        <w:br w:type="page"/>
      </w:r>
      <w:bookmarkStart w:id="221" w:name="_Toc214954926"/>
      <w:r>
        <w:rPr>
          <w:rFonts w:hint="eastAsia" w:ascii="黑体" w:hAnsi="黑体" w:eastAsia="黑体" w:cs="Times New Roman"/>
          <w:b/>
          <w:bCs/>
          <w:color w:val="auto"/>
          <w:sz w:val="28"/>
          <w:szCs w:val="28"/>
          <w:highlight w:val="none"/>
        </w:rPr>
        <w:t>授权委托书(格式)</w:t>
      </w:r>
      <w:bookmarkEnd w:id="220"/>
      <w:bookmarkEnd w:id="221"/>
    </w:p>
    <w:p>
      <w:pPr>
        <w:widowControl w:val="0"/>
        <w:autoSpaceDE w:val="0"/>
        <w:autoSpaceDN w:val="0"/>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pPr>
    </w:p>
    <w:p>
      <w:pPr>
        <w:widowControl w:val="0"/>
        <w:autoSpaceDE w:val="0"/>
        <w:autoSpaceDN w:val="0"/>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本人</w:t>
      </w:r>
      <w:r>
        <w:rPr>
          <w:rFonts w:hint="eastAsia" w:ascii="宋体" w:hAnsi="宋体" w:eastAsia="宋体" w:cs="宋体"/>
          <w:color w:val="auto"/>
          <w:kern w:val="0"/>
          <w:szCs w:val="21"/>
          <w:highlight w:val="none"/>
          <w:u w:val="single"/>
        </w:rPr>
        <w:t>（姓名、职务）</w:t>
      </w:r>
      <w:r>
        <w:rPr>
          <w:rFonts w:hint="eastAsia" w:ascii="宋体" w:hAnsi="宋体" w:eastAsia="宋体" w:cs="宋体"/>
          <w:color w:val="auto"/>
          <w:kern w:val="0"/>
          <w:szCs w:val="21"/>
          <w:highlight w:val="none"/>
        </w:rPr>
        <w:t xml:space="preserve">系 </w:t>
      </w:r>
      <w:r>
        <w:rPr>
          <w:rFonts w:hint="eastAsia" w:ascii="宋体" w:hAnsi="宋体" w:eastAsia="宋体" w:cs="宋体"/>
          <w:color w:val="auto"/>
          <w:kern w:val="0"/>
          <w:szCs w:val="21"/>
          <w:highlight w:val="none"/>
          <w:u w:val="single"/>
        </w:rPr>
        <w:t>（</w:t>
      </w:r>
      <w:r>
        <w:rPr>
          <w:rFonts w:hint="eastAsia" w:ascii="宋体" w:hAnsi="宋体" w:eastAsia="宋体" w:cs="Times New Roman"/>
          <w:color w:val="auto"/>
          <w:szCs w:val="21"/>
          <w:highlight w:val="none"/>
          <w:u w:val="single"/>
        </w:rPr>
        <w:t>供应商</w:t>
      </w:r>
      <w:r>
        <w:rPr>
          <w:rFonts w:hint="eastAsia" w:ascii="宋体" w:hAnsi="宋体" w:eastAsia="宋体" w:cs="宋体"/>
          <w:color w:val="auto"/>
          <w:kern w:val="0"/>
          <w:szCs w:val="21"/>
          <w:highlight w:val="none"/>
          <w:u w:val="single"/>
        </w:rPr>
        <w:t>名称）</w:t>
      </w:r>
      <w:r>
        <w:rPr>
          <w:rFonts w:hint="eastAsia" w:ascii="宋体" w:hAnsi="宋体" w:eastAsia="宋体" w:cs="宋体"/>
          <w:color w:val="auto"/>
          <w:kern w:val="0"/>
          <w:szCs w:val="21"/>
          <w:highlight w:val="none"/>
        </w:rPr>
        <w:t>的法定代表人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宋体"/>
          <w:color w:val="auto"/>
          <w:kern w:val="0"/>
          <w:szCs w:val="21"/>
          <w:highlight w:val="none"/>
        </w:rPr>
        <w:t>，现授权</w:t>
      </w:r>
      <w:r>
        <w:rPr>
          <w:rFonts w:hint="eastAsia" w:ascii="宋体" w:hAnsi="宋体" w:eastAsia="宋体" w:cs="宋体"/>
          <w:color w:val="auto"/>
          <w:kern w:val="0"/>
          <w:szCs w:val="21"/>
          <w:highlight w:val="none"/>
          <w:u w:val="single"/>
        </w:rPr>
        <w:t>（姓名、职务）</w:t>
      </w:r>
      <w:r>
        <w:rPr>
          <w:rFonts w:hint="eastAsia" w:ascii="宋体" w:hAnsi="宋体" w:eastAsia="宋体" w:cs="宋体"/>
          <w:color w:val="auto"/>
          <w:kern w:val="0"/>
          <w:szCs w:val="21"/>
          <w:highlight w:val="none"/>
        </w:rPr>
        <w:t>为我方代理人。代理人根据授权，以我方名义：(1)签署、澄清、补正、修改、撤回、提交</w:t>
      </w:r>
      <w:r>
        <w:rPr>
          <w:rFonts w:hint="eastAsia" w:ascii="宋体" w:hAnsi="宋体" w:eastAsia="宋体" w:cs="宋体"/>
          <w:color w:val="auto"/>
          <w:kern w:val="0"/>
          <w:szCs w:val="21"/>
          <w:highlight w:val="none"/>
          <w:u w:val="single"/>
        </w:rPr>
        <w:t>（采购项目名称、</w:t>
      </w:r>
      <w:r>
        <w:rPr>
          <w:rFonts w:hint="eastAsia" w:ascii="宋体" w:hAnsi="宋体" w:eastAsia="宋体" w:cs="Times New Roman"/>
          <w:color w:val="auto"/>
          <w:szCs w:val="21"/>
          <w:highlight w:val="none"/>
          <w:u w:val="single"/>
        </w:rPr>
        <w:t>政府采购计划编号</w:t>
      </w:r>
      <w:r>
        <w:rPr>
          <w:rFonts w:hint="eastAsia" w:ascii="宋体" w:hAnsi="宋体" w:eastAsia="宋体" w:cs="宋体"/>
          <w:color w:val="auto"/>
          <w:kern w:val="0"/>
          <w:szCs w:val="21"/>
          <w:highlight w:val="none"/>
          <w:u w:val="single"/>
        </w:rPr>
        <w:t>、委托代理编号）</w:t>
      </w:r>
      <w:r>
        <w:rPr>
          <w:rFonts w:hint="eastAsia" w:ascii="宋体" w:hAnsi="宋体" w:eastAsia="宋体" w:cs="宋体"/>
          <w:color w:val="auto"/>
          <w:kern w:val="0"/>
          <w:szCs w:val="21"/>
          <w:highlight w:val="none"/>
        </w:rPr>
        <w:t>响应文件；(2)签署并重新提交响应文件及最后报价；(3)退出谈判（如可能）；(4)签订合同和处理有关事宜，其法律后果由我方承担。</w:t>
      </w:r>
    </w:p>
    <w:p>
      <w:pPr>
        <w:widowControl w:val="0"/>
        <w:autoSpaceDE w:val="0"/>
        <w:autoSpaceDN w:val="0"/>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委托期限：</w:t>
      </w:r>
      <w:r>
        <w:rPr>
          <w:rFonts w:hint="eastAsia" w:ascii="宋体" w:hAnsi="宋体" w:eastAsia="宋体" w:cs="宋体"/>
          <w:color w:val="auto"/>
          <w:kern w:val="0"/>
          <w:szCs w:val="21"/>
          <w:highlight w:val="none"/>
          <w:u w:val="single"/>
        </w:rPr>
        <w:t>自本授权书签署之日起至响应文件有效期期满</w:t>
      </w:r>
      <w:r>
        <w:rPr>
          <w:rFonts w:hint="eastAsia" w:ascii="宋体" w:hAnsi="宋体" w:eastAsia="宋体" w:cs="宋体"/>
          <w:color w:val="auto"/>
          <w:kern w:val="0"/>
          <w:szCs w:val="21"/>
          <w:highlight w:val="none"/>
        </w:rPr>
        <w:t xml:space="preserve"> 。</w:t>
      </w:r>
    </w:p>
    <w:p>
      <w:pPr>
        <w:widowControl w:val="0"/>
        <w:adjustRightInd w:val="0"/>
        <w:snapToGrid w:val="0"/>
        <w:spacing w:before="156" w:beforeLines="50" w:line="360" w:lineRule="auto"/>
        <w:ind w:firstLine="435"/>
        <w:jc w:val="both"/>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代理人无转委托权。</w:t>
      </w:r>
    </w:p>
    <w:p>
      <w:pPr>
        <w:widowControl w:val="0"/>
        <w:adjustRightInd w:val="0"/>
        <w:snapToGrid w:val="0"/>
        <w:spacing w:before="156" w:beforeLines="50" w:line="360" w:lineRule="auto"/>
        <w:ind w:firstLine="435"/>
        <w:jc w:val="both"/>
        <w:rPr>
          <w:rFonts w:hint="eastAsia" w:ascii="宋体" w:hAnsi="宋体" w:eastAsia="宋体" w:cs="微软雅黑"/>
          <w:color w:val="auto"/>
          <w:kern w:val="0"/>
          <w:szCs w:val="21"/>
          <w:highlight w:val="none"/>
        </w:rPr>
      </w:pPr>
      <w:r>
        <w:rPr>
          <w:rFonts w:hint="eastAsia" w:ascii="宋体" w:hAnsi="宋体" w:eastAsia="宋体" w:cs="Times New Roman"/>
          <w:color w:val="auto"/>
          <w:szCs w:val="21"/>
          <w:highlight w:val="none"/>
        </w:rPr>
        <w:t>本授权书于</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日签字生效，特此声明。</w:t>
      </w:r>
    </w:p>
    <w:tbl>
      <w:tblPr>
        <w:tblStyle w:val="4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pPr>
              <w:widowControl w:val="0"/>
              <w:adjustRightInd w:val="0"/>
              <w:snapToGrid w:val="0"/>
              <w:spacing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委托代理人身份证（正面）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3899" w:type="dxa"/>
            <w:vAlign w:val="center"/>
          </w:tcPr>
          <w:p>
            <w:pPr>
              <w:widowControl w:val="0"/>
              <w:adjustRightInd w:val="0"/>
              <w:snapToGrid w:val="0"/>
              <w:spacing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委托代理人身份证（反面）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pPr>
              <w:widowControl w:val="0"/>
              <w:adjustRightInd w:val="0"/>
              <w:snapToGrid w:val="0"/>
              <w:spacing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法定代表人身份证（正面）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3899" w:type="dxa"/>
            <w:vAlign w:val="center"/>
          </w:tcPr>
          <w:p>
            <w:pPr>
              <w:widowControl w:val="0"/>
              <w:adjustRightInd w:val="0"/>
              <w:snapToGrid w:val="0"/>
              <w:spacing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法定代表人身份证（反面）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bl>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注：供应商代表不是供应商的法定代表人（单位负责人）的提供。</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1"/>
          <w:highlight w:val="none"/>
        </w:rPr>
      </w:pPr>
    </w:p>
    <w:p>
      <w:pPr>
        <w:widowControl w:val="0"/>
        <w:adjustRightInd w:val="0"/>
        <w:snapToGrid w:val="0"/>
        <w:spacing w:before="156" w:beforeLines="50" w:line="360" w:lineRule="auto"/>
        <w:jc w:val="both"/>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供应商名称(盖单位电子公章)：</w:t>
      </w:r>
    </w:p>
    <w:p>
      <w:pPr>
        <w:widowControl w:val="0"/>
        <w:adjustRightInd w:val="0"/>
        <w:snapToGrid w:val="0"/>
        <w:spacing w:before="156" w:beforeLines="50" w:line="360" w:lineRule="auto"/>
        <w:jc w:val="both"/>
        <w:rPr>
          <w:rFonts w:hint="eastAsia" w:ascii="宋体" w:hAnsi="宋体" w:eastAsia="宋体" w:cs="微软雅黑"/>
          <w:color w:val="auto"/>
          <w:spacing w:val="-2"/>
          <w:kern w:val="0"/>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（签字或签章）：</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委托代理人（签字或签章）：</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sectPr>
          <w:pgSz w:w="11906" w:h="16838"/>
          <w:pgMar w:top="1418" w:right="1418" w:bottom="1134" w:left="1418" w:header="851" w:footer="992" w:gutter="0"/>
          <w:cols w:space="720" w:num="1"/>
          <w:docGrid w:type="linesAndChars" w:linePitch="312" w:charSpace="0"/>
        </w:sectPr>
      </w:pPr>
      <w:r>
        <w:rPr>
          <w:rFonts w:hint="eastAsia" w:ascii="宋体" w:hAnsi="宋体" w:eastAsia="宋体" w:cs="Times New Roman"/>
          <w:color w:val="auto"/>
          <w:szCs w:val="21"/>
          <w:highlight w:val="none"/>
        </w:rPr>
        <w:t>日期：    年    月     日</w:t>
      </w:r>
      <w:r>
        <w:rPr>
          <w:rFonts w:ascii="宋体" w:hAnsi="宋体" w:eastAsia="宋体" w:cs="Times New Roman"/>
          <w:color w:val="auto"/>
          <w:szCs w:val="24"/>
          <w:highlight w:val="none"/>
        </w:rPr>
        <w:t xml:space="preserve"> </w:t>
      </w:r>
    </w:p>
    <w:p>
      <w:pPr>
        <w:keepNext/>
        <w:keepLines/>
        <w:widowControl w:val="0"/>
        <w:adjustRightInd w:val="0"/>
        <w:snapToGrid w:val="0"/>
        <w:spacing w:before="156" w:beforeLines="50" w:line="360" w:lineRule="auto"/>
        <w:jc w:val="center"/>
        <w:outlineLvl w:val="1"/>
        <w:rPr>
          <w:rFonts w:hint="eastAsia" w:ascii="黑体" w:hAnsi="黑体" w:eastAsia="黑体" w:cs="Times New Roman"/>
          <w:b/>
          <w:bCs/>
          <w:color w:val="auto"/>
          <w:sz w:val="28"/>
          <w:szCs w:val="28"/>
          <w:highlight w:val="none"/>
        </w:rPr>
      </w:pPr>
      <w:bookmarkStart w:id="222" w:name="_Toc214954927"/>
      <w:bookmarkStart w:id="223" w:name="_Toc107998036"/>
      <w:bookmarkStart w:id="224" w:name="_Toc22201157"/>
      <w:r>
        <w:rPr>
          <w:rFonts w:hint="eastAsia" w:ascii="黑体" w:hAnsi="黑体" w:eastAsia="黑体" w:cs="Times New Roman"/>
          <w:b/>
          <w:bCs/>
          <w:color w:val="auto"/>
          <w:sz w:val="28"/>
          <w:szCs w:val="28"/>
          <w:highlight w:val="none"/>
        </w:rPr>
        <w:t>四、供应商资格审查材料</w:t>
      </w:r>
      <w:bookmarkEnd w:id="222"/>
      <w:bookmarkEnd w:id="223"/>
    </w:p>
    <w:p>
      <w:pPr>
        <w:widowControl w:val="0"/>
        <w:tabs>
          <w:tab w:val="left" w:pos="4725"/>
        </w:tabs>
        <w:adjustRightInd w:val="0"/>
        <w:snapToGrid w:val="0"/>
        <w:spacing w:before="156" w:beforeLines="50" w:line="360" w:lineRule="auto"/>
        <w:ind w:firstLine="420" w:firstLineChars="200"/>
        <w:jc w:val="both"/>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1、供应商</w:t>
      </w:r>
      <w:r>
        <w:rPr>
          <w:rFonts w:hint="eastAsia" w:ascii="宋体" w:hAnsi="宋体" w:eastAsia="宋体" w:cs="宋体"/>
          <w:b/>
          <w:bCs/>
          <w:color w:val="auto"/>
          <w:szCs w:val="21"/>
          <w:highlight w:val="none"/>
        </w:rPr>
        <w:t>应按要求提供下列的资格审查证明材料</w:t>
      </w:r>
    </w:p>
    <w:p>
      <w:pPr>
        <w:widowControl w:val="0"/>
        <w:spacing w:line="360" w:lineRule="auto"/>
        <w:ind w:firstLine="420" w:firstLineChars="200"/>
        <w:jc w:val="both"/>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附件4-1 法人或者其他组织的营业执照等主体资格证明文件</w:t>
      </w:r>
    </w:p>
    <w:p>
      <w:pPr>
        <w:widowControl w:val="0"/>
        <w:spacing w:line="360" w:lineRule="auto"/>
        <w:ind w:firstLine="420" w:firstLineChars="200"/>
        <w:jc w:val="both"/>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附件4-2 供应商资格声明(格式)</w:t>
      </w:r>
    </w:p>
    <w:p>
      <w:pPr>
        <w:widowControl w:val="0"/>
        <w:spacing w:line="360" w:lineRule="auto"/>
        <w:ind w:firstLine="420" w:firstLineChars="200"/>
        <w:jc w:val="both"/>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附件4-3 符合特定资格条件证明材料复印件或者情况说明</w:t>
      </w:r>
    </w:p>
    <w:p>
      <w:pPr>
        <w:widowControl w:val="0"/>
        <w:spacing w:line="360" w:lineRule="auto"/>
        <w:ind w:firstLine="420" w:firstLineChars="200"/>
        <w:jc w:val="both"/>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附件4-4 联合体协议书（格式）（联合体形式参加的提供）</w:t>
      </w:r>
    </w:p>
    <w:p>
      <w:pPr>
        <w:widowControl w:val="0"/>
        <w:spacing w:line="360" w:lineRule="auto"/>
        <w:ind w:firstLine="420" w:firstLineChars="200"/>
        <w:jc w:val="both"/>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附件4-5 湖南省政府采购供应商资格承诺函（格式）</w:t>
      </w:r>
    </w:p>
    <w:p>
      <w:pPr>
        <w:widowControl w:val="0"/>
        <w:tabs>
          <w:tab w:val="left" w:pos="4725"/>
        </w:tabs>
        <w:adjustRightInd w:val="0"/>
        <w:snapToGrid w:val="0"/>
        <w:spacing w:before="156" w:beforeLines="50" w:line="360" w:lineRule="auto"/>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2、供应商以联合体形式参加采购活动的，除应递交</w:t>
      </w:r>
      <w:r>
        <w:rPr>
          <w:rFonts w:hint="eastAsia" w:ascii="宋体" w:hAnsi="宋体" w:eastAsia="宋体" w:cs="Times New Roman"/>
          <w:color w:val="auto"/>
          <w:kern w:val="0"/>
          <w:szCs w:val="24"/>
          <w:highlight w:val="none"/>
        </w:rPr>
        <w:t>“</w:t>
      </w:r>
      <w:r>
        <w:rPr>
          <w:rFonts w:hint="eastAsia" w:ascii="宋体" w:hAnsi="宋体" w:eastAsia="宋体" w:cs="Times New Roman"/>
          <w:color w:val="auto"/>
          <w:szCs w:val="24"/>
          <w:highlight w:val="none"/>
        </w:rPr>
        <w:t>联合体协议书（格式）</w:t>
      </w:r>
      <w:r>
        <w:rPr>
          <w:rFonts w:hint="eastAsia" w:ascii="宋体" w:hAnsi="宋体" w:eastAsia="宋体" w:cs="Times New Roman"/>
          <w:color w:val="auto"/>
          <w:kern w:val="0"/>
          <w:szCs w:val="24"/>
          <w:highlight w:val="none"/>
        </w:rPr>
        <w:t>”书面声明</w:t>
      </w:r>
      <w:r>
        <w:rPr>
          <w:rFonts w:hint="eastAsia" w:ascii="宋体" w:hAnsi="宋体" w:eastAsia="宋体" w:cs="宋体"/>
          <w:color w:val="auto"/>
          <w:szCs w:val="21"/>
          <w:highlight w:val="none"/>
        </w:rPr>
        <w:t>(本节附件4-4)外，参加联合体的各方均应递交上述资格证明材料。</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p>
    <w:p>
      <w:pP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br w:type="page"/>
      </w:r>
    </w:p>
    <w:p>
      <w:pPr>
        <w:adjustRightInd w:val="0"/>
        <w:snapToGrid w:val="0"/>
        <w:spacing w:line="360" w:lineRule="auto"/>
        <w:outlineLvl w:val="2"/>
        <w:rPr>
          <w:rFonts w:hint="eastAsia" w:ascii="宋体" w:hAnsi="宋体" w:eastAsia="宋体" w:cs="宋体"/>
          <w:bCs/>
          <w:color w:val="auto"/>
          <w:szCs w:val="21"/>
          <w:highlight w:val="none"/>
        </w:rPr>
      </w:pPr>
      <w:bookmarkStart w:id="225" w:name="_Toc214954928"/>
      <w:bookmarkStart w:id="226" w:name="_Toc181004499"/>
      <w:bookmarkStart w:id="227" w:name="_Toc212820461"/>
      <w:r>
        <w:rPr>
          <w:rFonts w:ascii="宋体" w:hAnsi="宋体" w:eastAsia="宋体" w:cs="宋体"/>
          <w:bCs/>
          <w:color w:val="auto"/>
          <w:szCs w:val="21"/>
          <w:highlight w:val="none"/>
        </w:rPr>
        <w:t>附件4-1 法人或者其他组织的营业执照等主体资格证明文件</w:t>
      </w:r>
      <w:bookmarkEnd w:id="225"/>
      <w:bookmarkEnd w:id="226"/>
      <w:bookmarkEnd w:id="227"/>
    </w:p>
    <w:p>
      <w:pPr>
        <w:adjustRightInd w:val="0"/>
        <w:snapToGrid w:val="0"/>
        <w:spacing w:line="360" w:lineRule="auto"/>
        <w:jc w:val="center"/>
        <w:rPr>
          <w:rFonts w:hint="eastAsia" w:ascii="宋体" w:hAnsi="宋体" w:eastAsia="宋体" w:cs="宋体"/>
          <w:b/>
          <w:color w:val="auto"/>
          <w:sz w:val="28"/>
          <w:szCs w:val="28"/>
          <w:highlight w:val="none"/>
        </w:rPr>
      </w:pPr>
    </w:p>
    <w:p>
      <w:pPr>
        <w:adjustRightInd w:val="0"/>
        <w:snapToGrid w:val="0"/>
        <w:spacing w:line="360" w:lineRule="auto"/>
        <w:jc w:val="center"/>
        <w:rPr>
          <w:rFonts w:hint="eastAsia" w:ascii="宋体" w:hAnsi="宋体" w:eastAsia="宋体" w:cs="宋体"/>
          <w:b/>
          <w:color w:val="auto"/>
          <w:sz w:val="28"/>
          <w:szCs w:val="28"/>
          <w:highlight w:val="none"/>
        </w:rPr>
      </w:pPr>
      <w:r>
        <w:rPr>
          <w:rFonts w:ascii="宋体" w:hAnsi="宋体" w:eastAsia="宋体" w:cs="宋体"/>
          <w:b/>
          <w:color w:val="auto"/>
          <w:sz w:val="28"/>
          <w:szCs w:val="28"/>
          <w:highlight w:val="none"/>
        </w:rPr>
        <w:t>法人或者其他组织的营业执照等主体资格证明文件</w:t>
      </w:r>
    </w:p>
    <w:p>
      <w:pPr>
        <w:widowControl w:val="0"/>
        <w:adjustRightInd w:val="0"/>
        <w:snapToGrid w:val="0"/>
        <w:spacing w:before="156" w:beforeLines="50" w:line="360" w:lineRule="auto"/>
        <w:ind w:firstLine="420" w:firstLineChars="200"/>
        <w:jc w:val="both"/>
        <w:rPr>
          <w:rFonts w:hint="eastAsia" w:ascii="宋体" w:hAnsi="宋体" w:eastAsia="宋体" w:cs="宋体"/>
          <w:color w:val="auto"/>
          <w:szCs w:val="21"/>
          <w:highlight w:val="none"/>
        </w:rPr>
      </w:pPr>
    </w:p>
    <w:p>
      <w:pPr>
        <w:widowControl w:val="0"/>
        <w:adjustRightInd w:val="0"/>
        <w:snapToGrid w:val="0"/>
        <w:spacing w:before="156" w:beforeLines="50" w:line="360" w:lineRule="auto"/>
        <w:ind w:firstLine="420" w:firstLineChars="200"/>
        <w:jc w:val="both"/>
        <w:rPr>
          <w:rFonts w:hint="eastAsia" w:ascii="宋体" w:hAnsi="宋体" w:eastAsia="宋体" w:cs="宋体"/>
          <w:color w:val="auto"/>
          <w:szCs w:val="21"/>
          <w:highlight w:val="none"/>
        </w:rPr>
      </w:pPr>
      <w:r>
        <w:rPr>
          <w:rFonts w:ascii="宋体" w:hAnsi="宋体" w:eastAsia="宋体" w:cs="宋体"/>
          <w:color w:val="auto"/>
          <w:szCs w:val="21"/>
          <w:highlight w:val="none"/>
        </w:rPr>
        <w:t>注：</w:t>
      </w:r>
      <w:bookmarkStart w:id="228" w:name="_Toc22743992"/>
      <w:r>
        <w:rPr>
          <w:rFonts w:ascii="宋体" w:hAnsi="宋体" w:eastAsia="宋体" w:cs="宋体"/>
          <w:color w:val="auto"/>
          <w:szCs w:val="21"/>
          <w:highlight w:val="none"/>
        </w:rPr>
        <w:t>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r>
        <w:rPr>
          <w:rFonts w:ascii="宋体" w:hAnsi="宋体" w:eastAsia="宋体" w:cs="宋体"/>
          <w:color w:val="auto"/>
          <w:kern w:val="0"/>
          <w:szCs w:val="21"/>
          <w:highlight w:val="none"/>
        </w:rPr>
        <w:br w:type="page"/>
      </w:r>
    </w:p>
    <w:p>
      <w:pPr>
        <w:adjustRightInd w:val="0"/>
        <w:snapToGrid w:val="0"/>
        <w:spacing w:line="360" w:lineRule="auto"/>
        <w:outlineLvl w:val="2"/>
        <w:rPr>
          <w:rFonts w:hint="eastAsia" w:ascii="宋体" w:hAnsi="宋体" w:eastAsia="宋体" w:cs="宋体"/>
          <w:bCs/>
          <w:color w:val="auto"/>
          <w:szCs w:val="21"/>
          <w:highlight w:val="none"/>
        </w:rPr>
      </w:pPr>
      <w:bookmarkStart w:id="229" w:name="_Toc181004500"/>
      <w:bookmarkStart w:id="230" w:name="_Toc214954929"/>
      <w:bookmarkStart w:id="231" w:name="_Toc212820462"/>
      <w:r>
        <w:rPr>
          <w:rFonts w:ascii="宋体" w:hAnsi="宋体" w:eastAsia="宋体" w:cs="宋体"/>
          <w:bCs/>
          <w:color w:val="auto"/>
          <w:szCs w:val="21"/>
          <w:highlight w:val="none"/>
        </w:rPr>
        <w:t>附件4-2 供应商资格声明(格式)</w:t>
      </w:r>
      <w:bookmarkEnd w:id="228"/>
      <w:bookmarkEnd w:id="229"/>
      <w:bookmarkEnd w:id="230"/>
      <w:bookmarkEnd w:id="231"/>
    </w:p>
    <w:p>
      <w:pPr>
        <w:adjustRightInd w:val="0"/>
        <w:snapToGrid w:val="0"/>
        <w:spacing w:before="156" w:beforeLines="50" w:line="360" w:lineRule="auto"/>
        <w:jc w:val="center"/>
        <w:rPr>
          <w:rFonts w:hint="eastAsia" w:ascii="宋体" w:hAnsi="宋体" w:eastAsia="宋体" w:cs="宋体"/>
          <w:color w:val="auto"/>
          <w:szCs w:val="21"/>
          <w:highlight w:val="none"/>
        </w:rPr>
      </w:pPr>
      <w:r>
        <w:rPr>
          <w:rFonts w:ascii="宋体" w:hAnsi="宋体" w:eastAsia="宋体" w:cs="宋体"/>
          <w:b/>
          <w:color w:val="auto"/>
          <w:sz w:val="28"/>
          <w:szCs w:val="28"/>
          <w:highlight w:val="none"/>
        </w:rPr>
        <w:t>供应商资格声明(格式)</w:t>
      </w:r>
    </w:p>
    <w:p>
      <w:pPr>
        <w:adjustRightInd w:val="0"/>
        <w:snapToGrid w:val="0"/>
        <w:spacing w:before="156" w:beforeLines="50" w:line="360" w:lineRule="auto"/>
        <w:rPr>
          <w:rFonts w:hint="eastAsia" w:ascii="宋体" w:hAnsi="宋体" w:eastAsia="宋体" w:cs="宋体"/>
          <w:color w:val="auto"/>
          <w:kern w:val="0"/>
          <w:szCs w:val="21"/>
          <w:highlight w:val="none"/>
        </w:rPr>
      </w:pPr>
      <w:r>
        <w:rPr>
          <w:rFonts w:ascii="宋体" w:hAnsi="宋体" w:eastAsia="宋体" w:cs="宋体"/>
          <w:color w:val="auto"/>
          <w:szCs w:val="21"/>
          <w:highlight w:val="none"/>
        </w:rPr>
        <w:t>致</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(采购人、采购代理机构)：</w:t>
      </w:r>
    </w:p>
    <w:p>
      <w:pPr>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pPr>
      <w:r>
        <w:rPr>
          <w:rFonts w:ascii="宋体" w:hAnsi="宋体" w:eastAsia="宋体" w:cs="宋体"/>
          <w:color w:val="auto"/>
          <w:szCs w:val="21"/>
          <w:highlight w:val="none"/>
        </w:rPr>
        <w:t>按照《中华人民共和国政府采购法》第二十二条和谈判文件的规定，我单位郑重声明如下：</w:t>
      </w:r>
    </w:p>
    <w:p>
      <w:pPr>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pPr>
      <w:r>
        <w:rPr>
          <w:rFonts w:ascii="宋体" w:hAnsi="宋体" w:eastAsia="宋体" w:cs="宋体"/>
          <w:color w:val="auto"/>
          <w:szCs w:val="21"/>
          <w:highlight w:val="none"/>
        </w:rPr>
        <w:t>一、我单位是按照中华人民共和国法律规定登记注册的，注册地点为</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，全称为</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，统一社会信用代码为</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，法定代表人（姓名）为</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，具有独立承担民事责任的能力。</w:t>
      </w:r>
    </w:p>
    <w:p>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二、我单位未被“国家企业信用信息系统”列入经营异常名录或者严重违法企业名单。</w:t>
      </w:r>
    </w:p>
    <w:p>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kern w:val="0"/>
          <w:szCs w:val="21"/>
          <w:highlight w:val="none"/>
        </w:rPr>
        <w:t>三、</w:t>
      </w:r>
      <w:r>
        <w:rPr>
          <w:rFonts w:ascii="宋体" w:hAnsi="宋体" w:eastAsia="宋体" w:cs="宋体"/>
          <w:color w:val="auto"/>
          <w:szCs w:val="21"/>
          <w:highlight w:val="none"/>
        </w:rPr>
        <w:t>我单位具有良好的商业信誉和健全的财务会计制度。</w:t>
      </w:r>
    </w:p>
    <w:p>
      <w:pPr>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pPr>
      <w:r>
        <w:rPr>
          <w:rFonts w:ascii="宋体" w:hAnsi="宋体" w:eastAsia="宋体" w:cs="宋体"/>
          <w:color w:val="auto"/>
          <w:kern w:val="0"/>
          <w:szCs w:val="21"/>
          <w:highlight w:val="none"/>
        </w:rPr>
        <w:t>四、我</w:t>
      </w:r>
      <w:r>
        <w:rPr>
          <w:rFonts w:ascii="宋体" w:hAnsi="宋体" w:eastAsia="宋体" w:cs="宋体"/>
          <w:color w:val="auto"/>
          <w:szCs w:val="21"/>
          <w:highlight w:val="none"/>
        </w:rPr>
        <w:t>单位</w:t>
      </w:r>
      <w:r>
        <w:rPr>
          <w:rFonts w:ascii="宋体" w:hAnsi="宋体" w:eastAsia="宋体" w:cs="宋体"/>
          <w:color w:val="auto"/>
          <w:kern w:val="0"/>
          <w:szCs w:val="21"/>
          <w:highlight w:val="none"/>
        </w:rPr>
        <w:t>依法进行纳税和社会保险申报并实际履行了义务。</w:t>
      </w:r>
    </w:p>
    <w:p>
      <w:pPr>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pPr>
      <w:r>
        <w:rPr>
          <w:rFonts w:ascii="宋体" w:hAnsi="宋体" w:eastAsia="宋体" w:cs="宋体"/>
          <w:color w:val="auto"/>
          <w:szCs w:val="21"/>
          <w:highlight w:val="none"/>
        </w:rPr>
        <w:t>五、我单位具有履行本项目采购合同所必需的设备和专业技术能力，并具有履行合同的良好记录。</w:t>
      </w:r>
    </w:p>
    <w:p>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六、我单位在参加采购项目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供应商在参加政府采购活动前3年内因违法经营被禁止在一定期限内参加政府采购活动，期限届满的，可以参加政府采购活动。</w:t>
      </w:r>
    </w:p>
    <w:p>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七、我单位具备法律、行政法规规定的其他条件。</w:t>
      </w:r>
    </w:p>
    <w:p>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kern w:val="0"/>
          <w:szCs w:val="21"/>
          <w:highlight w:val="none"/>
        </w:rPr>
        <w:t>八、</w:t>
      </w:r>
      <w:r>
        <w:rPr>
          <w:rFonts w:ascii="宋体" w:hAnsi="宋体" w:eastAsia="宋体" w:cs="宋体"/>
          <w:color w:val="auto"/>
          <w:szCs w:val="21"/>
          <w:highlight w:val="none"/>
        </w:rPr>
        <w:t>与我单位存在“单位负责人为同一人或者存在直接控股、管理关系”的其他单位信息如下（如无，填写“无”）：</w:t>
      </w:r>
    </w:p>
    <w:p>
      <w:pPr>
        <w:widowControl w:val="0"/>
        <w:adjustRightInd w:val="0"/>
        <w:snapToGrid w:val="0"/>
        <w:spacing w:before="156" w:beforeLines="50" w:line="360" w:lineRule="auto"/>
        <w:ind w:firstLine="420" w:firstLineChars="200"/>
        <w:jc w:val="both"/>
        <w:rPr>
          <w:rFonts w:hint="eastAsia" w:ascii="宋体" w:hAnsi="宋体" w:eastAsia="宋体" w:cs="宋体"/>
          <w:color w:val="auto"/>
          <w:szCs w:val="21"/>
          <w:highlight w:val="none"/>
        </w:rPr>
      </w:pPr>
      <w:r>
        <w:rPr>
          <w:rFonts w:ascii="宋体" w:hAnsi="宋体" w:eastAsia="宋体" w:cs="宋体"/>
          <w:color w:val="auto"/>
          <w:szCs w:val="21"/>
          <w:highlight w:val="none"/>
        </w:rPr>
        <w:t>1、与我单位的法定代表人为同一人的其他单位如下：</w:t>
      </w:r>
      <w:r>
        <w:rPr>
          <w:rFonts w:ascii="宋体" w:hAnsi="宋体" w:eastAsia="宋体" w:cs="宋体"/>
          <w:color w:val="auto"/>
          <w:szCs w:val="21"/>
          <w:highlight w:val="none"/>
          <w:u w:val="single"/>
        </w:rPr>
        <w:t xml:space="preserve">               </w:t>
      </w:r>
    </w:p>
    <w:p>
      <w:pPr>
        <w:widowControl w:val="0"/>
        <w:adjustRightInd w:val="0"/>
        <w:snapToGrid w:val="0"/>
        <w:spacing w:before="156" w:beforeLines="50" w:line="360" w:lineRule="auto"/>
        <w:ind w:firstLine="420" w:firstLineChars="200"/>
        <w:jc w:val="both"/>
        <w:rPr>
          <w:rFonts w:hint="eastAsia" w:ascii="宋体" w:hAnsi="宋体" w:eastAsia="宋体" w:cs="宋体"/>
          <w:color w:val="auto"/>
          <w:szCs w:val="21"/>
          <w:highlight w:val="none"/>
        </w:rPr>
      </w:pPr>
      <w:r>
        <w:rPr>
          <w:rFonts w:ascii="宋体" w:hAnsi="宋体" w:eastAsia="宋体" w:cs="宋体"/>
          <w:color w:val="auto"/>
          <w:szCs w:val="21"/>
          <w:highlight w:val="none"/>
        </w:rPr>
        <w:t>2、我单位直接控股的其他单位如下：</w:t>
      </w:r>
      <w:r>
        <w:rPr>
          <w:rFonts w:ascii="宋体" w:hAnsi="宋体" w:eastAsia="宋体" w:cs="宋体"/>
          <w:color w:val="auto"/>
          <w:szCs w:val="21"/>
          <w:highlight w:val="none"/>
          <w:u w:val="single"/>
        </w:rPr>
        <w:t xml:space="preserve">               </w:t>
      </w:r>
    </w:p>
    <w:p>
      <w:pPr>
        <w:widowControl w:val="0"/>
        <w:adjustRightInd w:val="0"/>
        <w:snapToGrid w:val="0"/>
        <w:spacing w:before="156" w:beforeLines="50" w:line="360" w:lineRule="auto"/>
        <w:ind w:firstLine="420" w:firstLineChars="200"/>
        <w:jc w:val="both"/>
        <w:rPr>
          <w:rFonts w:hint="eastAsia" w:ascii="宋体" w:hAnsi="宋体" w:eastAsia="宋体" w:cs="宋体"/>
          <w:color w:val="auto"/>
          <w:szCs w:val="21"/>
          <w:highlight w:val="none"/>
        </w:rPr>
      </w:pPr>
      <w:r>
        <w:rPr>
          <w:rFonts w:ascii="宋体" w:hAnsi="宋体" w:eastAsia="宋体" w:cs="宋体"/>
          <w:color w:val="auto"/>
          <w:szCs w:val="21"/>
          <w:highlight w:val="none"/>
        </w:rPr>
        <w:t>3、与我单位存在管理关系的其他单位如下：</w:t>
      </w:r>
      <w:r>
        <w:rPr>
          <w:rFonts w:ascii="宋体" w:hAnsi="宋体" w:eastAsia="宋体" w:cs="宋体"/>
          <w:color w:val="auto"/>
          <w:szCs w:val="21"/>
          <w:highlight w:val="none"/>
          <w:u w:val="single"/>
        </w:rPr>
        <w:t xml:space="preserve">               </w:t>
      </w:r>
    </w:p>
    <w:p>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九、我单位不属于为本项目提供整体设计、规范编制或者项目管理、监理、检测等服务的供应商。</w:t>
      </w:r>
    </w:p>
    <w:p>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十、我单位无以下不良信用记录情形：</w:t>
      </w:r>
    </w:p>
    <w:p>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1、在“信用中国” “信用湖南”“信用郴州”网站被列入失信被执行人和重大税收违法失信主体；</w:t>
      </w:r>
    </w:p>
    <w:p>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2、在“中国政府采购网”“湖南省政府采购网”网站被列入政府采购严重违法失信行为记录名单；</w:t>
      </w:r>
    </w:p>
    <w:p>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3、不符合《政府采购法》第二十二条规定的条件。</w:t>
      </w:r>
    </w:p>
    <w:p>
      <w:pPr>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pPr>
      <w:r>
        <w:rPr>
          <w:rFonts w:ascii="宋体" w:hAnsi="宋体" w:eastAsia="宋体" w:cs="宋体"/>
          <w:color w:val="auto"/>
          <w:szCs w:val="21"/>
          <w:highlight w:val="none"/>
        </w:rPr>
        <w:t>我单位保证上述声明的事项都是真实的，如有虚假，我单位愿意承担相应的法律责任，并承担因此所造成的一切损失。</w:t>
      </w:r>
    </w:p>
    <w:p>
      <w:pPr>
        <w:adjustRightInd w:val="0"/>
        <w:snapToGrid w:val="0"/>
        <w:spacing w:before="156" w:beforeLines="50" w:line="360" w:lineRule="auto"/>
        <w:rPr>
          <w:rFonts w:hint="eastAsia" w:ascii="宋体" w:hAnsi="宋体" w:eastAsia="宋体" w:cs="宋体"/>
          <w:color w:val="auto"/>
          <w:szCs w:val="21"/>
          <w:highlight w:val="none"/>
        </w:rPr>
      </w:pPr>
    </w:p>
    <w:p>
      <w:pPr>
        <w:adjustRightInd w:val="0"/>
        <w:snapToGrid w:val="0"/>
        <w:spacing w:before="156" w:beforeLines="50" w:line="360" w:lineRule="auto"/>
        <w:rPr>
          <w:rFonts w:hint="eastAsia" w:ascii="宋体" w:hAnsi="宋体" w:eastAsia="宋体" w:cs="宋体"/>
          <w:color w:val="auto"/>
          <w:szCs w:val="21"/>
          <w:highlight w:val="none"/>
        </w:rPr>
      </w:pPr>
      <w:r>
        <w:rPr>
          <w:rFonts w:ascii="宋体" w:hAnsi="宋体" w:eastAsia="宋体" w:cs="宋体"/>
          <w:color w:val="auto"/>
          <w:szCs w:val="21"/>
          <w:highlight w:val="none"/>
        </w:rPr>
        <w:t>注：第三条“良好的商业信誉”是指供应商经营状况良好，无本资格声明第十条情形。</w:t>
      </w:r>
    </w:p>
    <w:p>
      <w:pPr>
        <w:adjustRightInd w:val="0"/>
        <w:snapToGrid w:val="0"/>
        <w:spacing w:before="156" w:beforeLines="50"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kern w:val="0"/>
          <w:szCs w:val="21"/>
          <w:highlight w:val="none"/>
        </w:rPr>
      </w:pPr>
      <w:r>
        <w:rPr>
          <w:rFonts w:ascii="宋体" w:hAnsi="宋体" w:eastAsia="宋体" w:cs="宋体"/>
          <w:color w:val="auto"/>
          <w:szCs w:val="21"/>
          <w:highlight w:val="none"/>
        </w:rPr>
        <w:t>供应商名称：</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（盖单位电子公章）</w:t>
      </w:r>
    </w:p>
    <w:p>
      <w:pPr>
        <w:adjustRightInd w:val="0"/>
        <w:snapToGrid w:val="0"/>
        <w:spacing w:line="360" w:lineRule="auto"/>
        <w:rPr>
          <w:rFonts w:hint="eastAsia" w:ascii="宋体" w:hAnsi="宋体" w:eastAsia="宋体" w:cs="宋体"/>
          <w:color w:val="auto"/>
          <w:szCs w:val="24"/>
          <w:highlight w:val="none"/>
        </w:rPr>
      </w:pPr>
      <w:r>
        <w:rPr>
          <w:rFonts w:ascii="宋体" w:hAnsi="宋体" w:eastAsia="宋体" w:cs="宋体"/>
          <w:color w:val="auto"/>
          <w:spacing w:val="-2"/>
          <w:kern w:val="0"/>
          <w:szCs w:val="21"/>
          <w:highlight w:val="none"/>
        </w:rPr>
        <w:t>法定代表人</w:t>
      </w:r>
      <w:r>
        <w:rPr>
          <w:rFonts w:ascii="宋体" w:hAnsi="宋体" w:eastAsia="宋体" w:cs="宋体"/>
          <w:color w:val="auto"/>
          <w:szCs w:val="24"/>
          <w:highlight w:val="none"/>
        </w:rPr>
        <w:t>或授权代表人：</w:t>
      </w:r>
      <w:r>
        <w:rPr>
          <w:rFonts w:ascii="宋体" w:hAnsi="宋体" w:eastAsia="宋体" w:cs="宋体"/>
          <w:color w:val="auto"/>
          <w:szCs w:val="24"/>
          <w:highlight w:val="none"/>
          <w:u w:val="single"/>
        </w:rPr>
        <w:t xml:space="preserve">       </w:t>
      </w:r>
      <w:r>
        <w:rPr>
          <w:rFonts w:ascii="宋体" w:hAnsi="宋体" w:eastAsia="宋体" w:cs="宋体"/>
          <w:color w:val="auto"/>
          <w:szCs w:val="24"/>
          <w:highlight w:val="none"/>
        </w:rPr>
        <w:t>（签字或签章）</w:t>
      </w:r>
    </w:p>
    <w:p>
      <w:pPr>
        <w:widowControl w:val="0"/>
        <w:spacing w:line="240" w:lineRule="auto"/>
        <w:jc w:val="both"/>
        <w:rPr>
          <w:rFonts w:hint="eastAsia" w:ascii="宋体" w:hAnsi="宋体" w:eastAsia="宋体" w:cs="宋体"/>
          <w:color w:val="auto"/>
          <w:szCs w:val="21"/>
          <w:highlight w:val="none"/>
        </w:rPr>
      </w:pPr>
      <w:r>
        <w:rPr>
          <w:rFonts w:ascii="宋体" w:hAnsi="宋体" w:eastAsia="宋体" w:cs="宋体"/>
          <w:color w:val="auto"/>
          <w:szCs w:val="21"/>
          <w:highlight w:val="none"/>
        </w:rPr>
        <w:t>日期：</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年</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月</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日</w:t>
      </w:r>
    </w:p>
    <w:p>
      <w:pPr>
        <w:keepNext/>
        <w:keepLines/>
        <w:widowControl w:val="0"/>
        <w:spacing w:before="280" w:after="290" w:line="376" w:lineRule="auto"/>
        <w:jc w:val="both"/>
        <w:outlineLvl w:val="3"/>
        <w:rPr>
          <w:rFonts w:hint="eastAsia" w:ascii="宋体" w:hAnsi="宋体" w:eastAsia="宋体" w:cs="宋体"/>
          <w:b/>
          <w:bCs/>
          <w:color w:val="auto"/>
          <w:kern w:val="0"/>
          <w:sz w:val="28"/>
          <w:szCs w:val="21"/>
          <w:highlight w:val="none"/>
        </w:rPr>
      </w:pPr>
    </w:p>
    <w:p>
      <w:pPr>
        <w:spacing w:line="240" w:lineRule="auto"/>
        <w:rPr>
          <w:rFonts w:hint="eastAsia" w:ascii="宋体" w:hAnsi="宋体" w:eastAsia="宋体" w:cs="宋体"/>
          <w:bCs/>
          <w:color w:val="auto"/>
          <w:kern w:val="0"/>
          <w:szCs w:val="21"/>
          <w:highlight w:val="none"/>
        </w:rPr>
      </w:pPr>
      <w:r>
        <w:rPr>
          <w:rFonts w:ascii="宋体" w:hAnsi="宋体" w:eastAsia="宋体" w:cs="宋体"/>
          <w:bCs/>
          <w:color w:val="auto"/>
          <w:kern w:val="0"/>
          <w:szCs w:val="21"/>
          <w:highlight w:val="none"/>
        </w:rPr>
        <w:br w:type="page"/>
      </w:r>
    </w:p>
    <w:p>
      <w:pPr>
        <w:adjustRightInd w:val="0"/>
        <w:snapToGrid w:val="0"/>
        <w:spacing w:line="360" w:lineRule="auto"/>
        <w:outlineLvl w:val="2"/>
        <w:rPr>
          <w:rFonts w:hint="eastAsia" w:ascii="宋体" w:hAnsi="宋体" w:eastAsia="宋体" w:cs="宋体"/>
          <w:bCs/>
          <w:color w:val="auto"/>
          <w:szCs w:val="21"/>
          <w:highlight w:val="none"/>
        </w:rPr>
      </w:pPr>
      <w:bookmarkStart w:id="232" w:name="_Toc212820463"/>
      <w:bookmarkStart w:id="233" w:name="_Toc181004501"/>
      <w:bookmarkStart w:id="234" w:name="_Toc214954930"/>
      <w:r>
        <w:rPr>
          <w:rFonts w:ascii="宋体" w:hAnsi="宋体" w:eastAsia="宋体" w:cs="宋体"/>
          <w:bCs/>
          <w:color w:val="auto"/>
          <w:szCs w:val="21"/>
          <w:highlight w:val="none"/>
        </w:rPr>
        <w:t>附件4-3 符合特定资格条件证明材料复印件或者情况说明</w:t>
      </w:r>
      <w:bookmarkEnd w:id="232"/>
      <w:bookmarkEnd w:id="233"/>
      <w:bookmarkEnd w:id="234"/>
    </w:p>
    <w:p>
      <w:pPr>
        <w:adjustRightInd w:val="0"/>
        <w:snapToGrid w:val="0"/>
        <w:spacing w:line="360" w:lineRule="auto"/>
        <w:ind w:firstLine="560" w:firstLineChars="200"/>
        <w:rPr>
          <w:rFonts w:hint="eastAsia" w:ascii="宋体" w:hAnsi="宋体" w:eastAsia="宋体" w:cs="宋体"/>
          <w:color w:val="auto"/>
          <w:sz w:val="28"/>
          <w:szCs w:val="28"/>
          <w:highlight w:val="none"/>
        </w:rPr>
      </w:pPr>
    </w:p>
    <w:p>
      <w:pPr>
        <w:adjustRightInd w:val="0"/>
        <w:snapToGrid w:val="0"/>
        <w:spacing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注：按第一章第四条第</w:t>
      </w:r>
      <w:r>
        <w:rPr>
          <w:rFonts w:hint="eastAsia" w:ascii="宋体" w:hAnsi="宋体" w:eastAsia="宋体" w:cs="宋体"/>
          <w:color w:val="auto"/>
          <w:szCs w:val="21"/>
          <w:highlight w:val="none"/>
        </w:rPr>
        <w:t>4</w:t>
      </w:r>
      <w:r>
        <w:rPr>
          <w:rFonts w:ascii="宋体" w:hAnsi="宋体" w:eastAsia="宋体" w:cs="宋体"/>
          <w:color w:val="auto"/>
          <w:szCs w:val="21"/>
          <w:highlight w:val="none"/>
        </w:rPr>
        <w:t>款的要求提供。</w:t>
      </w:r>
    </w:p>
    <w:p>
      <w:pPr>
        <w:adjustRightInd w:val="0"/>
        <w:snapToGrid w:val="0"/>
        <w:spacing w:line="360" w:lineRule="auto"/>
        <w:rPr>
          <w:rFonts w:hint="eastAsia" w:ascii="宋体" w:hAnsi="宋体" w:eastAsia="宋体" w:cs="宋体"/>
          <w:color w:val="auto"/>
          <w:szCs w:val="21"/>
          <w:highlight w:val="none"/>
        </w:rPr>
      </w:pPr>
    </w:p>
    <w:p>
      <w:pPr>
        <w:rPr>
          <w:rFonts w:hint="eastAsia" w:ascii="宋体" w:hAnsi="宋体" w:eastAsia="宋体" w:cs="Times New Roman"/>
          <w:color w:val="auto"/>
          <w:szCs w:val="21"/>
          <w:highlight w:val="none"/>
        </w:rPr>
      </w:pPr>
    </w:p>
    <w:p>
      <w:pPr>
        <w:adjustRightInd w:val="0"/>
        <w:snapToGrid w:val="0"/>
        <w:spacing w:line="360" w:lineRule="auto"/>
        <w:outlineLvl w:val="2"/>
        <w:rPr>
          <w:rFonts w:hint="eastAsia" w:ascii="宋体" w:hAnsi="宋体" w:eastAsia="宋体" w:cs="宋体"/>
          <w:bCs/>
          <w:color w:val="auto"/>
          <w:szCs w:val="21"/>
          <w:highlight w:val="none"/>
        </w:rPr>
      </w:pPr>
      <w:bookmarkStart w:id="235" w:name="_Toc214954931"/>
      <w:bookmarkStart w:id="236" w:name="_Toc212820464"/>
      <w:bookmarkStart w:id="237" w:name="_Toc181004502"/>
      <w:r>
        <w:rPr>
          <w:rFonts w:hint="eastAsia" w:ascii="宋体" w:hAnsi="宋体" w:eastAsia="宋体" w:cs="宋体"/>
          <w:bCs/>
          <w:color w:val="auto"/>
          <w:szCs w:val="21"/>
          <w:highlight w:val="none"/>
        </w:rPr>
        <w:t>附件4-4 联合体协议书（格式）</w:t>
      </w:r>
      <w:bookmarkEnd w:id="235"/>
      <w:bookmarkEnd w:id="236"/>
      <w:bookmarkEnd w:id="237"/>
    </w:p>
    <w:p>
      <w:pPr>
        <w:widowControl w:val="0"/>
        <w:adjustRightInd w:val="0"/>
        <w:snapToGrid w:val="0"/>
        <w:spacing w:before="156" w:beforeLines="50" w:line="360" w:lineRule="auto"/>
        <w:jc w:val="center"/>
        <w:rPr>
          <w:rFonts w:hint="eastAsia" w:ascii="宋体" w:hAnsi="宋体" w:eastAsia="黑体" w:cs="Times New Roman"/>
          <w:b/>
          <w:color w:val="auto"/>
          <w:szCs w:val="21"/>
          <w:highlight w:val="none"/>
          <w:lang w:val="en-US" w:eastAsia="zh-CN"/>
        </w:rPr>
      </w:pPr>
      <w:r>
        <w:rPr>
          <w:rFonts w:hint="eastAsia" w:ascii="黑体" w:hAnsi="仿宋" w:eastAsia="黑体" w:cs="宋体"/>
          <w:b/>
          <w:color w:val="auto"/>
          <w:sz w:val="28"/>
          <w:szCs w:val="28"/>
          <w:highlight w:val="none"/>
        </w:rPr>
        <w:t>联合体协议书（格式）（本项目不适用）</w:t>
      </w:r>
      <w:r>
        <w:rPr>
          <w:rFonts w:hint="eastAsia" w:ascii="黑体" w:hAnsi="仿宋" w:eastAsia="黑体" w:cs="宋体"/>
          <w:b/>
          <w:color w:val="auto"/>
          <w:sz w:val="28"/>
          <w:szCs w:val="28"/>
          <w:highlight w:val="none"/>
          <w:lang w:val="en-US" w:eastAsia="zh-CN"/>
        </w:rPr>
        <w:t>我公司非联合体投标本项目</w:t>
      </w:r>
    </w:p>
    <w:p>
      <w:pPr>
        <w:widowControl w:val="0"/>
        <w:adjustRightInd w:val="0"/>
        <w:snapToGrid w:val="0"/>
        <w:spacing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（采购人、采购代理机构）：</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经研究，我们决定自愿组成联合体共同参加</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（项目名称</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（采购代理编号：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）项目的</w:t>
      </w:r>
      <w:r>
        <w:rPr>
          <w:rFonts w:hint="eastAsia" w:ascii="宋体" w:hAnsi="宋体" w:eastAsia="宋体" w:cs="宋体"/>
          <w:color w:val="auto"/>
          <w:szCs w:val="21"/>
          <w:highlight w:val="none"/>
        </w:rPr>
        <w:t>竞争性谈判</w:t>
      </w:r>
      <w:r>
        <w:rPr>
          <w:rFonts w:hint="eastAsia" w:ascii="宋体" w:hAnsi="宋体" w:eastAsia="宋体" w:cs="Times New Roman"/>
          <w:color w:val="auto"/>
          <w:szCs w:val="21"/>
          <w:highlight w:val="none"/>
        </w:rPr>
        <w:t>。现就联合体事宜订立如下协议：</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一、联合体基本信息：</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（各方公司名称、地址、注册资金、营业执照、</w:t>
      </w: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姓名）</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（某成员单位名称）为</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（联合体名称）牵头人。</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三、联合体牵头人合法代表联合体各成员负责本项目响应文件编制活动，代表联合体提交和接收相关的资料、信息及指示，并处理与</w:t>
      </w:r>
      <w:r>
        <w:rPr>
          <w:rFonts w:hint="eastAsia" w:ascii="宋体" w:hAnsi="宋体" w:eastAsia="宋体" w:cs="宋体"/>
          <w:color w:val="auto"/>
          <w:szCs w:val="21"/>
          <w:highlight w:val="none"/>
        </w:rPr>
        <w:t>谈判</w:t>
      </w:r>
      <w:r>
        <w:rPr>
          <w:rFonts w:hint="eastAsia" w:ascii="宋体" w:hAnsi="宋体" w:eastAsia="宋体" w:cs="Times New Roman"/>
          <w:color w:val="auto"/>
          <w:szCs w:val="21"/>
          <w:highlight w:val="none"/>
        </w:rPr>
        <w:t>有关的一切事务；联合体成交后，联合体牵头人负责合同订立和合同实施阶段的主办、组织和协调工作。</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四．联合体将严格按照</w:t>
      </w:r>
      <w:r>
        <w:rPr>
          <w:rFonts w:hint="eastAsia" w:ascii="宋体" w:hAnsi="宋体" w:eastAsia="宋体" w:cs="宋体"/>
          <w:color w:val="auto"/>
          <w:szCs w:val="21"/>
          <w:highlight w:val="none"/>
        </w:rPr>
        <w:t>谈判文件</w:t>
      </w:r>
      <w:r>
        <w:rPr>
          <w:rFonts w:hint="eastAsia" w:ascii="宋体" w:hAnsi="宋体" w:eastAsia="宋体" w:cs="Times New Roman"/>
          <w:color w:val="auto"/>
          <w:szCs w:val="21"/>
          <w:highlight w:val="none"/>
        </w:rPr>
        <w:t>的各项要求，递交响应文件，参加</w:t>
      </w:r>
      <w:r>
        <w:rPr>
          <w:rFonts w:hint="eastAsia" w:ascii="宋体" w:hAnsi="宋体" w:eastAsia="宋体" w:cs="宋体"/>
          <w:color w:val="auto"/>
          <w:szCs w:val="21"/>
          <w:highlight w:val="none"/>
        </w:rPr>
        <w:t>谈判</w:t>
      </w:r>
      <w:r>
        <w:rPr>
          <w:rFonts w:hint="eastAsia" w:ascii="宋体" w:hAnsi="宋体" w:eastAsia="宋体" w:cs="Times New Roman"/>
          <w:color w:val="auto"/>
          <w:szCs w:val="21"/>
          <w:highlight w:val="none"/>
        </w:rPr>
        <w:t>，履行成交义务和成交后的合同，并向采购人承担连带责任。</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五、联合体各成员单位内部的职责分工如下：</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。按照本条上述分工，联合体各成员的协议合同金额占联合体协议合同总金额比例如下：</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六、本协议书自签署之日起生效，合同履行完毕后自动失效。</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七、本协议书一式</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份，联合体成员和采购人各执一份。</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牵头人名称（盖单位公章）：</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或其委托代理人（签字或印章）：</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成员1名称（盖单位公章）：</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或其委托代理人（签字或印章）：</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日  </w:t>
      </w:r>
    </w:p>
    <w:p>
      <w:pPr>
        <w:widowControl w:val="0"/>
        <w:adjustRightInd w:val="0"/>
        <w:snapToGrid w:val="0"/>
        <w:spacing w:before="156" w:beforeLines="50"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b/>
          <w:color w:val="auto"/>
          <w:szCs w:val="21"/>
          <w:highlight w:val="none"/>
        </w:rPr>
        <w:t>注</w:t>
      </w:r>
      <w:r>
        <w:rPr>
          <w:rFonts w:hint="eastAsia" w:ascii="宋体" w:hAnsi="宋体" w:eastAsia="宋体" w:cs="Times New Roman"/>
          <w:color w:val="auto"/>
          <w:szCs w:val="21"/>
          <w:highlight w:val="none"/>
        </w:rPr>
        <w:t>：本协议书由委托代理人签字的，应附法定代表人（单位负责人）授权委托书。</w:t>
      </w:r>
    </w:p>
    <w:p>
      <w:pP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br w:type="page"/>
      </w:r>
    </w:p>
    <w:p>
      <w:pPr>
        <w:adjustRightInd w:val="0"/>
        <w:snapToGrid w:val="0"/>
        <w:spacing w:line="360" w:lineRule="auto"/>
        <w:outlineLvl w:val="2"/>
        <w:rPr>
          <w:rFonts w:hint="eastAsia" w:ascii="宋体" w:hAnsi="宋体" w:eastAsia="宋体" w:cs="宋体"/>
          <w:bCs/>
          <w:color w:val="auto"/>
          <w:szCs w:val="21"/>
          <w:highlight w:val="none"/>
        </w:rPr>
      </w:pPr>
      <w:bookmarkStart w:id="238" w:name="_Toc212820465"/>
      <w:bookmarkStart w:id="239" w:name="_Toc181004503"/>
      <w:bookmarkStart w:id="240" w:name="_Toc214954932"/>
      <w:r>
        <w:rPr>
          <w:rFonts w:ascii="宋体" w:hAnsi="宋体" w:eastAsia="宋体" w:cs="宋体"/>
          <w:bCs/>
          <w:color w:val="auto"/>
          <w:szCs w:val="21"/>
          <w:highlight w:val="none"/>
        </w:rPr>
        <w:t>附件4-5 湖南省政府采购供应商资格承诺函</w:t>
      </w:r>
      <w:bookmarkEnd w:id="238"/>
      <w:bookmarkEnd w:id="239"/>
      <w:r>
        <w:rPr>
          <w:rFonts w:hint="eastAsia" w:ascii="宋体" w:hAnsi="宋体" w:eastAsia="宋体" w:cs="宋体"/>
          <w:bCs/>
          <w:color w:val="auto"/>
          <w:szCs w:val="21"/>
          <w:highlight w:val="none"/>
        </w:rPr>
        <w:t>（格式）</w:t>
      </w:r>
      <w:bookmarkEnd w:id="240"/>
    </w:p>
    <w:p>
      <w:pPr>
        <w:spacing w:line="240" w:lineRule="auto"/>
        <w:ind w:firstLine="420"/>
        <w:rPr>
          <w:rFonts w:hint="eastAsia" w:ascii="宋体" w:hAnsi="宋体" w:eastAsia="宋体" w:cs="宋体"/>
          <w:color w:val="auto"/>
          <w:kern w:val="0"/>
          <w:szCs w:val="21"/>
          <w:highlight w:val="none"/>
        </w:rPr>
      </w:pPr>
    </w:p>
    <w:p>
      <w:pPr>
        <w:adjustRightInd w:val="0"/>
        <w:snapToGrid w:val="0"/>
        <w:spacing w:before="468" w:beforeLines="150" w:line="360" w:lineRule="auto"/>
        <w:jc w:val="center"/>
        <w:rPr>
          <w:rFonts w:hint="eastAsia" w:ascii="宋体" w:hAnsi="宋体" w:eastAsia="黑体" w:cs="宋体"/>
          <w:color w:val="auto"/>
          <w:szCs w:val="21"/>
          <w:highlight w:val="none"/>
        </w:rPr>
      </w:pPr>
      <w:r>
        <w:rPr>
          <w:rFonts w:ascii="黑体" w:hAnsi="仿宋" w:eastAsia="黑体" w:cs="宋体"/>
          <w:b/>
          <w:color w:val="auto"/>
          <w:sz w:val="28"/>
          <w:szCs w:val="28"/>
          <w:highlight w:val="none"/>
        </w:rPr>
        <w:t>湖南省政府采购供应商资格承诺函(格式)</w:t>
      </w:r>
    </w:p>
    <w:p>
      <w:pPr>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pPr>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按照《政府采购促进中小企业发展管理办法》(财库〔2020〕46号),本公司企业规模为: 大型口中型口小型□微型□。</w:t>
      </w:r>
    </w:p>
    <w:p>
      <w:pPr>
        <w:spacing w:before="156" w:beforeLines="50" w:line="360"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□本公司自愿入驻湖南省政府采购电子卖场,遵守《湖南省政府采购电子卖场管理办法》(湘财购〔2019〕27号),如违反承诺,同意金融机构将增信保证划缴国库(非电子卖场采购活动项目不需勾选)。</w:t>
      </w:r>
    </w:p>
    <w:p>
      <w:pPr>
        <w:spacing w:before="156" w:beforeLines="50" w:line="360" w:lineRule="auto"/>
        <w:ind w:firstLine="420" w:firstLineChars="200"/>
        <w:rPr>
          <w:rFonts w:hint="eastAsia" w:ascii="宋体" w:hAnsi="宋体" w:eastAsia="宋体" w:cs="宋体"/>
          <w:color w:val="auto"/>
          <w:szCs w:val="21"/>
          <w:highlight w:val="none"/>
        </w:rPr>
      </w:pPr>
    </w:p>
    <w:p>
      <w:pPr>
        <w:spacing w:before="156" w:beforeLines="50" w:line="360" w:lineRule="auto"/>
        <w:ind w:firstLine="420" w:firstLineChars="200"/>
        <w:jc w:val="right"/>
        <w:rPr>
          <w:rFonts w:hint="eastAsia" w:ascii="宋体" w:hAnsi="宋体" w:eastAsia="宋体" w:cs="宋体"/>
          <w:color w:val="auto"/>
          <w:szCs w:val="21"/>
          <w:highlight w:val="none"/>
        </w:rPr>
      </w:pPr>
      <w:r>
        <w:rPr>
          <w:rFonts w:ascii="宋体" w:hAnsi="宋体" w:eastAsia="宋体" w:cs="宋体"/>
          <w:color w:val="auto"/>
          <w:szCs w:val="21"/>
          <w:highlight w:val="none"/>
        </w:rPr>
        <w:t>公司(单位)名称(盖章)：</w:t>
      </w:r>
    </w:p>
    <w:p>
      <w:pPr>
        <w:spacing w:before="156" w:beforeLines="50" w:line="360" w:lineRule="auto"/>
        <w:ind w:firstLine="420" w:firstLineChars="200"/>
        <w:rPr>
          <w:rFonts w:hint="eastAsia" w:ascii="宋体" w:hAnsi="宋体" w:eastAsia="宋体" w:cs="宋体"/>
          <w:color w:val="auto"/>
          <w:szCs w:val="21"/>
          <w:highlight w:val="none"/>
        </w:rPr>
      </w:pPr>
    </w:p>
    <w:p>
      <w:pPr>
        <w:spacing w:before="156" w:beforeLines="50" w:line="276"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机构代码：</w:t>
      </w:r>
      <w:r>
        <w:rPr>
          <w:rFonts w:ascii="宋体" w:hAnsi="宋体" w:eastAsia="宋体" w:cs="宋体"/>
          <w:color w:val="auto"/>
          <w:szCs w:val="21"/>
          <w:highlight w:val="none"/>
          <w:u w:val="single"/>
        </w:rPr>
        <w:t xml:space="preserve">        </w:t>
      </w:r>
    </w:p>
    <w:p>
      <w:pPr>
        <w:spacing w:before="156" w:beforeLines="50" w:line="276"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注册登记机构：</w:t>
      </w:r>
      <w:r>
        <w:rPr>
          <w:rFonts w:ascii="宋体" w:hAnsi="宋体" w:eastAsia="宋体" w:cs="宋体"/>
          <w:color w:val="auto"/>
          <w:szCs w:val="21"/>
          <w:highlight w:val="none"/>
          <w:u w:val="single"/>
        </w:rPr>
        <w:t xml:space="preserve">        </w:t>
      </w:r>
    </w:p>
    <w:p>
      <w:pPr>
        <w:spacing w:before="156" w:beforeLines="50" w:line="276"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日期：</w:t>
      </w:r>
      <w:r>
        <w:rPr>
          <w:rFonts w:ascii="宋体" w:hAnsi="宋体" w:eastAsia="宋体" w:cs="宋体"/>
          <w:color w:val="auto"/>
          <w:szCs w:val="21"/>
          <w:highlight w:val="none"/>
          <w:u w:val="single"/>
        </w:rPr>
        <w:t xml:space="preserve">        </w:t>
      </w:r>
    </w:p>
    <w:p>
      <w:pPr>
        <w:spacing w:before="156" w:beforeLines="50" w:line="276"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有效期：</w:t>
      </w:r>
      <w:r>
        <w:rPr>
          <w:rFonts w:ascii="宋体" w:hAnsi="宋体" w:eastAsia="宋体" w:cs="宋体"/>
          <w:color w:val="auto"/>
          <w:szCs w:val="21"/>
          <w:highlight w:val="none"/>
          <w:u w:val="single"/>
        </w:rPr>
        <w:t xml:space="preserve">        </w:t>
      </w:r>
    </w:p>
    <w:p>
      <w:pPr>
        <w:spacing w:before="156" w:beforeLines="50" w:line="276"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注册资本：</w:t>
      </w:r>
      <w:r>
        <w:rPr>
          <w:rFonts w:ascii="宋体" w:hAnsi="宋体" w:eastAsia="宋体" w:cs="宋体"/>
          <w:color w:val="auto"/>
          <w:szCs w:val="21"/>
          <w:highlight w:val="none"/>
          <w:u w:val="single"/>
        </w:rPr>
        <w:t xml:space="preserve">        </w:t>
      </w:r>
    </w:p>
    <w:p>
      <w:pPr>
        <w:spacing w:before="156" w:beforeLines="50" w:line="276" w:lineRule="auto"/>
        <w:ind w:firstLine="420" w:firstLineChars="200"/>
        <w:rPr>
          <w:rFonts w:hint="eastAsia" w:ascii="宋体" w:hAnsi="宋体" w:eastAsia="宋体" w:cs="宋体"/>
          <w:color w:val="auto"/>
          <w:szCs w:val="21"/>
          <w:highlight w:val="none"/>
          <w:u w:val="single"/>
        </w:rPr>
      </w:pPr>
      <w:r>
        <w:rPr>
          <w:rFonts w:ascii="宋体" w:hAnsi="宋体" w:eastAsia="宋体" w:cs="宋体"/>
          <w:color w:val="auto"/>
          <w:szCs w:val="21"/>
          <w:highlight w:val="none"/>
        </w:rPr>
        <w:t>地 址：</w:t>
      </w:r>
      <w:r>
        <w:rPr>
          <w:rFonts w:ascii="宋体" w:hAnsi="宋体" w:eastAsia="宋体" w:cs="宋体"/>
          <w:color w:val="auto"/>
          <w:szCs w:val="21"/>
          <w:highlight w:val="none"/>
          <w:u w:val="single"/>
        </w:rPr>
        <w:t xml:space="preserve">        </w:t>
      </w:r>
    </w:p>
    <w:p>
      <w:pPr>
        <w:spacing w:before="156" w:beforeLines="50" w:line="276" w:lineRule="auto"/>
        <w:ind w:firstLine="420" w:firstLineChars="200"/>
        <w:rPr>
          <w:rFonts w:hint="eastAsia" w:ascii="宋体" w:hAnsi="宋体" w:eastAsia="宋体" w:cs="宋体"/>
          <w:color w:val="auto"/>
          <w:szCs w:val="21"/>
          <w:highlight w:val="none"/>
          <w:u w:val="single"/>
        </w:rPr>
      </w:pPr>
      <w:r>
        <w:rPr>
          <w:rFonts w:ascii="宋体" w:hAnsi="宋体" w:eastAsia="宋体" w:cs="宋体"/>
          <w:color w:val="auto"/>
          <w:szCs w:val="21"/>
          <w:highlight w:val="none"/>
        </w:rPr>
        <w:t>经济行业：</w:t>
      </w:r>
      <w:r>
        <w:rPr>
          <w:rFonts w:ascii="宋体" w:hAnsi="宋体" w:eastAsia="宋体" w:cs="宋体"/>
          <w:color w:val="auto"/>
          <w:szCs w:val="21"/>
          <w:highlight w:val="none"/>
          <w:u w:val="single"/>
        </w:rPr>
        <w:t xml:space="preserve">        </w:t>
      </w:r>
    </w:p>
    <w:p>
      <w:pPr>
        <w:spacing w:before="156" w:beforeLines="50" w:line="276"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经济性质：</w:t>
      </w:r>
      <w:r>
        <w:rPr>
          <w:rFonts w:ascii="宋体" w:hAnsi="宋体" w:eastAsia="宋体" w:cs="宋体"/>
          <w:color w:val="auto"/>
          <w:szCs w:val="21"/>
          <w:highlight w:val="none"/>
          <w:u w:val="single"/>
        </w:rPr>
        <w:t xml:space="preserve">        </w:t>
      </w:r>
    </w:p>
    <w:p>
      <w:pPr>
        <w:spacing w:before="156" w:beforeLines="50" w:line="276"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法定代表人(负责人)姓名(签字)、身份证号、手机号:</w:t>
      </w:r>
      <w:r>
        <w:rPr>
          <w:rFonts w:ascii="宋体" w:hAnsi="宋体" w:eastAsia="宋体" w:cs="宋体"/>
          <w:color w:val="auto"/>
          <w:szCs w:val="21"/>
          <w:highlight w:val="none"/>
          <w:u w:val="single"/>
        </w:rPr>
        <w:t xml:space="preserve">        </w:t>
      </w:r>
    </w:p>
    <w:p>
      <w:pPr>
        <w:spacing w:before="156" w:beforeLines="50" w:line="276" w:lineRule="auto"/>
        <w:ind w:firstLine="420" w:firstLineChars="200"/>
        <w:rPr>
          <w:rFonts w:hint="eastAsia" w:ascii="宋体" w:hAnsi="宋体" w:eastAsia="宋体" w:cs="宋体"/>
          <w:color w:val="auto"/>
          <w:szCs w:val="21"/>
          <w:highlight w:val="none"/>
        </w:rPr>
      </w:pPr>
      <w:r>
        <w:rPr>
          <w:rFonts w:ascii="宋体" w:hAnsi="宋体" w:eastAsia="宋体" w:cs="宋体"/>
          <w:color w:val="auto"/>
          <w:szCs w:val="21"/>
          <w:highlight w:val="none"/>
        </w:rPr>
        <w:t>授权代表人姓名(签字)、身份证号、手机号:</w:t>
      </w:r>
      <w:r>
        <w:rPr>
          <w:rFonts w:ascii="宋体" w:hAnsi="宋体" w:eastAsia="宋体" w:cs="宋体"/>
          <w:color w:val="auto"/>
          <w:szCs w:val="21"/>
          <w:highlight w:val="none"/>
          <w:u w:val="single"/>
        </w:rPr>
        <w:t xml:space="preserve">        </w:t>
      </w:r>
    </w:p>
    <w:p>
      <w:pPr>
        <w:rPr>
          <w:rFonts w:hint="eastAsia" w:ascii="宋体" w:hAnsi="宋体" w:eastAsia="宋体" w:cs="Times New Roman"/>
          <w:bCs/>
          <w:color w:val="auto"/>
          <w:szCs w:val="21"/>
          <w:highlight w:val="none"/>
        </w:rPr>
      </w:pPr>
      <w:bookmarkStart w:id="241" w:name="_Toc107998045"/>
      <w:r>
        <w:rPr>
          <w:rFonts w:hint="eastAsia" w:ascii="宋体" w:hAnsi="宋体" w:eastAsia="宋体" w:cs="Times New Roman"/>
          <w:bCs/>
          <w:color w:val="auto"/>
          <w:szCs w:val="21"/>
          <w:highlight w:val="none"/>
        </w:rPr>
        <w:br w:type="page"/>
      </w:r>
    </w:p>
    <w:p>
      <w:pPr>
        <w:keepNext/>
        <w:keepLines/>
        <w:widowControl w:val="0"/>
        <w:spacing w:line="360" w:lineRule="auto"/>
        <w:jc w:val="center"/>
        <w:outlineLvl w:val="1"/>
        <w:rPr>
          <w:rFonts w:hint="eastAsia" w:ascii="黑体" w:hAnsi="黑体" w:eastAsia="黑体" w:cs="Times New Roman"/>
          <w:b/>
          <w:bCs/>
          <w:color w:val="auto"/>
          <w:sz w:val="28"/>
          <w:szCs w:val="28"/>
          <w:highlight w:val="none"/>
        </w:rPr>
      </w:pPr>
      <w:bookmarkStart w:id="242" w:name="_Toc214954933"/>
      <w:r>
        <w:rPr>
          <w:rFonts w:hint="eastAsia" w:ascii="黑体" w:hAnsi="黑体" w:eastAsia="黑体" w:cs="Times New Roman"/>
          <w:b/>
          <w:bCs/>
          <w:color w:val="auto"/>
          <w:sz w:val="28"/>
          <w:szCs w:val="28"/>
          <w:highlight w:val="none"/>
        </w:rPr>
        <w:t>五、采购需求的响应</w:t>
      </w:r>
      <w:bookmarkEnd w:id="224"/>
      <w:bookmarkEnd w:id="241"/>
      <w:bookmarkEnd w:id="242"/>
    </w:p>
    <w:p>
      <w:pPr>
        <w:widowControl w:val="0"/>
        <w:adjustRightInd w:val="0"/>
        <w:snapToGrid w:val="0"/>
        <w:spacing w:line="360" w:lineRule="auto"/>
        <w:jc w:val="both"/>
        <w:rPr>
          <w:rFonts w:hint="eastAsia" w:ascii="宋体" w:hAnsi="宋体" w:eastAsia="宋体" w:cs="Times New Roman"/>
          <w:b/>
          <w:color w:val="auto"/>
          <w:szCs w:val="21"/>
          <w:highlight w:val="none"/>
        </w:rPr>
      </w:pPr>
    </w:p>
    <w:p>
      <w:pPr>
        <w:widowControl w:val="0"/>
        <w:adjustRightInd w:val="0"/>
        <w:snapToGrid w:val="0"/>
        <w:spacing w:line="360" w:lineRule="auto"/>
        <w:jc w:val="both"/>
        <w:rPr>
          <w:rFonts w:ascii="Times New Roman" w:hAnsi="Times New Roman" w:eastAsia="宋体" w:cs="Times New Roman"/>
          <w:b/>
          <w:color w:val="auto"/>
          <w:szCs w:val="24"/>
          <w:highlight w:val="none"/>
        </w:rPr>
      </w:pPr>
      <w:r>
        <w:rPr>
          <w:rFonts w:hint="eastAsia" w:ascii="宋体" w:hAnsi="宋体" w:eastAsia="宋体" w:cs="Times New Roman"/>
          <w:b/>
          <w:color w:val="auto"/>
          <w:szCs w:val="21"/>
          <w:highlight w:val="none"/>
        </w:rPr>
        <w:t>编制说明</w:t>
      </w:r>
      <w:r>
        <w:rPr>
          <w:rFonts w:hint="eastAsia" w:ascii="宋体" w:hAnsi="宋体" w:eastAsia="宋体" w:cs="Times New Roman"/>
          <w:bCs/>
          <w:color w:val="auto"/>
          <w:szCs w:val="21"/>
          <w:highlight w:val="none"/>
        </w:rPr>
        <w:t>：</w:t>
      </w:r>
      <w:r>
        <w:rPr>
          <w:rFonts w:hint="eastAsia" w:ascii="Times New Roman" w:hAnsi="Times New Roman" w:eastAsia="宋体" w:cs="Times New Roman"/>
          <w:b/>
          <w:color w:val="auto"/>
          <w:szCs w:val="24"/>
          <w:highlight w:val="none"/>
        </w:rPr>
        <w:t>供应商应按谈判文件第三章采购需求自行编写采购需求响应文件（其内容可包括，且不限于详细的技术指标和性能、售后服务和技术服务的组织及保证措施等，格式自拟）。</w:t>
      </w:r>
    </w:p>
    <w:p>
      <w:pPr>
        <w:widowControl w:val="0"/>
        <w:spacing w:line="240" w:lineRule="auto"/>
        <w:jc w:val="both"/>
        <w:rPr>
          <w:rFonts w:ascii="Times New Roman" w:hAnsi="Times New Roman" w:eastAsia="宋体" w:cs="Times New Roman"/>
          <w:color w:val="auto"/>
          <w:szCs w:val="24"/>
          <w:highlight w:val="none"/>
        </w:rPr>
      </w:pPr>
    </w:p>
    <w:p>
      <w:pPr>
        <w:widowControl w:val="0"/>
        <w:tabs>
          <w:tab w:val="left" w:pos="6208"/>
        </w:tabs>
        <w:adjustRightInd w:val="0"/>
        <w:snapToGrid w:val="0"/>
        <w:spacing w:line="360" w:lineRule="auto"/>
        <w:ind w:left="-88" w:leftChars="-42"/>
        <w:jc w:val="both"/>
        <w:rPr>
          <w:rFonts w:hint="eastAsia" w:ascii="宋体" w:hAnsi="宋体" w:eastAsia="宋体" w:cs="Times New Roman"/>
          <w:bCs/>
          <w:color w:val="auto"/>
          <w:szCs w:val="21"/>
          <w:highlight w:val="none"/>
        </w:rPr>
      </w:pPr>
    </w:p>
    <w:p>
      <w:pPr>
        <w:widowControl w:val="0"/>
        <w:adjustRightInd w:val="0"/>
        <w:snapToGrid w:val="0"/>
        <w:spacing w:line="360" w:lineRule="auto"/>
        <w:jc w:val="both"/>
        <w:rPr>
          <w:rFonts w:hint="eastAsia" w:ascii="宋体" w:hAnsi="宋体" w:eastAsia="宋体" w:cs="Times New Roman"/>
          <w:color w:val="auto"/>
          <w:szCs w:val="21"/>
          <w:highlight w:val="none"/>
        </w:rPr>
      </w:pPr>
    </w:p>
    <w:p>
      <w:pPr>
        <w:widowControl w:val="0"/>
        <w:adjustRightInd w:val="0"/>
        <w:snapToGrid w:val="0"/>
        <w:spacing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供应商名称（盖单位电子公章）：</w:t>
      </w:r>
    </w:p>
    <w:p>
      <w:pPr>
        <w:widowControl w:val="0"/>
        <w:adjustRightInd w:val="0"/>
        <w:snapToGrid w:val="0"/>
        <w:spacing w:line="360" w:lineRule="auto"/>
        <w:jc w:val="both"/>
        <w:rPr>
          <w:rFonts w:hint="eastAsia" w:ascii="宋体" w:hAnsi="宋体" w:eastAsia="宋体" w:cs="Times New Roman"/>
          <w:color w:val="auto"/>
          <w:szCs w:val="21"/>
          <w:highlight w:val="none"/>
          <w:u w:val="singl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或其授权的代理人（签字或签章）：</w:t>
      </w:r>
    </w:p>
    <w:p>
      <w:pPr>
        <w:widowControl w:val="0"/>
        <w:adjustRightInd w:val="0"/>
        <w:snapToGrid w:val="0"/>
        <w:spacing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pPr>
        <w:widowControl w:val="0"/>
        <w:spacing w:line="240" w:lineRule="auto"/>
        <w:jc w:val="both"/>
        <w:rPr>
          <w:rFonts w:ascii="Times New Roman" w:hAnsi="Times New Roman" w:eastAsia="宋体" w:cs="Times New Roman"/>
          <w:color w:val="auto"/>
          <w:szCs w:val="24"/>
          <w:highlight w:val="none"/>
        </w:rPr>
      </w:pPr>
    </w:p>
    <w:p>
      <w:pPr>
        <w:widowControl w:val="0"/>
        <w:spacing w:line="240" w:lineRule="auto"/>
        <w:jc w:val="both"/>
        <w:rPr>
          <w:rFonts w:ascii="Times New Roman" w:hAnsi="Times New Roman" w:eastAsia="宋体" w:cs="Times New Roman"/>
          <w:color w:val="auto"/>
          <w:szCs w:val="24"/>
          <w:highlight w:val="none"/>
        </w:rPr>
      </w:pPr>
    </w:p>
    <w:p>
      <w:pPr>
        <w:keepNext/>
        <w:keepLines/>
        <w:widowControl w:val="0"/>
        <w:spacing w:before="260" w:after="260" w:line="416" w:lineRule="auto"/>
        <w:jc w:val="both"/>
        <w:outlineLvl w:val="2"/>
        <w:rPr>
          <w:rFonts w:hint="eastAsia" w:ascii="宋体" w:hAnsi="宋体" w:eastAsia="宋体" w:cs="Times New Roman"/>
          <w:b/>
          <w:bCs/>
          <w:color w:val="auto"/>
          <w:szCs w:val="21"/>
          <w:highlight w:val="none"/>
        </w:rPr>
      </w:pPr>
      <w:bookmarkStart w:id="243" w:name="_Toc107998046"/>
      <w:bookmarkStart w:id="244" w:name="_Toc22201158"/>
      <w:bookmarkStart w:id="245" w:name="_Toc214954934"/>
      <w:bookmarkStart w:id="246" w:name="_Toc207373265"/>
      <w:r>
        <w:rPr>
          <w:rFonts w:hint="eastAsia" w:ascii="宋体" w:hAnsi="宋体" w:eastAsia="宋体" w:cs="Times New Roman"/>
          <w:b/>
          <w:bCs/>
          <w:color w:val="auto"/>
          <w:szCs w:val="21"/>
          <w:highlight w:val="none"/>
        </w:rPr>
        <w:t>附件</w:t>
      </w:r>
      <w:r>
        <w:rPr>
          <w:rFonts w:ascii="宋体" w:hAnsi="宋体" w:eastAsia="宋体" w:cs="Times New Roman"/>
          <w:b/>
          <w:bCs/>
          <w:color w:val="auto"/>
          <w:szCs w:val="21"/>
          <w:highlight w:val="none"/>
        </w:rPr>
        <w:t>6</w:t>
      </w:r>
      <w:r>
        <w:rPr>
          <w:rFonts w:hint="eastAsia" w:ascii="宋体" w:hAnsi="宋体" w:eastAsia="宋体" w:cs="Times New Roman"/>
          <w:b/>
          <w:bCs/>
          <w:color w:val="auto"/>
          <w:szCs w:val="21"/>
          <w:highlight w:val="none"/>
        </w:rPr>
        <w:t>-1 响应一览表</w:t>
      </w:r>
      <w:bookmarkEnd w:id="243"/>
      <w:bookmarkEnd w:id="244"/>
      <w:bookmarkEnd w:id="245"/>
      <w:bookmarkEnd w:id="246"/>
    </w:p>
    <w:p>
      <w:pPr>
        <w:widowControl w:val="0"/>
        <w:adjustRightInd w:val="0"/>
        <w:snapToGrid w:val="0"/>
        <w:spacing w:before="156" w:beforeLines="50" w:line="360" w:lineRule="auto"/>
        <w:jc w:val="center"/>
        <w:rPr>
          <w:rFonts w:hint="eastAsia" w:ascii="黑体" w:hAnsi="黑体" w:eastAsia="黑体" w:cs="Times New Roman"/>
          <w:b/>
          <w:bCs/>
          <w:color w:val="auto"/>
          <w:sz w:val="28"/>
          <w:szCs w:val="28"/>
          <w:highlight w:val="none"/>
        </w:rPr>
      </w:pPr>
      <w:r>
        <w:rPr>
          <w:rFonts w:hint="eastAsia" w:ascii="黑体" w:hAnsi="黑体" w:eastAsia="黑体" w:cs="Times New Roman"/>
          <w:b/>
          <w:bCs/>
          <w:color w:val="auto"/>
          <w:sz w:val="28"/>
          <w:szCs w:val="28"/>
          <w:highlight w:val="none"/>
        </w:rPr>
        <w:t>响应一览表</w:t>
      </w:r>
    </w:p>
    <w:p>
      <w:pPr>
        <w:widowControl w:val="0"/>
        <w:adjustRightInd w:val="0"/>
        <w:snapToGrid w:val="0"/>
        <w:spacing w:before="50" w:line="360" w:lineRule="auto"/>
        <w:jc w:val="both"/>
        <w:rPr>
          <w:rFonts w:hint="eastAsia" w:ascii="宋体" w:hAnsi="宋体" w:eastAsia="宋体" w:cs="Times New Roman"/>
          <w:color w:val="auto"/>
          <w:szCs w:val="21"/>
          <w:highlight w:val="none"/>
          <w:u w:val="single"/>
        </w:rPr>
      </w:pPr>
    </w:p>
    <w:tbl>
      <w:tblPr>
        <w:tblStyle w:val="44"/>
        <w:tblW w:w="894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15"/>
        <w:gridCol w:w="1183"/>
        <w:gridCol w:w="2200"/>
        <w:gridCol w:w="2271"/>
        <w:gridCol w:w="1027"/>
        <w:gridCol w:w="844"/>
        <w:gridCol w:w="80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27" w:hRule="atLeast"/>
        </w:trPr>
        <w:tc>
          <w:tcPr>
            <w:tcW w:w="615" w:type="dxa"/>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 xml:space="preserve">包号 </w:t>
            </w:r>
          </w:p>
        </w:tc>
        <w:tc>
          <w:tcPr>
            <w:tcW w:w="1183" w:type="dxa"/>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包名称</w:t>
            </w:r>
          </w:p>
        </w:tc>
        <w:tc>
          <w:tcPr>
            <w:tcW w:w="2200" w:type="dxa"/>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标的名称</w:t>
            </w:r>
          </w:p>
        </w:tc>
        <w:tc>
          <w:tcPr>
            <w:tcW w:w="2271" w:type="dxa"/>
            <w:tcBorders>
              <w:left w:val="single" w:color="auto" w:sz="4" w:space="0"/>
            </w:tcBorders>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简要技术要求</w:t>
            </w:r>
          </w:p>
        </w:tc>
        <w:tc>
          <w:tcPr>
            <w:tcW w:w="1027" w:type="dxa"/>
            <w:tcBorders>
              <w:left w:val="single" w:color="auto" w:sz="4" w:space="0"/>
            </w:tcBorders>
            <w:vAlign w:val="center"/>
          </w:tcPr>
          <w:p>
            <w:pPr>
              <w:widowControl w:val="0"/>
              <w:adjustRightInd w:val="0"/>
              <w:snapToGrid w:val="0"/>
              <w:spacing w:line="240" w:lineRule="auto"/>
              <w:jc w:val="center"/>
              <w:rPr>
                <w:rFonts w:hint="eastAsia" w:ascii="宋体" w:hAnsi="宋体" w:eastAsia="宋体" w:cs="宋体"/>
                <w:color w:val="auto"/>
                <w:kern w:val="0"/>
                <w:szCs w:val="21"/>
                <w:highlight w:val="none"/>
              </w:rPr>
            </w:pPr>
            <w:r>
              <w:rPr>
                <w:rFonts w:hint="eastAsia" w:ascii="Times New Roman" w:hAnsi="Times New Roman" w:eastAsia="宋体" w:cs="Times New Roman"/>
                <w:color w:val="auto"/>
                <w:szCs w:val="21"/>
                <w:highlight w:val="none"/>
              </w:rPr>
              <w:t>数量</w:t>
            </w:r>
          </w:p>
        </w:tc>
        <w:tc>
          <w:tcPr>
            <w:tcW w:w="844" w:type="dxa"/>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节能产品</w:t>
            </w:r>
          </w:p>
        </w:tc>
        <w:tc>
          <w:tcPr>
            <w:tcW w:w="800" w:type="dxa"/>
            <w:vAlign w:val="center"/>
          </w:tcPr>
          <w:p>
            <w:pPr>
              <w:widowControl w:val="0"/>
              <w:adjustRightInd w:val="0"/>
              <w:snapToGrid w:val="0"/>
              <w:spacing w:line="240" w:lineRule="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进口产品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15" w:type="dxa"/>
          </w:tcPr>
          <w:p>
            <w:pPr>
              <w:widowControl w:val="0"/>
              <w:adjustRightInd w:val="0"/>
              <w:snapToGrid w:val="0"/>
              <w:spacing w:before="156" w:beforeLines="50" w:line="360" w:lineRule="auto"/>
              <w:jc w:val="both"/>
              <w:rPr>
                <w:rFonts w:ascii="Times New Roman" w:hAnsi="Times New Roman" w:eastAsia="宋体" w:cs="Times New Roman"/>
                <w:color w:val="auto"/>
                <w:szCs w:val="21"/>
                <w:highlight w:val="none"/>
              </w:rPr>
            </w:pPr>
          </w:p>
        </w:tc>
        <w:tc>
          <w:tcPr>
            <w:tcW w:w="1183" w:type="dxa"/>
          </w:tcPr>
          <w:p>
            <w:pPr>
              <w:widowControl w:val="0"/>
              <w:adjustRightInd w:val="0"/>
              <w:snapToGrid w:val="0"/>
              <w:spacing w:before="156" w:beforeLines="50" w:line="360" w:lineRule="auto"/>
              <w:jc w:val="both"/>
              <w:rPr>
                <w:rFonts w:ascii="Times New Roman" w:hAnsi="Times New Roman" w:eastAsia="宋体" w:cs="Times New Roman"/>
                <w:color w:val="auto"/>
                <w:szCs w:val="21"/>
                <w:highlight w:val="none"/>
              </w:rPr>
            </w:pPr>
          </w:p>
        </w:tc>
        <w:tc>
          <w:tcPr>
            <w:tcW w:w="2200" w:type="dxa"/>
          </w:tcPr>
          <w:p>
            <w:pPr>
              <w:widowControl w:val="0"/>
              <w:adjustRightInd w:val="0"/>
              <w:snapToGrid w:val="0"/>
              <w:spacing w:before="156" w:beforeLines="50" w:line="360" w:lineRule="auto"/>
              <w:jc w:val="both"/>
              <w:rPr>
                <w:rFonts w:ascii="Times New Roman" w:hAnsi="Times New Roman" w:eastAsia="宋体" w:cs="Times New Roman"/>
                <w:color w:val="auto"/>
                <w:szCs w:val="21"/>
                <w:highlight w:val="none"/>
              </w:rPr>
            </w:pPr>
          </w:p>
        </w:tc>
        <w:tc>
          <w:tcPr>
            <w:tcW w:w="2271" w:type="dxa"/>
            <w:tcBorders>
              <w:left w:val="single" w:color="auto" w:sz="4" w:space="0"/>
            </w:tcBorders>
          </w:tcPr>
          <w:p>
            <w:pPr>
              <w:widowControl w:val="0"/>
              <w:adjustRightInd w:val="0"/>
              <w:snapToGrid w:val="0"/>
              <w:spacing w:before="156" w:beforeLines="50" w:line="360" w:lineRule="auto"/>
              <w:jc w:val="both"/>
              <w:rPr>
                <w:rFonts w:ascii="Times New Roman" w:hAnsi="Times New Roman" w:eastAsia="宋体" w:cs="Times New Roman"/>
                <w:color w:val="auto"/>
                <w:szCs w:val="21"/>
                <w:highlight w:val="none"/>
              </w:rPr>
            </w:pPr>
          </w:p>
        </w:tc>
        <w:tc>
          <w:tcPr>
            <w:tcW w:w="1027" w:type="dxa"/>
            <w:tcBorders>
              <w:left w:val="single" w:color="auto" w:sz="4" w:space="0"/>
            </w:tcBorders>
          </w:tcPr>
          <w:p>
            <w:pPr>
              <w:widowControl w:val="0"/>
              <w:adjustRightInd w:val="0"/>
              <w:snapToGrid w:val="0"/>
              <w:spacing w:before="156" w:beforeLines="50" w:line="360" w:lineRule="auto"/>
              <w:jc w:val="both"/>
              <w:rPr>
                <w:rFonts w:ascii="Times New Roman" w:hAnsi="Times New Roman" w:eastAsia="宋体" w:cs="Times New Roman"/>
                <w:color w:val="auto"/>
                <w:szCs w:val="21"/>
                <w:highlight w:val="none"/>
              </w:rPr>
            </w:pPr>
          </w:p>
        </w:tc>
        <w:tc>
          <w:tcPr>
            <w:tcW w:w="844" w:type="dxa"/>
          </w:tcPr>
          <w:p>
            <w:pPr>
              <w:widowControl w:val="0"/>
              <w:adjustRightInd w:val="0"/>
              <w:snapToGrid w:val="0"/>
              <w:spacing w:before="156" w:beforeLines="50" w:line="360" w:lineRule="auto"/>
              <w:jc w:val="both"/>
              <w:rPr>
                <w:rFonts w:ascii="Times New Roman" w:hAnsi="Times New Roman" w:eastAsia="宋体" w:cs="Times New Roman"/>
                <w:color w:val="auto"/>
                <w:szCs w:val="21"/>
                <w:highlight w:val="none"/>
              </w:rPr>
            </w:pPr>
            <w:r>
              <w:rPr>
                <w:rFonts w:hint="eastAsia" w:ascii="宋体" w:hAnsi="宋体" w:eastAsia="宋体" w:cs="Times New Roman"/>
                <w:iCs/>
                <w:color w:val="auto"/>
                <w:szCs w:val="21"/>
                <w:highlight w:val="none"/>
              </w:rPr>
              <w:t>□</w:t>
            </w:r>
          </w:p>
        </w:tc>
        <w:tc>
          <w:tcPr>
            <w:tcW w:w="800" w:type="dxa"/>
          </w:tcPr>
          <w:p>
            <w:pPr>
              <w:widowControl w:val="0"/>
              <w:adjustRightInd w:val="0"/>
              <w:snapToGrid w:val="0"/>
              <w:spacing w:before="156" w:beforeLines="50" w:line="360" w:lineRule="auto"/>
              <w:jc w:val="both"/>
              <w:rPr>
                <w:rFonts w:ascii="Times New Roman" w:hAnsi="Times New Roman" w:eastAsia="宋体" w:cs="Times New Roman"/>
                <w:color w:val="auto"/>
                <w:szCs w:val="21"/>
                <w:highlight w:val="none"/>
              </w:rPr>
            </w:pPr>
            <w:r>
              <w:rPr>
                <w:rFonts w:hint="eastAsia" w:ascii="宋体" w:hAnsi="宋体" w:eastAsia="宋体" w:cs="Times New Roman"/>
                <w:iCs/>
                <w:color w:val="auto"/>
                <w:szCs w:val="21"/>
                <w:highlight w:val="none"/>
              </w:rPr>
              <w:t>□</w:t>
            </w:r>
          </w:p>
        </w:tc>
      </w:tr>
    </w:tbl>
    <w:p>
      <w:pPr>
        <w:widowControl w:val="0"/>
        <w:adjustRightInd w:val="0"/>
        <w:snapToGrid w:val="0"/>
        <w:spacing w:line="360" w:lineRule="auto"/>
        <w:jc w:val="both"/>
        <w:rPr>
          <w:rFonts w:ascii="Times New Roman" w:hAnsi="Times New Roman" w:eastAsia="宋体" w:cs="Times New Roman"/>
          <w:color w:val="auto"/>
          <w:szCs w:val="24"/>
          <w:highlight w:val="none"/>
        </w:rPr>
      </w:pPr>
    </w:p>
    <w:p>
      <w:pPr>
        <w:widowControl w:val="0"/>
        <w:adjustRightInd w:val="0"/>
        <w:snapToGrid w:val="0"/>
        <w:spacing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pPr>
        <w:widowControl w:val="0"/>
        <w:adjustRightInd w:val="0"/>
        <w:snapToGrid w:val="0"/>
        <w:spacing w:line="360" w:lineRule="auto"/>
        <w:jc w:val="both"/>
        <w:rPr>
          <w:rFonts w:hint="eastAsia" w:ascii="宋体" w:hAnsi="宋体" w:eastAsia="宋体" w:cs="Times New Roman"/>
          <w:color w:val="auto"/>
          <w:szCs w:val="21"/>
          <w:highlight w:val="none"/>
          <w:u w:val="singl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pPr>
        <w:widowControl w:val="0"/>
        <w:adjustRightInd w:val="0"/>
        <w:snapToGrid w:val="0"/>
        <w:spacing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pPr>
        <w:widowControl w:val="0"/>
        <w:adjustRightInd w:val="0"/>
        <w:snapToGrid w:val="0"/>
        <w:spacing w:line="360" w:lineRule="auto"/>
        <w:jc w:val="both"/>
        <w:rPr>
          <w:rFonts w:hint="eastAsia" w:ascii="宋体" w:hAnsi="宋体" w:eastAsia="宋体" w:cs="Times New Roman"/>
          <w:color w:val="auto"/>
          <w:szCs w:val="21"/>
          <w:highlight w:val="none"/>
        </w:rPr>
      </w:pPr>
    </w:p>
    <w:p>
      <w:pPr>
        <w:widowControl w:val="0"/>
        <w:adjustRightInd w:val="0"/>
        <w:snapToGrid w:val="0"/>
        <w:spacing w:line="360" w:lineRule="auto"/>
        <w:jc w:val="both"/>
        <w:rPr>
          <w:rFonts w:hint="eastAsia" w:ascii="宋体" w:hAnsi="宋体" w:eastAsia="宋体" w:cs="Times New Roman"/>
          <w:color w:val="auto"/>
          <w:szCs w:val="21"/>
          <w:highlight w:val="none"/>
        </w:rPr>
      </w:pPr>
    </w:p>
    <w:p>
      <w:pPr>
        <w:widowControl w:val="0"/>
        <w:adjustRightInd w:val="0"/>
        <w:snapToGrid w:val="0"/>
        <w:spacing w:line="360" w:lineRule="auto"/>
        <w:jc w:val="both"/>
        <w:rPr>
          <w:rFonts w:hint="eastAsia" w:ascii="黑体" w:hAnsi="宋体" w:eastAsia="黑体" w:cs="Times New Roman"/>
          <w:color w:val="auto"/>
          <w:sz w:val="28"/>
          <w:szCs w:val="28"/>
          <w:highlight w:val="none"/>
        </w:rPr>
        <w:sectPr>
          <w:footerReference r:id="rId8" w:type="even"/>
          <w:pgSz w:w="11906" w:h="16838"/>
          <w:pgMar w:top="1418" w:right="1418" w:bottom="1134" w:left="1418" w:header="851" w:footer="992" w:gutter="0"/>
          <w:cols w:space="720" w:num="1"/>
          <w:docGrid w:type="linesAndChars" w:linePitch="312" w:charSpace="0"/>
        </w:sectPr>
      </w:pPr>
    </w:p>
    <w:p>
      <w:pPr>
        <w:keepNext/>
        <w:keepLines/>
        <w:widowControl w:val="0"/>
        <w:spacing w:line="360" w:lineRule="auto"/>
        <w:jc w:val="center"/>
        <w:outlineLvl w:val="1"/>
        <w:rPr>
          <w:rFonts w:hint="eastAsia" w:ascii="黑体" w:hAnsi="黑体" w:eastAsia="黑体" w:cs="Times New Roman"/>
          <w:b/>
          <w:bCs/>
          <w:color w:val="auto"/>
          <w:sz w:val="28"/>
          <w:szCs w:val="28"/>
          <w:highlight w:val="none"/>
        </w:rPr>
      </w:pPr>
      <w:bookmarkStart w:id="247" w:name="_Toc107998047"/>
      <w:bookmarkStart w:id="248" w:name="_Toc214954935"/>
      <w:bookmarkStart w:id="249" w:name="_Toc22201159"/>
      <w:r>
        <w:rPr>
          <w:rFonts w:hint="eastAsia" w:ascii="黑体" w:hAnsi="黑体" w:eastAsia="黑体" w:cs="Times New Roman"/>
          <w:b/>
          <w:bCs/>
          <w:color w:val="auto"/>
          <w:sz w:val="28"/>
          <w:szCs w:val="28"/>
          <w:highlight w:val="none"/>
        </w:rPr>
        <w:t>六、合同条款偏离表</w:t>
      </w:r>
      <w:bookmarkEnd w:id="247"/>
      <w:bookmarkEnd w:id="248"/>
      <w:bookmarkEnd w:id="249"/>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政府采购计划编号: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采购项目名称：</w:t>
      </w:r>
      <w:r>
        <w:rPr>
          <w:rFonts w:hint="eastAsia" w:ascii="宋体" w:hAnsi="宋体" w:eastAsia="宋体" w:cs="Times New Roman"/>
          <w:color w:val="auto"/>
          <w:szCs w:val="21"/>
          <w:highlight w:val="none"/>
          <w:u w:val="single"/>
        </w:rPr>
        <w:t xml:space="preserve">                     </w:t>
      </w:r>
    </w:p>
    <w:p>
      <w:pPr>
        <w:widowControl w:val="0"/>
        <w:adjustRightInd w:val="0"/>
        <w:snapToGrid w:val="0"/>
        <w:spacing w:before="50" w:line="360" w:lineRule="auto"/>
        <w:jc w:val="both"/>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包名称：</w:t>
      </w:r>
      <w:r>
        <w:rPr>
          <w:rFonts w:hint="eastAsia" w:ascii="宋体" w:hAnsi="宋体" w:eastAsia="宋体" w:cs="Times New Roman"/>
          <w:color w:val="auto"/>
          <w:szCs w:val="21"/>
          <w:highlight w:val="none"/>
          <w:u w:val="single"/>
        </w:rPr>
        <w:t xml:space="preserve">                   </w:t>
      </w:r>
    </w:p>
    <w:tbl>
      <w:tblPr>
        <w:tblStyle w:val="4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序</w:t>
            </w:r>
            <w:r>
              <w:rPr>
                <w:rFonts w:hint="eastAsia" w:ascii="宋体" w:hAnsi="宋体" w:eastAsia="宋体" w:cs="Times New Roman"/>
                <w:color w:val="auto"/>
                <w:szCs w:val="21"/>
                <w:highlight w:val="none"/>
              </w:rPr>
              <w:t>号</w:t>
            </w: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谈判文件章节</w:t>
            </w:r>
            <w:r>
              <w:rPr>
                <w:rFonts w:hint="eastAsia" w:ascii="宋体" w:hAnsi="宋体" w:eastAsia="宋体" w:cs="Times New Roman"/>
                <w:bCs/>
                <w:color w:val="auto"/>
                <w:szCs w:val="21"/>
                <w:highlight w:val="none"/>
              </w:rPr>
              <w:t>条</w:t>
            </w:r>
            <w:r>
              <w:rPr>
                <w:rFonts w:hint="eastAsia" w:ascii="宋体" w:hAnsi="宋体" w:eastAsia="宋体" w:cs="Times New Roman"/>
                <w:color w:val="auto"/>
                <w:szCs w:val="21"/>
                <w:highlight w:val="none"/>
              </w:rPr>
              <w:t>款号</w:t>
            </w:r>
          </w:p>
        </w:tc>
        <w:tc>
          <w:tcPr>
            <w:tcW w:w="198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谈判</w:t>
            </w:r>
            <w:r>
              <w:rPr>
                <w:rFonts w:hint="eastAsia" w:ascii="Times New Roman" w:hAnsi="Times New Roman" w:eastAsia="宋体" w:cs="Times New Roman"/>
                <w:color w:val="auto"/>
                <w:szCs w:val="24"/>
                <w:highlight w:val="none"/>
              </w:rPr>
              <w:t>文件要求</w:t>
            </w:r>
          </w:p>
        </w:tc>
        <w:tc>
          <w:tcPr>
            <w:tcW w:w="2082" w:type="dxa"/>
            <w:tcBorders>
              <w:right w:val="single" w:color="auto" w:sz="4" w:space="0"/>
            </w:tcBorders>
            <w:vAlign w:val="center"/>
          </w:tcPr>
          <w:p>
            <w:pPr>
              <w:widowControl w:val="0"/>
              <w:adjustRightInd w:val="0"/>
              <w:snapToGrid w:val="0"/>
              <w:spacing w:before="50" w:line="360" w:lineRule="auto"/>
              <w:jc w:val="center"/>
              <w:rPr>
                <w:rFonts w:hint="eastAsia" w:ascii="宋体" w:hAnsi="宋体" w:eastAsia="宋体" w:cs="Times New Roman"/>
                <w:color w:val="auto"/>
                <w:szCs w:val="21"/>
                <w:highlight w:val="none"/>
              </w:rPr>
            </w:pPr>
            <w:r>
              <w:rPr>
                <w:rFonts w:hint="eastAsia" w:ascii="Times New Roman" w:hAnsi="Times New Roman" w:eastAsia="宋体" w:cs="Times New Roman"/>
                <w:color w:val="auto"/>
                <w:szCs w:val="24"/>
                <w:highlight w:val="none"/>
              </w:rPr>
              <w:t>响应文件的应答</w:t>
            </w:r>
          </w:p>
        </w:tc>
        <w:tc>
          <w:tcPr>
            <w:tcW w:w="1942" w:type="dxa"/>
            <w:tcBorders>
              <w:lef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偏离说明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85" w:type="dxa"/>
          </w:tcPr>
          <w:p>
            <w:pPr>
              <w:widowControl w:val="0"/>
              <w:adjustRightInd w:val="0"/>
              <w:snapToGrid w:val="0"/>
              <w:spacing w:before="50" w:line="360" w:lineRule="auto"/>
              <w:jc w:val="both"/>
              <w:rPr>
                <w:rFonts w:ascii="Times New Roman" w:hAnsi="Times New Roman" w:eastAsia="宋体" w:cs="Times New Roman"/>
                <w:color w:val="auto"/>
                <w:szCs w:val="24"/>
                <w:highlight w:val="none"/>
              </w:rPr>
            </w:pPr>
          </w:p>
        </w:tc>
        <w:tc>
          <w:tcPr>
            <w:tcW w:w="2082" w:type="dxa"/>
            <w:tcBorders>
              <w:right w:val="single" w:color="auto" w:sz="4" w:space="0"/>
            </w:tcBorders>
          </w:tcPr>
          <w:p>
            <w:pPr>
              <w:widowControl w:val="0"/>
              <w:adjustRightInd w:val="0"/>
              <w:snapToGrid w:val="0"/>
              <w:spacing w:before="50" w:line="360" w:lineRule="auto"/>
              <w:jc w:val="both"/>
              <w:rPr>
                <w:rFonts w:ascii="Times New Roman" w:hAnsi="Times New Roman" w:eastAsia="宋体" w:cs="Times New Roman"/>
                <w:color w:val="auto"/>
                <w:szCs w:val="24"/>
                <w:highlight w:val="none"/>
              </w:rPr>
            </w:pPr>
          </w:p>
        </w:tc>
        <w:tc>
          <w:tcPr>
            <w:tcW w:w="1942" w:type="dxa"/>
            <w:tcBorders>
              <w:left w:val="single" w:color="auto" w:sz="4" w:space="0"/>
            </w:tcBorders>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8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082" w:type="dxa"/>
            <w:tcBorders>
              <w:righ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42" w:type="dxa"/>
            <w:tcBorders>
              <w:lef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8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082" w:type="dxa"/>
            <w:tcBorders>
              <w:righ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42" w:type="dxa"/>
            <w:tcBorders>
              <w:lef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8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082" w:type="dxa"/>
            <w:tcBorders>
              <w:righ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42" w:type="dxa"/>
            <w:tcBorders>
              <w:lef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8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082" w:type="dxa"/>
            <w:tcBorders>
              <w:righ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42" w:type="dxa"/>
            <w:tcBorders>
              <w:lef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8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082" w:type="dxa"/>
            <w:tcBorders>
              <w:righ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42" w:type="dxa"/>
            <w:tcBorders>
              <w:lef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85"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4024" w:type="dxa"/>
            <w:gridSpan w:val="2"/>
            <w:vAlign w:val="center"/>
          </w:tcPr>
          <w:p>
            <w:pPr>
              <w:widowControl w:val="0"/>
              <w:adjustRightInd w:val="0"/>
              <w:snapToGrid w:val="0"/>
              <w:spacing w:before="50" w:line="360" w:lineRule="auto"/>
              <w:ind w:firstLine="420" w:firstLineChars="200"/>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供应商保证：除本合同条款偏离表列出的偏离外，我单位对谈判文件的其他商务、合同条款完全响应，无偏离。</w:t>
            </w:r>
          </w:p>
        </w:tc>
      </w:tr>
    </w:tbl>
    <w:p>
      <w:pPr>
        <w:widowControl w:val="0"/>
        <w:adjustRightInd w:val="0"/>
        <w:snapToGrid w:val="0"/>
        <w:spacing w:before="50" w:line="360" w:lineRule="auto"/>
        <w:ind w:left="-88" w:leftChars="-42"/>
        <w:jc w:val="both"/>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注：1.</w:t>
      </w:r>
      <w:r>
        <w:rPr>
          <w:rFonts w:hint="eastAsia" w:ascii="宋体" w:hAnsi="宋体" w:eastAsia="宋体" w:cs="Times New Roman"/>
          <w:color w:val="auto"/>
          <w:szCs w:val="21"/>
          <w:highlight w:val="none"/>
        </w:rPr>
        <w:t>供应商应根据谈判文件第四章</w:t>
      </w:r>
      <w:r>
        <w:rPr>
          <w:rFonts w:hint="eastAsia" w:ascii="华文宋体" w:hAnsi="华文宋体" w:eastAsia="华文宋体" w:cs="Times New Roman"/>
          <w:color w:val="auto"/>
          <w:szCs w:val="21"/>
          <w:highlight w:val="none"/>
        </w:rPr>
        <w:t>“</w:t>
      </w:r>
      <w:r>
        <w:rPr>
          <w:rFonts w:hint="eastAsia" w:ascii="宋体" w:hAnsi="宋体" w:eastAsia="宋体" w:cs="Times New Roman"/>
          <w:color w:val="auto"/>
          <w:szCs w:val="21"/>
          <w:highlight w:val="none"/>
        </w:rPr>
        <w:t>合同草案条款</w:t>
      </w:r>
      <w:r>
        <w:rPr>
          <w:rFonts w:hint="eastAsia" w:ascii="华文宋体" w:hAnsi="华文宋体" w:eastAsia="华文宋体" w:cs="Times New Roman"/>
          <w:color w:val="auto"/>
          <w:szCs w:val="21"/>
          <w:highlight w:val="none"/>
        </w:rPr>
        <w:t>”</w:t>
      </w:r>
      <w:r>
        <w:rPr>
          <w:rFonts w:hint="eastAsia" w:ascii="宋体" w:hAnsi="宋体" w:eastAsia="宋体" w:cs="Times New Roman"/>
          <w:color w:val="auto"/>
          <w:szCs w:val="21"/>
          <w:highlight w:val="none"/>
        </w:rPr>
        <w:t>填写本表；</w:t>
      </w:r>
    </w:p>
    <w:p>
      <w:pPr>
        <w:widowControl w:val="0"/>
        <w:adjustRightInd w:val="0"/>
        <w:snapToGrid w:val="0"/>
        <w:spacing w:before="50" w:line="360" w:lineRule="auto"/>
        <w:ind w:left="-88" w:leftChars="-42" w:firstLine="420" w:firstLineChars="200"/>
        <w:jc w:val="both"/>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b/>
          <w:color w:val="auto"/>
          <w:szCs w:val="21"/>
          <w:highlight w:val="none"/>
        </w:rPr>
        <w:t>供应商如果对谈判文件第四章“合同草案条款”的响应有偏离，应将偏离条款逐条如实应答，并作出说明；</w:t>
      </w:r>
    </w:p>
    <w:p>
      <w:pPr>
        <w:widowControl w:val="0"/>
        <w:adjustRightInd w:val="0"/>
        <w:snapToGrid w:val="0"/>
        <w:spacing w:before="50" w:line="360" w:lineRule="auto"/>
        <w:ind w:left="-88" w:leftChars="-42"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3.如不提供此表，则视为供应商不满足谈判文件第四章的所有条款要求，其</w:t>
      </w:r>
      <w:r>
        <w:rPr>
          <w:rFonts w:hint="eastAsia" w:ascii="宋体" w:hAnsi="宋体" w:eastAsia="宋体" w:cs="Times New Roman"/>
          <w:b/>
          <w:color w:val="auto"/>
          <w:szCs w:val="21"/>
          <w:highlight w:val="none"/>
        </w:rPr>
        <w:t>响应无效</w:t>
      </w:r>
      <w:r>
        <w:rPr>
          <w:rFonts w:hint="eastAsia" w:ascii="宋体" w:hAnsi="宋体" w:eastAsia="宋体" w:cs="Times New Roman"/>
          <w:color w:val="auto"/>
          <w:szCs w:val="21"/>
          <w:highlight w:val="none"/>
        </w:rPr>
        <w:t>。</w:t>
      </w:r>
    </w:p>
    <w:p>
      <w:pPr>
        <w:widowControl w:val="0"/>
        <w:adjustRightInd w:val="0"/>
        <w:snapToGrid w:val="0"/>
        <w:spacing w:before="50" w:line="360" w:lineRule="auto"/>
        <w:ind w:left="-88" w:leftChars="-42"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在采购人与成交供应商签订合同时，如成交供应商未在响应文件“合同条款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pPr>
        <w:widowControl w:val="0"/>
        <w:adjustRightInd w:val="0"/>
        <w:snapToGrid w:val="0"/>
        <w:spacing w:before="50" w:line="360" w:lineRule="auto"/>
        <w:jc w:val="both"/>
        <w:rPr>
          <w:rFonts w:hint="eastAsia" w:ascii="宋体" w:hAnsi="宋体" w:eastAsia="宋体" w:cs="Times New Roman"/>
          <w:color w:val="auto"/>
          <w:szCs w:val="21"/>
          <w:highlight w:val="none"/>
        </w:rPr>
      </w:pPr>
    </w:p>
    <w:p>
      <w:pPr>
        <w:widowControl w:val="0"/>
        <w:adjustRightInd w:val="0"/>
        <w:snapToGrid w:val="0"/>
        <w:spacing w:before="50" w:line="360" w:lineRule="auto"/>
        <w:jc w:val="both"/>
        <w:rPr>
          <w:rFonts w:hint="eastAsia" w:ascii="宋体" w:hAnsi="宋体" w:eastAsia="宋体" w:cs="Times New Roman"/>
          <w:color w:val="auto"/>
          <w:szCs w:val="21"/>
          <w:highlight w:val="none"/>
        </w:rPr>
      </w:pPr>
    </w:p>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供应商名称（盖单位电子公章）：</w:t>
      </w:r>
    </w:p>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或其授权的代理人（签字或签章）：</w:t>
      </w:r>
    </w:p>
    <w:p>
      <w:pPr>
        <w:widowControl w:val="0"/>
        <w:spacing w:line="240" w:lineRule="auto"/>
        <w:jc w:val="both"/>
        <w:rPr>
          <w:rFonts w:ascii="Times New Roman" w:hAnsi="Times New Roman" w:eastAsia="宋体" w:cs="Times New Roman"/>
          <w:color w:val="auto"/>
          <w:szCs w:val="24"/>
          <w:highlight w:val="none"/>
        </w:rPr>
      </w:pPr>
      <w:r>
        <w:rPr>
          <w:rFonts w:hint="eastAsia" w:ascii="Times New Roman" w:hAnsi="Times New Roman" w:eastAsia="宋体" w:cs="Times New Roman"/>
          <w:color w:val="auto"/>
          <w:szCs w:val="24"/>
          <w:highlight w:val="none"/>
        </w:rPr>
        <w:t>日期：    年    月     日</w:t>
      </w:r>
    </w:p>
    <w:p>
      <w:pPr>
        <w:keepNext/>
        <w:keepLines/>
        <w:widowControl w:val="0"/>
        <w:spacing w:line="360" w:lineRule="auto"/>
        <w:jc w:val="center"/>
        <w:outlineLvl w:val="1"/>
        <w:rPr>
          <w:rFonts w:ascii="黑体" w:hAnsi="Arial" w:eastAsia="黑体" w:cs="Times New Roman"/>
          <w:b/>
          <w:bCs/>
          <w:color w:val="auto"/>
          <w:sz w:val="28"/>
          <w:szCs w:val="28"/>
          <w:highlight w:val="none"/>
        </w:rPr>
      </w:pPr>
      <w:r>
        <w:rPr>
          <w:rFonts w:ascii="黑体" w:hAnsi="Arial" w:eastAsia="黑体" w:cs="Times New Roman"/>
          <w:b/>
          <w:bCs/>
          <w:color w:val="auto"/>
          <w:sz w:val="28"/>
          <w:szCs w:val="28"/>
          <w:highlight w:val="none"/>
        </w:rPr>
        <w:br w:type="page"/>
      </w:r>
      <w:bookmarkStart w:id="250" w:name="_Toc214954936"/>
      <w:bookmarkStart w:id="251" w:name="_Toc22201160"/>
      <w:bookmarkStart w:id="252" w:name="_Toc107998048"/>
      <w:r>
        <w:rPr>
          <w:rFonts w:hint="eastAsia" w:ascii="黑体" w:hAnsi="Arial" w:eastAsia="黑体" w:cs="Times New Roman"/>
          <w:b/>
          <w:bCs/>
          <w:color w:val="auto"/>
          <w:sz w:val="28"/>
          <w:szCs w:val="28"/>
          <w:highlight w:val="none"/>
        </w:rPr>
        <w:t>七、采购需求偏离表</w:t>
      </w:r>
      <w:bookmarkEnd w:id="250"/>
      <w:bookmarkEnd w:id="251"/>
      <w:bookmarkEnd w:id="252"/>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 xml:space="preserve">政府采购计划编号: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项目名称：</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包名称：</w:t>
      </w:r>
      <w:r>
        <w:rPr>
          <w:rFonts w:hint="eastAsia" w:ascii="宋体" w:hAnsi="宋体" w:eastAsia="宋体" w:cs="Times New Roman"/>
          <w:color w:val="auto"/>
          <w:szCs w:val="21"/>
          <w:highlight w:val="none"/>
          <w:u w:val="single"/>
        </w:rPr>
        <w:t xml:space="preserve">                   </w:t>
      </w:r>
    </w:p>
    <w:tbl>
      <w:tblPr>
        <w:tblStyle w:val="4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序</w:t>
            </w:r>
            <w:r>
              <w:rPr>
                <w:rFonts w:hint="eastAsia" w:ascii="宋体" w:hAnsi="宋体" w:eastAsia="宋体" w:cs="Times New Roman"/>
                <w:color w:val="auto"/>
                <w:szCs w:val="21"/>
                <w:highlight w:val="none"/>
              </w:rPr>
              <w:t>号</w:t>
            </w: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谈判文件章节</w:t>
            </w:r>
            <w:r>
              <w:rPr>
                <w:rFonts w:hint="eastAsia" w:ascii="宋体" w:hAnsi="宋体" w:eastAsia="宋体" w:cs="Times New Roman"/>
                <w:bCs/>
                <w:color w:val="auto"/>
                <w:szCs w:val="21"/>
                <w:highlight w:val="none"/>
              </w:rPr>
              <w:t>条</w:t>
            </w:r>
            <w:r>
              <w:rPr>
                <w:rFonts w:hint="eastAsia" w:ascii="宋体" w:hAnsi="宋体" w:eastAsia="宋体" w:cs="Times New Roman"/>
                <w:color w:val="auto"/>
                <w:szCs w:val="21"/>
                <w:highlight w:val="none"/>
              </w:rPr>
              <w:t>款号</w:t>
            </w:r>
          </w:p>
        </w:tc>
        <w:tc>
          <w:tcPr>
            <w:tcW w:w="1985" w:type="dxa"/>
            <w:tcBorders>
              <w:right w:val="single" w:color="auto" w:sz="4" w:space="0"/>
            </w:tcBorders>
          </w:tcPr>
          <w:p>
            <w:pPr>
              <w:widowControl w:val="0"/>
              <w:adjustRightInd w:val="0"/>
              <w:snapToGrid w:val="0"/>
              <w:spacing w:before="50" w:line="360" w:lineRule="auto"/>
              <w:jc w:val="center"/>
              <w:rPr>
                <w:rFonts w:ascii="Times New Roman" w:hAnsi="Times New Roman" w:eastAsia="宋体" w:cs="Times New Roman"/>
                <w:color w:val="auto"/>
                <w:szCs w:val="24"/>
                <w:highlight w:val="none"/>
              </w:rPr>
            </w:pPr>
            <w:r>
              <w:rPr>
                <w:rFonts w:hint="eastAsia" w:ascii="宋体" w:hAnsi="宋体" w:eastAsia="宋体" w:cs="Times New Roman"/>
                <w:color w:val="auto"/>
                <w:szCs w:val="21"/>
                <w:highlight w:val="none"/>
              </w:rPr>
              <w:t>谈判</w:t>
            </w:r>
            <w:r>
              <w:rPr>
                <w:rFonts w:hint="eastAsia" w:ascii="Times New Roman" w:hAnsi="Times New Roman" w:eastAsia="宋体" w:cs="Times New Roman"/>
                <w:color w:val="auto"/>
                <w:szCs w:val="24"/>
                <w:highlight w:val="none"/>
              </w:rPr>
              <w:t>文件要求</w:t>
            </w:r>
          </w:p>
        </w:tc>
        <w:tc>
          <w:tcPr>
            <w:tcW w:w="2126" w:type="dxa"/>
            <w:tcBorders>
              <w:left w:val="single" w:color="auto" w:sz="4" w:space="0"/>
            </w:tcBorders>
          </w:tcPr>
          <w:p>
            <w:pPr>
              <w:widowControl w:val="0"/>
              <w:adjustRightInd w:val="0"/>
              <w:snapToGrid w:val="0"/>
              <w:spacing w:before="50" w:line="360" w:lineRule="auto"/>
              <w:jc w:val="center"/>
              <w:rPr>
                <w:rFonts w:ascii="Times New Roman" w:hAnsi="Times New Roman" w:eastAsia="宋体" w:cs="Times New Roman"/>
                <w:color w:val="auto"/>
                <w:szCs w:val="24"/>
                <w:highlight w:val="none"/>
              </w:rPr>
            </w:pPr>
            <w:r>
              <w:rPr>
                <w:rFonts w:hint="eastAsia" w:ascii="宋体" w:hAnsi="宋体" w:eastAsia="宋体" w:cs="Times New Roman"/>
                <w:color w:val="auto"/>
                <w:szCs w:val="21"/>
                <w:highlight w:val="none"/>
              </w:rPr>
              <w:t>响应</w:t>
            </w:r>
            <w:r>
              <w:rPr>
                <w:rFonts w:hint="eastAsia" w:ascii="Times New Roman" w:hAnsi="Times New Roman" w:eastAsia="宋体" w:cs="Times New Roman"/>
                <w:color w:val="auto"/>
                <w:szCs w:val="24"/>
                <w:highlight w:val="none"/>
              </w:rPr>
              <w:t>文件应答</w:t>
            </w:r>
          </w:p>
        </w:tc>
        <w:tc>
          <w:tcPr>
            <w:tcW w:w="1756"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偏离说明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85" w:type="dxa"/>
            <w:tcBorders>
              <w:righ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126" w:type="dxa"/>
            <w:tcBorders>
              <w:lef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756"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85" w:type="dxa"/>
            <w:tcBorders>
              <w:righ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126" w:type="dxa"/>
            <w:tcBorders>
              <w:lef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756"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85" w:type="dxa"/>
            <w:tcBorders>
              <w:righ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126" w:type="dxa"/>
            <w:tcBorders>
              <w:lef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756"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85" w:type="dxa"/>
            <w:tcBorders>
              <w:righ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126" w:type="dxa"/>
            <w:tcBorders>
              <w:lef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756"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85" w:type="dxa"/>
            <w:tcBorders>
              <w:righ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126" w:type="dxa"/>
            <w:tcBorders>
              <w:lef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756"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2410" w:type="dxa"/>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1985" w:type="dxa"/>
            <w:tcBorders>
              <w:right w:val="single" w:color="auto" w:sz="4" w:space="0"/>
            </w:tcBorders>
            <w:vAlign w:val="center"/>
          </w:tcPr>
          <w:p>
            <w:pPr>
              <w:widowControl w:val="0"/>
              <w:adjustRightInd w:val="0"/>
              <w:snapToGrid w:val="0"/>
              <w:spacing w:before="50" w:line="360" w:lineRule="auto"/>
              <w:ind w:left="-88" w:leftChars="-42"/>
              <w:jc w:val="center"/>
              <w:rPr>
                <w:rFonts w:hint="eastAsia" w:ascii="宋体" w:hAnsi="宋体" w:eastAsia="宋体" w:cs="Times New Roman"/>
                <w:color w:val="auto"/>
                <w:szCs w:val="21"/>
                <w:highlight w:val="none"/>
              </w:rPr>
            </w:pPr>
          </w:p>
        </w:tc>
        <w:tc>
          <w:tcPr>
            <w:tcW w:w="3882" w:type="dxa"/>
            <w:gridSpan w:val="2"/>
            <w:tcBorders>
              <w:left w:val="single" w:color="auto" w:sz="4" w:space="0"/>
            </w:tcBorders>
            <w:vAlign w:val="center"/>
          </w:tcPr>
          <w:p>
            <w:pPr>
              <w:widowControl w:val="0"/>
              <w:adjustRightInd w:val="0"/>
              <w:snapToGrid w:val="0"/>
              <w:spacing w:before="50"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b/>
                <w:color w:val="auto"/>
                <w:szCs w:val="21"/>
                <w:highlight w:val="none"/>
              </w:rPr>
              <w:t>供应商保证：除本采购需求偏离表列出的偏离外，我单位对谈判文件的其他采购需求条款完全响应，无偏离。</w:t>
            </w:r>
          </w:p>
        </w:tc>
      </w:tr>
    </w:tbl>
    <w:p>
      <w:pPr>
        <w:widowControl w:val="0"/>
        <w:adjustRightInd w:val="0"/>
        <w:snapToGrid w:val="0"/>
        <w:spacing w:before="50" w:line="360" w:lineRule="auto"/>
        <w:ind w:left="-88" w:leftChars="-42"/>
        <w:jc w:val="both"/>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注：</w:t>
      </w:r>
      <w:r>
        <w:rPr>
          <w:rFonts w:hint="eastAsia" w:ascii="宋体" w:hAnsi="宋体" w:eastAsia="宋体" w:cs="Times New Roman"/>
          <w:color w:val="auto"/>
          <w:szCs w:val="21"/>
          <w:highlight w:val="none"/>
        </w:rPr>
        <w:t>1.供应商应根据谈判文件第三章“采购需求”填写本表；</w:t>
      </w:r>
    </w:p>
    <w:p>
      <w:pPr>
        <w:widowControl w:val="0"/>
        <w:adjustRightInd w:val="0"/>
        <w:snapToGrid w:val="0"/>
        <w:spacing w:before="50" w:line="360" w:lineRule="auto"/>
        <w:ind w:left="-88" w:leftChars="-42" w:firstLine="420" w:firstLineChars="200"/>
        <w:jc w:val="both"/>
        <w:rPr>
          <w:rFonts w:hint="eastAsia" w:ascii="宋体" w:hAnsi="宋体" w:eastAsia="宋体" w:cs="Times New Roman"/>
          <w:b/>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b/>
          <w:color w:val="auto"/>
          <w:szCs w:val="21"/>
          <w:highlight w:val="none"/>
        </w:rPr>
        <w:t>供应商如果对谈判文件第三章“采购需求”的响应有偏离，应将偏离条款逐条如实应答，并作出说明；</w:t>
      </w:r>
    </w:p>
    <w:p>
      <w:pPr>
        <w:widowControl w:val="0"/>
        <w:adjustRightInd w:val="0"/>
        <w:snapToGrid w:val="0"/>
        <w:spacing w:before="50" w:line="360" w:lineRule="auto"/>
        <w:ind w:left="-88" w:leftChars="-42" w:firstLine="420" w:firstLineChars="200"/>
        <w:jc w:val="both"/>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3.如不提供此表，则视为供应商不满足谈判文件第三章的所有条款要求，其响应无效。</w:t>
      </w:r>
    </w:p>
    <w:p>
      <w:pPr>
        <w:widowControl w:val="0"/>
        <w:adjustRightInd w:val="0"/>
        <w:snapToGrid w:val="0"/>
        <w:spacing w:before="50" w:line="360" w:lineRule="auto"/>
        <w:ind w:left="-88" w:leftChars="-42"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在采购人与成交供应商签订合同时，如成交供应商未在响应文件“采购需求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pPr>
        <w:widowControl w:val="0"/>
        <w:adjustRightInd w:val="0"/>
        <w:snapToGrid w:val="0"/>
        <w:spacing w:before="50" w:line="360" w:lineRule="auto"/>
        <w:ind w:left="-88" w:leftChars="-42"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5.本表偏离表与本章第六节“采购需求响应”不一致时，以“采购需求响应”为准。</w:t>
      </w:r>
    </w:p>
    <w:p>
      <w:pPr>
        <w:widowControl w:val="0"/>
        <w:adjustRightInd w:val="0"/>
        <w:snapToGrid w:val="0"/>
        <w:spacing w:before="50" w:line="360" w:lineRule="auto"/>
        <w:jc w:val="both"/>
        <w:rPr>
          <w:rFonts w:hint="eastAsia" w:ascii="宋体" w:hAnsi="宋体" w:eastAsia="宋体" w:cs="Times New Roman"/>
          <w:color w:val="auto"/>
          <w:szCs w:val="21"/>
          <w:highlight w:val="none"/>
        </w:rPr>
      </w:pPr>
    </w:p>
    <w:p>
      <w:pPr>
        <w:widowControl w:val="0"/>
        <w:adjustRightInd w:val="0"/>
        <w:snapToGrid w:val="0"/>
        <w:spacing w:before="50" w:line="360" w:lineRule="auto"/>
        <w:jc w:val="both"/>
        <w:rPr>
          <w:rFonts w:hint="eastAsia" w:ascii="宋体" w:hAnsi="宋体" w:eastAsia="宋体" w:cs="Times New Roman"/>
          <w:color w:val="auto"/>
          <w:szCs w:val="21"/>
          <w:highlight w:val="none"/>
        </w:rPr>
      </w:pPr>
    </w:p>
    <w:p>
      <w:pPr>
        <w:widowControl w:val="0"/>
        <w:adjustRightInd w:val="0"/>
        <w:snapToGrid w:val="0"/>
        <w:spacing w:before="50" w:line="360" w:lineRule="auto"/>
        <w:jc w:val="both"/>
        <w:rPr>
          <w:rFonts w:hint="eastAsia" w:ascii="宋体" w:hAnsi="宋体" w:eastAsia="宋体" w:cs="Times New Roman"/>
          <w:color w:val="auto"/>
          <w:szCs w:val="21"/>
          <w:highlight w:val="none"/>
        </w:rPr>
      </w:pPr>
    </w:p>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供应商名称（盖单位电子公章）：</w:t>
      </w:r>
    </w:p>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或其授权的代理人（签字或签章）：</w:t>
      </w:r>
    </w:p>
    <w:p>
      <w:pPr>
        <w:widowControl w:val="0"/>
        <w:adjustRightInd w:val="0"/>
        <w:snapToGrid w:val="0"/>
        <w:spacing w:before="50"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日      期：      年     月</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    日</w:t>
      </w:r>
    </w:p>
    <w:p>
      <w:pPr>
        <w:widowControl w:val="0"/>
        <w:spacing w:line="240" w:lineRule="auto"/>
        <w:jc w:val="both"/>
        <w:rPr>
          <w:rFonts w:ascii="Times New Roman" w:hAnsi="Times New Roman" w:eastAsia="宋体" w:cs="Times New Roman"/>
          <w:color w:val="auto"/>
          <w:szCs w:val="24"/>
          <w:highlight w:val="none"/>
        </w:rPr>
      </w:pPr>
    </w:p>
    <w:p>
      <w:pPr>
        <w:widowControl w:val="0"/>
        <w:spacing w:line="240" w:lineRule="auto"/>
        <w:jc w:val="both"/>
        <w:rPr>
          <w:rFonts w:ascii="Times New Roman" w:hAnsi="Times New Roman" w:eastAsia="宋体" w:cs="Times New Roman"/>
          <w:color w:val="auto"/>
          <w:szCs w:val="24"/>
          <w:highlight w:val="none"/>
        </w:rPr>
        <w:sectPr>
          <w:footerReference r:id="rId9" w:type="even"/>
          <w:pgSz w:w="11906" w:h="16838"/>
          <w:pgMar w:top="1418" w:right="1418" w:bottom="1134" w:left="1418" w:header="851" w:footer="992" w:gutter="0"/>
          <w:cols w:space="720" w:num="1"/>
          <w:docGrid w:type="linesAndChars" w:linePitch="312" w:charSpace="0"/>
        </w:sectPr>
      </w:pPr>
    </w:p>
    <w:p>
      <w:pPr>
        <w:keepNext/>
        <w:keepLines/>
        <w:widowControl w:val="0"/>
        <w:spacing w:line="360" w:lineRule="auto"/>
        <w:jc w:val="center"/>
        <w:outlineLvl w:val="1"/>
        <w:rPr>
          <w:rFonts w:ascii="黑体" w:hAnsi="Arial" w:eastAsia="黑体" w:cs="Times New Roman"/>
          <w:b/>
          <w:bCs/>
          <w:color w:val="auto"/>
          <w:sz w:val="28"/>
          <w:szCs w:val="28"/>
          <w:highlight w:val="none"/>
        </w:rPr>
      </w:pPr>
      <w:bookmarkStart w:id="253" w:name="_Toc214954937"/>
      <w:bookmarkStart w:id="254" w:name="_Toc107998049"/>
      <w:bookmarkStart w:id="255" w:name="_Toc22201161"/>
      <w:r>
        <w:rPr>
          <w:rFonts w:hint="eastAsia" w:ascii="黑体" w:hAnsi="Arial" w:eastAsia="黑体" w:cs="Times New Roman"/>
          <w:b/>
          <w:bCs/>
          <w:color w:val="auto"/>
          <w:sz w:val="28"/>
          <w:szCs w:val="28"/>
          <w:highlight w:val="none"/>
        </w:rPr>
        <w:t>八、享受政府采购政策优惠的证明资料</w:t>
      </w:r>
      <w:bookmarkEnd w:id="253"/>
      <w:bookmarkEnd w:id="254"/>
      <w:bookmarkEnd w:id="255"/>
    </w:p>
    <w:p>
      <w:pPr>
        <w:widowControl w:val="0"/>
        <w:adjustRightInd w:val="0"/>
        <w:snapToGrid w:val="0"/>
        <w:spacing w:line="360" w:lineRule="auto"/>
        <w:jc w:val="both"/>
        <w:rPr>
          <w:rFonts w:hint="eastAsia" w:ascii="黑体" w:hAnsi="华文中宋" w:eastAsia="黑体" w:cs="宋体"/>
          <w:bCs/>
          <w:color w:val="auto"/>
          <w:spacing w:val="6"/>
          <w:kern w:val="0"/>
          <w:szCs w:val="21"/>
          <w:highlight w:val="none"/>
        </w:rPr>
      </w:pPr>
    </w:p>
    <w:p>
      <w:pPr>
        <w:widowControl w:val="0"/>
        <w:adjustRightInd w:val="0"/>
        <w:snapToGrid w:val="0"/>
        <w:spacing w:line="360" w:lineRule="auto"/>
        <w:ind w:firstLine="444" w:firstLineChars="200"/>
        <w:jc w:val="both"/>
        <w:rPr>
          <w:rFonts w:hint="eastAsia" w:ascii="宋体" w:hAnsi="宋体" w:eastAsia="宋体" w:cs="宋体"/>
          <w:bCs/>
          <w:color w:val="auto"/>
          <w:spacing w:val="6"/>
          <w:kern w:val="0"/>
          <w:szCs w:val="21"/>
          <w:highlight w:val="none"/>
        </w:rPr>
      </w:pPr>
      <w:r>
        <w:rPr>
          <w:rFonts w:hint="eastAsia" w:ascii="宋体" w:hAnsi="宋体" w:eastAsia="宋体" w:cs="宋体"/>
          <w:bCs/>
          <w:color w:val="auto"/>
          <w:spacing w:val="6"/>
          <w:kern w:val="0"/>
          <w:szCs w:val="21"/>
          <w:highlight w:val="none"/>
        </w:rPr>
        <w:t>供应商符合第二章第38条、第39条、第40条、第41条要求的，应提供下列证明资料，并填写相关数据。</w:t>
      </w:r>
    </w:p>
    <w:p>
      <w:pPr>
        <w:widowControl w:val="0"/>
        <w:adjustRightInd w:val="0"/>
        <w:snapToGrid w:val="0"/>
        <w:spacing w:line="360" w:lineRule="auto"/>
        <w:jc w:val="both"/>
        <w:rPr>
          <w:rFonts w:hint="eastAsia" w:ascii="黑体" w:hAnsi="华文中宋" w:eastAsia="黑体" w:cs="宋体"/>
          <w:bCs/>
          <w:color w:val="auto"/>
          <w:spacing w:val="6"/>
          <w:kern w:val="0"/>
          <w:szCs w:val="21"/>
          <w:highlight w:val="none"/>
        </w:rPr>
      </w:pPr>
    </w:p>
    <w:p>
      <w:pPr>
        <w:keepNext/>
        <w:keepLines/>
        <w:widowControl w:val="0"/>
        <w:spacing w:before="260" w:after="260" w:line="416" w:lineRule="auto"/>
        <w:jc w:val="both"/>
        <w:outlineLvl w:val="2"/>
        <w:rPr>
          <w:rFonts w:hint="eastAsia" w:ascii="宋体" w:hAnsi="宋体" w:eastAsia="宋体" w:cs="Times New Roman"/>
          <w:b/>
          <w:bCs/>
          <w:color w:val="auto"/>
          <w:szCs w:val="21"/>
          <w:highlight w:val="none"/>
        </w:rPr>
      </w:pPr>
      <w:bookmarkStart w:id="256" w:name="_Toc214954938"/>
      <w:bookmarkStart w:id="257" w:name="_Toc207373269"/>
      <w:r>
        <w:rPr>
          <w:rFonts w:hint="eastAsia" w:ascii="宋体" w:hAnsi="宋体" w:eastAsia="宋体" w:cs="Times New Roman"/>
          <w:b/>
          <w:bCs/>
          <w:color w:val="auto"/>
          <w:szCs w:val="21"/>
          <w:highlight w:val="none"/>
        </w:rPr>
        <w:t>附件8-1中小企业声明函</w:t>
      </w:r>
      <w:bookmarkEnd w:id="256"/>
      <w:bookmarkEnd w:id="257"/>
    </w:p>
    <w:p>
      <w:pPr>
        <w:widowControl w:val="0"/>
        <w:spacing w:line="240" w:lineRule="auto"/>
        <w:jc w:val="center"/>
        <w:rPr>
          <w:rFonts w:hint="eastAsia" w:ascii="黑体" w:hAnsi="黑体" w:eastAsia="黑体" w:cs="Times New Roman"/>
          <w:color w:val="auto"/>
          <w:sz w:val="30"/>
          <w:szCs w:val="30"/>
          <w:highlight w:val="none"/>
        </w:rPr>
      </w:pPr>
      <w:r>
        <w:rPr>
          <w:rFonts w:hint="eastAsia" w:ascii="黑体" w:hAnsi="黑体" w:eastAsia="黑体" w:cs="Times New Roman"/>
          <w:color w:val="auto"/>
          <w:sz w:val="30"/>
          <w:szCs w:val="30"/>
          <w:highlight w:val="none"/>
        </w:rPr>
        <w:t>中小企业声明函</w:t>
      </w:r>
    </w:p>
    <w:p>
      <w:pPr>
        <w:widowControl w:val="0"/>
        <w:adjustRightInd w:val="0"/>
        <w:snapToGrid w:val="0"/>
        <w:spacing w:line="360" w:lineRule="auto"/>
        <w:jc w:val="center"/>
        <w:rPr>
          <w:rFonts w:hint="eastAsia" w:ascii="宋体" w:hAnsi="宋体" w:eastAsia="宋体" w:cs="Times New Roman"/>
          <w:b/>
          <w:color w:val="auto"/>
          <w:spacing w:val="6"/>
          <w:szCs w:val="21"/>
          <w:highlight w:val="none"/>
        </w:rPr>
      </w:pPr>
      <w:r>
        <w:rPr>
          <w:rFonts w:hint="eastAsia" w:ascii="宋体" w:hAnsi="宋体" w:eastAsia="宋体" w:cs="Times New Roman"/>
          <w:b/>
          <w:color w:val="auto"/>
          <w:spacing w:val="6"/>
          <w:szCs w:val="21"/>
          <w:highlight w:val="none"/>
        </w:rPr>
        <w:t>(不符合政策要求的无需提供)</w:t>
      </w:r>
    </w:p>
    <w:p>
      <w:pPr>
        <w:widowControl w:val="0"/>
        <w:spacing w:line="240" w:lineRule="auto"/>
        <w:jc w:val="both"/>
        <w:rPr>
          <w:rFonts w:ascii="Times New Roman" w:hAnsi="Times New Roman" w:eastAsia="宋体" w:cs="Times New Roman"/>
          <w:color w:val="auto"/>
          <w:szCs w:val="24"/>
          <w:highlight w:val="none"/>
        </w:rPr>
      </w:pPr>
    </w:p>
    <w:p>
      <w:pPr>
        <w:adjustRightInd w:val="0"/>
        <w:snapToGrid w:val="0"/>
        <w:spacing w:line="360" w:lineRule="auto"/>
        <w:ind w:firstLine="444" w:firstLineChars="200"/>
        <w:rPr>
          <w:rFonts w:hint="eastAsia" w:ascii="宋体" w:hAnsi="宋体" w:eastAsia="宋体" w:cs="宋体"/>
          <w:color w:val="auto"/>
          <w:kern w:val="0"/>
          <w:szCs w:val="21"/>
          <w:highlight w:val="none"/>
        </w:rPr>
      </w:pPr>
      <w:r>
        <w:rPr>
          <w:rFonts w:ascii="宋体" w:hAnsi="宋体" w:eastAsia="宋体" w:cs="宋体"/>
          <w:color w:val="auto"/>
          <w:spacing w:val="6"/>
          <w:kern w:val="0"/>
          <w:szCs w:val="21"/>
          <w:highlight w:val="none"/>
        </w:rPr>
        <w:t>本公司（联合体）郑重声明，根据《政府采购促进中小企业发展暂行办法》（财库[2020]46号）的规定，本公司（联合体）参加</w:t>
      </w:r>
      <w:r>
        <w:rPr>
          <w:rFonts w:ascii="宋体" w:hAnsi="宋体" w:eastAsia="宋体" w:cs="宋体"/>
          <w:color w:val="auto"/>
          <w:spacing w:val="6"/>
          <w:kern w:val="0"/>
          <w:szCs w:val="21"/>
          <w:highlight w:val="none"/>
          <w:u w:val="single"/>
        </w:rPr>
        <w:t>（单位名称）</w:t>
      </w:r>
      <w:r>
        <w:rPr>
          <w:rFonts w:ascii="宋体" w:hAnsi="宋体" w:eastAsia="宋体" w:cs="宋体"/>
          <w:color w:val="auto"/>
          <w:spacing w:val="6"/>
          <w:kern w:val="0"/>
          <w:szCs w:val="21"/>
          <w:highlight w:val="none"/>
        </w:rPr>
        <w:t>的</w:t>
      </w:r>
      <w:r>
        <w:rPr>
          <w:rFonts w:ascii="宋体" w:hAnsi="宋体" w:eastAsia="宋体" w:cs="宋体"/>
          <w:color w:val="auto"/>
          <w:spacing w:val="6"/>
          <w:kern w:val="0"/>
          <w:szCs w:val="21"/>
          <w:highlight w:val="none"/>
          <w:u w:val="single"/>
        </w:rPr>
        <w:t>（项目名称）</w:t>
      </w:r>
      <w:r>
        <w:rPr>
          <w:rFonts w:ascii="宋体" w:hAnsi="宋体" w:eastAsia="宋体" w:cs="宋体"/>
          <w:color w:val="auto"/>
          <w:spacing w:val="6"/>
          <w:kern w:val="0"/>
          <w:szCs w:val="21"/>
          <w:highlight w:val="none"/>
        </w:rPr>
        <w:t>采购活动，工程的施工单位全部为符合政策要求的中小企业。相关企业（含联合体中的中小企业、签订分包意向协议的中小企业）的具体情况如下：</w:t>
      </w:r>
    </w:p>
    <w:p>
      <w:pPr>
        <w:adjustRightInd w:val="0"/>
        <w:snapToGrid w:val="0"/>
        <w:spacing w:line="360" w:lineRule="auto"/>
        <w:ind w:firstLine="444" w:firstLineChars="200"/>
        <w:rPr>
          <w:rFonts w:hint="eastAsia" w:ascii="宋体" w:hAnsi="宋体" w:eastAsia="宋体" w:cs="宋体"/>
          <w:color w:val="auto"/>
          <w:spacing w:val="6"/>
          <w:kern w:val="0"/>
          <w:szCs w:val="21"/>
          <w:highlight w:val="none"/>
        </w:rPr>
      </w:pPr>
      <w:r>
        <w:rPr>
          <w:rFonts w:ascii="宋体" w:hAnsi="宋体" w:eastAsia="宋体" w:cs="宋体"/>
          <w:color w:val="auto"/>
          <w:spacing w:val="6"/>
          <w:kern w:val="0"/>
          <w:szCs w:val="21"/>
          <w:highlight w:val="none"/>
        </w:rPr>
        <w:t>1.</w:t>
      </w:r>
      <w:r>
        <w:rPr>
          <w:rFonts w:ascii="宋体" w:hAnsi="宋体" w:eastAsia="宋体" w:cs="宋体"/>
          <w:color w:val="auto"/>
          <w:spacing w:val="6"/>
          <w:kern w:val="0"/>
          <w:szCs w:val="21"/>
          <w:highlight w:val="none"/>
          <w:u w:val="single"/>
        </w:rPr>
        <w:t>（标的名称）</w:t>
      </w:r>
      <w:r>
        <w:rPr>
          <w:rFonts w:ascii="宋体" w:hAnsi="宋体" w:eastAsia="宋体" w:cs="宋体"/>
          <w:color w:val="auto"/>
          <w:spacing w:val="6"/>
          <w:kern w:val="0"/>
          <w:szCs w:val="21"/>
          <w:highlight w:val="none"/>
        </w:rPr>
        <w:t>，属于</w:t>
      </w:r>
      <w:r>
        <w:rPr>
          <w:rFonts w:ascii="宋体" w:hAnsi="宋体" w:eastAsia="宋体" w:cs="宋体"/>
          <w:color w:val="auto"/>
          <w:spacing w:val="6"/>
          <w:kern w:val="0"/>
          <w:szCs w:val="21"/>
          <w:highlight w:val="none"/>
          <w:u w:val="single"/>
        </w:rPr>
        <w:t>（采购文件中明确的所属行业）</w:t>
      </w:r>
      <w:r>
        <w:rPr>
          <w:rFonts w:ascii="宋体" w:hAnsi="宋体" w:eastAsia="宋体" w:cs="宋体"/>
          <w:color w:val="auto"/>
          <w:spacing w:val="6"/>
          <w:kern w:val="0"/>
          <w:szCs w:val="21"/>
          <w:highlight w:val="none"/>
        </w:rPr>
        <w:t>；</w:t>
      </w:r>
      <w:bookmarkStart w:id="258" w:name="OLE_LINK60"/>
      <w:r>
        <w:rPr>
          <w:rFonts w:hint="eastAsia" w:ascii="宋体" w:hAnsi="宋体" w:eastAsia="宋体" w:cs="宋体"/>
          <w:color w:val="auto"/>
          <w:spacing w:val="6"/>
          <w:kern w:val="0"/>
          <w:szCs w:val="21"/>
          <w:highlight w:val="none"/>
        </w:rPr>
        <w:t>制造商</w:t>
      </w:r>
      <w:bookmarkEnd w:id="258"/>
      <w:r>
        <w:rPr>
          <w:rFonts w:ascii="宋体" w:hAnsi="宋体" w:eastAsia="宋体" w:cs="宋体"/>
          <w:color w:val="auto"/>
          <w:spacing w:val="6"/>
          <w:kern w:val="0"/>
          <w:szCs w:val="21"/>
          <w:highlight w:val="none"/>
        </w:rPr>
        <w:t>为</w:t>
      </w:r>
      <w:r>
        <w:rPr>
          <w:rFonts w:ascii="宋体" w:hAnsi="宋体" w:eastAsia="宋体" w:cs="宋体"/>
          <w:color w:val="auto"/>
          <w:spacing w:val="6"/>
          <w:kern w:val="0"/>
          <w:szCs w:val="21"/>
          <w:highlight w:val="none"/>
          <w:u w:val="single"/>
        </w:rPr>
        <w:t>（企业名称）</w:t>
      </w:r>
      <w:r>
        <w:rPr>
          <w:rFonts w:ascii="宋体" w:hAnsi="宋体" w:eastAsia="宋体" w:cs="宋体"/>
          <w:color w:val="auto"/>
          <w:spacing w:val="6"/>
          <w:kern w:val="0"/>
          <w:szCs w:val="21"/>
          <w:highlight w:val="none"/>
        </w:rPr>
        <w:t>，从业人员</w:t>
      </w:r>
      <w:r>
        <w:rPr>
          <w:rFonts w:ascii="宋体" w:hAnsi="宋体" w:eastAsia="宋体" w:cs="宋体"/>
          <w:color w:val="auto"/>
          <w:spacing w:val="6"/>
          <w:kern w:val="0"/>
          <w:szCs w:val="21"/>
          <w:highlight w:val="none"/>
          <w:u w:val="single"/>
        </w:rPr>
        <w:t xml:space="preserve">   </w:t>
      </w:r>
      <w:r>
        <w:rPr>
          <w:rFonts w:ascii="宋体" w:hAnsi="宋体" w:eastAsia="宋体" w:cs="宋体"/>
          <w:color w:val="auto"/>
          <w:spacing w:val="6"/>
          <w:kern w:val="0"/>
          <w:szCs w:val="21"/>
          <w:highlight w:val="none"/>
        </w:rPr>
        <w:t>人，营业收入为</w:t>
      </w:r>
      <w:r>
        <w:rPr>
          <w:rFonts w:ascii="宋体" w:hAnsi="宋体" w:eastAsia="宋体" w:cs="宋体"/>
          <w:color w:val="auto"/>
          <w:spacing w:val="6"/>
          <w:kern w:val="0"/>
          <w:szCs w:val="21"/>
          <w:highlight w:val="none"/>
          <w:u w:val="single"/>
        </w:rPr>
        <w:t xml:space="preserve">   </w:t>
      </w:r>
      <w:r>
        <w:rPr>
          <w:rFonts w:ascii="宋体" w:hAnsi="宋体" w:eastAsia="宋体" w:cs="宋体"/>
          <w:color w:val="auto"/>
          <w:spacing w:val="6"/>
          <w:kern w:val="0"/>
          <w:szCs w:val="21"/>
          <w:highlight w:val="none"/>
        </w:rPr>
        <w:t>万元，资产总额为</w:t>
      </w:r>
      <w:r>
        <w:rPr>
          <w:rFonts w:ascii="宋体" w:hAnsi="宋体" w:eastAsia="宋体" w:cs="宋体"/>
          <w:color w:val="auto"/>
          <w:spacing w:val="6"/>
          <w:kern w:val="0"/>
          <w:szCs w:val="21"/>
          <w:highlight w:val="none"/>
          <w:u w:val="single"/>
        </w:rPr>
        <w:t xml:space="preserve">   </w:t>
      </w:r>
      <w:r>
        <w:rPr>
          <w:rFonts w:ascii="宋体" w:hAnsi="宋体" w:eastAsia="宋体" w:cs="宋体"/>
          <w:color w:val="auto"/>
          <w:spacing w:val="6"/>
          <w:kern w:val="0"/>
          <w:szCs w:val="21"/>
          <w:highlight w:val="none"/>
        </w:rPr>
        <w:t>万元，属于</w:t>
      </w:r>
      <w:r>
        <w:rPr>
          <w:rFonts w:ascii="宋体" w:hAnsi="宋体" w:eastAsia="宋体" w:cs="宋体"/>
          <w:color w:val="auto"/>
          <w:spacing w:val="6"/>
          <w:kern w:val="0"/>
          <w:szCs w:val="21"/>
          <w:highlight w:val="none"/>
          <w:u w:val="single"/>
        </w:rPr>
        <w:t>（中型企业、小型企业、微型企业）</w:t>
      </w:r>
      <w:r>
        <w:rPr>
          <w:rFonts w:ascii="宋体" w:hAnsi="宋体" w:eastAsia="宋体" w:cs="宋体"/>
          <w:color w:val="auto"/>
          <w:spacing w:val="6"/>
          <w:kern w:val="0"/>
          <w:szCs w:val="21"/>
          <w:highlight w:val="none"/>
        </w:rPr>
        <w:t>；</w:t>
      </w:r>
    </w:p>
    <w:p>
      <w:pPr>
        <w:adjustRightInd w:val="0"/>
        <w:snapToGrid w:val="0"/>
        <w:spacing w:line="360" w:lineRule="auto"/>
        <w:ind w:firstLine="444" w:firstLineChars="200"/>
        <w:rPr>
          <w:rFonts w:hint="eastAsia" w:ascii="宋体" w:hAnsi="宋体" w:eastAsia="宋体" w:cs="宋体"/>
          <w:color w:val="auto"/>
          <w:spacing w:val="6"/>
          <w:kern w:val="0"/>
          <w:szCs w:val="21"/>
          <w:highlight w:val="none"/>
        </w:rPr>
      </w:pPr>
      <w:r>
        <w:rPr>
          <w:rFonts w:ascii="宋体" w:hAnsi="宋体" w:eastAsia="宋体" w:cs="宋体"/>
          <w:color w:val="auto"/>
          <w:spacing w:val="6"/>
          <w:kern w:val="0"/>
          <w:szCs w:val="21"/>
          <w:highlight w:val="none"/>
        </w:rPr>
        <w:t xml:space="preserve">2. </w:t>
      </w:r>
      <w:r>
        <w:rPr>
          <w:rFonts w:ascii="宋体" w:hAnsi="宋体" w:eastAsia="宋体" w:cs="宋体"/>
          <w:color w:val="auto"/>
          <w:spacing w:val="6"/>
          <w:kern w:val="0"/>
          <w:szCs w:val="21"/>
          <w:highlight w:val="none"/>
          <w:u w:val="single"/>
        </w:rPr>
        <w:t>（标的名称）</w:t>
      </w:r>
      <w:r>
        <w:rPr>
          <w:rFonts w:ascii="宋体" w:hAnsi="宋体" w:eastAsia="宋体" w:cs="宋体"/>
          <w:color w:val="auto"/>
          <w:spacing w:val="6"/>
          <w:kern w:val="0"/>
          <w:szCs w:val="21"/>
          <w:highlight w:val="none"/>
        </w:rPr>
        <w:t>，属于</w:t>
      </w:r>
      <w:r>
        <w:rPr>
          <w:rFonts w:ascii="宋体" w:hAnsi="宋体" w:eastAsia="宋体" w:cs="宋体"/>
          <w:color w:val="auto"/>
          <w:spacing w:val="6"/>
          <w:kern w:val="0"/>
          <w:szCs w:val="21"/>
          <w:highlight w:val="none"/>
          <w:u w:val="single"/>
        </w:rPr>
        <w:t>（采购文件中明确的所属行业）</w:t>
      </w:r>
      <w:r>
        <w:rPr>
          <w:rFonts w:ascii="宋体" w:hAnsi="宋体" w:eastAsia="宋体" w:cs="宋体"/>
          <w:color w:val="auto"/>
          <w:spacing w:val="6"/>
          <w:kern w:val="0"/>
          <w:szCs w:val="21"/>
          <w:highlight w:val="none"/>
        </w:rPr>
        <w:t>；</w:t>
      </w:r>
      <w:r>
        <w:rPr>
          <w:rFonts w:hint="eastAsia" w:ascii="宋体" w:hAnsi="宋体" w:eastAsia="宋体" w:cs="宋体"/>
          <w:color w:val="auto"/>
          <w:spacing w:val="6"/>
          <w:kern w:val="0"/>
          <w:szCs w:val="21"/>
          <w:highlight w:val="none"/>
        </w:rPr>
        <w:t>制造商</w:t>
      </w:r>
      <w:r>
        <w:rPr>
          <w:rFonts w:ascii="宋体" w:hAnsi="宋体" w:eastAsia="宋体" w:cs="宋体"/>
          <w:color w:val="auto"/>
          <w:spacing w:val="6"/>
          <w:kern w:val="0"/>
          <w:szCs w:val="21"/>
          <w:highlight w:val="none"/>
        </w:rPr>
        <w:t>为</w:t>
      </w:r>
      <w:r>
        <w:rPr>
          <w:rFonts w:ascii="宋体" w:hAnsi="宋体" w:eastAsia="宋体" w:cs="宋体"/>
          <w:color w:val="auto"/>
          <w:spacing w:val="6"/>
          <w:kern w:val="0"/>
          <w:szCs w:val="21"/>
          <w:highlight w:val="none"/>
          <w:u w:val="single"/>
        </w:rPr>
        <w:t>（企业名称）</w:t>
      </w:r>
      <w:r>
        <w:rPr>
          <w:rFonts w:ascii="宋体" w:hAnsi="宋体" w:eastAsia="宋体" w:cs="宋体"/>
          <w:color w:val="auto"/>
          <w:spacing w:val="6"/>
          <w:kern w:val="0"/>
          <w:szCs w:val="21"/>
          <w:highlight w:val="none"/>
        </w:rPr>
        <w:t>，从业人员</w:t>
      </w:r>
      <w:r>
        <w:rPr>
          <w:rFonts w:ascii="宋体" w:hAnsi="宋体" w:eastAsia="宋体" w:cs="宋体"/>
          <w:color w:val="auto"/>
          <w:spacing w:val="6"/>
          <w:kern w:val="0"/>
          <w:szCs w:val="21"/>
          <w:highlight w:val="none"/>
          <w:u w:val="single"/>
        </w:rPr>
        <w:t xml:space="preserve">   </w:t>
      </w:r>
      <w:r>
        <w:rPr>
          <w:rFonts w:ascii="宋体" w:hAnsi="宋体" w:eastAsia="宋体" w:cs="宋体"/>
          <w:color w:val="auto"/>
          <w:spacing w:val="6"/>
          <w:kern w:val="0"/>
          <w:szCs w:val="21"/>
          <w:highlight w:val="none"/>
        </w:rPr>
        <w:t>人，营业收入为</w:t>
      </w:r>
      <w:r>
        <w:rPr>
          <w:rFonts w:ascii="宋体" w:hAnsi="宋体" w:eastAsia="宋体" w:cs="宋体"/>
          <w:color w:val="auto"/>
          <w:spacing w:val="6"/>
          <w:kern w:val="0"/>
          <w:szCs w:val="21"/>
          <w:highlight w:val="none"/>
          <w:u w:val="single"/>
        </w:rPr>
        <w:t xml:space="preserve">   </w:t>
      </w:r>
      <w:r>
        <w:rPr>
          <w:rFonts w:ascii="宋体" w:hAnsi="宋体" w:eastAsia="宋体" w:cs="宋体"/>
          <w:color w:val="auto"/>
          <w:spacing w:val="6"/>
          <w:kern w:val="0"/>
          <w:szCs w:val="21"/>
          <w:highlight w:val="none"/>
        </w:rPr>
        <w:t>万元，资产总额为</w:t>
      </w:r>
      <w:r>
        <w:rPr>
          <w:rFonts w:ascii="宋体" w:hAnsi="宋体" w:eastAsia="宋体" w:cs="宋体"/>
          <w:color w:val="auto"/>
          <w:spacing w:val="6"/>
          <w:kern w:val="0"/>
          <w:szCs w:val="21"/>
          <w:highlight w:val="none"/>
          <w:u w:val="single"/>
        </w:rPr>
        <w:t xml:space="preserve">   </w:t>
      </w:r>
      <w:r>
        <w:rPr>
          <w:rFonts w:ascii="宋体" w:hAnsi="宋体" w:eastAsia="宋体" w:cs="宋体"/>
          <w:color w:val="auto"/>
          <w:spacing w:val="6"/>
          <w:kern w:val="0"/>
          <w:szCs w:val="21"/>
          <w:highlight w:val="none"/>
        </w:rPr>
        <w:t>万元，属于</w:t>
      </w:r>
      <w:r>
        <w:rPr>
          <w:rFonts w:ascii="宋体" w:hAnsi="宋体" w:eastAsia="宋体" w:cs="宋体"/>
          <w:color w:val="auto"/>
          <w:spacing w:val="6"/>
          <w:kern w:val="0"/>
          <w:szCs w:val="21"/>
          <w:highlight w:val="none"/>
          <w:u w:val="single"/>
        </w:rPr>
        <w:t>（中型企业、小型企业、微型企业）</w:t>
      </w:r>
      <w:r>
        <w:rPr>
          <w:rFonts w:ascii="宋体" w:hAnsi="宋体" w:eastAsia="宋体" w:cs="宋体"/>
          <w:color w:val="auto"/>
          <w:spacing w:val="6"/>
          <w:kern w:val="0"/>
          <w:szCs w:val="21"/>
          <w:highlight w:val="none"/>
        </w:rPr>
        <w:t>；</w:t>
      </w:r>
    </w:p>
    <w:p>
      <w:pPr>
        <w:adjustRightInd w:val="0"/>
        <w:snapToGrid w:val="0"/>
        <w:spacing w:line="360" w:lineRule="auto"/>
        <w:ind w:firstLine="444" w:firstLineChars="200"/>
        <w:rPr>
          <w:rFonts w:hint="eastAsia" w:ascii="宋体" w:hAnsi="宋体" w:eastAsia="宋体" w:cs="宋体"/>
          <w:color w:val="auto"/>
          <w:spacing w:val="6"/>
          <w:kern w:val="0"/>
          <w:szCs w:val="21"/>
          <w:highlight w:val="none"/>
        </w:rPr>
      </w:pPr>
      <w:r>
        <w:rPr>
          <w:rFonts w:ascii="宋体" w:hAnsi="宋体" w:eastAsia="宋体" w:cs="宋体"/>
          <w:color w:val="auto"/>
          <w:spacing w:val="6"/>
          <w:kern w:val="0"/>
          <w:szCs w:val="21"/>
          <w:highlight w:val="none"/>
        </w:rPr>
        <w:t>… …</w:t>
      </w:r>
    </w:p>
    <w:p>
      <w:pPr>
        <w:adjustRightInd w:val="0"/>
        <w:snapToGrid w:val="0"/>
        <w:spacing w:line="360" w:lineRule="auto"/>
        <w:ind w:firstLine="444" w:firstLineChars="200"/>
        <w:rPr>
          <w:rFonts w:hint="eastAsia" w:ascii="宋体" w:hAnsi="宋体" w:eastAsia="宋体" w:cs="宋体"/>
          <w:color w:val="auto"/>
          <w:spacing w:val="6"/>
          <w:kern w:val="0"/>
          <w:szCs w:val="21"/>
          <w:highlight w:val="none"/>
        </w:rPr>
      </w:pPr>
      <w:r>
        <w:rPr>
          <w:rFonts w:ascii="宋体" w:hAnsi="宋体" w:eastAsia="宋体" w:cs="宋体"/>
          <w:color w:val="auto"/>
          <w:spacing w:val="6"/>
          <w:kern w:val="0"/>
          <w:szCs w:val="21"/>
          <w:highlight w:val="none"/>
        </w:rPr>
        <w:t>以上企业，不属于大企业的分支机构，不存在控股股东为大企业的情形，也不存在与大企业的负责人为同一人的情形。</w:t>
      </w:r>
    </w:p>
    <w:p>
      <w:pPr>
        <w:adjustRightInd w:val="0"/>
        <w:snapToGrid w:val="0"/>
        <w:spacing w:line="360" w:lineRule="auto"/>
        <w:ind w:firstLine="444" w:firstLineChars="200"/>
        <w:rPr>
          <w:rFonts w:hint="eastAsia" w:ascii="宋体" w:hAnsi="宋体" w:eastAsia="宋体" w:cs="宋体"/>
          <w:color w:val="auto"/>
          <w:spacing w:val="6"/>
          <w:kern w:val="0"/>
          <w:szCs w:val="21"/>
          <w:highlight w:val="none"/>
        </w:rPr>
      </w:pPr>
      <w:r>
        <w:rPr>
          <w:rFonts w:ascii="宋体" w:hAnsi="宋体" w:eastAsia="宋体" w:cs="宋体"/>
          <w:color w:val="auto"/>
          <w:spacing w:val="6"/>
          <w:kern w:val="0"/>
          <w:szCs w:val="21"/>
          <w:highlight w:val="none"/>
        </w:rPr>
        <w:t>本企业对上述声明内容的真实性负责。如有虚假，将依法承担相应责任。</w:t>
      </w:r>
    </w:p>
    <w:p>
      <w:pPr>
        <w:widowControl w:val="0"/>
        <w:adjustRightInd w:val="0"/>
        <w:snapToGrid w:val="0"/>
        <w:spacing w:line="360" w:lineRule="auto"/>
        <w:ind w:firstLine="5670" w:firstLineChars="2700"/>
        <w:jc w:val="both"/>
        <w:rPr>
          <w:rFonts w:hint="eastAsia" w:ascii="宋体" w:hAnsi="宋体" w:eastAsia="宋体" w:cs="Times New Roman"/>
          <w:color w:val="auto"/>
          <w:szCs w:val="24"/>
          <w:highlight w:val="none"/>
        </w:rPr>
      </w:pPr>
    </w:p>
    <w:p>
      <w:pPr>
        <w:widowControl w:val="0"/>
        <w:adjustRightInd w:val="0"/>
        <w:snapToGrid w:val="0"/>
        <w:spacing w:line="360" w:lineRule="auto"/>
        <w:ind w:firstLine="5670" w:firstLineChars="2700"/>
        <w:jc w:val="both"/>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企业名称（</w:t>
      </w:r>
      <w:r>
        <w:rPr>
          <w:rFonts w:hint="eastAsia" w:ascii="宋体" w:hAnsi="宋体" w:eastAsia="宋体" w:cs="宋体"/>
          <w:color w:val="auto"/>
          <w:spacing w:val="6"/>
          <w:szCs w:val="21"/>
          <w:highlight w:val="none"/>
        </w:rPr>
        <w:t>盖单位电子章）</w:t>
      </w:r>
      <w:r>
        <w:rPr>
          <w:rFonts w:hint="eastAsia" w:ascii="宋体" w:hAnsi="宋体" w:eastAsia="宋体" w:cs="Times New Roman"/>
          <w:color w:val="auto"/>
          <w:szCs w:val="24"/>
          <w:highlight w:val="none"/>
        </w:rPr>
        <w:t xml:space="preserve"> ：</w:t>
      </w:r>
    </w:p>
    <w:p>
      <w:pPr>
        <w:widowControl w:val="0"/>
        <w:adjustRightInd w:val="0"/>
        <w:snapToGrid w:val="0"/>
        <w:spacing w:line="360" w:lineRule="auto"/>
        <w:ind w:firstLine="5670" w:firstLineChars="2700"/>
        <w:jc w:val="both"/>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日期:</w:t>
      </w:r>
    </w:p>
    <w:p>
      <w:pPr>
        <w:widowControl w:val="0"/>
        <w:adjustRightInd w:val="0"/>
        <w:snapToGrid w:val="0"/>
        <w:spacing w:line="360" w:lineRule="auto"/>
        <w:jc w:val="both"/>
        <w:rPr>
          <w:rFonts w:hint="eastAsia" w:ascii="宋体" w:hAnsi="宋体" w:eastAsia="宋体" w:cs="Times New Roman"/>
          <w:color w:val="auto"/>
          <w:szCs w:val="24"/>
          <w:highlight w:val="none"/>
        </w:rPr>
      </w:pPr>
    </w:p>
    <w:p>
      <w:pPr>
        <w:widowControl w:val="0"/>
        <w:adjustRightInd w:val="0"/>
        <w:snapToGrid w:val="0"/>
        <w:spacing w:line="360" w:lineRule="auto"/>
        <w:jc w:val="both"/>
        <w:rPr>
          <w:rFonts w:hint="eastAsia" w:ascii="宋体" w:hAnsi="宋体" w:eastAsia="宋体" w:cs="Times New Roman"/>
          <w:color w:val="auto"/>
          <w:szCs w:val="24"/>
          <w:highlight w:val="none"/>
        </w:rPr>
      </w:pPr>
    </w:p>
    <w:p>
      <w:pPr>
        <w:widowControl w:val="0"/>
        <w:adjustRightInd w:val="0"/>
        <w:snapToGrid w:val="0"/>
        <w:spacing w:line="360" w:lineRule="auto"/>
        <w:jc w:val="both"/>
        <w:rPr>
          <w:rFonts w:hint="eastAsia" w:ascii="宋体" w:hAnsi="宋体" w:eastAsia="宋体" w:cs="Times New Roman"/>
          <w:color w:val="auto"/>
          <w:szCs w:val="24"/>
          <w:highlight w:val="none"/>
        </w:rPr>
      </w:pPr>
    </w:p>
    <w:p>
      <w:pPr>
        <w:widowControl w:val="0"/>
        <w:adjustRightInd w:val="0"/>
        <w:snapToGrid w:val="0"/>
        <w:spacing w:line="360" w:lineRule="auto"/>
        <w:jc w:val="both"/>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注：从业人员、营业收入、资产总额填报上一年度数据，无上一年度数据的新成立企业可不填写。</w:t>
      </w:r>
    </w:p>
    <w:p>
      <w:pPr>
        <w:widowControl w:val="0"/>
        <w:adjustRightInd w:val="0"/>
        <w:snapToGrid w:val="0"/>
        <w:spacing w:line="360" w:lineRule="auto"/>
        <w:ind w:firstLine="420" w:firstLineChars="200"/>
        <w:jc w:val="both"/>
        <w:rPr>
          <w:rFonts w:hint="eastAsia" w:ascii="宋体" w:hAnsi="宋体" w:eastAsia="宋体" w:cs="宋体"/>
          <w:color w:val="auto"/>
          <w:kern w:val="0"/>
          <w:szCs w:val="21"/>
          <w:highlight w:val="none"/>
        </w:rPr>
      </w:pPr>
      <w:r>
        <w:rPr>
          <w:rFonts w:ascii="黑体" w:hAnsi="黑体" w:eastAsia="黑体" w:cs="宋体"/>
          <w:b/>
          <w:color w:val="auto"/>
          <w:kern w:val="0"/>
          <w:szCs w:val="24"/>
          <w:highlight w:val="none"/>
        </w:rPr>
        <w:br w:type="page"/>
      </w:r>
    </w:p>
    <w:p>
      <w:pPr>
        <w:keepNext/>
        <w:keepLines/>
        <w:widowControl w:val="0"/>
        <w:adjustRightInd w:val="0"/>
        <w:snapToGrid w:val="0"/>
        <w:spacing w:line="360" w:lineRule="auto"/>
        <w:jc w:val="both"/>
        <w:outlineLvl w:val="2"/>
        <w:rPr>
          <w:rFonts w:hint="eastAsia" w:ascii="宋体" w:hAnsi="宋体" w:eastAsia="宋体" w:cs="Times New Roman"/>
          <w:b/>
          <w:bCs/>
          <w:color w:val="auto"/>
          <w:spacing w:val="6"/>
          <w:szCs w:val="32"/>
          <w:highlight w:val="none"/>
        </w:rPr>
      </w:pPr>
      <w:bookmarkStart w:id="259" w:name="_Toc214954939"/>
      <w:bookmarkStart w:id="260" w:name="_Toc207373270"/>
      <w:r>
        <w:rPr>
          <w:rFonts w:hint="eastAsia" w:ascii="宋体" w:hAnsi="宋体" w:eastAsia="宋体" w:cs="宋体"/>
          <w:b/>
          <w:bCs/>
          <w:color w:val="auto"/>
          <w:spacing w:val="6"/>
          <w:kern w:val="0"/>
          <w:szCs w:val="32"/>
          <w:highlight w:val="none"/>
        </w:rPr>
        <w:t>附件9-2</w:t>
      </w:r>
      <w:r>
        <w:rPr>
          <w:rFonts w:hint="eastAsia" w:ascii="宋体" w:hAnsi="宋体" w:eastAsia="宋体" w:cs="Times New Roman"/>
          <w:b/>
          <w:bCs/>
          <w:color w:val="auto"/>
          <w:spacing w:val="6"/>
          <w:szCs w:val="32"/>
          <w:highlight w:val="none"/>
        </w:rPr>
        <w:t>残疾人福利性单位声明函</w:t>
      </w:r>
      <w:bookmarkEnd w:id="259"/>
      <w:bookmarkEnd w:id="260"/>
    </w:p>
    <w:p>
      <w:pPr>
        <w:widowControl w:val="0"/>
        <w:adjustRightInd w:val="0"/>
        <w:snapToGrid w:val="0"/>
        <w:spacing w:line="360" w:lineRule="auto"/>
        <w:jc w:val="center"/>
        <w:rPr>
          <w:rFonts w:hint="eastAsia" w:ascii="黑体" w:hAnsi="黑体" w:eastAsia="黑体" w:cs="Times New Roman"/>
          <w:b/>
          <w:color w:val="auto"/>
          <w:spacing w:val="6"/>
          <w:sz w:val="28"/>
          <w:szCs w:val="28"/>
          <w:highlight w:val="none"/>
        </w:rPr>
      </w:pPr>
      <w:r>
        <w:rPr>
          <w:rFonts w:hint="eastAsia" w:ascii="黑体" w:hAnsi="黑体" w:eastAsia="黑体" w:cs="Times New Roman"/>
          <w:b/>
          <w:color w:val="auto"/>
          <w:spacing w:val="6"/>
          <w:sz w:val="28"/>
          <w:szCs w:val="28"/>
          <w:highlight w:val="none"/>
        </w:rPr>
        <w:t>残疾人福利性单位声明函</w:t>
      </w:r>
    </w:p>
    <w:p>
      <w:pPr>
        <w:widowControl w:val="0"/>
        <w:adjustRightInd w:val="0"/>
        <w:snapToGrid w:val="0"/>
        <w:spacing w:line="360" w:lineRule="auto"/>
        <w:jc w:val="center"/>
        <w:rPr>
          <w:rFonts w:hint="eastAsia" w:ascii="宋体" w:hAnsi="宋体" w:eastAsia="宋体" w:cs="Times New Roman"/>
          <w:b/>
          <w:color w:val="auto"/>
          <w:spacing w:val="6"/>
          <w:szCs w:val="21"/>
          <w:highlight w:val="none"/>
        </w:rPr>
      </w:pPr>
      <w:r>
        <w:rPr>
          <w:rFonts w:hint="eastAsia" w:ascii="宋体" w:hAnsi="宋体" w:eastAsia="宋体" w:cs="Times New Roman"/>
          <w:b/>
          <w:color w:val="auto"/>
          <w:spacing w:val="6"/>
          <w:szCs w:val="21"/>
          <w:highlight w:val="none"/>
        </w:rPr>
        <w:t>(不符合政策要求的无需提供)</w:t>
      </w:r>
    </w:p>
    <w:p>
      <w:pPr>
        <w:widowControl w:val="0"/>
        <w:adjustRightInd w:val="0"/>
        <w:snapToGrid w:val="0"/>
        <w:spacing w:line="360" w:lineRule="auto"/>
        <w:ind w:firstLine="444" w:firstLineChars="200"/>
        <w:jc w:val="both"/>
        <w:rPr>
          <w:rFonts w:hint="eastAsia" w:ascii="宋体" w:hAnsi="宋体" w:eastAsia="宋体" w:cs="Times New Roman"/>
          <w:color w:val="auto"/>
          <w:spacing w:val="6"/>
          <w:szCs w:val="21"/>
          <w:highlight w:val="none"/>
        </w:rPr>
      </w:pPr>
    </w:p>
    <w:p>
      <w:pPr>
        <w:widowControl w:val="0"/>
        <w:adjustRightInd w:val="0"/>
        <w:snapToGrid w:val="0"/>
        <w:spacing w:line="360" w:lineRule="auto"/>
        <w:ind w:firstLine="444" w:firstLineChars="200"/>
        <w:jc w:val="both"/>
        <w:rPr>
          <w:rFonts w:hint="eastAsia" w:ascii="宋体" w:hAnsi="宋体" w:eastAsia="宋体" w:cs="Times New Roman"/>
          <w:color w:val="auto"/>
          <w:spacing w:val="6"/>
          <w:szCs w:val="21"/>
          <w:highlight w:val="none"/>
        </w:rPr>
      </w:pPr>
      <w:r>
        <w:rPr>
          <w:rFonts w:hint="eastAsia" w:ascii="宋体" w:hAnsi="宋体" w:eastAsia="宋体" w:cs="Times New Roman"/>
          <w:color w:val="auto"/>
          <w:spacing w:val="6"/>
          <w:szCs w:val="21"/>
          <w:highlight w:val="none"/>
        </w:rPr>
        <w:t>本单位郑重声明，根据《财政部 民政部 中国残疾人联合会关于促进残疾人就业政府采购政策的通知》（财库</w:t>
      </w:r>
      <w:r>
        <w:rPr>
          <w:rFonts w:hint="eastAsia" w:ascii="宋体" w:hAnsi="宋体" w:eastAsia="宋体" w:cs="Times New Roman"/>
          <w:color w:val="auto"/>
          <w:szCs w:val="21"/>
          <w:highlight w:val="none"/>
        </w:rPr>
        <w:t>〔2017〕141</w:t>
      </w:r>
      <w:r>
        <w:rPr>
          <w:rFonts w:hint="eastAsia" w:ascii="宋体" w:hAnsi="宋体" w:eastAsia="宋体" w:cs="Times New Roman"/>
          <w:color w:val="auto"/>
          <w:spacing w:val="6"/>
          <w:szCs w:val="21"/>
          <w:highlight w:val="none"/>
        </w:rPr>
        <w:t>号）的规定，本单位为符合条件的残疾人福利性单位，且本单位参加</w:t>
      </w:r>
      <w:r>
        <w:rPr>
          <w:rFonts w:hint="eastAsia" w:ascii="宋体" w:hAnsi="宋体" w:eastAsia="宋体" w:cs="Times New Roman"/>
          <w:color w:val="auto"/>
          <w:spacing w:val="6"/>
          <w:szCs w:val="21"/>
          <w:highlight w:val="none"/>
          <w:u w:val="single"/>
        </w:rPr>
        <w:t xml:space="preserve">             </w:t>
      </w:r>
      <w:r>
        <w:rPr>
          <w:rFonts w:hint="eastAsia" w:ascii="宋体" w:hAnsi="宋体" w:eastAsia="宋体" w:cs="Times New Roman"/>
          <w:color w:val="auto"/>
          <w:spacing w:val="6"/>
          <w:szCs w:val="21"/>
          <w:highlight w:val="none"/>
        </w:rPr>
        <w:t>单位的</w:t>
      </w:r>
      <w:r>
        <w:rPr>
          <w:rFonts w:hint="eastAsia" w:ascii="宋体" w:hAnsi="宋体" w:eastAsia="宋体" w:cs="Times New Roman"/>
          <w:color w:val="auto"/>
          <w:spacing w:val="6"/>
          <w:szCs w:val="21"/>
          <w:highlight w:val="none"/>
          <w:u w:val="single"/>
        </w:rPr>
        <w:t xml:space="preserve">               </w:t>
      </w:r>
      <w:r>
        <w:rPr>
          <w:rFonts w:hint="eastAsia" w:ascii="宋体" w:hAnsi="宋体" w:eastAsia="宋体" w:cs="Times New Roman"/>
          <w:color w:val="auto"/>
          <w:spacing w:val="6"/>
          <w:szCs w:val="21"/>
          <w:highlight w:val="none"/>
        </w:rPr>
        <w:t>项目采购活动提供本单位制造的货物（由本单位承担工程/提供服务），或者提供其他残疾人福利性单位制造的货物（不包括使用非残疾人福利性单位注册商标的货物）。</w:t>
      </w:r>
    </w:p>
    <w:p>
      <w:pPr>
        <w:widowControl w:val="0"/>
        <w:adjustRightInd w:val="0"/>
        <w:snapToGrid w:val="0"/>
        <w:spacing w:line="360" w:lineRule="auto"/>
        <w:ind w:firstLine="444" w:firstLineChars="200"/>
        <w:jc w:val="both"/>
        <w:rPr>
          <w:rFonts w:hint="eastAsia" w:ascii="宋体" w:hAnsi="宋体" w:eastAsia="宋体" w:cs="Times New Roman"/>
          <w:color w:val="auto"/>
          <w:spacing w:val="6"/>
          <w:szCs w:val="21"/>
          <w:highlight w:val="none"/>
        </w:rPr>
      </w:pPr>
      <w:r>
        <w:rPr>
          <w:rFonts w:hint="eastAsia" w:ascii="宋体" w:hAnsi="宋体" w:eastAsia="宋体" w:cs="Times New Roman"/>
          <w:color w:val="auto"/>
          <w:spacing w:val="6"/>
          <w:szCs w:val="21"/>
          <w:highlight w:val="none"/>
        </w:rPr>
        <w:t>本单位对上述声明的真实性负责。如有虚假，将依法承担相应责任。</w:t>
      </w:r>
    </w:p>
    <w:p>
      <w:pPr>
        <w:widowControl w:val="0"/>
        <w:adjustRightInd w:val="0"/>
        <w:snapToGrid w:val="0"/>
        <w:spacing w:line="360" w:lineRule="auto"/>
        <w:ind w:firstLine="444" w:firstLineChars="200"/>
        <w:jc w:val="both"/>
        <w:rPr>
          <w:rFonts w:hint="eastAsia" w:ascii="宋体" w:hAnsi="宋体" w:eastAsia="宋体" w:cs="Times New Roman"/>
          <w:color w:val="auto"/>
          <w:spacing w:val="6"/>
          <w:szCs w:val="21"/>
          <w:highlight w:val="none"/>
        </w:rPr>
      </w:pPr>
    </w:p>
    <w:p>
      <w:pPr>
        <w:widowControl w:val="0"/>
        <w:adjustRightInd w:val="0"/>
        <w:snapToGrid w:val="0"/>
        <w:spacing w:line="360" w:lineRule="auto"/>
        <w:ind w:firstLine="444" w:firstLineChars="200"/>
        <w:jc w:val="both"/>
        <w:rPr>
          <w:rFonts w:hint="eastAsia" w:ascii="宋体" w:hAnsi="宋体" w:eastAsia="宋体" w:cs="Times New Roman"/>
          <w:color w:val="auto"/>
          <w:spacing w:val="6"/>
          <w:szCs w:val="21"/>
          <w:highlight w:val="none"/>
        </w:rPr>
      </w:pPr>
    </w:p>
    <w:p>
      <w:pPr>
        <w:widowControl w:val="0"/>
        <w:tabs>
          <w:tab w:val="left" w:pos="4860"/>
        </w:tabs>
        <w:adjustRightInd w:val="0"/>
        <w:snapToGrid w:val="0"/>
        <w:spacing w:line="360" w:lineRule="auto"/>
        <w:ind w:right="1560" w:firstLine="444" w:firstLineChars="200"/>
        <w:jc w:val="center"/>
        <w:rPr>
          <w:rFonts w:hint="eastAsia" w:ascii="宋体" w:hAnsi="宋体" w:eastAsia="宋体" w:cs="Times New Roman"/>
          <w:color w:val="auto"/>
          <w:spacing w:val="6"/>
          <w:szCs w:val="21"/>
          <w:highlight w:val="none"/>
        </w:rPr>
      </w:pPr>
      <w:r>
        <w:rPr>
          <w:rFonts w:hint="eastAsia" w:ascii="宋体" w:hAnsi="宋体" w:eastAsia="宋体" w:cs="Times New Roman"/>
          <w:color w:val="auto"/>
          <w:spacing w:val="6"/>
          <w:szCs w:val="21"/>
          <w:highlight w:val="none"/>
        </w:rPr>
        <w:t xml:space="preserve">               单位名称</w:t>
      </w:r>
      <w:r>
        <w:rPr>
          <w:rFonts w:hint="eastAsia" w:ascii="宋体" w:hAnsi="宋体" w:eastAsia="宋体" w:cs="宋体"/>
          <w:color w:val="auto"/>
          <w:spacing w:val="6"/>
          <w:szCs w:val="21"/>
          <w:highlight w:val="none"/>
        </w:rPr>
        <w:t>（盖单位电子章）</w:t>
      </w:r>
      <w:r>
        <w:rPr>
          <w:rFonts w:hint="eastAsia" w:ascii="宋体" w:hAnsi="宋体" w:eastAsia="宋体" w:cs="Times New Roman"/>
          <w:color w:val="auto"/>
          <w:spacing w:val="6"/>
          <w:szCs w:val="21"/>
          <w:highlight w:val="none"/>
        </w:rPr>
        <w:t>：</w:t>
      </w:r>
    </w:p>
    <w:p>
      <w:pPr>
        <w:widowControl w:val="0"/>
        <w:tabs>
          <w:tab w:val="left" w:pos="4860"/>
        </w:tabs>
        <w:adjustRightInd w:val="0"/>
        <w:snapToGrid w:val="0"/>
        <w:spacing w:line="360" w:lineRule="auto"/>
        <w:ind w:right="1560" w:firstLine="444" w:firstLineChars="200"/>
        <w:jc w:val="center"/>
        <w:rPr>
          <w:rFonts w:hint="eastAsia" w:ascii="宋体" w:hAnsi="宋体" w:eastAsia="宋体" w:cs="Times New Roman"/>
          <w:color w:val="auto"/>
          <w:spacing w:val="6"/>
          <w:szCs w:val="21"/>
          <w:highlight w:val="none"/>
        </w:rPr>
      </w:pPr>
      <w:r>
        <w:rPr>
          <w:rFonts w:hint="eastAsia" w:ascii="宋体" w:hAnsi="宋体" w:eastAsia="宋体" w:cs="Times New Roman"/>
          <w:color w:val="auto"/>
          <w:spacing w:val="6"/>
          <w:szCs w:val="21"/>
          <w:highlight w:val="none"/>
        </w:rPr>
        <w:t xml:space="preserve">       日  期：</w:t>
      </w:r>
    </w:p>
    <w:p>
      <w:pPr>
        <w:adjustRightInd w:val="0"/>
        <w:snapToGrid w:val="0"/>
        <w:spacing w:line="360" w:lineRule="auto"/>
        <w:rPr>
          <w:rFonts w:hint="eastAsia" w:ascii="宋体" w:hAnsi="宋体" w:eastAsia="宋体" w:cs="宋体"/>
          <w:color w:val="auto"/>
          <w:kern w:val="0"/>
          <w:szCs w:val="21"/>
          <w:highlight w:val="none"/>
        </w:rPr>
        <w:sectPr>
          <w:pgSz w:w="11906" w:h="16838"/>
          <w:pgMar w:top="1418" w:right="1418" w:bottom="1134" w:left="1418" w:header="851" w:footer="992" w:gutter="0"/>
          <w:cols w:space="720" w:num="1"/>
          <w:docGrid w:type="linesAndChars" w:linePitch="312" w:charSpace="0"/>
        </w:sectPr>
      </w:pPr>
    </w:p>
    <w:p>
      <w:pPr>
        <w:keepNext/>
        <w:keepLines/>
        <w:widowControl w:val="0"/>
        <w:adjustRightInd w:val="0"/>
        <w:snapToGrid w:val="0"/>
        <w:spacing w:line="360" w:lineRule="auto"/>
        <w:jc w:val="both"/>
        <w:outlineLvl w:val="2"/>
        <w:rPr>
          <w:rFonts w:hint="eastAsia" w:ascii="宋体" w:hAnsi="宋体" w:eastAsia="宋体" w:cs="Times New Roman"/>
          <w:b/>
          <w:bCs/>
          <w:color w:val="auto"/>
          <w:szCs w:val="21"/>
          <w:highlight w:val="none"/>
        </w:rPr>
      </w:pPr>
      <w:bookmarkStart w:id="261" w:name="_Toc214954940"/>
      <w:bookmarkStart w:id="262" w:name="_Toc207373271"/>
      <w:r>
        <w:rPr>
          <w:rFonts w:hint="eastAsia" w:ascii="宋体" w:hAnsi="宋体" w:eastAsia="宋体" w:cs="宋体"/>
          <w:b/>
          <w:bCs/>
          <w:color w:val="auto"/>
          <w:kern w:val="0"/>
          <w:szCs w:val="21"/>
          <w:highlight w:val="none"/>
        </w:rPr>
        <w:t>附件9-3</w:t>
      </w:r>
      <w:r>
        <w:rPr>
          <w:rFonts w:hint="eastAsia" w:ascii="宋体" w:hAnsi="宋体" w:eastAsia="宋体" w:cs="Times New Roman"/>
          <w:b/>
          <w:bCs/>
          <w:color w:val="auto"/>
          <w:szCs w:val="21"/>
          <w:highlight w:val="none"/>
        </w:rPr>
        <w:t>监狱企业证明资料</w:t>
      </w:r>
      <w:bookmarkEnd w:id="261"/>
      <w:bookmarkEnd w:id="262"/>
    </w:p>
    <w:p>
      <w:pPr>
        <w:widowControl w:val="0"/>
        <w:adjustRightInd w:val="0"/>
        <w:snapToGrid w:val="0"/>
        <w:spacing w:line="360" w:lineRule="auto"/>
        <w:jc w:val="center"/>
        <w:rPr>
          <w:rFonts w:hint="eastAsia" w:ascii="黑体" w:hAnsi="宋体" w:eastAsia="宋体" w:cs="Times New Roman"/>
          <w:b/>
          <w:color w:val="auto"/>
          <w:sz w:val="28"/>
          <w:szCs w:val="28"/>
          <w:highlight w:val="none"/>
        </w:rPr>
      </w:pPr>
      <w:r>
        <w:rPr>
          <w:rFonts w:hint="eastAsia" w:ascii="黑体" w:hAnsi="宋体" w:eastAsia="宋体" w:cs="Times New Roman"/>
          <w:b/>
          <w:color w:val="auto"/>
          <w:sz w:val="28"/>
          <w:szCs w:val="28"/>
          <w:highlight w:val="none"/>
        </w:rPr>
        <w:t>监狱企业证明资料</w:t>
      </w:r>
    </w:p>
    <w:p>
      <w:pPr>
        <w:widowControl w:val="0"/>
        <w:adjustRightInd w:val="0"/>
        <w:snapToGrid w:val="0"/>
        <w:spacing w:line="360" w:lineRule="auto"/>
        <w:jc w:val="center"/>
        <w:rPr>
          <w:rFonts w:hint="eastAsia" w:ascii="宋体" w:hAnsi="宋体" w:eastAsia="宋体" w:cs="Times New Roman"/>
          <w:b/>
          <w:color w:val="auto"/>
          <w:spacing w:val="6"/>
          <w:szCs w:val="21"/>
          <w:highlight w:val="none"/>
        </w:rPr>
      </w:pPr>
      <w:r>
        <w:rPr>
          <w:rFonts w:hint="eastAsia" w:ascii="宋体" w:hAnsi="宋体" w:eastAsia="宋体" w:cs="Times New Roman"/>
          <w:b/>
          <w:color w:val="auto"/>
          <w:spacing w:val="6"/>
          <w:szCs w:val="21"/>
          <w:highlight w:val="none"/>
        </w:rPr>
        <w:t>(不符合政策要求的无需提供)</w:t>
      </w:r>
    </w:p>
    <w:p>
      <w:pPr>
        <w:widowControl w:val="0"/>
        <w:adjustRightInd w:val="0"/>
        <w:snapToGrid w:val="0"/>
        <w:spacing w:line="360" w:lineRule="auto"/>
        <w:jc w:val="both"/>
        <w:rPr>
          <w:rFonts w:hint="eastAsia" w:ascii="宋体" w:hAnsi="宋体" w:eastAsia="宋体" w:cs="Times New Roman"/>
          <w:color w:val="auto"/>
          <w:szCs w:val="21"/>
          <w:highlight w:val="none"/>
        </w:rPr>
      </w:pP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注</w:t>
      </w:r>
      <w:r>
        <w:rPr>
          <w:rFonts w:hint="eastAsia" w:ascii="宋体" w:hAnsi="宋体" w:eastAsia="宋体" w:cs="宋体"/>
          <w:bCs/>
          <w:color w:val="auto"/>
          <w:spacing w:val="6"/>
          <w:kern w:val="0"/>
          <w:szCs w:val="21"/>
          <w:highlight w:val="none"/>
        </w:rPr>
        <w:t>：</w:t>
      </w:r>
      <w:r>
        <w:rPr>
          <w:rFonts w:hint="eastAsia" w:ascii="宋体" w:hAnsi="宋体" w:eastAsia="宋体" w:cs="Times New Roman"/>
          <w:bCs/>
          <w:color w:val="auto"/>
          <w:szCs w:val="21"/>
          <w:highlight w:val="none"/>
        </w:rPr>
        <w:t>按</w:t>
      </w:r>
      <w:r>
        <w:rPr>
          <w:rFonts w:hint="eastAsia" w:ascii="宋体" w:hAnsi="宋体" w:eastAsia="宋体" w:cs="Times New Roman"/>
          <w:bCs/>
          <w:color w:val="auto"/>
          <w:spacing w:val="6"/>
          <w:szCs w:val="21"/>
          <w:highlight w:val="none"/>
        </w:rPr>
        <w:t>《</w:t>
      </w:r>
      <w:r>
        <w:rPr>
          <w:rFonts w:hint="eastAsia" w:ascii="宋体" w:hAnsi="宋体" w:eastAsia="宋体" w:cs="Times New Roman"/>
          <w:color w:val="auto"/>
          <w:szCs w:val="21"/>
          <w:highlight w:val="none"/>
        </w:rPr>
        <w:t>财政部 司法部关于政府采购支持监狱企业发展有关问题的通知</w:t>
      </w:r>
      <w:r>
        <w:rPr>
          <w:rFonts w:hint="eastAsia" w:ascii="宋体" w:hAnsi="宋体" w:eastAsia="宋体" w:cs="Times New Roman"/>
          <w:color w:val="auto"/>
          <w:spacing w:val="6"/>
          <w:szCs w:val="21"/>
          <w:highlight w:val="none"/>
        </w:rPr>
        <w:t>》</w:t>
      </w:r>
      <w:r>
        <w:rPr>
          <w:rFonts w:hint="eastAsia" w:ascii="宋体" w:hAnsi="宋体" w:eastAsia="宋体" w:cs="Times New Roman"/>
          <w:color w:val="auto"/>
          <w:szCs w:val="21"/>
          <w:highlight w:val="none"/>
        </w:rPr>
        <w:t>(财库〔2014〕68号)文件规定提供证明文件（复印件）。</w:t>
      </w: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pPr>
    </w:p>
    <w:p>
      <w:pPr>
        <w:widowControl w:val="0"/>
        <w:adjustRightInd w:val="0"/>
        <w:snapToGrid w:val="0"/>
        <w:spacing w:line="360" w:lineRule="auto"/>
        <w:ind w:firstLine="420" w:firstLineChars="200"/>
        <w:jc w:val="both"/>
        <w:rPr>
          <w:rFonts w:hint="eastAsia" w:ascii="宋体" w:hAnsi="宋体" w:eastAsia="宋体" w:cs="Times New Roman"/>
          <w:color w:val="auto"/>
          <w:szCs w:val="21"/>
          <w:highlight w:val="none"/>
        </w:rPr>
        <w:sectPr>
          <w:pgSz w:w="11906" w:h="16838"/>
          <w:pgMar w:top="1418" w:right="1418" w:bottom="1134" w:left="1418" w:header="851" w:footer="992" w:gutter="0"/>
          <w:cols w:space="720" w:num="1"/>
          <w:docGrid w:type="linesAndChars" w:linePitch="312" w:charSpace="0"/>
        </w:sectPr>
      </w:pPr>
    </w:p>
    <w:p>
      <w:pPr>
        <w:keepNext/>
        <w:keepLines/>
        <w:widowControl w:val="0"/>
        <w:adjustRightInd w:val="0"/>
        <w:snapToGrid w:val="0"/>
        <w:spacing w:line="360" w:lineRule="auto"/>
        <w:jc w:val="both"/>
        <w:outlineLvl w:val="2"/>
        <w:rPr>
          <w:rFonts w:hint="eastAsia" w:ascii="宋体" w:hAnsi="宋体" w:eastAsia="宋体" w:cs="Times New Roman"/>
          <w:b/>
          <w:bCs/>
          <w:color w:val="auto"/>
          <w:szCs w:val="21"/>
          <w:highlight w:val="none"/>
        </w:rPr>
      </w:pPr>
      <w:bookmarkStart w:id="263" w:name="_Toc214954941"/>
      <w:bookmarkStart w:id="264" w:name="_Toc207373272"/>
      <w:bookmarkStart w:id="265" w:name="_Toc62225533"/>
      <w:bookmarkStart w:id="266" w:name="_Toc107998053"/>
      <w:r>
        <w:rPr>
          <w:rFonts w:hint="eastAsia" w:ascii="宋体" w:hAnsi="宋体" w:eastAsia="宋体" w:cs="宋体"/>
          <w:b/>
          <w:bCs/>
          <w:color w:val="auto"/>
          <w:spacing w:val="6"/>
          <w:kern w:val="0"/>
          <w:szCs w:val="21"/>
          <w:highlight w:val="none"/>
        </w:rPr>
        <w:t xml:space="preserve">附件9-4 </w:t>
      </w:r>
      <w:r>
        <w:rPr>
          <w:rFonts w:hint="eastAsia" w:ascii="宋体" w:hAnsi="宋体" w:eastAsia="宋体" w:cs="Times New Roman"/>
          <w:b/>
          <w:bCs/>
          <w:color w:val="auto"/>
          <w:szCs w:val="21"/>
          <w:highlight w:val="none"/>
        </w:rPr>
        <w:t>强制采购或者优先采购产品的证明材料</w:t>
      </w:r>
      <w:bookmarkEnd w:id="263"/>
      <w:bookmarkEnd w:id="264"/>
      <w:bookmarkEnd w:id="265"/>
      <w:bookmarkEnd w:id="266"/>
    </w:p>
    <w:p>
      <w:pPr>
        <w:widowControl w:val="0"/>
        <w:adjustRightInd w:val="0"/>
        <w:snapToGrid w:val="0"/>
        <w:spacing w:before="156" w:beforeLines="50" w:line="360" w:lineRule="auto"/>
        <w:jc w:val="center"/>
        <w:rPr>
          <w:rFonts w:hint="eastAsia" w:ascii="黑体" w:hAnsi="黑体" w:eastAsia="黑体" w:cs="Times New Roman"/>
          <w:b/>
          <w:color w:val="auto"/>
          <w:sz w:val="28"/>
          <w:szCs w:val="28"/>
          <w:highlight w:val="none"/>
        </w:rPr>
      </w:pPr>
      <w:r>
        <w:rPr>
          <w:rFonts w:hint="eastAsia" w:ascii="黑体" w:hAnsi="黑体" w:eastAsia="黑体" w:cs="Times New Roman"/>
          <w:b/>
          <w:color w:val="auto"/>
          <w:sz w:val="28"/>
          <w:szCs w:val="28"/>
          <w:highlight w:val="none"/>
        </w:rPr>
        <w:t>强制采购或者优先采购产品</w:t>
      </w:r>
      <w:r>
        <w:rPr>
          <w:rFonts w:hint="eastAsia" w:ascii="黑体" w:hAnsi="黑体" w:eastAsia="黑体" w:cs="Times New Roman"/>
          <w:b/>
          <w:bCs/>
          <w:color w:val="auto"/>
          <w:sz w:val="28"/>
          <w:szCs w:val="28"/>
          <w:highlight w:val="none"/>
        </w:rPr>
        <w:t>的</w:t>
      </w:r>
      <w:r>
        <w:rPr>
          <w:rFonts w:hint="eastAsia" w:ascii="黑体" w:hAnsi="黑体" w:eastAsia="黑体" w:cs="Times New Roman"/>
          <w:b/>
          <w:color w:val="auto"/>
          <w:sz w:val="28"/>
          <w:szCs w:val="28"/>
          <w:highlight w:val="none"/>
        </w:rPr>
        <w:t>证明材料</w:t>
      </w:r>
      <w:r>
        <w:rPr>
          <w:rFonts w:hint="eastAsia" w:ascii="黑体" w:hAnsi="宋体" w:eastAsia="黑体" w:cs="Times New Roman"/>
          <w:b/>
          <w:color w:val="auto"/>
          <w:sz w:val="28"/>
          <w:szCs w:val="28"/>
          <w:highlight w:val="none"/>
        </w:rPr>
        <w:t>（本项目不适用）</w:t>
      </w:r>
    </w:p>
    <w:p>
      <w:pPr>
        <w:widowControl w:val="0"/>
        <w:adjustRightInd w:val="0"/>
        <w:snapToGrid w:val="0"/>
        <w:spacing w:before="156" w:beforeLines="50" w:line="360" w:lineRule="auto"/>
        <w:jc w:val="center"/>
        <w:rPr>
          <w:rFonts w:hint="eastAsia" w:ascii="宋体" w:hAnsi="宋体" w:eastAsia="宋体" w:cs="Times New Roman"/>
          <w:b/>
          <w:color w:val="auto"/>
          <w:spacing w:val="6"/>
          <w:szCs w:val="21"/>
          <w:highlight w:val="none"/>
        </w:rPr>
      </w:pPr>
      <w:r>
        <w:rPr>
          <w:rFonts w:hint="eastAsia" w:ascii="宋体" w:hAnsi="宋体" w:eastAsia="宋体" w:cs="Times New Roman"/>
          <w:b/>
          <w:color w:val="auto"/>
          <w:spacing w:val="6"/>
          <w:szCs w:val="21"/>
          <w:highlight w:val="none"/>
        </w:rPr>
        <w:t>(不属于强制采购或者优先采购产品的无需提供)</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p>
    <w:p>
      <w:pPr>
        <w:widowControl w:val="0"/>
        <w:adjustRightInd w:val="0"/>
        <w:snapToGrid w:val="0"/>
        <w:spacing w:line="360" w:lineRule="auto"/>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注：</w:t>
      </w:r>
      <w:r>
        <w:rPr>
          <w:rFonts w:hint="eastAsia" w:ascii="宋体" w:hAnsi="宋体" w:eastAsia="宋体" w:cs="Times New Roman"/>
          <w:color w:val="auto"/>
          <w:szCs w:val="21"/>
          <w:highlight w:val="none"/>
        </w:rPr>
        <w:t>1.供应商提供的产品</w:t>
      </w:r>
      <w:r>
        <w:rPr>
          <w:rFonts w:hint="eastAsia" w:ascii="宋体" w:hAnsi="宋体" w:eastAsia="宋体" w:cs="Times New Roman"/>
          <w:bCs/>
          <w:color w:val="auto"/>
          <w:szCs w:val="21"/>
          <w:highlight w:val="none"/>
        </w:rPr>
        <w:t>属于优先采购的</w:t>
      </w:r>
      <w:r>
        <w:rPr>
          <w:rFonts w:hint="eastAsia" w:ascii="宋体" w:hAnsi="宋体" w:eastAsia="宋体" w:cs="Times New Roman"/>
          <w:color w:val="auto"/>
          <w:szCs w:val="21"/>
          <w:highlight w:val="none"/>
        </w:rPr>
        <w:t>，应按第二章第43条规定提供证明材料和本章本节附页1“优先采购产品清单”，并加盖供应商单位公章。</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2.节能产品、环境标志产品(强制采购或者优先采购产品)认证证书内容注明“详见证书附件</w:t>
      </w:r>
      <w:r>
        <w:rPr>
          <w:rFonts w:hint="eastAsia" w:ascii="华文中宋" w:hAnsi="华文中宋" w:eastAsia="华文中宋" w:cs="Times New Roman"/>
          <w:color w:val="auto"/>
          <w:szCs w:val="21"/>
          <w:highlight w:val="none"/>
        </w:rPr>
        <w:t>”</w:t>
      </w:r>
      <w:r>
        <w:rPr>
          <w:rFonts w:hint="eastAsia" w:ascii="宋体" w:hAnsi="宋体" w:eastAsia="宋体" w:cs="Times New Roman"/>
          <w:color w:val="auto"/>
          <w:szCs w:val="21"/>
          <w:highlight w:val="none"/>
        </w:rPr>
        <w:t>的，应提供其附件，以证明认证证书与响应文件一致。</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sectPr>
          <w:pgSz w:w="11906" w:h="16838"/>
          <w:pgMar w:top="1418" w:right="1418" w:bottom="1134" w:left="1418" w:header="851" w:footer="992" w:gutter="0"/>
          <w:cols w:space="720" w:num="1"/>
          <w:docGrid w:type="linesAndChars" w:linePitch="312" w:charSpace="0"/>
        </w:sectPr>
      </w:pPr>
    </w:p>
    <w:p>
      <w:pPr>
        <w:keepNext/>
        <w:keepLines/>
        <w:widowControl w:val="0"/>
        <w:adjustRightInd w:val="0"/>
        <w:snapToGrid w:val="0"/>
        <w:spacing w:line="360" w:lineRule="auto"/>
        <w:jc w:val="both"/>
        <w:outlineLvl w:val="3"/>
        <w:rPr>
          <w:rFonts w:hint="eastAsia" w:ascii="宋体" w:hAnsi="宋体" w:eastAsia="宋体" w:cs="Times New Roman"/>
          <w:b/>
          <w:bCs/>
          <w:color w:val="auto"/>
          <w:szCs w:val="21"/>
          <w:highlight w:val="none"/>
        </w:rPr>
      </w:pPr>
      <w:bookmarkStart w:id="267" w:name="_Toc107998054"/>
      <w:bookmarkStart w:id="268" w:name="_Toc62225534"/>
      <w:r>
        <w:rPr>
          <w:rFonts w:hint="eastAsia" w:ascii="宋体" w:hAnsi="宋体" w:eastAsia="宋体" w:cs="宋体"/>
          <w:b/>
          <w:bCs/>
          <w:color w:val="auto"/>
          <w:spacing w:val="6"/>
          <w:kern w:val="0"/>
          <w:szCs w:val="21"/>
          <w:highlight w:val="none"/>
        </w:rPr>
        <w:t>附页1</w:t>
      </w:r>
      <w:r>
        <w:rPr>
          <w:rFonts w:hint="eastAsia" w:ascii="宋体" w:hAnsi="宋体" w:eastAsia="宋体" w:cs="Times New Roman"/>
          <w:b/>
          <w:bCs/>
          <w:color w:val="auto"/>
          <w:szCs w:val="21"/>
          <w:highlight w:val="none"/>
        </w:rPr>
        <w:t>优先采购产品清单</w:t>
      </w:r>
      <w:bookmarkEnd w:id="267"/>
      <w:bookmarkEnd w:id="268"/>
    </w:p>
    <w:p>
      <w:pPr>
        <w:widowControl w:val="0"/>
        <w:adjustRightInd w:val="0"/>
        <w:snapToGrid w:val="0"/>
        <w:spacing w:line="360" w:lineRule="auto"/>
        <w:jc w:val="center"/>
        <w:rPr>
          <w:rFonts w:hint="eastAsia" w:ascii="宋体" w:hAnsi="宋体" w:eastAsia="宋体" w:cs="Times New Roman"/>
          <w:b/>
          <w:color w:val="auto"/>
          <w:spacing w:val="6"/>
          <w:szCs w:val="21"/>
          <w:highlight w:val="none"/>
        </w:rPr>
      </w:pPr>
      <w:r>
        <w:rPr>
          <w:rFonts w:hint="eastAsia" w:ascii="黑体" w:hAnsi="宋体" w:eastAsia="黑体" w:cs="Times New Roman"/>
          <w:b/>
          <w:color w:val="auto"/>
          <w:sz w:val="28"/>
          <w:szCs w:val="28"/>
          <w:highlight w:val="none"/>
        </w:rPr>
        <w:t>优先采购产品清单（本项目不适用）</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 xml:space="preserve">政府采购计划编号: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采购项目名称：</w:t>
      </w:r>
      <w:r>
        <w:rPr>
          <w:rFonts w:hint="eastAsia" w:ascii="宋体" w:hAnsi="宋体" w:eastAsia="宋体" w:cs="Times New Roman"/>
          <w:color w:val="auto"/>
          <w:szCs w:val="21"/>
          <w:highlight w:val="none"/>
          <w:u w:val="single"/>
        </w:rPr>
        <w:t xml:space="preserve">                    </w:t>
      </w:r>
    </w:p>
    <w:p>
      <w:pPr>
        <w:widowControl w:val="0"/>
        <w:adjustRightInd w:val="0"/>
        <w:snapToGrid w:val="0"/>
        <w:spacing w:before="156" w:beforeLines="50" w:line="360" w:lineRule="auto"/>
        <w:jc w:val="both"/>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包名称：</w:t>
      </w:r>
      <w:r>
        <w:rPr>
          <w:rFonts w:hint="eastAsia" w:ascii="宋体" w:hAnsi="宋体" w:eastAsia="宋体" w:cs="Times New Roman"/>
          <w:color w:val="auto"/>
          <w:szCs w:val="21"/>
          <w:highlight w:val="none"/>
          <w:u w:val="single"/>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pPr>
              <w:adjustRightInd w:val="0"/>
              <w:snapToGrid w:val="0"/>
              <w:spacing w:line="360" w:lineRule="auto"/>
              <w:ind w:firstLine="480" w:firstLineChars="200"/>
              <w:rPr>
                <w:rFonts w:hint="eastAsia" w:ascii="黑体" w:hAnsi="黑体" w:eastAsia="黑体" w:cs="Times New Roman"/>
                <w:color w:val="auto"/>
                <w:kern w:val="0"/>
                <w:sz w:val="24"/>
                <w:szCs w:val="24"/>
                <w:highlight w:val="none"/>
              </w:rPr>
            </w:pPr>
            <w:r>
              <w:rPr>
                <w:rFonts w:hint="eastAsia" w:ascii="黑体" w:hAnsi="宋体" w:eastAsia="黑体" w:cs="Times New Roman"/>
                <w:color w:val="auto"/>
                <w:kern w:val="0"/>
                <w:sz w:val="24"/>
                <w:szCs w:val="24"/>
                <w:highlight w:val="none"/>
              </w:rPr>
              <w:t>以下为供应商提供的政府采购优先采购产品，供应商对本表的真实性负责。如有虚假，将依法承担相应责任。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pPr>
              <w:adjustRightInd w:val="0"/>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1</w:t>
            </w:r>
          </w:p>
        </w:tc>
        <w:tc>
          <w:tcPr>
            <w:tcW w:w="1739" w:type="dxa"/>
            <w:vAlign w:val="center"/>
          </w:tcPr>
          <w:p>
            <w:pPr>
              <w:adjustRightInd w:val="0"/>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2</w:t>
            </w:r>
          </w:p>
        </w:tc>
        <w:tc>
          <w:tcPr>
            <w:tcW w:w="1134" w:type="dxa"/>
            <w:tcBorders>
              <w:right w:val="single" w:color="auto" w:sz="4" w:space="0"/>
            </w:tcBorders>
            <w:vAlign w:val="center"/>
          </w:tcPr>
          <w:p>
            <w:pPr>
              <w:widowControl w:val="0"/>
              <w:adjustRightInd w:val="0"/>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3</w:t>
            </w:r>
          </w:p>
        </w:tc>
        <w:tc>
          <w:tcPr>
            <w:tcW w:w="1418" w:type="dxa"/>
            <w:tcBorders>
              <w:left w:val="single" w:color="auto" w:sz="4" w:space="0"/>
            </w:tcBorders>
            <w:vAlign w:val="center"/>
          </w:tcPr>
          <w:p>
            <w:pPr>
              <w:adjustRightInd w:val="0"/>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4</w:t>
            </w:r>
          </w:p>
        </w:tc>
        <w:tc>
          <w:tcPr>
            <w:tcW w:w="1984" w:type="dxa"/>
            <w:vAlign w:val="center"/>
          </w:tcPr>
          <w:p>
            <w:pPr>
              <w:adjustRightInd w:val="0"/>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5</w:t>
            </w:r>
          </w:p>
        </w:tc>
        <w:tc>
          <w:tcPr>
            <w:tcW w:w="1843" w:type="dxa"/>
            <w:vAlign w:val="center"/>
          </w:tcPr>
          <w:p>
            <w:pPr>
              <w:adjustRightInd w:val="0"/>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6</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pPr>
              <w:adjustRightInd w:val="0"/>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序号</w:t>
            </w:r>
          </w:p>
        </w:tc>
        <w:tc>
          <w:tcPr>
            <w:tcW w:w="1739" w:type="dxa"/>
            <w:vAlign w:val="center"/>
          </w:tcPr>
          <w:p>
            <w:pPr>
              <w:adjustRightInd w:val="0"/>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货物名称</w:t>
            </w:r>
          </w:p>
        </w:tc>
        <w:tc>
          <w:tcPr>
            <w:tcW w:w="1134" w:type="dxa"/>
            <w:tcBorders>
              <w:right w:val="single" w:color="auto" w:sz="4" w:space="0"/>
            </w:tcBorders>
            <w:vAlign w:val="center"/>
          </w:tcPr>
          <w:p>
            <w:pPr>
              <w:adjustRightInd w:val="0"/>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规格型号</w:t>
            </w:r>
          </w:p>
        </w:tc>
        <w:tc>
          <w:tcPr>
            <w:tcW w:w="1418" w:type="dxa"/>
            <w:tcBorders>
              <w:left w:val="single" w:color="auto" w:sz="4" w:space="0"/>
            </w:tcBorders>
            <w:vAlign w:val="center"/>
          </w:tcPr>
          <w:p>
            <w:pPr>
              <w:widowControl w:val="0"/>
              <w:adjustRightInd w:val="0"/>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价格（元）</w:t>
            </w:r>
          </w:p>
        </w:tc>
        <w:tc>
          <w:tcPr>
            <w:tcW w:w="1984" w:type="dxa"/>
            <w:vAlign w:val="center"/>
          </w:tcPr>
          <w:p>
            <w:pPr>
              <w:adjustRightInd w:val="0"/>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货物制造商名称</w:t>
            </w:r>
          </w:p>
        </w:tc>
        <w:tc>
          <w:tcPr>
            <w:tcW w:w="1843" w:type="dxa"/>
            <w:vAlign w:val="center"/>
          </w:tcPr>
          <w:p>
            <w:pPr>
              <w:adjustRightInd w:val="0"/>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政策功能编码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pPr>
              <w:widowControl w:val="0"/>
              <w:adjustRightInd w:val="0"/>
              <w:snapToGrid w:val="0"/>
              <w:spacing w:line="360" w:lineRule="auto"/>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节能产品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pPr>
              <w:widowControl w:val="0"/>
              <w:adjustRightInd w:val="0"/>
              <w:snapToGrid w:val="0"/>
              <w:spacing w:line="360" w:lineRule="auto"/>
              <w:jc w:val="center"/>
              <w:rPr>
                <w:rFonts w:hint="eastAsia" w:ascii="宋体" w:hAnsi="宋体" w:eastAsia="宋体" w:cs="Times New Roman"/>
                <w:b/>
                <w:color w:val="auto"/>
                <w:szCs w:val="21"/>
                <w:highlight w:val="none"/>
              </w:rPr>
            </w:pPr>
          </w:p>
        </w:tc>
        <w:tc>
          <w:tcPr>
            <w:tcW w:w="1739" w:type="dxa"/>
            <w:vAlign w:val="center"/>
          </w:tcPr>
          <w:p>
            <w:pPr>
              <w:widowControl w:val="0"/>
              <w:adjustRightInd w:val="0"/>
              <w:snapToGrid w:val="0"/>
              <w:spacing w:line="360" w:lineRule="auto"/>
              <w:jc w:val="center"/>
              <w:rPr>
                <w:rFonts w:hint="eastAsia" w:ascii="宋体" w:hAnsi="宋体" w:eastAsia="宋体" w:cs="Times New Roman"/>
                <w:b/>
                <w:color w:val="auto"/>
                <w:szCs w:val="21"/>
                <w:highlight w:val="none"/>
              </w:rPr>
            </w:pPr>
          </w:p>
        </w:tc>
        <w:tc>
          <w:tcPr>
            <w:tcW w:w="1134" w:type="dxa"/>
            <w:tcBorders>
              <w:right w:val="single" w:color="auto" w:sz="4" w:space="0"/>
            </w:tcBorders>
            <w:vAlign w:val="center"/>
          </w:tcPr>
          <w:p>
            <w:pPr>
              <w:widowControl w:val="0"/>
              <w:adjustRightInd w:val="0"/>
              <w:snapToGrid w:val="0"/>
              <w:spacing w:line="360" w:lineRule="auto"/>
              <w:rPr>
                <w:rFonts w:hint="eastAsia" w:ascii="宋体" w:hAnsi="宋体" w:eastAsia="宋体" w:cs="Times New Roman"/>
                <w:b/>
                <w:color w:val="auto"/>
                <w:szCs w:val="21"/>
                <w:highlight w:val="none"/>
              </w:rPr>
            </w:pPr>
          </w:p>
        </w:tc>
        <w:tc>
          <w:tcPr>
            <w:tcW w:w="1418" w:type="dxa"/>
            <w:tcBorders>
              <w:left w:val="single" w:color="auto" w:sz="4" w:space="0"/>
            </w:tcBorders>
            <w:vAlign w:val="center"/>
          </w:tcPr>
          <w:p>
            <w:pPr>
              <w:widowControl w:val="0"/>
              <w:adjustRightInd w:val="0"/>
              <w:snapToGrid w:val="0"/>
              <w:spacing w:line="360" w:lineRule="auto"/>
              <w:rPr>
                <w:rFonts w:hint="eastAsia" w:ascii="宋体" w:hAnsi="宋体" w:eastAsia="宋体" w:cs="Times New Roman"/>
                <w:b/>
                <w:color w:val="auto"/>
                <w:szCs w:val="21"/>
                <w:highlight w:val="none"/>
              </w:rPr>
            </w:pPr>
          </w:p>
        </w:tc>
        <w:tc>
          <w:tcPr>
            <w:tcW w:w="1984" w:type="dxa"/>
            <w:vAlign w:val="center"/>
          </w:tcPr>
          <w:p>
            <w:pPr>
              <w:widowControl w:val="0"/>
              <w:adjustRightInd w:val="0"/>
              <w:snapToGrid w:val="0"/>
              <w:spacing w:line="360" w:lineRule="auto"/>
              <w:jc w:val="center"/>
              <w:rPr>
                <w:rFonts w:hint="eastAsia" w:ascii="宋体" w:hAnsi="宋体" w:eastAsia="宋体" w:cs="Times New Roman"/>
                <w:b/>
                <w:color w:val="auto"/>
                <w:szCs w:val="21"/>
                <w:highlight w:val="none"/>
              </w:rPr>
            </w:pPr>
          </w:p>
        </w:tc>
        <w:tc>
          <w:tcPr>
            <w:tcW w:w="1843" w:type="dxa"/>
          </w:tcPr>
          <w:p>
            <w:pPr>
              <w:widowControl w:val="0"/>
              <w:adjustRightInd w:val="0"/>
              <w:snapToGrid w:val="0"/>
              <w:spacing w:line="360" w:lineRule="auto"/>
              <w:jc w:val="center"/>
              <w:rPr>
                <w:rFonts w:hint="eastAsia" w:ascii="宋体" w:hAnsi="宋体" w:eastAsia="宋体" w:cs="Times New Roman"/>
                <w:b/>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pPr>
              <w:widowControl w:val="0"/>
              <w:adjustRightInd w:val="0"/>
              <w:snapToGrid w:val="0"/>
              <w:spacing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小计</w:t>
            </w:r>
          </w:p>
        </w:tc>
        <w:tc>
          <w:tcPr>
            <w:tcW w:w="1739" w:type="dxa"/>
            <w:vAlign w:val="center"/>
          </w:tcPr>
          <w:p>
            <w:pPr>
              <w:widowControl w:val="0"/>
              <w:adjustRightInd w:val="0"/>
              <w:snapToGrid w:val="0"/>
              <w:spacing w:line="360" w:lineRule="auto"/>
              <w:jc w:val="center"/>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w:t>
            </w:r>
          </w:p>
        </w:tc>
        <w:tc>
          <w:tcPr>
            <w:tcW w:w="1134" w:type="dxa"/>
            <w:tcBorders>
              <w:right w:val="single" w:color="auto" w:sz="4" w:space="0"/>
            </w:tcBorders>
            <w:vAlign w:val="center"/>
          </w:tcPr>
          <w:p>
            <w:pPr>
              <w:widowControl w:val="0"/>
              <w:adjustRightInd w:val="0"/>
              <w:snapToGrid w:val="0"/>
              <w:spacing w:line="360" w:lineRule="auto"/>
              <w:rPr>
                <w:rFonts w:hint="eastAsia" w:ascii="宋体" w:hAnsi="宋体" w:eastAsia="宋体" w:cs="Times New Roman"/>
                <w:b/>
                <w:color w:val="auto"/>
                <w:szCs w:val="21"/>
                <w:highlight w:val="none"/>
              </w:rPr>
            </w:pPr>
          </w:p>
        </w:tc>
        <w:tc>
          <w:tcPr>
            <w:tcW w:w="1418" w:type="dxa"/>
            <w:tcBorders>
              <w:left w:val="single" w:color="auto" w:sz="4" w:space="0"/>
            </w:tcBorders>
            <w:vAlign w:val="center"/>
          </w:tcPr>
          <w:p>
            <w:pPr>
              <w:widowControl w:val="0"/>
              <w:adjustRightInd w:val="0"/>
              <w:snapToGrid w:val="0"/>
              <w:spacing w:line="360" w:lineRule="auto"/>
              <w:rPr>
                <w:rFonts w:hint="eastAsia" w:ascii="宋体" w:hAnsi="宋体" w:eastAsia="宋体" w:cs="Times New Roman"/>
                <w:b/>
                <w:color w:val="auto"/>
                <w:szCs w:val="21"/>
                <w:highlight w:val="none"/>
              </w:rPr>
            </w:pPr>
          </w:p>
        </w:tc>
        <w:tc>
          <w:tcPr>
            <w:tcW w:w="1984" w:type="dxa"/>
            <w:vAlign w:val="center"/>
          </w:tcPr>
          <w:p>
            <w:pPr>
              <w:widowControl w:val="0"/>
              <w:adjustRightInd w:val="0"/>
              <w:snapToGrid w:val="0"/>
              <w:spacing w:line="360" w:lineRule="auto"/>
              <w:jc w:val="center"/>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w:t>
            </w:r>
          </w:p>
        </w:tc>
        <w:tc>
          <w:tcPr>
            <w:tcW w:w="1843" w:type="dxa"/>
          </w:tcPr>
          <w:p>
            <w:pPr>
              <w:widowControl w:val="0"/>
              <w:adjustRightInd w:val="0"/>
              <w:snapToGrid w:val="0"/>
              <w:spacing w:line="360" w:lineRule="auto"/>
              <w:jc w:val="center"/>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pPr>
              <w:widowControl w:val="0"/>
              <w:adjustRightInd w:val="0"/>
              <w:snapToGrid w:val="0"/>
              <w:spacing w:line="360" w:lineRule="auto"/>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环境标志产品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pPr>
              <w:widowControl w:val="0"/>
              <w:adjustRightInd w:val="0"/>
              <w:snapToGrid w:val="0"/>
              <w:spacing w:line="360" w:lineRule="auto"/>
              <w:jc w:val="center"/>
              <w:rPr>
                <w:rFonts w:hint="eastAsia" w:ascii="宋体" w:hAnsi="宋体" w:eastAsia="宋体" w:cs="Times New Roman"/>
                <w:b/>
                <w:color w:val="auto"/>
                <w:szCs w:val="21"/>
                <w:highlight w:val="none"/>
              </w:rPr>
            </w:pPr>
          </w:p>
        </w:tc>
        <w:tc>
          <w:tcPr>
            <w:tcW w:w="1739" w:type="dxa"/>
            <w:vAlign w:val="center"/>
          </w:tcPr>
          <w:p>
            <w:pPr>
              <w:widowControl w:val="0"/>
              <w:adjustRightInd w:val="0"/>
              <w:snapToGrid w:val="0"/>
              <w:spacing w:line="360" w:lineRule="auto"/>
              <w:jc w:val="center"/>
              <w:rPr>
                <w:rFonts w:hint="eastAsia" w:ascii="宋体" w:hAnsi="宋体" w:eastAsia="宋体" w:cs="Times New Roman"/>
                <w:b/>
                <w:color w:val="auto"/>
                <w:szCs w:val="21"/>
                <w:highlight w:val="none"/>
              </w:rPr>
            </w:pPr>
          </w:p>
        </w:tc>
        <w:tc>
          <w:tcPr>
            <w:tcW w:w="1134" w:type="dxa"/>
            <w:tcBorders>
              <w:right w:val="single" w:color="auto" w:sz="4" w:space="0"/>
            </w:tcBorders>
            <w:vAlign w:val="center"/>
          </w:tcPr>
          <w:p>
            <w:pPr>
              <w:widowControl w:val="0"/>
              <w:adjustRightInd w:val="0"/>
              <w:snapToGrid w:val="0"/>
              <w:spacing w:line="360" w:lineRule="auto"/>
              <w:rPr>
                <w:rFonts w:hint="eastAsia" w:ascii="宋体" w:hAnsi="宋体" w:eastAsia="宋体" w:cs="Times New Roman"/>
                <w:b/>
                <w:color w:val="auto"/>
                <w:szCs w:val="21"/>
                <w:highlight w:val="none"/>
              </w:rPr>
            </w:pPr>
          </w:p>
        </w:tc>
        <w:tc>
          <w:tcPr>
            <w:tcW w:w="1418" w:type="dxa"/>
            <w:tcBorders>
              <w:left w:val="single" w:color="auto" w:sz="4" w:space="0"/>
            </w:tcBorders>
            <w:vAlign w:val="center"/>
          </w:tcPr>
          <w:p>
            <w:pPr>
              <w:widowControl w:val="0"/>
              <w:adjustRightInd w:val="0"/>
              <w:snapToGrid w:val="0"/>
              <w:spacing w:line="360" w:lineRule="auto"/>
              <w:rPr>
                <w:rFonts w:hint="eastAsia" w:ascii="宋体" w:hAnsi="宋体" w:eastAsia="宋体" w:cs="Times New Roman"/>
                <w:b/>
                <w:color w:val="auto"/>
                <w:szCs w:val="21"/>
                <w:highlight w:val="none"/>
              </w:rPr>
            </w:pPr>
          </w:p>
        </w:tc>
        <w:tc>
          <w:tcPr>
            <w:tcW w:w="1984" w:type="dxa"/>
            <w:vAlign w:val="center"/>
          </w:tcPr>
          <w:p>
            <w:pPr>
              <w:widowControl w:val="0"/>
              <w:adjustRightInd w:val="0"/>
              <w:snapToGrid w:val="0"/>
              <w:spacing w:line="360" w:lineRule="auto"/>
              <w:jc w:val="center"/>
              <w:rPr>
                <w:rFonts w:hint="eastAsia" w:ascii="宋体" w:hAnsi="宋体" w:eastAsia="宋体" w:cs="Times New Roman"/>
                <w:b/>
                <w:color w:val="auto"/>
                <w:szCs w:val="21"/>
                <w:highlight w:val="none"/>
              </w:rPr>
            </w:pPr>
          </w:p>
        </w:tc>
        <w:tc>
          <w:tcPr>
            <w:tcW w:w="1843" w:type="dxa"/>
          </w:tcPr>
          <w:p>
            <w:pPr>
              <w:widowControl w:val="0"/>
              <w:adjustRightInd w:val="0"/>
              <w:snapToGrid w:val="0"/>
              <w:spacing w:line="360" w:lineRule="auto"/>
              <w:jc w:val="center"/>
              <w:rPr>
                <w:rFonts w:hint="eastAsia" w:ascii="宋体" w:hAnsi="宋体" w:eastAsia="宋体" w:cs="Times New Roman"/>
                <w:b/>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pPr>
              <w:widowControl w:val="0"/>
              <w:adjustRightInd w:val="0"/>
              <w:snapToGrid w:val="0"/>
              <w:spacing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小计</w:t>
            </w:r>
          </w:p>
        </w:tc>
        <w:tc>
          <w:tcPr>
            <w:tcW w:w="1739" w:type="dxa"/>
            <w:vAlign w:val="center"/>
          </w:tcPr>
          <w:p>
            <w:pPr>
              <w:widowControl w:val="0"/>
              <w:adjustRightInd w:val="0"/>
              <w:snapToGrid w:val="0"/>
              <w:spacing w:line="360" w:lineRule="auto"/>
              <w:jc w:val="center"/>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w:t>
            </w:r>
          </w:p>
        </w:tc>
        <w:tc>
          <w:tcPr>
            <w:tcW w:w="1134" w:type="dxa"/>
            <w:tcBorders>
              <w:right w:val="single" w:color="auto" w:sz="4" w:space="0"/>
            </w:tcBorders>
            <w:vAlign w:val="center"/>
          </w:tcPr>
          <w:p>
            <w:pPr>
              <w:widowControl w:val="0"/>
              <w:adjustRightInd w:val="0"/>
              <w:snapToGrid w:val="0"/>
              <w:spacing w:line="360" w:lineRule="auto"/>
              <w:rPr>
                <w:rFonts w:hint="eastAsia" w:ascii="宋体" w:hAnsi="宋体" w:eastAsia="宋体" w:cs="Times New Roman"/>
                <w:b/>
                <w:color w:val="auto"/>
                <w:szCs w:val="21"/>
                <w:highlight w:val="none"/>
              </w:rPr>
            </w:pPr>
          </w:p>
        </w:tc>
        <w:tc>
          <w:tcPr>
            <w:tcW w:w="1418" w:type="dxa"/>
            <w:tcBorders>
              <w:left w:val="single" w:color="auto" w:sz="4" w:space="0"/>
            </w:tcBorders>
            <w:vAlign w:val="center"/>
          </w:tcPr>
          <w:p>
            <w:pPr>
              <w:widowControl w:val="0"/>
              <w:adjustRightInd w:val="0"/>
              <w:snapToGrid w:val="0"/>
              <w:spacing w:line="360" w:lineRule="auto"/>
              <w:rPr>
                <w:rFonts w:hint="eastAsia" w:ascii="宋体" w:hAnsi="宋体" w:eastAsia="宋体" w:cs="Times New Roman"/>
                <w:b/>
                <w:color w:val="auto"/>
                <w:szCs w:val="21"/>
                <w:highlight w:val="none"/>
              </w:rPr>
            </w:pPr>
          </w:p>
        </w:tc>
        <w:tc>
          <w:tcPr>
            <w:tcW w:w="1984" w:type="dxa"/>
            <w:vAlign w:val="center"/>
          </w:tcPr>
          <w:p>
            <w:pPr>
              <w:widowControl w:val="0"/>
              <w:adjustRightInd w:val="0"/>
              <w:snapToGrid w:val="0"/>
              <w:spacing w:line="360" w:lineRule="auto"/>
              <w:jc w:val="center"/>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w:t>
            </w:r>
          </w:p>
        </w:tc>
        <w:tc>
          <w:tcPr>
            <w:tcW w:w="1843" w:type="dxa"/>
          </w:tcPr>
          <w:p>
            <w:pPr>
              <w:widowControl w:val="0"/>
              <w:adjustRightInd w:val="0"/>
              <w:snapToGrid w:val="0"/>
              <w:spacing w:line="360" w:lineRule="auto"/>
              <w:jc w:val="center"/>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w:t>
            </w:r>
          </w:p>
        </w:tc>
      </w:tr>
    </w:tbl>
    <w:p>
      <w:pPr>
        <w:widowControl w:val="0"/>
        <w:adjustRightInd w:val="0"/>
        <w:snapToGrid w:val="0"/>
        <w:spacing w:line="360" w:lineRule="auto"/>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注：1.</w:t>
      </w:r>
      <w:r>
        <w:rPr>
          <w:rFonts w:hint="eastAsia" w:ascii="宋体" w:hAnsi="宋体" w:eastAsia="宋体" w:cs="Times New Roman"/>
          <w:color w:val="auto"/>
          <w:szCs w:val="21"/>
          <w:highlight w:val="none"/>
        </w:rPr>
        <w:t>本表用于计算政府采购优先采购产品（节能产品或者环境标志产品）的政府采购政策价格扣除。</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2.栏目4“价格”为综合单价，包含货物所有隐含的内容，如运输费、保险费、管理费和利润等。</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3.栏目6“政策功能编码”是指货物的中国环境标志认证证书编号、中国节能标志认证证书号。</w:t>
      </w:r>
    </w:p>
    <w:p>
      <w:pPr>
        <w:widowControl w:val="0"/>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4.货物同时属于节能产品、环境标志产品的，只需填写一种。</w:t>
      </w:r>
    </w:p>
    <w:p>
      <w:pPr>
        <w:widowControl w:val="0"/>
        <w:adjustRightInd w:val="0"/>
        <w:snapToGrid w:val="0"/>
        <w:spacing w:line="360" w:lineRule="auto"/>
        <w:jc w:val="both"/>
        <w:rPr>
          <w:rFonts w:hint="eastAsia" w:ascii="宋体" w:hAnsi="宋体" w:eastAsia="宋体" w:cs="Times New Roman"/>
          <w:bCs/>
          <w:color w:val="auto"/>
          <w:szCs w:val="21"/>
          <w:highlight w:val="none"/>
        </w:rPr>
      </w:pPr>
    </w:p>
    <w:p>
      <w:pPr>
        <w:widowControl w:val="0"/>
        <w:adjustRightInd w:val="0"/>
        <w:snapToGrid w:val="0"/>
        <w:spacing w:line="360" w:lineRule="auto"/>
        <w:jc w:val="both"/>
        <w:rPr>
          <w:rFonts w:hint="eastAsia" w:ascii="宋体" w:hAnsi="宋体" w:eastAsia="宋体" w:cs="Times New Roman"/>
          <w:color w:val="auto"/>
          <w:szCs w:val="21"/>
          <w:highlight w:val="none"/>
        </w:rPr>
      </w:pPr>
    </w:p>
    <w:p>
      <w:pPr>
        <w:widowControl w:val="0"/>
        <w:adjustRightInd w:val="0"/>
        <w:snapToGrid w:val="0"/>
        <w:spacing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供应商名称（盖单位电子公章）：</w:t>
      </w:r>
    </w:p>
    <w:p>
      <w:pPr>
        <w:widowControl w:val="0"/>
        <w:adjustRightInd w:val="0"/>
        <w:snapToGrid w:val="0"/>
        <w:spacing w:line="360" w:lineRule="auto"/>
        <w:jc w:val="both"/>
        <w:rPr>
          <w:rFonts w:hint="eastAsia"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或者其委托代理人（签字或者签章）：</w:t>
      </w:r>
    </w:p>
    <w:p>
      <w:pPr>
        <w:widowControl w:val="0"/>
        <w:spacing w:line="240" w:lineRule="auto"/>
        <w:jc w:val="both"/>
        <w:rPr>
          <w:rFonts w:ascii="Times New Roman" w:hAnsi="Times New Roman" w:eastAsia="宋体" w:cs="Times New Roman"/>
          <w:color w:val="auto"/>
          <w:szCs w:val="24"/>
          <w:highlight w:val="none"/>
        </w:rPr>
      </w:pPr>
      <w:r>
        <w:rPr>
          <w:rFonts w:hint="eastAsia" w:ascii="Times New Roman" w:hAnsi="Times New Roman" w:eastAsia="宋体" w:cs="Times New Roman"/>
          <w:color w:val="auto"/>
          <w:szCs w:val="24"/>
          <w:highlight w:val="none"/>
        </w:rPr>
        <w:t>日期：年月日</w:t>
      </w:r>
    </w:p>
    <w:p>
      <w:pPr>
        <w:widowControl w:val="0"/>
        <w:spacing w:line="240" w:lineRule="auto"/>
        <w:jc w:val="both"/>
        <w:rPr>
          <w:rFonts w:ascii="Times New Roman" w:hAnsi="Times New Roman" w:eastAsia="宋体" w:cs="Times New Roman"/>
          <w:color w:val="auto"/>
          <w:szCs w:val="24"/>
          <w:highlight w:val="none"/>
        </w:rPr>
      </w:pPr>
    </w:p>
    <w:p>
      <w:pPr>
        <w:spacing w:line="240" w:lineRule="auto"/>
        <w:rPr>
          <w:rFonts w:hint="eastAsia" w:ascii="宋体" w:hAnsi="宋体" w:eastAsia="宋体" w:cs="宋体"/>
          <w:b/>
          <w:bCs/>
          <w:color w:val="auto"/>
          <w:spacing w:val="6"/>
          <w:kern w:val="0"/>
          <w:szCs w:val="21"/>
          <w:highlight w:val="none"/>
        </w:rPr>
      </w:pPr>
      <w:r>
        <w:rPr>
          <w:rFonts w:ascii="宋体" w:hAnsi="宋体" w:eastAsia="宋体" w:cs="宋体"/>
          <w:color w:val="auto"/>
          <w:spacing w:val="6"/>
          <w:kern w:val="0"/>
          <w:szCs w:val="21"/>
          <w:highlight w:val="none"/>
        </w:rPr>
        <w:br w:type="page"/>
      </w:r>
    </w:p>
    <w:p>
      <w:pPr>
        <w:keepNext/>
        <w:keepLines/>
        <w:widowControl w:val="0"/>
        <w:spacing w:line="360" w:lineRule="auto"/>
        <w:jc w:val="center"/>
        <w:outlineLvl w:val="1"/>
        <w:rPr>
          <w:rFonts w:hint="eastAsia" w:ascii="黑体" w:hAnsi="黑体" w:eastAsia="黑体" w:cs="Times New Roman"/>
          <w:b/>
          <w:bCs/>
          <w:color w:val="auto"/>
          <w:sz w:val="28"/>
          <w:szCs w:val="28"/>
          <w:highlight w:val="none"/>
        </w:rPr>
      </w:pPr>
      <w:bookmarkStart w:id="269" w:name="_Toc107998055"/>
      <w:bookmarkStart w:id="270" w:name="_Toc214954942"/>
      <w:r>
        <w:rPr>
          <w:rFonts w:hint="eastAsia" w:ascii="黑体" w:hAnsi="黑体" w:eastAsia="黑体" w:cs="Times New Roman"/>
          <w:b/>
          <w:bCs/>
          <w:color w:val="auto"/>
          <w:sz w:val="28"/>
          <w:szCs w:val="28"/>
          <w:highlight w:val="none"/>
        </w:rPr>
        <w:t>九、响应标的符合谈判文件规定的证明文件</w:t>
      </w:r>
      <w:bookmarkEnd w:id="269"/>
      <w:bookmarkEnd w:id="270"/>
    </w:p>
    <w:p>
      <w:pPr>
        <w:widowControl w:val="0"/>
        <w:adjustRightInd w:val="0"/>
        <w:snapToGrid w:val="0"/>
        <w:spacing w:line="360" w:lineRule="auto"/>
        <w:jc w:val="both"/>
        <w:rPr>
          <w:rFonts w:hint="eastAsia" w:ascii="宋体" w:hAnsi="宋体" w:eastAsia="宋体" w:cs="Times New Roman"/>
          <w:color w:val="auto"/>
          <w:szCs w:val="21"/>
          <w:highlight w:val="none"/>
        </w:rPr>
      </w:pPr>
    </w:p>
    <w:p>
      <w:pPr>
        <w:widowControl w:val="0"/>
        <w:adjustRightInd w:val="0"/>
        <w:snapToGrid w:val="0"/>
        <w:spacing w:line="360" w:lineRule="auto"/>
        <w:jc w:val="both"/>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注：提供第三章规定的证明材料复印件。</w:t>
      </w:r>
    </w:p>
    <w:p>
      <w:pPr>
        <w:widowControl w:val="0"/>
        <w:adjustRightInd w:val="0"/>
        <w:snapToGrid w:val="0"/>
        <w:spacing w:line="360" w:lineRule="auto"/>
        <w:jc w:val="both"/>
        <w:rPr>
          <w:rFonts w:hint="eastAsia" w:ascii="宋体" w:hAnsi="宋体" w:eastAsia="宋体" w:cs="Times New Roman"/>
          <w:color w:val="auto"/>
          <w:szCs w:val="24"/>
          <w:highlight w:val="none"/>
        </w:rPr>
        <w:sectPr>
          <w:pgSz w:w="11906" w:h="16838"/>
          <w:pgMar w:top="1418" w:right="1418" w:bottom="1134" w:left="1418" w:header="851" w:footer="992" w:gutter="0"/>
          <w:cols w:space="720" w:num="1"/>
          <w:docGrid w:type="linesAndChars" w:linePitch="312" w:charSpace="0"/>
        </w:sectPr>
      </w:pPr>
    </w:p>
    <w:p>
      <w:pPr>
        <w:keepNext/>
        <w:keepLines/>
        <w:widowControl w:val="0"/>
        <w:spacing w:line="360" w:lineRule="auto"/>
        <w:jc w:val="center"/>
        <w:outlineLvl w:val="1"/>
        <w:rPr>
          <w:rFonts w:hint="eastAsia" w:ascii="黑体" w:hAnsi="黑体" w:eastAsia="黑体" w:cs="Times New Roman"/>
          <w:b/>
          <w:bCs/>
          <w:color w:val="auto"/>
          <w:sz w:val="28"/>
          <w:szCs w:val="28"/>
          <w:highlight w:val="none"/>
        </w:rPr>
      </w:pPr>
      <w:bookmarkStart w:id="271" w:name="_Toc107998056"/>
      <w:bookmarkStart w:id="272" w:name="_Toc214954943"/>
      <w:r>
        <w:rPr>
          <w:rFonts w:hint="eastAsia" w:ascii="黑体" w:hAnsi="黑体" w:eastAsia="黑体" w:cs="Times New Roman"/>
          <w:b/>
          <w:bCs/>
          <w:color w:val="auto"/>
          <w:sz w:val="28"/>
          <w:szCs w:val="28"/>
          <w:highlight w:val="none"/>
        </w:rPr>
        <w:t>十、供应商认为需提供的其他资料</w:t>
      </w:r>
      <w:bookmarkEnd w:id="271"/>
      <w:bookmarkEnd w:id="272"/>
    </w:p>
    <w:p>
      <w:pPr>
        <w:widowControl w:val="0"/>
        <w:adjustRightInd w:val="0"/>
        <w:snapToGrid w:val="0"/>
        <w:spacing w:before="156" w:beforeLines="50" w:line="360" w:lineRule="auto"/>
        <w:jc w:val="both"/>
        <w:rPr>
          <w:rFonts w:hint="eastAsia" w:ascii="宋体" w:hAnsi="宋体" w:eastAsia="宋体" w:cs="Times New Roman"/>
          <w:color w:val="auto"/>
          <w:szCs w:val="24"/>
          <w:highlight w:val="none"/>
        </w:rPr>
      </w:pPr>
    </w:p>
    <w:p>
      <w:pPr>
        <w:widowControl w:val="0"/>
        <w:adjustRightInd w:val="0"/>
        <w:snapToGrid w:val="0"/>
        <w:spacing w:before="156" w:beforeLines="50" w:line="360" w:lineRule="auto"/>
        <w:jc w:val="both"/>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注：供应商认为需提供的其他资料包括：</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1.谈判文件第三章采购需求要求的其他资料；</w:t>
      </w:r>
    </w:p>
    <w:p>
      <w:pPr>
        <w:widowControl w:val="0"/>
        <w:adjustRightInd w:val="0"/>
        <w:snapToGrid w:val="0"/>
        <w:spacing w:before="156" w:beforeLines="50" w:line="360" w:lineRule="auto"/>
        <w:ind w:firstLine="420" w:firstLineChars="200"/>
        <w:jc w:val="both"/>
        <w:rPr>
          <w:rFonts w:hint="eastAsia" w:ascii="宋体" w:hAnsi="宋体" w:eastAsia="宋体" w:cs="Times New Roman"/>
          <w:color w:val="auto"/>
          <w:szCs w:val="24"/>
          <w:highlight w:val="none"/>
        </w:rPr>
      </w:pPr>
      <w:r>
        <w:rPr>
          <w:rFonts w:hint="eastAsia" w:ascii="宋体" w:hAnsi="宋体" w:eastAsia="宋体" w:cs="Times New Roman"/>
          <w:color w:val="auto"/>
          <w:szCs w:val="24"/>
          <w:highlight w:val="none"/>
        </w:rPr>
        <w:t>2.谈判文件要求的其他相关资料。</w:t>
      </w:r>
    </w:p>
    <w:p>
      <w:pPr>
        <w:widowControl w:val="0"/>
        <w:adjustRightInd w:val="0"/>
        <w:snapToGrid w:val="0"/>
        <w:spacing w:before="156" w:beforeLines="50" w:line="360" w:lineRule="auto"/>
        <w:jc w:val="both"/>
        <w:rPr>
          <w:rFonts w:hint="eastAsia" w:ascii="宋体" w:hAnsi="宋体" w:eastAsia="宋体" w:cs="Times New Roman"/>
          <w:color w:val="auto"/>
          <w:szCs w:val="24"/>
          <w:highlight w:val="none"/>
        </w:rPr>
        <w:sectPr>
          <w:pgSz w:w="11906" w:h="16838"/>
          <w:pgMar w:top="1418" w:right="1418" w:bottom="1134" w:left="1418" w:header="851" w:footer="992" w:gutter="0"/>
          <w:cols w:space="720" w:num="1"/>
          <w:docGrid w:type="linesAndChars" w:linePitch="312" w:charSpace="0"/>
        </w:sectPr>
      </w:pPr>
    </w:p>
    <w:p>
      <w:pPr>
        <w:keepNext/>
        <w:keepLines/>
        <w:widowControl w:val="0"/>
        <w:spacing w:line="360" w:lineRule="auto"/>
        <w:jc w:val="center"/>
        <w:outlineLvl w:val="1"/>
        <w:rPr>
          <w:rFonts w:ascii="Arial" w:hAnsi="Arial" w:eastAsia="宋体" w:cs="Times New Roman"/>
          <w:b/>
          <w:bCs/>
          <w:color w:val="auto"/>
          <w:sz w:val="32"/>
          <w:szCs w:val="32"/>
          <w:highlight w:val="none"/>
        </w:rPr>
      </w:pPr>
      <w:bookmarkStart w:id="273" w:name="_Toc214954944"/>
      <w:bookmarkStart w:id="274" w:name="_Toc107998057"/>
      <w:r>
        <w:rPr>
          <w:rFonts w:hint="eastAsia" w:ascii="Arial" w:hAnsi="Arial" w:eastAsia="宋体" w:cs="Times New Roman"/>
          <w:b/>
          <w:bCs/>
          <w:color w:val="auto"/>
          <w:sz w:val="32"/>
          <w:szCs w:val="32"/>
          <w:highlight w:val="none"/>
        </w:rPr>
        <w:t>十一、多轮或最后报价</w:t>
      </w:r>
      <w:bookmarkEnd w:id="273"/>
      <w:bookmarkEnd w:id="274"/>
    </w:p>
    <w:p>
      <w:pPr>
        <w:widowControl w:val="0"/>
        <w:spacing w:line="360" w:lineRule="auto"/>
        <w:ind w:firstLine="422" w:firstLineChars="200"/>
        <w:jc w:val="both"/>
        <w:rPr>
          <w:rFonts w:hint="eastAsia" w:ascii="宋体" w:hAnsi="宋体" w:eastAsia="宋体" w:cs="宋体"/>
          <w:b/>
          <w:bCs/>
          <w:snapToGrid w:val="0"/>
          <w:color w:val="auto"/>
          <w:kern w:val="0"/>
          <w:szCs w:val="21"/>
          <w:highlight w:val="none"/>
        </w:rPr>
      </w:pPr>
      <w:r>
        <w:rPr>
          <w:rFonts w:ascii="宋体" w:hAnsi="宋体" w:eastAsia="宋体" w:cs="宋体"/>
          <w:b/>
          <w:bCs/>
          <w:snapToGrid w:val="0"/>
          <w:color w:val="auto"/>
          <w:kern w:val="0"/>
          <w:szCs w:val="21"/>
          <w:highlight w:val="none"/>
        </w:rPr>
        <w:t>注：首次响应文件中无需填写，开标当天谈判小组将发起视频对项目进行谈判，并通知递交</w:t>
      </w:r>
      <w:r>
        <w:rPr>
          <w:rFonts w:hint="eastAsia" w:ascii="宋体" w:hAnsi="宋体" w:eastAsia="宋体" w:cs="宋体"/>
          <w:b/>
          <w:bCs/>
          <w:snapToGrid w:val="0"/>
          <w:color w:val="auto"/>
          <w:kern w:val="0"/>
          <w:szCs w:val="21"/>
          <w:highlight w:val="none"/>
        </w:rPr>
        <w:t>多轮或</w:t>
      </w:r>
      <w:r>
        <w:rPr>
          <w:rFonts w:ascii="宋体" w:hAnsi="宋体" w:eastAsia="宋体" w:cs="宋体"/>
          <w:b/>
          <w:bCs/>
          <w:snapToGrid w:val="0"/>
          <w:color w:val="auto"/>
          <w:kern w:val="0"/>
          <w:szCs w:val="21"/>
          <w:highlight w:val="none"/>
        </w:rPr>
        <w:t>最后报价，</w:t>
      </w:r>
      <w:r>
        <w:rPr>
          <w:rFonts w:hint="eastAsia" w:ascii="宋体" w:hAnsi="宋体" w:eastAsia="宋体" w:cs="宋体"/>
          <w:b/>
          <w:bCs/>
          <w:snapToGrid w:val="0"/>
          <w:color w:val="auto"/>
          <w:kern w:val="0"/>
          <w:szCs w:val="21"/>
          <w:highlight w:val="none"/>
        </w:rPr>
        <w:t>多轮或</w:t>
      </w:r>
      <w:r>
        <w:rPr>
          <w:rFonts w:ascii="宋体" w:hAnsi="宋体" w:eastAsia="宋体" w:cs="宋体"/>
          <w:b/>
          <w:bCs/>
          <w:snapToGrid w:val="0"/>
          <w:color w:val="auto"/>
          <w:kern w:val="0"/>
          <w:szCs w:val="21"/>
          <w:highlight w:val="none"/>
        </w:rPr>
        <w:t>最后报价在电子标系统里面上传。</w:t>
      </w:r>
    </w:p>
    <w:p>
      <w:pPr>
        <w:widowControl w:val="0"/>
        <w:adjustRightInd w:val="0"/>
        <w:snapToGrid w:val="0"/>
        <w:spacing w:line="360" w:lineRule="auto"/>
        <w:jc w:val="both"/>
        <w:rPr>
          <w:rFonts w:hint="eastAsia" w:ascii="宋体" w:hAnsi="宋体" w:eastAsia="宋体" w:cs="Times New Roman"/>
          <w:color w:val="auto"/>
          <w:szCs w:val="21"/>
          <w:highlight w:val="none"/>
        </w:rPr>
      </w:pPr>
    </w:p>
    <w:sectPr>
      <w:footerReference r:id="rId10" w:type="even"/>
      <w:pgSz w:w="11906" w:h="16838"/>
      <w:pgMar w:top="1417" w:right="1417" w:bottom="1417" w:left="141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TimesNewRomanPSMT">
    <w:altName w:val="Times New Roman"/>
    <w:panose1 w:val="00000000000000000000"/>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MS Sans Serif">
    <w:altName w:val="Segoe Print"/>
    <w:panose1 w:val="00000000000000000000"/>
    <w:charset w:val="00"/>
    <w:family w:val="swiss"/>
    <w:pitch w:val="default"/>
    <w:sig w:usb0="00000000" w:usb1="00000000" w:usb2="00000000" w:usb3="00000000" w:csb0="00000001" w:csb1="00000000"/>
  </w:font>
  <w:font w:name="Arail">
    <w:altName w:val="Noto Sans SC"/>
    <w:panose1 w:val="00000000000000000000"/>
    <w:charset w:val="00"/>
    <w:family w:val="roman"/>
    <w:pitch w:val="default"/>
    <w:sig w:usb0="00000000" w:usb1="00000000" w:usb2="00000000" w:usb3="00000000" w:csb0="00040001" w:csb1="00000000"/>
  </w:font>
  <w:font w:name="font-weight : 700">
    <w:altName w:val="Segoe Print"/>
    <w:panose1 w:val="00000000000000000000"/>
    <w:charset w:val="00"/>
    <w:family w:val="auto"/>
    <w:pitch w:val="default"/>
    <w:sig w:usb0="00000000" w:usb1="00000000" w:usb2="00000000" w:usb3="00000000" w:csb0="00000001" w:csb1="00000000"/>
  </w:font>
  <w:font w:name="font-weight : 400">
    <w:altName w:val="Segoe Print"/>
    <w:panose1 w:val="00000000000000000000"/>
    <w:charset w:val="00"/>
    <w:family w:val="auto"/>
    <w:pitch w:val="default"/>
    <w:sig w:usb0="00000000" w:usb1="00000000" w:usb2="00000000" w:usb3="00000000" w:csb0="00000001" w:csb1="00000000"/>
  </w:font>
  <w:font w:name="长城仿宋">
    <w:altName w:val="仿宋"/>
    <w:panose1 w:val="00000000000000000000"/>
    <w:charset w:val="86"/>
    <w:family w:val="modern"/>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MS Mincho">
    <w:altName w:val="Yu Gothic UI"/>
    <w:panose1 w:val="02020609040205080304"/>
    <w:charset w:val="80"/>
    <w:family w:val="modern"/>
    <w:pitch w:val="default"/>
    <w:sig w:usb0="00000000" w:usb1="00000000" w:usb2="00000012" w:usb3="00000000" w:csb0="4002009F" w:csb1="DFD7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国标黑体-GB / T 2312">
    <w:altName w:val="黑体"/>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华文宋体">
    <w:altName w:val="宋体"/>
    <w:panose1 w:val="02010600040101010101"/>
    <w:charset w:val="86"/>
    <w:family w:val="auto"/>
    <w:pitch w:val="default"/>
    <w:sig w:usb0="00000000" w:usb1="00000000" w:usb2="00000000" w:usb3="00000000" w:csb0="0004009F" w:csb1="DFD70000"/>
  </w:font>
  <w:font w:name="Wingdings">
    <w:panose1 w:val="05000000000000000000"/>
    <w:charset w:val="00"/>
    <w:family w:val="auto"/>
    <w:pitch w:val="default"/>
    <w:sig w:usb0="00000000" w:usb1="00000000" w:usb2="00000000" w:usb3="00000000" w:csb0="8000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left="180" w:right="359" w:rightChars="171" w:hanging="180" w:hangingChars="100"/>
      <w:jc w:val="right"/>
      <w:rPr>
        <w:rFonts w:hint="eastAsia" w:eastAsia="楷体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left="180" w:right="359" w:rightChars="171" w:hanging="180" w:hangingChars="100"/>
      <w:jc w:val="right"/>
      <w:rPr>
        <w:rFonts w:hint="eastAsia" w:eastAsia="楷体_GB2312"/>
      </w:rPr>
    </w:pPr>
    <w:r>
      <w:rPr>
        <w:rFonts w:hint="eastAsi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6350">
                        <a:noFill/>
                      </a:ln>
                      <a:effectLst/>
                    </wps:spPr>
                    <wps:txbx>
                      <w:txbxContent>
                        <w:p>
                          <w:pPr>
                            <w:pStyle w:val="27"/>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rvABY0QAAAAIBAAAPAAAAAAAAAAEAIAAAACIAAABkcnMvZG93bnJldi54bWxQ&#10;SwECFAAUAAAACACHTuJAwwQQTzcCAABgBAAADgAAAAAAAAABACAAAAAgAQAAZHJzL2Uyb0RvYy54&#10;bWxQSwUGAAAAAAYABgBZAQAAyQUAAAAA&#10;">
              <v:fill on="f" focussize="0,0"/>
              <v:stroke on="f" weight="0.5pt"/>
              <v:imagedata o:title=""/>
              <o:lock v:ext="edit" aspectratio="f"/>
              <v:textbox inset="0mm,0mm,0mm,0mm" style="mso-fit-shape-to-text:t;">
                <w:txbxContent>
                  <w:p>
                    <w:pPr>
                      <w:pStyle w:val="27"/>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left="240" w:right="359" w:rightChars="171" w:hanging="240" w:hangingChars="100"/>
      <w:jc w:val="center"/>
      <w:rPr>
        <w:rFonts w:hint="eastAsia" w:eastAsia="楷体_GB2312"/>
        <w:sz w:val="24"/>
        <w:szCs w:val="24"/>
      </w:rPr>
    </w:pPr>
    <w:r>
      <w:rPr>
        <w:rFonts w:hint="eastAsia"/>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78130" cy="2159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278130" cy="215900"/>
                      </a:xfrm>
                      <a:prstGeom prst="rect">
                        <a:avLst/>
                      </a:prstGeom>
                      <a:noFill/>
                      <a:ln w="6350">
                        <a:noFill/>
                      </a:ln>
                    </wps:spPr>
                    <wps:txbx>
                      <w:txbxContent>
                        <w:p>
                          <w:pPr>
                            <w:pStyle w:val="27"/>
                            <w:rPr>
                              <w:rFonts w:hint="eastAsia"/>
                              <w:sz w:val="21"/>
                              <w:szCs w:val="21"/>
                            </w:rPr>
                          </w:pPr>
                          <w:r>
                            <w:fldChar w:fldCharType="begin"/>
                          </w:r>
                          <w:r>
                            <w:instrText xml:space="preserve"> PAGE  \* MERGEFORMAT </w:instrText>
                          </w:r>
                          <w:r>
                            <w:fldChar w:fldCharType="separate"/>
                          </w:r>
                          <w:r>
                            <w:t>3</w:t>
                          </w:r>
                          <w:r>
                            <w:fldChar w:fldCharType="end"/>
                          </w:r>
                        </w:p>
                      </w:txbxContent>
                    </wps:txbx>
                    <wps:bodyPr lIns="0" tIns="0" rIns="0" bIns="0" upright="1"/>
                  </wps:wsp>
                </a:graphicData>
              </a:graphic>
            </wp:anchor>
          </w:drawing>
        </mc:Choice>
        <mc:Fallback>
          <w:pict>
            <v:shape id="文本框 2" o:spid="_x0000_s1026" o:spt="202" type="#_x0000_t202" style="position:absolute;left:0pt;margin-top:0pt;height:17pt;width:21.9pt;mso-position-horizontal:center;mso-position-horizontal-relative:margin;z-index:251661312;mso-width-relative:page;mso-height-relative:page;" filled="f" stroked="f" coordsize="21600,21600" o:gfxdata="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fVQL70wAAAAMBAAAPAAAAAAAAAAEAIAAAACIAAABkcnMvZG93bnJldi54bWxQ&#10;SwECFAAUAAAACACHTuJADnZTG8MBAAB6AwAADgAAAAAAAAABACAAAAAiAQAAZHJzL2Uyb0RvYy54&#10;bWxQSwUGAAAAAAYABgBZAQAAVwUAAAAA&#10;">
              <v:fill on="f" focussize="0,0"/>
              <v:stroke on="f" weight="0.5pt"/>
              <v:imagedata o:title=""/>
              <o:lock v:ext="edit" aspectratio="f"/>
              <v:textbox inset="0mm,0mm,0mm,0mm">
                <w:txbxContent>
                  <w:p>
                    <w:pPr>
                      <w:pStyle w:val="27"/>
                      <w:rPr>
                        <w:rFonts w:hint="eastAsia"/>
                        <w:sz w:val="21"/>
                        <w:szCs w:val="21"/>
                      </w:rPr>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right" w:y="1"/>
      <w:rPr>
        <w:rStyle w:val="48"/>
        <w:rFonts w:hint="eastAsia"/>
      </w:rPr>
    </w:pPr>
    <w:r>
      <w:fldChar w:fldCharType="begin"/>
    </w:r>
    <w:r>
      <w:rPr>
        <w:rStyle w:val="48"/>
      </w:rPr>
      <w:instrText xml:space="preserve">PAGE  </w:instrText>
    </w:r>
    <w:r>
      <w:fldChar w:fldCharType="end"/>
    </w:r>
  </w:p>
  <w:p>
    <w:pPr>
      <w:pStyle w:val="27"/>
      <w:ind w:right="36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right" w:y="1"/>
      <w:rPr>
        <w:rStyle w:val="48"/>
        <w:rFonts w:hint="eastAsia"/>
      </w:rPr>
    </w:pPr>
    <w:r>
      <w:fldChar w:fldCharType="begin"/>
    </w:r>
    <w:r>
      <w:rPr>
        <w:rStyle w:val="48"/>
      </w:rPr>
      <w:instrText xml:space="preserve">PAGE  </w:instrText>
    </w:r>
    <w:r>
      <w:fldChar w:fldCharType="end"/>
    </w:r>
  </w:p>
  <w:p>
    <w:pPr>
      <w:pStyle w:val="27"/>
      <w:ind w:right="36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right" w:y="1"/>
      <w:rPr>
        <w:rStyle w:val="48"/>
        <w:rFonts w:hint="eastAsia"/>
      </w:rPr>
    </w:pPr>
    <w:r>
      <w:fldChar w:fldCharType="begin"/>
    </w:r>
    <w:r>
      <w:rPr>
        <w:rStyle w:val="48"/>
      </w:rPr>
      <w:instrText xml:space="preserve">PAGE  </w:instrText>
    </w:r>
    <w:r>
      <w:fldChar w:fldCharType="end"/>
    </w:r>
  </w:p>
  <w:p>
    <w:pPr>
      <w:pStyle w:val="27"/>
      <w:ind w:right="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342F25"/>
    <w:multiLevelType w:val="singleLevel"/>
    <w:tmpl w:val="A4342F25"/>
    <w:lvl w:ilvl="0" w:tentative="0">
      <w:start w:val="1"/>
      <w:numFmt w:val="chineseCounting"/>
      <w:suff w:val="nothing"/>
      <w:lvlText w:val="%1、"/>
      <w:lvlJc w:val="left"/>
      <w:rPr>
        <w:rFonts w:hint="eastAsia"/>
      </w:rPr>
    </w:lvl>
  </w:abstractNum>
  <w:abstractNum w:abstractNumId="1">
    <w:nsid w:val="7B6679FD"/>
    <w:multiLevelType w:val="singleLevel"/>
    <w:tmpl w:val="7B6679FD"/>
    <w:lvl w:ilvl="0" w:tentative="0">
      <w:start w:val="4"/>
      <w:numFmt w:val="decimal"/>
      <w:suff w:val="nothing"/>
      <w:lvlText w:val="%1、"/>
      <w:lvlJc w:val="left"/>
      <w:rPr>
        <w:rFonts w:hint="default"/>
        <w:color w:val="auto"/>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kZDIyMTg5YTQyNGM3MGQyN2ZlZDI4NzYxNjIyZGYifQ=="/>
  </w:docVars>
  <w:rsids>
    <w:rsidRoot w:val="008E542B"/>
    <w:rsid w:val="000551F0"/>
    <w:rsid w:val="0006799C"/>
    <w:rsid w:val="00073D06"/>
    <w:rsid w:val="000A336E"/>
    <w:rsid w:val="000B1EFF"/>
    <w:rsid w:val="000D30D2"/>
    <w:rsid w:val="000E1F3C"/>
    <w:rsid w:val="000E2416"/>
    <w:rsid w:val="000F320B"/>
    <w:rsid w:val="00115730"/>
    <w:rsid w:val="0013060A"/>
    <w:rsid w:val="00131CD0"/>
    <w:rsid w:val="0013722C"/>
    <w:rsid w:val="00142A87"/>
    <w:rsid w:val="00156EA0"/>
    <w:rsid w:val="0016090D"/>
    <w:rsid w:val="001620EC"/>
    <w:rsid w:val="001B66EF"/>
    <w:rsid w:val="001D4F71"/>
    <w:rsid w:val="00220B4C"/>
    <w:rsid w:val="00220BD2"/>
    <w:rsid w:val="002504CB"/>
    <w:rsid w:val="00253D80"/>
    <w:rsid w:val="00272DBF"/>
    <w:rsid w:val="00292287"/>
    <w:rsid w:val="002A5DFC"/>
    <w:rsid w:val="002E3EF0"/>
    <w:rsid w:val="00311F34"/>
    <w:rsid w:val="0031281C"/>
    <w:rsid w:val="00324E7F"/>
    <w:rsid w:val="003409D3"/>
    <w:rsid w:val="00350E16"/>
    <w:rsid w:val="003601D1"/>
    <w:rsid w:val="00361BCE"/>
    <w:rsid w:val="00364231"/>
    <w:rsid w:val="00387FB9"/>
    <w:rsid w:val="00397573"/>
    <w:rsid w:val="003A4D81"/>
    <w:rsid w:val="003A66CB"/>
    <w:rsid w:val="003A784D"/>
    <w:rsid w:val="003B730D"/>
    <w:rsid w:val="003D648C"/>
    <w:rsid w:val="003E4F71"/>
    <w:rsid w:val="00430E79"/>
    <w:rsid w:val="00452429"/>
    <w:rsid w:val="00461B8E"/>
    <w:rsid w:val="00465101"/>
    <w:rsid w:val="00466DF0"/>
    <w:rsid w:val="00473D4D"/>
    <w:rsid w:val="00482EAD"/>
    <w:rsid w:val="00491873"/>
    <w:rsid w:val="004B3C79"/>
    <w:rsid w:val="004B68BE"/>
    <w:rsid w:val="004E2665"/>
    <w:rsid w:val="004E30C4"/>
    <w:rsid w:val="004F54D6"/>
    <w:rsid w:val="00512B7E"/>
    <w:rsid w:val="00515644"/>
    <w:rsid w:val="00534EA7"/>
    <w:rsid w:val="00536FC7"/>
    <w:rsid w:val="005A06E5"/>
    <w:rsid w:val="005C10D4"/>
    <w:rsid w:val="005C1D96"/>
    <w:rsid w:val="005C3C50"/>
    <w:rsid w:val="005D7D6E"/>
    <w:rsid w:val="00600729"/>
    <w:rsid w:val="006027D7"/>
    <w:rsid w:val="00602CB0"/>
    <w:rsid w:val="006505B3"/>
    <w:rsid w:val="00654C9A"/>
    <w:rsid w:val="00663062"/>
    <w:rsid w:val="006855C9"/>
    <w:rsid w:val="006B5205"/>
    <w:rsid w:val="006B52A1"/>
    <w:rsid w:val="006B66BD"/>
    <w:rsid w:val="00714E37"/>
    <w:rsid w:val="0072618F"/>
    <w:rsid w:val="007605B7"/>
    <w:rsid w:val="007B2197"/>
    <w:rsid w:val="007C32C6"/>
    <w:rsid w:val="007C55C1"/>
    <w:rsid w:val="007C7345"/>
    <w:rsid w:val="007D0A30"/>
    <w:rsid w:val="007E011F"/>
    <w:rsid w:val="007E215C"/>
    <w:rsid w:val="007E4E16"/>
    <w:rsid w:val="007F1496"/>
    <w:rsid w:val="007F68CE"/>
    <w:rsid w:val="008054F3"/>
    <w:rsid w:val="00812283"/>
    <w:rsid w:val="0081254A"/>
    <w:rsid w:val="00830034"/>
    <w:rsid w:val="008450AE"/>
    <w:rsid w:val="00861079"/>
    <w:rsid w:val="00873A1B"/>
    <w:rsid w:val="00880F8C"/>
    <w:rsid w:val="00883E47"/>
    <w:rsid w:val="00892E69"/>
    <w:rsid w:val="0089348A"/>
    <w:rsid w:val="008C1DF5"/>
    <w:rsid w:val="008C3C03"/>
    <w:rsid w:val="008D4BF0"/>
    <w:rsid w:val="008D54EC"/>
    <w:rsid w:val="008E426A"/>
    <w:rsid w:val="008E542B"/>
    <w:rsid w:val="008F1858"/>
    <w:rsid w:val="00916205"/>
    <w:rsid w:val="00916596"/>
    <w:rsid w:val="00920C73"/>
    <w:rsid w:val="00924E56"/>
    <w:rsid w:val="00924ECF"/>
    <w:rsid w:val="0094339D"/>
    <w:rsid w:val="00987936"/>
    <w:rsid w:val="00990160"/>
    <w:rsid w:val="00991F6F"/>
    <w:rsid w:val="00996579"/>
    <w:rsid w:val="009A5C9E"/>
    <w:rsid w:val="009B1587"/>
    <w:rsid w:val="00A3061C"/>
    <w:rsid w:val="00A31055"/>
    <w:rsid w:val="00A32B8D"/>
    <w:rsid w:val="00A423BF"/>
    <w:rsid w:val="00A44A82"/>
    <w:rsid w:val="00A52709"/>
    <w:rsid w:val="00A61C1E"/>
    <w:rsid w:val="00A63E2A"/>
    <w:rsid w:val="00A72A91"/>
    <w:rsid w:val="00A93812"/>
    <w:rsid w:val="00A94453"/>
    <w:rsid w:val="00AB4178"/>
    <w:rsid w:val="00AB4EB9"/>
    <w:rsid w:val="00AB6B1C"/>
    <w:rsid w:val="00AC0D8F"/>
    <w:rsid w:val="00AC1AD0"/>
    <w:rsid w:val="00AC4DC6"/>
    <w:rsid w:val="00AE7202"/>
    <w:rsid w:val="00AF4BF0"/>
    <w:rsid w:val="00B176C3"/>
    <w:rsid w:val="00B2330A"/>
    <w:rsid w:val="00B27C20"/>
    <w:rsid w:val="00B40676"/>
    <w:rsid w:val="00B4372F"/>
    <w:rsid w:val="00B6275B"/>
    <w:rsid w:val="00B64FC8"/>
    <w:rsid w:val="00B828B3"/>
    <w:rsid w:val="00B9604C"/>
    <w:rsid w:val="00C038E2"/>
    <w:rsid w:val="00C0465E"/>
    <w:rsid w:val="00C07A6A"/>
    <w:rsid w:val="00C12E79"/>
    <w:rsid w:val="00C156AA"/>
    <w:rsid w:val="00C45164"/>
    <w:rsid w:val="00C51DE1"/>
    <w:rsid w:val="00C9192B"/>
    <w:rsid w:val="00CB0692"/>
    <w:rsid w:val="00CB6716"/>
    <w:rsid w:val="00CC389F"/>
    <w:rsid w:val="00CC5EE1"/>
    <w:rsid w:val="00CC6E57"/>
    <w:rsid w:val="00CD2A4F"/>
    <w:rsid w:val="00D34A69"/>
    <w:rsid w:val="00D612D7"/>
    <w:rsid w:val="00D847D5"/>
    <w:rsid w:val="00D86660"/>
    <w:rsid w:val="00D926E8"/>
    <w:rsid w:val="00DA7F07"/>
    <w:rsid w:val="00DB0B9E"/>
    <w:rsid w:val="00DB57AC"/>
    <w:rsid w:val="00DB7A45"/>
    <w:rsid w:val="00DC30CE"/>
    <w:rsid w:val="00DE3009"/>
    <w:rsid w:val="00DF2014"/>
    <w:rsid w:val="00E27A11"/>
    <w:rsid w:val="00E30351"/>
    <w:rsid w:val="00E52188"/>
    <w:rsid w:val="00E53BEB"/>
    <w:rsid w:val="00E66E0A"/>
    <w:rsid w:val="00E91F25"/>
    <w:rsid w:val="00EA0675"/>
    <w:rsid w:val="00EB5257"/>
    <w:rsid w:val="00ED6AD7"/>
    <w:rsid w:val="00F05EAB"/>
    <w:rsid w:val="00F1624C"/>
    <w:rsid w:val="00F2079E"/>
    <w:rsid w:val="00F32619"/>
    <w:rsid w:val="00F67C60"/>
    <w:rsid w:val="00F72C4C"/>
    <w:rsid w:val="00F94B00"/>
    <w:rsid w:val="00FA309C"/>
    <w:rsid w:val="00FB018A"/>
    <w:rsid w:val="00FC172E"/>
    <w:rsid w:val="00FF36A9"/>
    <w:rsid w:val="0E553A87"/>
    <w:rsid w:val="2655795A"/>
    <w:rsid w:val="2A6E5BAE"/>
    <w:rsid w:val="37EFB865"/>
    <w:rsid w:val="387719FA"/>
    <w:rsid w:val="3CBD2AC9"/>
    <w:rsid w:val="414803DC"/>
    <w:rsid w:val="4DC32769"/>
    <w:rsid w:val="4E457306"/>
    <w:rsid w:val="506C3EDB"/>
    <w:rsid w:val="574E69DB"/>
    <w:rsid w:val="584854A9"/>
    <w:rsid w:val="66D43061"/>
    <w:rsid w:val="6A9514E1"/>
    <w:rsid w:val="6C597760"/>
    <w:rsid w:val="711D2B16"/>
    <w:rsid w:val="7BCD5113"/>
    <w:rsid w:val="7CD33CCD"/>
    <w:rsid w:val="7F7A6932"/>
    <w:rsid w:val="DFBE212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name="footnote text"/>
    <w:lsdException w:qFormat="1" w:unhideWhenUsed="0"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40" w:lineRule="atLeast"/>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0"/>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61"/>
    <w:unhideWhenUsed/>
    <w:qFormat/>
    <w:uiPriority w:val="0"/>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62"/>
    <w:unhideWhenUsed/>
    <w:qFormat/>
    <w:uiPriority w:val="0"/>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63"/>
    <w:unhideWhenUsed/>
    <w:qFormat/>
    <w:uiPriority w:val="0"/>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64"/>
    <w:unhideWhenUsed/>
    <w:qFormat/>
    <w:uiPriority w:val="0"/>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65"/>
    <w:unhideWhenUsed/>
    <w:qFormat/>
    <w:uiPriority w:val="0"/>
    <w:pPr>
      <w:keepNext/>
      <w:keepLines/>
      <w:spacing w:before="40"/>
      <w:outlineLvl w:val="5"/>
    </w:pPr>
    <w:rPr>
      <w:rFonts w:cstheme="majorBidi"/>
      <w:b/>
      <w:bCs/>
      <w:color w:val="104862" w:themeColor="accent1" w:themeShade="BF"/>
    </w:rPr>
  </w:style>
  <w:style w:type="paragraph" w:styleId="8">
    <w:name w:val="heading 7"/>
    <w:basedOn w:val="1"/>
    <w:next w:val="1"/>
    <w:link w:val="66"/>
    <w:unhideWhenUsed/>
    <w:qFormat/>
    <w:uiPriority w:val="0"/>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67"/>
    <w:unhideWhenUsed/>
    <w:qFormat/>
    <w:uiPriority w:val="0"/>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68"/>
    <w:unhideWhenUsed/>
    <w:qFormat/>
    <w:uiPriority w:val="0"/>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spacing w:line="240" w:lineRule="auto"/>
      <w:ind w:left="2520" w:leftChars="1200"/>
      <w:jc w:val="both"/>
    </w:pPr>
    <w:rPr>
      <w:rFonts w:ascii="Calibri" w:hAnsi="Calibri" w:eastAsia="宋体" w:cs="Times New Roman"/>
    </w:rPr>
  </w:style>
  <w:style w:type="paragraph" w:styleId="12">
    <w:name w:val="Normal Indent"/>
    <w:basedOn w:val="1"/>
    <w:qFormat/>
    <w:uiPriority w:val="0"/>
    <w:pPr>
      <w:spacing w:line="240" w:lineRule="auto"/>
      <w:ind w:firstLine="420"/>
    </w:pPr>
    <w:rPr>
      <w:rFonts w:ascii="Times New Roman" w:hAnsi="Times New Roman" w:eastAsia="宋体" w:cs="Times New Roman"/>
      <w:kern w:val="0"/>
      <w:sz w:val="20"/>
      <w:szCs w:val="20"/>
    </w:rPr>
  </w:style>
  <w:style w:type="paragraph" w:styleId="13">
    <w:name w:val="Document Map"/>
    <w:basedOn w:val="1"/>
    <w:link w:val="81"/>
    <w:semiHidden/>
    <w:qFormat/>
    <w:uiPriority w:val="0"/>
    <w:pPr>
      <w:widowControl w:val="0"/>
      <w:shd w:val="clear" w:color="auto" w:fill="000080"/>
      <w:spacing w:line="240" w:lineRule="auto"/>
      <w:jc w:val="both"/>
    </w:pPr>
    <w:rPr>
      <w:rFonts w:ascii="Times New Roman" w:hAnsi="Times New Roman" w:eastAsia="宋体" w:cs="Times New Roman"/>
      <w:szCs w:val="24"/>
    </w:rPr>
  </w:style>
  <w:style w:type="paragraph" w:styleId="14">
    <w:name w:val="annotation text"/>
    <w:basedOn w:val="1"/>
    <w:link w:val="82"/>
    <w:semiHidden/>
    <w:qFormat/>
    <w:uiPriority w:val="0"/>
    <w:pPr>
      <w:widowControl w:val="0"/>
      <w:spacing w:line="240" w:lineRule="auto"/>
    </w:pPr>
    <w:rPr>
      <w:rFonts w:ascii="Times New Roman" w:hAnsi="Times New Roman" w:eastAsia="宋体" w:cs="Times New Roman"/>
      <w:szCs w:val="24"/>
    </w:rPr>
  </w:style>
  <w:style w:type="paragraph" w:styleId="15">
    <w:name w:val="Salutation"/>
    <w:basedOn w:val="1"/>
    <w:next w:val="1"/>
    <w:link w:val="83"/>
    <w:qFormat/>
    <w:uiPriority w:val="0"/>
    <w:pPr>
      <w:widowControl w:val="0"/>
      <w:spacing w:line="240" w:lineRule="auto"/>
      <w:jc w:val="both"/>
    </w:pPr>
    <w:rPr>
      <w:rFonts w:ascii="仿宋_GB2312" w:hAnsi="Times New Roman" w:eastAsia="仿宋_GB2312" w:cs="Times New Roman"/>
      <w:sz w:val="24"/>
      <w:szCs w:val="24"/>
    </w:rPr>
  </w:style>
  <w:style w:type="paragraph" w:styleId="16">
    <w:name w:val="Body Text 3"/>
    <w:basedOn w:val="1"/>
    <w:link w:val="84"/>
    <w:qFormat/>
    <w:uiPriority w:val="0"/>
    <w:pPr>
      <w:widowControl w:val="0"/>
      <w:autoSpaceDE w:val="0"/>
      <w:autoSpaceDN w:val="0"/>
      <w:adjustRightInd w:val="0"/>
      <w:spacing w:line="410" w:lineRule="atLeast"/>
    </w:pPr>
    <w:rPr>
      <w:rFonts w:ascii="宋体" w:hAnsi="Times New Roman" w:eastAsia="宋体" w:cs="Times New Roman"/>
      <w:color w:val="000000"/>
      <w:kern w:val="0"/>
      <w:sz w:val="24"/>
      <w:szCs w:val="20"/>
      <w:lang w:val="zh-CN"/>
    </w:rPr>
  </w:style>
  <w:style w:type="paragraph" w:styleId="17">
    <w:name w:val="Body Text"/>
    <w:basedOn w:val="1"/>
    <w:link w:val="85"/>
    <w:qFormat/>
    <w:uiPriority w:val="0"/>
    <w:pPr>
      <w:widowControl w:val="0"/>
      <w:spacing w:after="120" w:line="240" w:lineRule="auto"/>
      <w:jc w:val="both"/>
    </w:pPr>
    <w:rPr>
      <w:rFonts w:ascii="Times New Roman" w:hAnsi="Times New Roman" w:eastAsia="宋体" w:cs="Times New Roman"/>
      <w:szCs w:val="24"/>
    </w:rPr>
  </w:style>
  <w:style w:type="paragraph" w:styleId="18">
    <w:name w:val="Body Text Indent"/>
    <w:basedOn w:val="1"/>
    <w:link w:val="86"/>
    <w:qFormat/>
    <w:uiPriority w:val="0"/>
    <w:pPr>
      <w:widowControl w:val="0"/>
      <w:spacing w:after="120" w:line="240" w:lineRule="auto"/>
      <w:ind w:left="420" w:leftChars="200"/>
      <w:jc w:val="both"/>
    </w:pPr>
    <w:rPr>
      <w:rFonts w:ascii="Times New Roman" w:hAnsi="Times New Roman" w:eastAsia="宋体" w:cs="Times New Roman"/>
      <w:szCs w:val="24"/>
    </w:rPr>
  </w:style>
  <w:style w:type="paragraph" w:styleId="19">
    <w:name w:val="Block Text"/>
    <w:basedOn w:val="1"/>
    <w:qFormat/>
    <w:uiPriority w:val="0"/>
    <w:pPr>
      <w:widowControl w:val="0"/>
      <w:spacing w:line="240" w:lineRule="auto"/>
      <w:ind w:left="1171" w:right="91" w:hanging="1080"/>
      <w:jc w:val="both"/>
    </w:pPr>
    <w:rPr>
      <w:rFonts w:ascii="Times New Roman" w:hAnsi="Times New Roman" w:eastAsia="楷体_GB2312" w:cs="Times New Roman"/>
      <w:szCs w:val="20"/>
    </w:rPr>
  </w:style>
  <w:style w:type="paragraph" w:styleId="20">
    <w:name w:val="toc 5"/>
    <w:basedOn w:val="1"/>
    <w:next w:val="1"/>
    <w:unhideWhenUsed/>
    <w:qFormat/>
    <w:uiPriority w:val="39"/>
    <w:pPr>
      <w:widowControl w:val="0"/>
      <w:spacing w:line="240" w:lineRule="auto"/>
      <w:ind w:left="1680" w:leftChars="800"/>
      <w:jc w:val="both"/>
    </w:pPr>
    <w:rPr>
      <w:rFonts w:ascii="Calibri" w:hAnsi="Calibri" w:eastAsia="宋体" w:cs="Times New Roman"/>
    </w:rPr>
  </w:style>
  <w:style w:type="paragraph" w:styleId="21">
    <w:name w:val="toc 3"/>
    <w:basedOn w:val="1"/>
    <w:next w:val="1"/>
    <w:unhideWhenUsed/>
    <w:qFormat/>
    <w:uiPriority w:val="39"/>
    <w:pPr>
      <w:widowControl w:val="0"/>
      <w:adjustRightInd w:val="0"/>
      <w:snapToGrid w:val="0"/>
      <w:spacing w:line="360" w:lineRule="auto"/>
      <w:ind w:left="400" w:leftChars="400"/>
      <w:jc w:val="both"/>
    </w:pPr>
    <w:rPr>
      <w:rFonts w:ascii="Times New Roman" w:hAnsi="Times New Roman" w:eastAsia="宋体" w:cs="Times New Roman"/>
      <w:b/>
      <w:szCs w:val="24"/>
    </w:rPr>
  </w:style>
  <w:style w:type="paragraph" w:styleId="22">
    <w:name w:val="Plain Text"/>
    <w:basedOn w:val="1"/>
    <w:link w:val="87"/>
    <w:qFormat/>
    <w:uiPriority w:val="0"/>
    <w:pPr>
      <w:widowControl w:val="0"/>
      <w:spacing w:line="240" w:lineRule="auto"/>
      <w:jc w:val="both"/>
    </w:pPr>
    <w:rPr>
      <w:rFonts w:ascii="宋体" w:hAnsi="Courier New" w:eastAsia="宋体" w:cs="Courier New"/>
      <w:szCs w:val="21"/>
    </w:rPr>
  </w:style>
  <w:style w:type="paragraph" w:styleId="23">
    <w:name w:val="toc 8"/>
    <w:basedOn w:val="1"/>
    <w:next w:val="1"/>
    <w:unhideWhenUsed/>
    <w:qFormat/>
    <w:uiPriority w:val="39"/>
    <w:pPr>
      <w:widowControl w:val="0"/>
      <w:spacing w:line="240" w:lineRule="auto"/>
      <w:ind w:left="2940" w:leftChars="1400"/>
      <w:jc w:val="both"/>
    </w:pPr>
    <w:rPr>
      <w:rFonts w:ascii="Calibri" w:hAnsi="Calibri" w:eastAsia="宋体" w:cs="Times New Roman"/>
    </w:rPr>
  </w:style>
  <w:style w:type="paragraph" w:styleId="24">
    <w:name w:val="Date"/>
    <w:basedOn w:val="1"/>
    <w:next w:val="1"/>
    <w:link w:val="88"/>
    <w:qFormat/>
    <w:uiPriority w:val="0"/>
    <w:pPr>
      <w:widowControl w:val="0"/>
      <w:spacing w:line="240" w:lineRule="auto"/>
      <w:jc w:val="both"/>
    </w:pPr>
    <w:rPr>
      <w:rFonts w:ascii="Times New Roman" w:hAnsi="Times New Roman" w:eastAsia="宋体" w:cs="Times New Roman"/>
      <w:sz w:val="24"/>
      <w:szCs w:val="20"/>
    </w:rPr>
  </w:style>
  <w:style w:type="paragraph" w:styleId="25">
    <w:name w:val="Body Text Indent 2"/>
    <w:basedOn w:val="1"/>
    <w:link w:val="89"/>
    <w:qFormat/>
    <w:uiPriority w:val="0"/>
    <w:pPr>
      <w:widowControl w:val="0"/>
      <w:spacing w:after="120" w:line="480" w:lineRule="auto"/>
      <w:ind w:left="420" w:leftChars="200"/>
      <w:jc w:val="both"/>
    </w:pPr>
    <w:rPr>
      <w:rFonts w:ascii="Times New Roman" w:hAnsi="Times New Roman" w:eastAsia="宋体" w:cs="Times New Roman"/>
      <w:szCs w:val="24"/>
    </w:rPr>
  </w:style>
  <w:style w:type="paragraph" w:styleId="26">
    <w:name w:val="Balloon Text"/>
    <w:basedOn w:val="1"/>
    <w:link w:val="90"/>
    <w:qFormat/>
    <w:uiPriority w:val="0"/>
    <w:pPr>
      <w:widowControl w:val="0"/>
      <w:spacing w:line="240" w:lineRule="auto"/>
      <w:jc w:val="both"/>
    </w:pPr>
    <w:rPr>
      <w:rFonts w:ascii="Times New Roman" w:hAnsi="Times New Roman" w:eastAsia="宋体" w:cs="Times New Roman"/>
      <w:sz w:val="18"/>
      <w:szCs w:val="18"/>
    </w:rPr>
  </w:style>
  <w:style w:type="paragraph" w:styleId="27">
    <w:name w:val="footer"/>
    <w:basedOn w:val="1"/>
    <w:link w:val="79"/>
    <w:unhideWhenUsed/>
    <w:qFormat/>
    <w:uiPriority w:val="0"/>
    <w:pPr>
      <w:tabs>
        <w:tab w:val="center" w:pos="4153"/>
        <w:tab w:val="right" w:pos="8306"/>
      </w:tabs>
      <w:snapToGrid w:val="0"/>
      <w:spacing w:line="240" w:lineRule="atLeast"/>
    </w:pPr>
    <w:rPr>
      <w:sz w:val="18"/>
      <w:szCs w:val="18"/>
    </w:rPr>
  </w:style>
  <w:style w:type="paragraph" w:styleId="28">
    <w:name w:val="header"/>
    <w:basedOn w:val="1"/>
    <w:link w:val="78"/>
    <w:unhideWhenUsed/>
    <w:qFormat/>
    <w:uiPriority w:val="0"/>
    <w:pPr>
      <w:tabs>
        <w:tab w:val="center" w:pos="4153"/>
        <w:tab w:val="right" w:pos="8306"/>
      </w:tabs>
      <w:snapToGrid w:val="0"/>
      <w:spacing w:line="240" w:lineRule="atLeast"/>
      <w:jc w:val="center"/>
    </w:pPr>
    <w:rPr>
      <w:sz w:val="18"/>
      <w:szCs w:val="18"/>
    </w:rPr>
  </w:style>
  <w:style w:type="paragraph" w:styleId="29">
    <w:name w:val="toc 1"/>
    <w:basedOn w:val="1"/>
    <w:next w:val="1"/>
    <w:qFormat/>
    <w:uiPriority w:val="39"/>
    <w:pPr>
      <w:widowControl w:val="0"/>
      <w:spacing w:line="360" w:lineRule="auto"/>
      <w:jc w:val="both"/>
    </w:pPr>
    <w:rPr>
      <w:rFonts w:ascii="宋体" w:hAnsi="宋体" w:eastAsia="宋体" w:cs="Times New Roman"/>
      <w:b/>
      <w:sz w:val="24"/>
      <w:szCs w:val="21"/>
    </w:rPr>
  </w:style>
  <w:style w:type="paragraph" w:styleId="30">
    <w:name w:val="toc 4"/>
    <w:basedOn w:val="1"/>
    <w:next w:val="1"/>
    <w:unhideWhenUsed/>
    <w:qFormat/>
    <w:uiPriority w:val="39"/>
    <w:pPr>
      <w:widowControl w:val="0"/>
      <w:adjustRightInd w:val="0"/>
      <w:snapToGrid w:val="0"/>
      <w:spacing w:line="360" w:lineRule="auto"/>
      <w:ind w:left="600" w:leftChars="600"/>
      <w:jc w:val="both"/>
    </w:pPr>
    <w:rPr>
      <w:rFonts w:ascii="Calibri" w:hAnsi="Calibri" w:eastAsia="宋体" w:cs="Times New Roman"/>
      <w:b/>
    </w:rPr>
  </w:style>
  <w:style w:type="paragraph" w:styleId="31">
    <w:name w:val="Subtitle"/>
    <w:basedOn w:val="1"/>
    <w:next w:val="1"/>
    <w:link w:val="7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footnote text"/>
    <w:basedOn w:val="1"/>
    <w:link w:val="91"/>
    <w:semiHidden/>
    <w:qFormat/>
    <w:uiPriority w:val="0"/>
    <w:pPr>
      <w:widowControl w:val="0"/>
      <w:snapToGrid w:val="0"/>
      <w:spacing w:line="240" w:lineRule="auto"/>
    </w:pPr>
    <w:rPr>
      <w:rFonts w:ascii="Times New Roman" w:hAnsi="Times New Roman" w:eastAsia="宋体" w:cs="Times New Roman"/>
      <w:sz w:val="18"/>
      <w:szCs w:val="18"/>
    </w:rPr>
  </w:style>
  <w:style w:type="paragraph" w:styleId="33">
    <w:name w:val="toc 6"/>
    <w:basedOn w:val="1"/>
    <w:next w:val="1"/>
    <w:qFormat/>
    <w:uiPriority w:val="39"/>
    <w:pPr>
      <w:widowControl w:val="0"/>
      <w:spacing w:line="240" w:lineRule="auto"/>
      <w:ind w:left="2100"/>
      <w:jc w:val="both"/>
    </w:pPr>
    <w:rPr>
      <w:rFonts w:ascii="Times New Roman" w:hAnsi="Times New Roman" w:eastAsia="宋体" w:cs="Times New Roman"/>
      <w:szCs w:val="20"/>
    </w:rPr>
  </w:style>
  <w:style w:type="paragraph" w:styleId="34">
    <w:name w:val="Body Text Indent 3"/>
    <w:basedOn w:val="1"/>
    <w:link w:val="92"/>
    <w:qFormat/>
    <w:uiPriority w:val="0"/>
    <w:pPr>
      <w:widowControl w:val="0"/>
      <w:spacing w:after="120" w:line="240" w:lineRule="auto"/>
      <w:ind w:left="420" w:leftChars="200"/>
      <w:jc w:val="both"/>
    </w:pPr>
    <w:rPr>
      <w:rFonts w:ascii="Times New Roman" w:hAnsi="Times New Roman" w:eastAsia="宋体" w:cs="Times New Roman"/>
      <w:sz w:val="16"/>
      <w:szCs w:val="16"/>
    </w:rPr>
  </w:style>
  <w:style w:type="paragraph" w:styleId="35">
    <w:name w:val="toc 2"/>
    <w:basedOn w:val="1"/>
    <w:next w:val="1"/>
    <w:unhideWhenUsed/>
    <w:qFormat/>
    <w:uiPriority w:val="39"/>
    <w:pPr>
      <w:widowControl w:val="0"/>
      <w:spacing w:line="360" w:lineRule="auto"/>
      <w:ind w:left="200" w:leftChars="200"/>
      <w:jc w:val="both"/>
    </w:pPr>
    <w:rPr>
      <w:rFonts w:ascii="Times New Roman" w:hAnsi="Times New Roman" w:eastAsia="宋体" w:cs="Times New Roman"/>
      <w:b/>
      <w:szCs w:val="24"/>
    </w:rPr>
  </w:style>
  <w:style w:type="paragraph" w:styleId="36">
    <w:name w:val="toc 9"/>
    <w:basedOn w:val="1"/>
    <w:next w:val="1"/>
    <w:unhideWhenUsed/>
    <w:qFormat/>
    <w:uiPriority w:val="39"/>
    <w:pPr>
      <w:widowControl w:val="0"/>
      <w:spacing w:line="240" w:lineRule="auto"/>
      <w:ind w:left="3360" w:leftChars="1600"/>
      <w:jc w:val="both"/>
    </w:pPr>
    <w:rPr>
      <w:rFonts w:ascii="Calibri" w:hAnsi="Calibri" w:eastAsia="宋体" w:cs="Times New Roman"/>
    </w:rPr>
  </w:style>
  <w:style w:type="paragraph" w:styleId="37">
    <w:name w:val="Body Text 2"/>
    <w:basedOn w:val="1"/>
    <w:link w:val="93"/>
    <w:qFormat/>
    <w:uiPriority w:val="0"/>
    <w:pPr>
      <w:widowControl w:val="0"/>
      <w:spacing w:after="120" w:line="480" w:lineRule="auto"/>
      <w:jc w:val="both"/>
    </w:pPr>
    <w:rPr>
      <w:rFonts w:ascii="Times New Roman" w:hAnsi="Times New Roman" w:eastAsia="宋体" w:cs="Times New Roman"/>
      <w:szCs w:val="24"/>
    </w:rPr>
  </w:style>
  <w:style w:type="paragraph" w:styleId="38">
    <w:name w:val="HTML Preformatted"/>
    <w:basedOn w:val="1"/>
    <w:link w:val="94"/>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w:hAnsi="Arial" w:eastAsia="宋体" w:cs="Arial"/>
      <w:kern w:val="0"/>
      <w:sz w:val="24"/>
      <w:szCs w:val="24"/>
    </w:rPr>
  </w:style>
  <w:style w:type="paragraph" w:styleId="39">
    <w:name w:val="Normal (Web)"/>
    <w:basedOn w:val="1"/>
    <w:qFormat/>
    <w:uiPriority w:val="99"/>
    <w:pPr>
      <w:spacing w:before="100" w:beforeAutospacing="1" w:after="100" w:afterAutospacing="1" w:line="240" w:lineRule="auto"/>
    </w:pPr>
    <w:rPr>
      <w:rFonts w:ascii="宋体" w:hAnsi="宋体" w:eastAsia="宋体" w:cs="宋体"/>
      <w:kern w:val="0"/>
      <w:sz w:val="24"/>
      <w:szCs w:val="24"/>
    </w:rPr>
  </w:style>
  <w:style w:type="paragraph" w:styleId="40">
    <w:name w:val="index 1"/>
    <w:basedOn w:val="1"/>
    <w:next w:val="1"/>
    <w:qFormat/>
    <w:uiPriority w:val="0"/>
    <w:pPr>
      <w:widowControl w:val="0"/>
      <w:spacing w:line="220" w:lineRule="exact"/>
      <w:jc w:val="center"/>
    </w:pPr>
    <w:rPr>
      <w:rFonts w:ascii="仿宋_GB2312" w:hAnsi="Times New Roman" w:eastAsia="仿宋_GB2312" w:cs="Times New Roman"/>
      <w:szCs w:val="20"/>
    </w:rPr>
  </w:style>
  <w:style w:type="paragraph" w:styleId="41">
    <w:name w:val="Title"/>
    <w:basedOn w:val="1"/>
    <w:next w:val="1"/>
    <w:link w:val="69"/>
    <w:qFormat/>
    <w:uiPriority w:val="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42">
    <w:name w:val="annotation subject"/>
    <w:basedOn w:val="14"/>
    <w:next w:val="14"/>
    <w:link w:val="95"/>
    <w:qFormat/>
    <w:uiPriority w:val="0"/>
    <w:rPr>
      <w:b/>
      <w:bCs/>
    </w:rPr>
  </w:style>
  <w:style w:type="paragraph" w:styleId="43">
    <w:name w:val="Body Text First Indent 2"/>
    <w:basedOn w:val="18"/>
    <w:link w:val="96"/>
    <w:qFormat/>
    <w:uiPriority w:val="0"/>
    <w:pPr>
      <w:ind w:firstLine="420" w:firstLineChars="200"/>
    </w:pPr>
  </w:style>
  <w:style w:type="table" w:styleId="45">
    <w:name w:val="Table Grid"/>
    <w:basedOn w:val="44"/>
    <w:qFormat/>
    <w:uiPriority w:val="59"/>
    <w:pPr>
      <w:widowControl w:val="0"/>
      <w:spacing w:line="240" w:lineRule="auto"/>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rFonts w:ascii="Times New Roman" w:hAnsi="Times New Roman" w:eastAsia="宋体"/>
    </w:rPr>
  </w:style>
  <w:style w:type="character" w:styleId="51">
    <w:name w:val="HTML Definition"/>
    <w:qFormat/>
    <w:uiPriority w:val="0"/>
    <w:rPr>
      <w:rFonts w:ascii="Times New Roman" w:hAnsi="Times New Roman" w:eastAsia="宋体"/>
    </w:rPr>
  </w:style>
  <w:style w:type="character" w:styleId="52">
    <w:name w:val="HTML Variable"/>
    <w:qFormat/>
    <w:uiPriority w:val="0"/>
    <w:rPr>
      <w:rFonts w:ascii="Times New Roman" w:hAnsi="Times New Roman" w:eastAsia="宋体"/>
    </w:rPr>
  </w:style>
  <w:style w:type="character" w:styleId="53">
    <w:name w:val="Hyperlink"/>
    <w:qFormat/>
    <w:uiPriority w:val="99"/>
    <w:rPr>
      <w:color w:val="136EC2"/>
      <w:u w:val="single"/>
    </w:rPr>
  </w:style>
  <w:style w:type="character" w:styleId="54">
    <w:name w:val="HTML Code"/>
    <w:qFormat/>
    <w:uiPriority w:val="0"/>
    <w:rPr>
      <w:rFonts w:ascii="Courier New" w:hAnsi="Courier New" w:eastAsia="Courier New" w:cs="Courier New"/>
      <w:sz w:val="20"/>
    </w:rPr>
  </w:style>
  <w:style w:type="character" w:styleId="55">
    <w:name w:val="annotation reference"/>
    <w:qFormat/>
    <w:uiPriority w:val="0"/>
    <w:rPr>
      <w:sz w:val="21"/>
      <w:szCs w:val="21"/>
    </w:rPr>
  </w:style>
  <w:style w:type="character" w:styleId="56">
    <w:name w:val="HTML Cite"/>
    <w:qFormat/>
    <w:uiPriority w:val="0"/>
    <w:rPr>
      <w:rFonts w:ascii="Times New Roman" w:hAnsi="Times New Roman" w:eastAsia="宋体"/>
    </w:rPr>
  </w:style>
  <w:style w:type="character" w:styleId="57">
    <w:name w:val="footnote reference"/>
    <w:basedOn w:val="46"/>
    <w:semiHidden/>
    <w:qFormat/>
    <w:uiPriority w:val="0"/>
    <w:rPr>
      <w:vertAlign w:val="superscript"/>
    </w:rPr>
  </w:style>
  <w:style w:type="character" w:styleId="58">
    <w:name w:val="HTML Keyboard"/>
    <w:qFormat/>
    <w:uiPriority w:val="0"/>
    <w:rPr>
      <w:rFonts w:ascii="Courier New" w:hAnsi="Courier New" w:eastAsia="Courier New" w:cs="Courier New"/>
      <w:sz w:val="20"/>
    </w:rPr>
  </w:style>
  <w:style w:type="character" w:styleId="59">
    <w:name w:val="HTML Sample"/>
    <w:qFormat/>
    <w:uiPriority w:val="0"/>
    <w:rPr>
      <w:rFonts w:ascii="Courier New" w:hAnsi="Courier New" w:eastAsia="Courier New" w:cs="Courier New"/>
    </w:rPr>
  </w:style>
  <w:style w:type="character" w:customStyle="1" w:styleId="60">
    <w:name w:val="标题 1 字符"/>
    <w:basedOn w:val="46"/>
    <w:link w:val="2"/>
    <w:qFormat/>
    <w:uiPriority w:val="0"/>
    <w:rPr>
      <w:rFonts w:asciiTheme="majorHAnsi" w:hAnsiTheme="majorHAnsi" w:eastAsiaTheme="majorEastAsia" w:cstheme="majorBidi"/>
      <w:color w:val="104862" w:themeColor="accent1" w:themeShade="BF"/>
      <w:sz w:val="48"/>
      <w:szCs w:val="48"/>
    </w:rPr>
  </w:style>
  <w:style w:type="character" w:customStyle="1" w:styleId="61">
    <w:name w:val="标题 2 字符"/>
    <w:basedOn w:val="46"/>
    <w:link w:val="3"/>
    <w:qFormat/>
    <w:uiPriority w:val="0"/>
    <w:rPr>
      <w:rFonts w:asciiTheme="majorHAnsi" w:hAnsiTheme="majorHAnsi" w:eastAsiaTheme="majorEastAsia" w:cstheme="majorBidi"/>
      <w:color w:val="104862" w:themeColor="accent1" w:themeShade="BF"/>
      <w:sz w:val="40"/>
      <w:szCs w:val="40"/>
    </w:rPr>
  </w:style>
  <w:style w:type="character" w:customStyle="1" w:styleId="62">
    <w:name w:val="标题 3 字符"/>
    <w:basedOn w:val="46"/>
    <w:link w:val="4"/>
    <w:qFormat/>
    <w:uiPriority w:val="0"/>
    <w:rPr>
      <w:rFonts w:asciiTheme="majorHAnsi" w:hAnsiTheme="majorHAnsi" w:eastAsiaTheme="majorEastAsia" w:cstheme="majorBidi"/>
      <w:color w:val="104862" w:themeColor="accent1" w:themeShade="BF"/>
      <w:sz w:val="32"/>
      <w:szCs w:val="32"/>
    </w:rPr>
  </w:style>
  <w:style w:type="character" w:customStyle="1" w:styleId="63">
    <w:name w:val="标题 4 字符"/>
    <w:basedOn w:val="46"/>
    <w:link w:val="5"/>
    <w:qFormat/>
    <w:uiPriority w:val="0"/>
    <w:rPr>
      <w:rFonts w:cstheme="majorBidi"/>
      <w:color w:val="104862" w:themeColor="accent1" w:themeShade="BF"/>
      <w:sz w:val="28"/>
      <w:szCs w:val="28"/>
    </w:rPr>
  </w:style>
  <w:style w:type="character" w:customStyle="1" w:styleId="64">
    <w:name w:val="标题 5 字符"/>
    <w:basedOn w:val="46"/>
    <w:link w:val="6"/>
    <w:qFormat/>
    <w:uiPriority w:val="0"/>
    <w:rPr>
      <w:rFonts w:cstheme="majorBidi"/>
      <w:color w:val="104862" w:themeColor="accent1" w:themeShade="BF"/>
      <w:sz w:val="24"/>
      <w:szCs w:val="24"/>
    </w:rPr>
  </w:style>
  <w:style w:type="character" w:customStyle="1" w:styleId="65">
    <w:name w:val="标题 6 字符"/>
    <w:basedOn w:val="46"/>
    <w:link w:val="7"/>
    <w:qFormat/>
    <w:uiPriority w:val="0"/>
    <w:rPr>
      <w:rFonts w:cstheme="majorBidi"/>
      <w:b/>
      <w:bCs/>
      <w:color w:val="104862" w:themeColor="accent1" w:themeShade="BF"/>
    </w:rPr>
  </w:style>
  <w:style w:type="character" w:customStyle="1" w:styleId="66">
    <w:name w:val="标题 7 字符"/>
    <w:basedOn w:val="46"/>
    <w:link w:val="8"/>
    <w:qFormat/>
    <w:uiPriority w:val="0"/>
    <w:rPr>
      <w:rFonts w:cstheme="majorBidi"/>
      <w:b/>
      <w:bCs/>
      <w:color w:val="595959" w:themeColor="text1" w:themeTint="A6"/>
      <w14:textFill>
        <w14:solidFill>
          <w14:schemeClr w14:val="tx1">
            <w14:lumMod w14:val="65000"/>
            <w14:lumOff w14:val="35000"/>
          </w14:schemeClr>
        </w14:solidFill>
      </w14:textFill>
    </w:rPr>
  </w:style>
  <w:style w:type="character" w:customStyle="1" w:styleId="67">
    <w:name w:val="标题 8 字符"/>
    <w:basedOn w:val="46"/>
    <w:link w:val="9"/>
    <w:qFormat/>
    <w:uiPriority w:val="0"/>
    <w:rPr>
      <w:rFonts w:cstheme="majorBidi"/>
      <w:color w:val="595959" w:themeColor="text1" w:themeTint="A6"/>
      <w14:textFill>
        <w14:solidFill>
          <w14:schemeClr w14:val="tx1">
            <w14:lumMod w14:val="65000"/>
            <w14:lumOff w14:val="35000"/>
          </w14:schemeClr>
        </w14:solidFill>
      </w14:textFill>
    </w:rPr>
  </w:style>
  <w:style w:type="character" w:customStyle="1" w:styleId="68">
    <w:name w:val="标题 9 字符"/>
    <w:basedOn w:val="46"/>
    <w:link w:val="10"/>
    <w:qFormat/>
    <w:uiPriority w:val="0"/>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69">
    <w:name w:val="标题 字符"/>
    <w:basedOn w:val="46"/>
    <w:link w:val="41"/>
    <w:qFormat/>
    <w:uiPriority w:val="0"/>
    <w:rPr>
      <w:rFonts w:asciiTheme="majorHAnsi" w:hAnsiTheme="majorHAnsi" w:eastAsiaTheme="majorEastAsia" w:cstheme="majorBidi"/>
      <w:spacing w:val="-10"/>
      <w:kern w:val="28"/>
      <w:sz w:val="56"/>
      <w:szCs w:val="56"/>
    </w:rPr>
  </w:style>
  <w:style w:type="character" w:customStyle="1" w:styleId="70">
    <w:name w:val="副标题 字符"/>
    <w:basedOn w:val="46"/>
    <w:link w:val="3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71">
    <w:name w:val="Quote"/>
    <w:basedOn w:val="1"/>
    <w:next w:val="1"/>
    <w:link w:val="7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72">
    <w:name w:val="引用 字符"/>
    <w:basedOn w:val="46"/>
    <w:link w:val="71"/>
    <w:qFormat/>
    <w:uiPriority w:val="29"/>
    <w:rPr>
      <w:i/>
      <w:iCs/>
      <w:color w:val="404040" w:themeColor="text1" w:themeTint="BF"/>
      <w14:textFill>
        <w14:solidFill>
          <w14:schemeClr w14:val="tx1">
            <w14:lumMod w14:val="75000"/>
            <w14:lumOff w14:val="25000"/>
          </w14:schemeClr>
        </w14:solidFill>
      </w14:textFill>
    </w:rPr>
  </w:style>
  <w:style w:type="paragraph" w:styleId="73">
    <w:name w:val="List Paragraph"/>
    <w:basedOn w:val="1"/>
    <w:link w:val="124"/>
    <w:qFormat/>
    <w:uiPriority w:val="0"/>
    <w:pPr>
      <w:ind w:left="720"/>
      <w:contextualSpacing/>
    </w:pPr>
  </w:style>
  <w:style w:type="character" w:customStyle="1" w:styleId="74">
    <w:name w:val="Intense Emphasis"/>
    <w:basedOn w:val="46"/>
    <w:qFormat/>
    <w:uiPriority w:val="21"/>
    <w:rPr>
      <w:i/>
      <w:iCs/>
      <w:color w:val="104862" w:themeColor="accent1" w:themeShade="BF"/>
    </w:rPr>
  </w:style>
  <w:style w:type="paragraph" w:styleId="75">
    <w:name w:val="Intense Quote"/>
    <w:basedOn w:val="1"/>
    <w:next w:val="1"/>
    <w:link w:val="7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76">
    <w:name w:val="明显引用 字符"/>
    <w:basedOn w:val="46"/>
    <w:link w:val="75"/>
    <w:qFormat/>
    <w:uiPriority w:val="30"/>
    <w:rPr>
      <w:i/>
      <w:iCs/>
      <w:color w:val="104862" w:themeColor="accent1" w:themeShade="BF"/>
    </w:rPr>
  </w:style>
  <w:style w:type="character" w:customStyle="1" w:styleId="77">
    <w:name w:val="Intense Reference"/>
    <w:basedOn w:val="46"/>
    <w:qFormat/>
    <w:uiPriority w:val="32"/>
    <w:rPr>
      <w:b/>
      <w:bCs/>
      <w:smallCaps/>
      <w:color w:val="104862" w:themeColor="accent1" w:themeShade="BF"/>
      <w:spacing w:val="5"/>
    </w:rPr>
  </w:style>
  <w:style w:type="character" w:customStyle="1" w:styleId="78">
    <w:name w:val="页眉 字符"/>
    <w:basedOn w:val="46"/>
    <w:link w:val="28"/>
    <w:qFormat/>
    <w:uiPriority w:val="0"/>
    <w:rPr>
      <w:sz w:val="18"/>
      <w:szCs w:val="18"/>
    </w:rPr>
  </w:style>
  <w:style w:type="character" w:customStyle="1" w:styleId="79">
    <w:name w:val="页脚 字符"/>
    <w:basedOn w:val="46"/>
    <w:link w:val="27"/>
    <w:qFormat/>
    <w:uiPriority w:val="0"/>
    <w:rPr>
      <w:sz w:val="18"/>
      <w:szCs w:val="18"/>
    </w:rPr>
  </w:style>
  <w:style w:type="paragraph" w:customStyle="1" w:styleId="80">
    <w:name w:val="列出段落1"/>
    <w:basedOn w:val="1"/>
    <w:qFormat/>
    <w:uiPriority w:val="0"/>
    <w:pPr>
      <w:widowControl w:val="0"/>
      <w:spacing w:line="240" w:lineRule="auto"/>
      <w:ind w:firstLine="420" w:firstLineChars="200"/>
      <w:jc w:val="both"/>
    </w:pPr>
    <w:rPr>
      <w:rFonts w:ascii="Times New Roman" w:hAnsi="Times New Roman" w:eastAsia="宋体" w:cs="Times New Roman"/>
      <w:szCs w:val="21"/>
    </w:rPr>
  </w:style>
  <w:style w:type="character" w:customStyle="1" w:styleId="81">
    <w:name w:val="文档结构图 字符"/>
    <w:basedOn w:val="46"/>
    <w:link w:val="13"/>
    <w:semiHidden/>
    <w:qFormat/>
    <w:uiPriority w:val="0"/>
    <w:rPr>
      <w:rFonts w:ascii="Times New Roman" w:hAnsi="Times New Roman" w:eastAsia="宋体" w:cs="Times New Roman"/>
      <w:szCs w:val="24"/>
      <w:shd w:val="clear" w:color="auto" w:fill="000080"/>
    </w:rPr>
  </w:style>
  <w:style w:type="character" w:customStyle="1" w:styleId="82">
    <w:name w:val="批注文字 字符"/>
    <w:basedOn w:val="46"/>
    <w:link w:val="14"/>
    <w:semiHidden/>
    <w:qFormat/>
    <w:uiPriority w:val="0"/>
    <w:rPr>
      <w:rFonts w:ascii="Times New Roman" w:hAnsi="Times New Roman" w:eastAsia="宋体" w:cs="Times New Roman"/>
      <w:szCs w:val="24"/>
    </w:rPr>
  </w:style>
  <w:style w:type="character" w:customStyle="1" w:styleId="83">
    <w:name w:val="称呼 字符"/>
    <w:basedOn w:val="46"/>
    <w:link w:val="15"/>
    <w:qFormat/>
    <w:uiPriority w:val="0"/>
    <w:rPr>
      <w:rFonts w:ascii="仿宋_GB2312" w:hAnsi="Times New Roman" w:eastAsia="仿宋_GB2312" w:cs="Times New Roman"/>
      <w:sz w:val="24"/>
      <w:szCs w:val="24"/>
    </w:rPr>
  </w:style>
  <w:style w:type="character" w:customStyle="1" w:styleId="84">
    <w:name w:val="正文文本 3 字符"/>
    <w:basedOn w:val="46"/>
    <w:link w:val="16"/>
    <w:qFormat/>
    <w:uiPriority w:val="0"/>
    <w:rPr>
      <w:rFonts w:ascii="宋体" w:hAnsi="Times New Roman" w:eastAsia="宋体" w:cs="Times New Roman"/>
      <w:color w:val="000000"/>
      <w:kern w:val="0"/>
      <w:sz w:val="24"/>
      <w:szCs w:val="20"/>
      <w:lang w:val="zh-CN"/>
    </w:rPr>
  </w:style>
  <w:style w:type="character" w:customStyle="1" w:styleId="85">
    <w:name w:val="正文文本 字符"/>
    <w:basedOn w:val="46"/>
    <w:link w:val="17"/>
    <w:qFormat/>
    <w:uiPriority w:val="0"/>
    <w:rPr>
      <w:rFonts w:ascii="Times New Roman" w:hAnsi="Times New Roman" w:eastAsia="宋体" w:cs="Times New Roman"/>
      <w:szCs w:val="24"/>
    </w:rPr>
  </w:style>
  <w:style w:type="character" w:customStyle="1" w:styleId="86">
    <w:name w:val="正文文本缩进 字符"/>
    <w:basedOn w:val="46"/>
    <w:link w:val="18"/>
    <w:qFormat/>
    <w:uiPriority w:val="0"/>
    <w:rPr>
      <w:rFonts w:ascii="Times New Roman" w:hAnsi="Times New Roman" w:eastAsia="宋体" w:cs="Times New Roman"/>
      <w:szCs w:val="24"/>
    </w:rPr>
  </w:style>
  <w:style w:type="character" w:customStyle="1" w:styleId="87">
    <w:name w:val="纯文本 字符"/>
    <w:basedOn w:val="46"/>
    <w:link w:val="22"/>
    <w:qFormat/>
    <w:uiPriority w:val="0"/>
    <w:rPr>
      <w:rFonts w:ascii="宋体" w:hAnsi="Courier New" w:eastAsia="宋体" w:cs="Courier New"/>
      <w:szCs w:val="21"/>
    </w:rPr>
  </w:style>
  <w:style w:type="character" w:customStyle="1" w:styleId="88">
    <w:name w:val="日期 字符"/>
    <w:basedOn w:val="46"/>
    <w:link w:val="24"/>
    <w:qFormat/>
    <w:uiPriority w:val="0"/>
    <w:rPr>
      <w:rFonts w:ascii="Times New Roman" w:hAnsi="Times New Roman" w:eastAsia="宋体" w:cs="Times New Roman"/>
      <w:sz w:val="24"/>
      <w:szCs w:val="20"/>
    </w:rPr>
  </w:style>
  <w:style w:type="character" w:customStyle="1" w:styleId="89">
    <w:name w:val="正文文本缩进 2 字符"/>
    <w:basedOn w:val="46"/>
    <w:link w:val="25"/>
    <w:qFormat/>
    <w:uiPriority w:val="0"/>
    <w:rPr>
      <w:rFonts w:ascii="Times New Roman" w:hAnsi="Times New Roman" w:eastAsia="宋体" w:cs="Times New Roman"/>
      <w:szCs w:val="24"/>
    </w:rPr>
  </w:style>
  <w:style w:type="character" w:customStyle="1" w:styleId="90">
    <w:name w:val="批注框文本 字符"/>
    <w:basedOn w:val="46"/>
    <w:link w:val="26"/>
    <w:qFormat/>
    <w:uiPriority w:val="0"/>
    <w:rPr>
      <w:rFonts w:ascii="Times New Roman" w:hAnsi="Times New Roman" w:eastAsia="宋体" w:cs="Times New Roman"/>
      <w:sz w:val="18"/>
      <w:szCs w:val="18"/>
    </w:rPr>
  </w:style>
  <w:style w:type="character" w:customStyle="1" w:styleId="91">
    <w:name w:val="脚注文本 字符"/>
    <w:basedOn w:val="46"/>
    <w:link w:val="32"/>
    <w:semiHidden/>
    <w:qFormat/>
    <w:uiPriority w:val="0"/>
    <w:rPr>
      <w:rFonts w:ascii="Times New Roman" w:hAnsi="Times New Roman" w:eastAsia="宋体" w:cs="Times New Roman"/>
      <w:sz w:val="18"/>
      <w:szCs w:val="18"/>
    </w:rPr>
  </w:style>
  <w:style w:type="character" w:customStyle="1" w:styleId="92">
    <w:name w:val="正文文本缩进 3 字符"/>
    <w:basedOn w:val="46"/>
    <w:link w:val="34"/>
    <w:qFormat/>
    <w:uiPriority w:val="0"/>
    <w:rPr>
      <w:rFonts w:ascii="Times New Roman" w:hAnsi="Times New Roman" w:eastAsia="宋体" w:cs="Times New Roman"/>
      <w:sz w:val="16"/>
      <w:szCs w:val="16"/>
    </w:rPr>
  </w:style>
  <w:style w:type="character" w:customStyle="1" w:styleId="93">
    <w:name w:val="正文文本 2 字符"/>
    <w:basedOn w:val="46"/>
    <w:link w:val="37"/>
    <w:qFormat/>
    <w:uiPriority w:val="0"/>
    <w:rPr>
      <w:rFonts w:ascii="Times New Roman" w:hAnsi="Times New Roman" w:eastAsia="宋体" w:cs="Times New Roman"/>
      <w:szCs w:val="24"/>
    </w:rPr>
  </w:style>
  <w:style w:type="character" w:customStyle="1" w:styleId="94">
    <w:name w:val="HTML 预设格式 字符"/>
    <w:basedOn w:val="46"/>
    <w:link w:val="38"/>
    <w:qFormat/>
    <w:uiPriority w:val="0"/>
    <w:rPr>
      <w:rFonts w:ascii="Arial" w:hAnsi="Arial" w:eastAsia="宋体" w:cs="Arial"/>
      <w:kern w:val="0"/>
      <w:sz w:val="24"/>
      <w:szCs w:val="24"/>
    </w:rPr>
  </w:style>
  <w:style w:type="character" w:customStyle="1" w:styleId="95">
    <w:name w:val="批注主题 字符"/>
    <w:basedOn w:val="82"/>
    <w:link w:val="42"/>
    <w:qFormat/>
    <w:uiPriority w:val="0"/>
    <w:rPr>
      <w:rFonts w:ascii="Times New Roman" w:hAnsi="Times New Roman" w:eastAsia="宋体" w:cs="Times New Roman"/>
      <w:b/>
      <w:bCs/>
      <w:szCs w:val="24"/>
    </w:rPr>
  </w:style>
  <w:style w:type="character" w:customStyle="1" w:styleId="96">
    <w:name w:val="正文文本首行缩进 2 字符"/>
    <w:basedOn w:val="86"/>
    <w:link w:val="43"/>
    <w:qFormat/>
    <w:uiPriority w:val="0"/>
    <w:rPr>
      <w:rFonts w:ascii="Times New Roman" w:hAnsi="Times New Roman" w:eastAsia="宋体" w:cs="Times New Roman"/>
      <w:szCs w:val="24"/>
    </w:rPr>
  </w:style>
  <w:style w:type="paragraph" w:customStyle="1" w:styleId="97">
    <w:name w:val="表格内容"/>
    <w:basedOn w:val="17"/>
    <w:qFormat/>
    <w:uiPriority w:val="0"/>
    <w:pPr>
      <w:suppressLineNumbers/>
      <w:suppressAutoHyphens/>
      <w:jc w:val="left"/>
    </w:pPr>
    <w:rPr>
      <w:rFonts w:cs="Tahoma"/>
      <w:kern w:val="0"/>
      <w:sz w:val="24"/>
    </w:rPr>
  </w:style>
  <w:style w:type="paragraph" w:customStyle="1" w:styleId="98">
    <w:name w:val="Char Char Char Char Char Char Char"/>
    <w:basedOn w:val="1"/>
    <w:qFormat/>
    <w:uiPriority w:val="0"/>
    <w:pPr>
      <w:widowControl w:val="0"/>
      <w:snapToGrid w:val="0"/>
      <w:spacing w:line="360" w:lineRule="auto"/>
      <w:ind w:firstLine="200" w:firstLineChars="200"/>
      <w:jc w:val="both"/>
    </w:pPr>
    <w:rPr>
      <w:rFonts w:ascii="Times New Roman" w:hAnsi="Times New Roman" w:eastAsia="仿宋_GB2312" w:cs="Times New Roman"/>
      <w:sz w:val="24"/>
      <w:szCs w:val="24"/>
    </w:rPr>
  </w:style>
  <w:style w:type="paragraph" w:customStyle="1" w:styleId="99">
    <w:name w:val="Char Char Char Char Char Char Char1"/>
    <w:basedOn w:val="1"/>
    <w:qFormat/>
    <w:uiPriority w:val="0"/>
    <w:pPr>
      <w:widowControl w:val="0"/>
      <w:snapToGrid w:val="0"/>
      <w:spacing w:line="360" w:lineRule="auto"/>
      <w:ind w:firstLine="200" w:firstLineChars="200"/>
      <w:jc w:val="both"/>
    </w:pPr>
    <w:rPr>
      <w:rFonts w:ascii="Times New Roman" w:hAnsi="Times New Roman" w:eastAsia="仿宋_GB2312" w:cs="Times New Roman"/>
      <w:sz w:val="24"/>
      <w:szCs w:val="24"/>
    </w:rPr>
  </w:style>
  <w:style w:type="paragraph" w:customStyle="1" w:styleId="100">
    <w:name w:val="Char Char Char"/>
    <w:basedOn w:val="1"/>
    <w:qFormat/>
    <w:uiPriority w:val="0"/>
    <w:pPr>
      <w:widowControl w:val="0"/>
      <w:spacing w:line="240" w:lineRule="auto"/>
      <w:jc w:val="both"/>
    </w:pPr>
    <w:rPr>
      <w:rFonts w:ascii="宋体" w:hAnsi="宋体" w:eastAsia="宋体" w:cs="Times New Roman"/>
      <w:b/>
      <w:sz w:val="28"/>
      <w:szCs w:val="28"/>
    </w:rPr>
  </w:style>
  <w:style w:type="paragraph" w:customStyle="1" w:styleId="101">
    <w:name w:val="Char Char1 Char Char Char Char Char Char Char Char Char Char Char Char Char Char Char"/>
    <w:basedOn w:val="1"/>
    <w:qFormat/>
    <w:uiPriority w:val="0"/>
    <w:pPr>
      <w:spacing w:after="160" w:line="240" w:lineRule="exact"/>
    </w:pPr>
    <w:rPr>
      <w:rFonts w:ascii="Verdana" w:hAnsi="Verdana" w:eastAsia="宋体" w:cs="Times New Roman"/>
      <w:kern w:val="0"/>
      <w:sz w:val="20"/>
      <w:szCs w:val="20"/>
      <w:lang w:eastAsia="en-US"/>
    </w:rPr>
  </w:style>
  <w:style w:type="paragraph" w:customStyle="1" w:styleId="102">
    <w:name w:val="Char"/>
    <w:basedOn w:val="1"/>
    <w:qFormat/>
    <w:uiPriority w:val="0"/>
    <w:pPr>
      <w:widowControl w:val="0"/>
      <w:tabs>
        <w:tab w:val="left" w:pos="360"/>
      </w:tabs>
      <w:spacing w:line="240" w:lineRule="auto"/>
      <w:ind w:left="360" w:hanging="360" w:hangingChars="200"/>
      <w:jc w:val="both"/>
    </w:pPr>
    <w:rPr>
      <w:rFonts w:ascii="Times New Roman" w:hAnsi="Times New Roman" w:eastAsia="宋体" w:cs="Times New Roman"/>
      <w:sz w:val="24"/>
      <w:szCs w:val="24"/>
    </w:rPr>
  </w:style>
  <w:style w:type="paragraph" w:customStyle="1" w:styleId="103">
    <w:name w:val="样式1"/>
    <w:basedOn w:val="1"/>
    <w:link w:val="104"/>
    <w:qFormat/>
    <w:uiPriority w:val="0"/>
    <w:pPr>
      <w:widowControl w:val="0"/>
      <w:tabs>
        <w:tab w:val="left" w:pos="360"/>
      </w:tabs>
      <w:adjustRightInd w:val="0"/>
      <w:spacing w:line="240" w:lineRule="auto"/>
      <w:ind w:left="360" w:hanging="360"/>
      <w:jc w:val="both"/>
      <w:textAlignment w:val="baseline"/>
    </w:pPr>
    <w:rPr>
      <w:rFonts w:ascii="宋体" w:hAnsi="宋体" w:eastAsia="宋体" w:cs="Times New Roman"/>
      <w:kern w:val="0"/>
      <w:szCs w:val="21"/>
    </w:rPr>
  </w:style>
  <w:style w:type="character" w:customStyle="1" w:styleId="104">
    <w:name w:val="样式1 Char Char"/>
    <w:link w:val="103"/>
    <w:qFormat/>
    <w:uiPriority w:val="0"/>
    <w:rPr>
      <w:rFonts w:ascii="宋体" w:hAnsi="宋体" w:eastAsia="宋体" w:cs="Times New Roman"/>
      <w:kern w:val="0"/>
      <w:szCs w:val="21"/>
    </w:rPr>
  </w:style>
  <w:style w:type="character" w:customStyle="1" w:styleId="105">
    <w:name w:val="p0 Char"/>
    <w:link w:val="106"/>
    <w:qFormat/>
    <w:uiPriority w:val="0"/>
    <w:rPr>
      <w:rFonts w:eastAsia="宋体"/>
      <w:szCs w:val="21"/>
    </w:rPr>
  </w:style>
  <w:style w:type="paragraph" w:customStyle="1" w:styleId="106">
    <w:name w:val="p0"/>
    <w:basedOn w:val="1"/>
    <w:link w:val="105"/>
    <w:qFormat/>
    <w:uiPriority w:val="0"/>
    <w:pPr>
      <w:spacing w:line="240" w:lineRule="auto"/>
      <w:jc w:val="both"/>
    </w:pPr>
    <w:rPr>
      <w:rFonts w:eastAsia="宋体"/>
      <w:szCs w:val="21"/>
    </w:rPr>
  </w:style>
  <w:style w:type="paragraph" w:customStyle="1" w:styleId="107">
    <w:name w:val="Char11"/>
    <w:basedOn w:val="1"/>
    <w:qFormat/>
    <w:uiPriority w:val="0"/>
    <w:pPr>
      <w:spacing w:after="160" w:line="240" w:lineRule="exact"/>
    </w:pPr>
    <w:rPr>
      <w:rFonts w:ascii="Verdana" w:hAnsi="Verdana" w:eastAsia="宋体" w:cs="Times New Roman"/>
      <w:kern w:val="0"/>
      <w:sz w:val="20"/>
      <w:szCs w:val="20"/>
      <w:lang w:eastAsia="en-US"/>
    </w:rPr>
  </w:style>
  <w:style w:type="paragraph" w:customStyle="1" w:styleId="108">
    <w:name w:val="Char Char1 Char Char Char Char Char1 Char Char Char Char"/>
    <w:basedOn w:val="13"/>
    <w:qFormat/>
    <w:uiPriority w:val="0"/>
    <w:rPr>
      <w:rFonts w:ascii="Tahoma" w:hAnsi="Tahoma"/>
    </w:rPr>
  </w:style>
  <w:style w:type="paragraph" w:customStyle="1" w:styleId="109">
    <w:name w:val="样式 样式 样式 样式 标题 2 + 宋体 五号 非加粗 黑色 + 段前: 6 磅 段后: 0 磅 行距: 单倍行距 + 段前:..."/>
    <w:basedOn w:val="1"/>
    <w:qFormat/>
    <w:uiPriority w:val="0"/>
    <w:pPr>
      <w:keepNext/>
      <w:keepLines/>
      <w:widowControl w:val="0"/>
      <w:tabs>
        <w:tab w:val="left" w:pos="840"/>
      </w:tabs>
      <w:adjustRightInd w:val="0"/>
      <w:spacing w:before="240" w:line="240" w:lineRule="auto"/>
      <w:ind w:left="840" w:hanging="420"/>
      <w:textAlignment w:val="baseline"/>
      <w:outlineLvl w:val="1"/>
    </w:pPr>
    <w:rPr>
      <w:rFonts w:ascii="宋体" w:hAnsi="宋体" w:eastAsia="宋体" w:cs="Times New Roman"/>
      <w:b/>
      <w:bCs/>
      <w:color w:val="000000"/>
      <w:kern w:val="0"/>
      <w:szCs w:val="20"/>
    </w:rPr>
  </w:style>
  <w:style w:type="paragraph" w:customStyle="1" w:styleId="110">
    <w:name w:val="Char1"/>
    <w:basedOn w:val="1"/>
    <w:qFormat/>
    <w:uiPriority w:val="0"/>
    <w:pPr>
      <w:spacing w:after="160" w:line="240" w:lineRule="exact"/>
    </w:pPr>
    <w:rPr>
      <w:rFonts w:ascii="Verdana" w:hAnsi="Verdana" w:eastAsia="宋体" w:cs="Times New Roman"/>
      <w:kern w:val="0"/>
      <w:sz w:val="20"/>
      <w:szCs w:val="20"/>
      <w:lang w:eastAsia="en-US"/>
    </w:rPr>
  </w:style>
  <w:style w:type="paragraph" w:customStyle="1" w:styleId="111">
    <w:name w:val="Default"/>
    <w:qFormat/>
    <w:uiPriority w:val="0"/>
    <w:pPr>
      <w:widowControl w:val="0"/>
      <w:autoSpaceDE w:val="0"/>
      <w:autoSpaceDN w:val="0"/>
      <w:adjustRightInd w:val="0"/>
      <w:spacing w:line="240" w:lineRule="auto"/>
    </w:pPr>
    <w:rPr>
      <w:rFonts w:ascii="黑体" w:hAnsi="Times New Roman" w:eastAsia="黑体" w:cs="Times New Roman"/>
      <w:kern w:val="0"/>
      <w:sz w:val="20"/>
      <w:szCs w:val="20"/>
      <w:lang w:val="en-US" w:eastAsia="zh-CN" w:bidi="ar-SA"/>
    </w:rPr>
  </w:style>
  <w:style w:type="paragraph" w:customStyle="1" w:styleId="112">
    <w:name w:val="1"/>
    <w:basedOn w:val="1"/>
    <w:qFormat/>
    <w:uiPriority w:val="0"/>
    <w:pPr>
      <w:widowControl w:val="0"/>
      <w:spacing w:afterLines="50" w:line="360" w:lineRule="auto"/>
      <w:jc w:val="both"/>
    </w:pPr>
    <w:rPr>
      <w:rFonts w:ascii="宋体" w:hAnsi="宋体" w:eastAsia="宋体" w:cs="Times New Roman"/>
      <w:b/>
      <w:sz w:val="30"/>
      <w:szCs w:val="21"/>
    </w:rPr>
  </w:style>
  <w:style w:type="paragraph" w:customStyle="1" w:styleId="113">
    <w:name w:val="样式 标题 2 + 宋体 五号 行距: 单倍行距"/>
    <w:basedOn w:val="3"/>
    <w:qFormat/>
    <w:uiPriority w:val="0"/>
    <w:pPr>
      <w:widowControl w:val="0"/>
      <w:tabs>
        <w:tab w:val="left" w:pos="2175"/>
      </w:tabs>
      <w:adjustRightInd w:val="0"/>
      <w:spacing w:before="260" w:after="260" w:line="240" w:lineRule="auto"/>
      <w:ind w:left="2175" w:hanging="1275"/>
      <w:textAlignment w:val="baseline"/>
    </w:pPr>
    <w:rPr>
      <w:rFonts w:ascii="宋体" w:hAnsi="宋体" w:eastAsia="宋体" w:cs="Times New Roman"/>
      <w:b/>
      <w:bCs/>
      <w:color w:val="auto"/>
      <w:kern w:val="0"/>
      <w:sz w:val="21"/>
      <w:szCs w:val="20"/>
    </w:rPr>
  </w:style>
  <w:style w:type="paragraph" w:customStyle="1" w:styleId="114">
    <w:name w:val="标题 1 +"/>
    <w:basedOn w:val="2"/>
    <w:next w:val="1"/>
    <w:qFormat/>
    <w:uiPriority w:val="0"/>
    <w:pPr>
      <w:widowControl w:val="0"/>
      <w:spacing w:before="0" w:after="0" w:line="600" w:lineRule="auto"/>
      <w:jc w:val="center"/>
    </w:pPr>
    <w:rPr>
      <w:rFonts w:ascii="Times New Roman" w:hAnsi="Times New Roman" w:eastAsia="黑体" w:cs="Times New Roman"/>
      <w:b/>
      <w:bCs/>
      <w:color w:val="auto"/>
      <w:kern w:val="0"/>
      <w:sz w:val="32"/>
      <w:szCs w:val="32"/>
    </w:rPr>
  </w:style>
  <w:style w:type="paragraph" w:customStyle="1" w:styleId="115">
    <w:name w:val="样式 标题 2 + Times New Roman 四号 非加粗 段前: 5 磅 段后: 0 磅 行距: 固定值 20..."/>
    <w:basedOn w:val="3"/>
    <w:qFormat/>
    <w:uiPriority w:val="0"/>
    <w:pPr>
      <w:widowControl w:val="0"/>
      <w:spacing w:before="100" w:after="0" w:line="400" w:lineRule="exact"/>
      <w:jc w:val="both"/>
    </w:pPr>
    <w:rPr>
      <w:rFonts w:ascii="Times New Roman" w:hAnsi="Times New Roman" w:eastAsia="黑体" w:cs="Times New Roman"/>
      <w:color w:val="auto"/>
      <w:sz w:val="28"/>
      <w:szCs w:val="20"/>
    </w:rPr>
  </w:style>
  <w:style w:type="paragraph" w:customStyle="1" w:styleId="116">
    <w:name w:val="p15"/>
    <w:basedOn w:val="1"/>
    <w:qFormat/>
    <w:uiPriority w:val="0"/>
    <w:pPr>
      <w:spacing w:line="220" w:lineRule="atLeast"/>
      <w:jc w:val="center"/>
    </w:pPr>
    <w:rPr>
      <w:rFonts w:ascii="仿宋_GB2312" w:hAnsi="宋体" w:eastAsia="仿宋_GB2312" w:cs="宋体"/>
      <w:kern w:val="0"/>
      <w:szCs w:val="21"/>
    </w:rPr>
  </w:style>
  <w:style w:type="paragraph" w:customStyle="1" w:styleId="117">
    <w:name w:val="Char1 Char Char Char 字元 Char Char 字元 Char 字元 Char1 Char Char Char"/>
    <w:basedOn w:val="1"/>
    <w:qFormat/>
    <w:uiPriority w:val="0"/>
    <w:pPr>
      <w:widowControl w:val="0"/>
      <w:spacing w:line="240" w:lineRule="auto"/>
      <w:jc w:val="both"/>
    </w:pPr>
    <w:rPr>
      <w:rFonts w:ascii="Times New Roman" w:hAnsi="Times New Roman" w:eastAsia="宋体" w:cs="Times New Roman"/>
      <w:szCs w:val="20"/>
    </w:rPr>
  </w:style>
  <w:style w:type="paragraph" w:customStyle="1" w:styleId="118">
    <w:name w:val="p16"/>
    <w:basedOn w:val="1"/>
    <w:qFormat/>
    <w:uiPriority w:val="0"/>
    <w:pPr>
      <w:spacing w:line="240" w:lineRule="auto"/>
    </w:pPr>
    <w:rPr>
      <w:rFonts w:ascii="Times New Roman" w:hAnsi="Times New Roman" w:eastAsia="宋体" w:cs="Times New Roman"/>
      <w:kern w:val="0"/>
      <w:szCs w:val="21"/>
    </w:rPr>
  </w:style>
  <w:style w:type="paragraph" w:customStyle="1" w:styleId="119">
    <w:name w:val="xl31"/>
    <w:basedOn w:val="1"/>
    <w:qFormat/>
    <w:uiPriority w:val="0"/>
    <w:pPr>
      <w:pBdr>
        <w:left w:val="single" w:color="auto" w:sz="4" w:space="0"/>
        <w:right w:val="single" w:color="auto" w:sz="4" w:space="0"/>
      </w:pBdr>
      <w:spacing w:before="100" w:beforeAutospacing="1" w:after="100" w:afterAutospacing="1" w:line="240" w:lineRule="auto"/>
      <w:jc w:val="center"/>
      <w:textAlignment w:val="center"/>
    </w:pPr>
    <w:rPr>
      <w:rFonts w:ascii="宋体" w:hAnsi="宋体" w:eastAsia="宋体" w:cs="Times New Roman"/>
      <w:kern w:val="0"/>
      <w:sz w:val="24"/>
      <w:szCs w:val="24"/>
    </w:rPr>
  </w:style>
  <w:style w:type="paragraph" w:customStyle="1" w:styleId="120">
    <w:name w:val="Blockquote"/>
    <w:basedOn w:val="1"/>
    <w:qFormat/>
    <w:uiPriority w:val="0"/>
    <w:pPr>
      <w:widowControl w:val="0"/>
      <w:autoSpaceDE w:val="0"/>
      <w:autoSpaceDN w:val="0"/>
      <w:adjustRightInd w:val="0"/>
      <w:spacing w:before="100" w:after="100" w:line="240" w:lineRule="auto"/>
      <w:ind w:left="360" w:right="360"/>
    </w:pPr>
    <w:rPr>
      <w:rFonts w:ascii="Times New Roman" w:hAnsi="Times New Roman" w:eastAsia="宋体" w:cs="Times New Roman"/>
      <w:kern w:val="0"/>
      <w:sz w:val="24"/>
      <w:szCs w:val="20"/>
    </w:rPr>
  </w:style>
  <w:style w:type="paragraph" w:customStyle="1" w:styleId="121">
    <w:name w:val="Char Char"/>
    <w:basedOn w:val="1"/>
    <w:qFormat/>
    <w:uiPriority w:val="0"/>
    <w:pPr>
      <w:spacing w:after="160" w:line="240" w:lineRule="exact"/>
    </w:pPr>
    <w:rPr>
      <w:rFonts w:ascii="Verdana" w:hAnsi="Verdana" w:eastAsia="仿宋_GB2312" w:cs="Times New Roman"/>
      <w:kern w:val="0"/>
      <w:sz w:val="24"/>
      <w:szCs w:val="20"/>
      <w:lang w:eastAsia="en-US"/>
    </w:rPr>
  </w:style>
  <w:style w:type="paragraph" w:customStyle="1" w:styleId="122">
    <w:name w:val="xl25"/>
    <w:basedOn w:val="1"/>
    <w:qFormat/>
    <w:uiPriority w:val="0"/>
    <w:pPr>
      <w:pBdr>
        <w:left w:val="single" w:color="auto" w:sz="4" w:space="0"/>
        <w:bottom w:val="single" w:color="auto" w:sz="4" w:space="0"/>
        <w:right w:val="double" w:color="auto" w:sz="6" w:space="0"/>
      </w:pBdr>
      <w:spacing w:before="100" w:beforeAutospacing="1" w:after="100" w:afterAutospacing="1" w:line="240" w:lineRule="auto"/>
      <w:jc w:val="center"/>
    </w:pPr>
    <w:rPr>
      <w:rFonts w:ascii="Arial Unicode MS" w:hAnsi="Arial Unicode MS" w:eastAsia="Arial Unicode MS" w:cs="Arial Unicode MS"/>
      <w:kern w:val="0"/>
      <w:sz w:val="24"/>
      <w:szCs w:val="24"/>
    </w:rPr>
  </w:style>
  <w:style w:type="paragraph" w:customStyle="1" w:styleId="123">
    <w:name w:val="Char Char Char1 Char"/>
    <w:basedOn w:val="1"/>
    <w:qFormat/>
    <w:uiPriority w:val="0"/>
    <w:pPr>
      <w:widowControl w:val="0"/>
      <w:tabs>
        <w:tab w:val="left" w:pos="360"/>
      </w:tabs>
      <w:snapToGrid w:val="0"/>
      <w:spacing w:line="360" w:lineRule="auto"/>
      <w:jc w:val="both"/>
    </w:pPr>
    <w:rPr>
      <w:rFonts w:ascii="Times New Roman" w:hAnsi="Times New Roman" w:eastAsia="仿宋_GB2312" w:cs="宋体"/>
      <w:sz w:val="24"/>
      <w:szCs w:val="24"/>
    </w:rPr>
  </w:style>
  <w:style w:type="character" w:customStyle="1" w:styleId="124">
    <w:name w:val="列表段落 字符"/>
    <w:link w:val="73"/>
    <w:qFormat/>
    <w:uiPriority w:val="0"/>
  </w:style>
  <w:style w:type="character" w:customStyle="1" w:styleId="125">
    <w:name w:val="fontstyle01"/>
    <w:basedOn w:val="46"/>
    <w:qFormat/>
    <w:uiPriority w:val="0"/>
    <w:rPr>
      <w:rFonts w:hint="eastAsia" w:ascii="宋体" w:hAnsi="宋体" w:eastAsia="宋体"/>
      <w:color w:val="000000"/>
      <w:sz w:val="24"/>
      <w:szCs w:val="24"/>
    </w:rPr>
  </w:style>
  <w:style w:type="character" w:customStyle="1" w:styleId="126">
    <w:name w:val="fontstyle11"/>
    <w:basedOn w:val="46"/>
    <w:qFormat/>
    <w:uiPriority w:val="0"/>
    <w:rPr>
      <w:rFonts w:hint="default" w:ascii="TimesNewRomanPSMT" w:hAnsi="TimesNewRomanPSMT"/>
      <w:color w:val="000000"/>
      <w:sz w:val="24"/>
      <w:szCs w:val="24"/>
    </w:rPr>
  </w:style>
  <w:style w:type="paragraph" w:customStyle="1" w:styleId="127">
    <w:name w:val="TOC 标题1"/>
    <w:basedOn w:val="2"/>
    <w:next w:val="1"/>
    <w:unhideWhenUsed/>
    <w:qFormat/>
    <w:uiPriority w:val="39"/>
    <w:pPr>
      <w:spacing w:after="0" w:line="276" w:lineRule="auto"/>
      <w:outlineLvl w:val="9"/>
    </w:pPr>
    <w:rPr>
      <w:rFonts w:ascii="Cambria" w:hAnsi="Cambria" w:eastAsia="宋体" w:cs="Times New Roman"/>
      <w:b/>
      <w:bCs/>
      <w:color w:val="366091"/>
      <w:kern w:val="0"/>
      <w:sz w:val="28"/>
      <w:szCs w:val="28"/>
    </w:rPr>
  </w:style>
  <w:style w:type="character" w:customStyle="1" w:styleId="128">
    <w:name w:val="fontstyle21"/>
    <w:basedOn w:val="46"/>
    <w:qFormat/>
    <w:uiPriority w:val="0"/>
    <w:rPr>
      <w:rFonts w:hint="eastAsia" w:ascii="宋体" w:hAnsi="宋体" w:eastAsia="宋体"/>
      <w:color w:val="993300"/>
      <w:sz w:val="24"/>
      <w:szCs w:val="24"/>
    </w:rPr>
  </w:style>
  <w:style w:type="character" w:customStyle="1" w:styleId="129">
    <w:name w:val="fontstyle31"/>
    <w:basedOn w:val="46"/>
    <w:qFormat/>
    <w:uiPriority w:val="0"/>
    <w:rPr>
      <w:rFonts w:hint="default" w:ascii="Arial" w:hAnsi="Arial" w:cs="Arial"/>
      <w:color w:val="993300"/>
      <w:sz w:val="24"/>
      <w:szCs w:val="24"/>
    </w:rPr>
  </w:style>
  <w:style w:type="character" w:customStyle="1" w:styleId="130">
    <w:name w:val="标题 Char1"/>
    <w:basedOn w:val="46"/>
    <w:qFormat/>
    <w:uiPriority w:val="10"/>
    <w:rPr>
      <w:rFonts w:ascii="Cambria" w:hAnsi="Cambria" w:eastAsia="宋体" w:cs="Times New Roman"/>
      <w:b/>
      <w:bCs/>
      <w:sz w:val="32"/>
      <w:szCs w:val="32"/>
    </w:rPr>
  </w:style>
  <w:style w:type="character" w:customStyle="1" w:styleId="131">
    <w:name w:val="纯文本 Char1"/>
    <w:semiHidden/>
    <w:qFormat/>
    <w:locked/>
    <w:uiPriority w:val="0"/>
    <w:rPr>
      <w:rFonts w:ascii="宋体" w:hAnsi="Courier New" w:eastAsia="宋体" w:cs="Courier New"/>
      <w:kern w:val="2"/>
      <w:sz w:val="21"/>
      <w:szCs w:val="21"/>
      <w:lang w:val="en-US" w:eastAsia="zh-CN" w:bidi="ar-SA"/>
    </w:rPr>
  </w:style>
  <w:style w:type="table" w:customStyle="1" w:styleId="132">
    <w:name w:val="网格型1"/>
    <w:basedOn w:val="44"/>
    <w:qFormat/>
    <w:uiPriority w:val="59"/>
    <w:pPr>
      <w:spacing w:line="240" w:lineRule="auto"/>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3">
    <w:name w:val="sidecatalog-dot"/>
    <w:qFormat/>
    <w:uiPriority w:val="0"/>
    <w:rPr>
      <w:rFonts w:ascii="Times New Roman" w:hAnsi="Times New Roman" w:eastAsia="宋体"/>
    </w:rPr>
  </w:style>
  <w:style w:type="character" w:customStyle="1" w:styleId="134">
    <w:name w:val="标题 2 Char"/>
    <w:qFormat/>
    <w:uiPriority w:val="0"/>
    <w:rPr>
      <w:rFonts w:ascii="Cambria" w:hAnsi="Cambria" w:eastAsia="宋体" w:cs="Times New Roman"/>
      <w:b/>
      <w:bCs/>
      <w:kern w:val="2"/>
      <w:sz w:val="32"/>
      <w:szCs w:val="32"/>
    </w:rPr>
  </w:style>
  <w:style w:type="character" w:customStyle="1" w:styleId="135">
    <w:name w:val="Font Style123"/>
    <w:unhideWhenUsed/>
    <w:qFormat/>
    <w:uiPriority w:val="0"/>
    <w:rPr>
      <w:rFonts w:hint="eastAsia" w:ascii="宋体" w:hAnsi="宋体" w:eastAsia="宋体"/>
      <w:b/>
      <w:sz w:val="32"/>
    </w:rPr>
  </w:style>
  <w:style w:type="character" w:customStyle="1" w:styleId="136">
    <w:name w:val="font11"/>
    <w:qFormat/>
    <w:uiPriority w:val="0"/>
    <w:rPr>
      <w:rFonts w:hint="eastAsia" w:ascii="宋体" w:hAnsi="宋体" w:eastAsia="宋体" w:cs="宋体"/>
      <w:color w:val="000000"/>
      <w:sz w:val="28"/>
      <w:szCs w:val="28"/>
      <w:u w:val="none"/>
    </w:rPr>
  </w:style>
  <w:style w:type="character" w:customStyle="1" w:styleId="137">
    <w:name w:val="sort1"/>
    <w:qFormat/>
    <w:uiPriority w:val="0"/>
    <w:rPr>
      <w:rFonts w:ascii="Times New Roman" w:hAnsi="Times New Roman" w:eastAsia="宋体"/>
    </w:rPr>
  </w:style>
  <w:style w:type="character" w:customStyle="1" w:styleId="138">
    <w:name w:val="页脚 Char"/>
    <w:qFormat/>
    <w:uiPriority w:val="99"/>
    <w:rPr>
      <w:kern w:val="2"/>
      <w:sz w:val="18"/>
      <w:szCs w:val="18"/>
    </w:rPr>
  </w:style>
  <w:style w:type="character" w:customStyle="1" w:styleId="139">
    <w:name w:val="标题 3 Char"/>
    <w:qFormat/>
    <w:uiPriority w:val="0"/>
    <w:rPr>
      <w:b/>
      <w:bCs/>
      <w:sz w:val="24"/>
      <w:szCs w:val="24"/>
    </w:rPr>
  </w:style>
  <w:style w:type="character" w:customStyle="1" w:styleId="140">
    <w:name w:val="Font Style105"/>
    <w:unhideWhenUsed/>
    <w:qFormat/>
    <w:uiPriority w:val="0"/>
    <w:rPr>
      <w:rFonts w:hint="eastAsia" w:ascii="Times New Roman" w:hAnsi="Times New Roman" w:eastAsia="Times New Roman"/>
      <w:w w:val="60"/>
      <w:sz w:val="26"/>
    </w:rPr>
  </w:style>
  <w:style w:type="character" w:customStyle="1" w:styleId="141">
    <w:name w:val="标题 9 Char"/>
    <w:qFormat/>
    <w:uiPriority w:val="0"/>
    <w:rPr>
      <w:rFonts w:ascii="Arial" w:hAnsi="Arial" w:eastAsia="黑体"/>
      <w:sz w:val="21"/>
      <w:szCs w:val="21"/>
    </w:rPr>
  </w:style>
  <w:style w:type="character" w:customStyle="1" w:styleId="142">
    <w:name w:val="标题 7 Char"/>
    <w:qFormat/>
    <w:uiPriority w:val="0"/>
    <w:rPr>
      <w:b/>
      <w:bCs/>
      <w:sz w:val="24"/>
      <w:szCs w:val="24"/>
    </w:rPr>
  </w:style>
  <w:style w:type="character" w:customStyle="1" w:styleId="143">
    <w:name w:val="批注文字 Char Char"/>
    <w:qFormat/>
    <w:uiPriority w:val="0"/>
    <w:rPr>
      <w:kern w:val="2"/>
      <w:sz w:val="21"/>
      <w:szCs w:val="24"/>
      <w:lang w:bidi="ar-SA"/>
    </w:rPr>
  </w:style>
  <w:style w:type="character" w:customStyle="1" w:styleId="144">
    <w:name w:val="Font Style104"/>
    <w:unhideWhenUsed/>
    <w:qFormat/>
    <w:uiPriority w:val="0"/>
    <w:rPr>
      <w:rFonts w:hint="eastAsia" w:ascii="宋体" w:hAnsi="宋体" w:eastAsia="宋体"/>
      <w:spacing w:val="30"/>
      <w:sz w:val="18"/>
    </w:rPr>
  </w:style>
  <w:style w:type="character" w:customStyle="1" w:styleId="145">
    <w:name w:val="Font Style134"/>
    <w:unhideWhenUsed/>
    <w:qFormat/>
    <w:uiPriority w:val="0"/>
    <w:rPr>
      <w:rFonts w:hint="eastAsia" w:ascii="宋体" w:hAnsi="宋体" w:eastAsia="宋体"/>
      <w:spacing w:val="20"/>
      <w:sz w:val="22"/>
    </w:rPr>
  </w:style>
  <w:style w:type="character" w:customStyle="1" w:styleId="146">
    <w:name w:val="标题 4 Char"/>
    <w:qFormat/>
    <w:uiPriority w:val="0"/>
    <w:rPr>
      <w:rFonts w:ascii="Arial" w:hAnsi="Arial" w:eastAsia="宋体" w:cs="Times New Roman"/>
      <w:b/>
      <w:bCs/>
      <w:szCs w:val="28"/>
    </w:rPr>
  </w:style>
  <w:style w:type="character" w:customStyle="1" w:styleId="147">
    <w:name w:val="bds_nopic"/>
    <w:qFormat/>
    <w:uiPriority w:val="0"/>
    <w:rPr>
      <w:rFonts w:ascii="Times New Roman" w:hAnsi="Times New Roman" w:eastAsia="宋体"/>
    </w:rPr>
  </w:style>
  <w:style w:type="character" w:customStyle="1" w:styleId="148">
    <w:name w:val="Font Style126"/>
    <w:unhideWhenUsed/>
    <w:qFormat/>
    <w:uiPriority w:val="0"/>
    <w:rPr>
      <w:rFonts w:hint="eastAsia" w:ascii="宋体" w:hAnsi="宋体" w:eastAsia="宋体"/>
      <w:b/>
      <w:spacing w:val="-30"/>
      <w:sz w:val="28"/>
    </w:rPr>
  </w:style>
  <w:style w:type="character" w:customStyle="1" w:styleId="149">
    <w:name w:val="Font Style125"/>
    <w:unhideWhenUsed/>
    <w:qFormat/>
    <w:uiPriority w:val="0"/>
    <w:rPr>
      <w:rFonts w:hint="eastAsia" w:ascii="宋体" w:hAnsi="宋体" w:eastAsia="宋体"/>
      <w:b/>
      <w:sz w:val="26"/>
    </w:rPr>
  </w:style>
  <w:style w:type="character" w:customStyle="1" w:styleId="150">
    <w:name w:val="sidecatalog-index1"/>
    <w:qFormat/>
    <w:uiPriority w:val="0"/>
    <w:rPr>
      <w:rFonts w:ascii="Arial" w:hAnsi="Arial" w:eastAsia="宋体" w:cs="Arial"/>
      <w:b/>
      <w:color w:val="999999"/>
      <w:sz w:val="21"/>
      <w:szCs w:val="21"/>
    </w:rPr>
  </w:style>
  <w:style w:type="character" w:customStyle="1" w:styleId="151">
    <w:name w:val="Font Style117"/>
    <w:unhideWhenUsed/>
    <w:qFormat/>
    <w:uiPriority w:val="0"/>
    <w:rPr>
      <w:rFonts w:hint="eastAsia" w:ascii="宋体" w:hAnsi="宋体" w:eastAsia="宋体"/>
      <w:spacing w:val="20"/>
      <w:sz w:val="24"/>
    </w:rPr>
  </w:style>
  <w:style w:type="character" w:customStyle="1" w:styleId="152">
    <w:name w:val="标题 4 Char Char"/>
    <w:qFormat/>
    <w:uiPriority w:val="0"/>
    <w:rPr>
      <w:rFonts w:ascii="Arial" w:hAnsi="Arial" w:eastAsia="宋体"/>
      <w:b/>
      <w:bCs/>
      <w:kern w:val="2"/>
      <w:sz w:val="21"/>
      <w:szCs w:val="28"/>
      <w:lang w:val="en-US" w:eastAsia="zh-CN" w:bidi="ar-SA"/>
    </w:rPr>
  </w:style>
  <w:style w:type="character" w:customStyle="1" w:styleId="153">
    <w:name w:val="bds_nopic2"/>
    <w:qFormat/>
    <w:uiPriority w:val="0"/>
    <w:rPr>
      <w:rFonts w:ascii="Times New Roman" w:hAnsi="Times New Roman" w:eastAsia="宋体"/>
    </w:rPr>
  </w:style>
  <w:style w:type="character" w:customStyle="1" w:styleId="154">
    <w:name w:val="标题 6 Char"/>
    <w:qFormat/>
    <w:uiPriority w:val="0"/>
    <w:rPr>
      <w:rFonts w:ascii="Arial" w:hAnsi="Arial" w:eastAsia="黑体"/>
      <w:b/>
      <w:bCs/>
      <w:sz w:val="24"/>
      <w:szCs w:val="24"/>
    </w:rPr>
  </w:style>
  <w:style w:type="character" w:customStyle="1" w:styleId="155">
    <w:name w:val="bds_more6"/>
    <w:qFormat/>
    <w:uiPriority w:val="0"/>
    <w:rPr>
      <w:rFonts w:hint="eastAsia" w:ascii="宋体" w:hAnsi="宋体" w:eastAsia="宋体" w:cs="宋体"/>
    </w:rPr>
  </w:style>
  <w:style w:type="character" w:customStyle="1" w:styleId="156">
    <w:name w:val="标题 1 Char"/>
    <w:qFormat/>
    <w:uiPriority w:val="0"/>
    <w:rPr>
      <w:rFonts w:ascii="Cambria" w:hAnsi="Cambria"/>
      <w:b/>
      <w:bCs/>
      <w:kern w:val="32"/>
      <w:sz w:val="32"/>
      <w:szCs w:val="32"/>
    </w:rPr>
  </w:style>
  <w:style w:type="character" w:customStyle="1" w:styleId="157">
    <w:name w:val="Char Char17"/>
    <w:qFormat/>
    <w:uiPriority w:val="0"/>
    <w:rPr>
      <w:rFonts w:ascii="宋体" w:hAnsi="Times New Roman" w:eastAsia="宋体"/>
      <w:b/>
      <w:sz w:val="28"/>
      <w:lang w:val="en-US" w:eastAsia="zh-CN" w:bidi="ar-SA"/>
    </w:rPr>
  </w:style>
  <w:style w:type="character" w:customStyle="1" w:styleId="158">
    <w:name w:val="polysemyexp"/>
    <w:qFormat/>
    <w:uiPriority w:val="0"/>
    <w:rPr>
      <w:rFonts w:ascii="Times New Roman" w:hAnsi="Times New Roman" w:eastAsia="宋体"/>
      <w:color w:val="AAAAAA"/>
      <w:sz w:val="18"/>
      <w:szCs w:val="18"/>
    </w:rPr>
  </w:style>
  <w:style w:type="character" w:customStyle="1" w:styleId="159">
    <w:name w:val="font51"/>
    <w:qFormat/>
    <w:uiPriority w:val="0"/>
    <w:rPr>
      <w:rFonts w:hint="eastAsia" w:ascii="宋体" w:hAnsi="宋体" w:eastAsia="宋体" w:cs="宋体"/>
      <w:b/>
      <w:color w:val="000000"/>
      <w:sz w:val="20"/>
      <w:szCs w:val="20"/>
      <w:u w:val="none"/>
    </w:rPr>
  </w:style>
  <w:style w:type="character" w:customStyle="1" w:styleId="160">
    <w:name w:val="bds_more10"/>
    <w:qFormat/>
    <w:uiPriority w:val="0"/>
    <w:rPr>
      <w:rFonts w:ascii="Times New Roman" w:hAnsi="Times New Roman" w:eastAsia="宋体"/>
    </w:rPr>
  </w:style>
  <w:style w:type="character" w:customStyle="1" w:styleId="161">
    <w:name w:val="font91"/>
    <w:qFormat/>
    <w:uiPriority w:val="0"/>
    <w:rPr>
      <w:rFonts w:hint="eastAsia" w:ascii="宋体" w:hAnsi="宋体" w:eastAsia="宋体" w:cs="宋体"/>
      <w:color w:val="000000"/>
      <w:sz w:val="20"/>
      <w:szCs w:val="20"/>
      <w:u w:val="none"/>
      <w:vertAlign w:val="superscript"/>
    </w:rPr>
  </w:style>
  <w:style w:type="character" w:customStyle="1" w:styleId="162">
    <w:name w:val="Char Char15"/>
    <w:qFormat/>
    <w:uiPriority w:val="0"/>
    <w:rPr>
      <w:b/>
      <w:bCs/>
      <w:sz w:val="24"/>
      <w:szCs w:val="24"/>
    </w:rPr>
  </w:style>
  <w:style w:type="character" w:customStyle="1" w:styleId="163">
    <w:name w:val="Char Char12"/>
    <w:qFormat/>
    <w:uiPriority w:val="0"/>
    <w:rPr>
      <w:rFonts w:ascii="Arial" w:hAnsi="Arial" w:eastAsia="黑体"/>
      <w:b/>
      <w:bCs/>
      <w:kern w:val="2"/>
      <w:sz w:val="28"/>
      <w:szCs w:val="28"/>
      <w:lang w:val="en-US" w:eastAsia="zh-CN" w:bidi="ar-SA"/>
    </w:rPr>
  </w:style>
  <w:style w:type="character" w:customStyle="1" w:styleId="164">
    <w:name w:val="Font Style122"/>
    <w:unhideWhenUsed/>
    <w:qFormat/>
    <w:uiPriority w:val="0"/>
    <w:rPr>
      <w:rFonts w:hint="eastAsia" w:ascii="宋体" w:hAnsi="宋体" w:eastAsia="宋体"/>
      <w:spacing w:val="20"/>
      <w:sz w:val="24"/>
    </w:rPr>
  </w:style>
  <w:style w:type="character" w:customStyle="1" w:styleId="165">
    <w:name w:val="Font Style115"/>
    <w:unhideWhenUsed/>
    <w:qFormat/>
    <w:uiPriority w:val="0"/>
    <w:rPr>
      <w:rFonts w:hint="eastAsia" w:ascii="Times New Roman" w:hAnsi="Times New Roman" w:eastAsia="Times New Roman"/>
      <w:sz w:val="16"/>
    </w:rPr>
  </w:style>
  <w:style w:type="character" w:customStyle="1" w:styleId="166">
    <w:name w:val="sidecatalog-dot1"/>
    <w:qFormat/>
    <w:uiPriority w:val="0"/>
    <w:rPr>
      <w:rFonts w:ascii="Times New Roman" w:hAnsi="Times New Roman" w:eastAsia="宋体"/>
    </w:rPr>
  </w:style>
  <w:style w:type="character" w:customStyle="1" w:styleId="167">
    <w:name w:val="font41"/>
    <w:qFormat/>
    <w:uiPriority w:val="0"/>
    <w:rPr>
      <w:rFonts w:hint="eastAsia" w:ascii="宋体" w:hAnsi="宋体" w:eastAsia="宋体" w:cs="宋体"/>
      <w:color w:val="FF0000"/>
      <w:sz w:val="20"/>
      <w:szCs w:val="20"/>
      <w:u w:val="none"/>
    </w:rPr>
  </w:style>
  <w:style w:type="character" w:customStyle="1" w:styleId="168">
    <w:name w:val="lemmatitleh12"/>
    <w:qFormat/>
    <w:uiPriority w:val="0"/>
    <w:rPr>
      <w:rFonts w:ascii="Times New Roman" w:hAnsi="Times New Roman" w:eastAsia="宋体"/>
    </w:rPr>
  </w:style>
  <w:style w:type="character" w:customStyle="1" w:styleId="169">
    <w:name w:val="正文文本缩进 3 Char"/>
    <w:qFormat/>
    <w:uiPriority w:val="0"/>
    <w:rPr>
      <w:rFonts w:ascii="宋体" w:hAnsi="MS Sans Serif"/>
      <w:color w:val="000000"/>
      <w:sz w:val="24"/>
    </w:rPr>
  </w:style>
  <w:style w:type="character" w:customStyle="1" w:styleId="170">
    <w:name w:val="Font Style127"/>
    <w:unhideWhenUsed/>
    <w:qFormat/>
    <w:uiPriority w:val="0"/>
    <w:rPr>
      <w:rFonts w:hint="eastAsia" w:ascii="Times New Roman" w:hAnsi="Times New Roman" w:eastAsia="Times New Roman"/>
      <w:sz w:val="20"/>
    </w:rPr>
  </w:style>
  <w:style w:type="character" w:customStyle="1" w:styleId="171">
    <w:name w:val="日期 Char"/>
    <w:qFormat/>
    <w:uiPriority w:val="0"/>
    <w:rPr>
      <w:kern w:val="2"/>
      <w:sz w:val="21"/>
      <w:szCs w:val="24"/>
    </w:rPr>
  </w:style>
  <w:style w:type="character" w:customStyle="1" w:styleId="172">
    <w:name w:val="批注框文本 Char"/>
    <w:qFormat/>
    <w:uiPriority w:val="0"/>
    <w:rPr>
      <w:kern w:val="2"/>
      <w:sz w:val="18"/>
      <w:szCs w:val="18"/>
    </w:rPr>
  </w:style>
  <w:style w:type="character" w:customStyle="1" w:styleId="173">
    <w:name w:val="Font Style131"/>
    <w:unhideWhenUsed/>
    <w:qFormat/>
    <w:uiPriority w:val="0"/>
    <w:rPr>
      <w:rFonts w:hint="eastAsia" w:ascii="Times New Roman" w:hAnsi="Times New Roman" w:eastAsia="Times New Roman"/>
      <w:sz w:val="18"/>
    </w:rPr>
  </w:style>
  <w:style w:type="character" w:customStyle="1" w:styleId="174">
    <w:name w:val="批注主题 Char"/>
    <w:qFormat/>
    <w:uiPriority w:val="0"/>
    <w:rPr>
      <w:b/>
      <w:bCs/>
      <w:kern w:val="2"/>
      <w:sz w:val="21"/>
      <w:szCs w:val="24"/>
    </w:rPr>
  </w:style>
  <w:style w:type="character" w:customStyle="1" w:styleId="175">
    <w:name w:val="标题 8 Char"/>
    <w:qFormat/>
    <w:uiPriority w:val="0"/>
    <w:rPr>
      <w:rFonts w:ascii="Arial" w:hAnsi="Arial" w:eastAsia="黑体"/>
      <w:sz w:val="24"/>
      <w:szCs w:val="24"/>
    </w:rPr>
  </w:style>
  <w:style w:type="character" w:customStyle="1" w:styleId="176">
    <w:name w:val="Font Style116"/>
    <w:unhideWhenUsed/>
    <w:qFormat/>
    <w:uiPriority w:val="0"/>
    <w:rPr>
      <w:rFonts w:hint="eastAsia" w:ascii="宋体" w:hAnsi="宋体" w:eastAsia="宋体"/>
      <w:spacing w:val="-20"/>
      <w:sz w:val="24"/>
    </w:rPr>
  </w:style>
  <w:style w:type="character" w:customStyle="1" w:styleId="177">
    <w:name w:val="sort"/>
    <w:qFormat/>
    <w:uiPriority w:val="0"/>
    <w:rPr>
      <w:rFonts w:ascii="Times New Roman" w:hAnsi="Times New Roman" w:eastAsia="宋体"/>
      <w:color w:val="FFFFFF"/>
      <w:bdr w:val="single" w:color="auto" w:sz="24" w:space="0"/>
    </w:rPr>
  </w:style>
  <w:style w:type="character" w:customStyle="1" w:styleId="178">
    <w:name w:val="标题 Char"/>
    <w:qFormat/>
    <w:uiPriority w:val="0"/>
    <w:rPr>
      <w:rFonts w:ascii="Cambria" w:hAnsi="Cambria"/>
      <w:b/>
      <w:kern w:val="2"/>
      <w:sz w:val="32"/>
      <w:szCs w:val="24"/>
    </w:rPr>
  </w:style>
  <w:style w:type="character" w:customStyle="1" w:styleId="179">
    <w:name w:val="Char Char13"/>
    <w:qFormat/>
    <w:uiPriority w:val="0"/>
    <w:rPr>
      <w:rFonts w:eastAsia="宋体"/>
      <w:b/>
      <w:bCs/>
      <w:kern w:val="2"/>
      <w:sz w:val="24"/>
      <w:lang w:val="en-US" w:eastAsia="zh-CN" w:bidi="ar-SA"/>
    </w:rPr>
  </w:style>
  <w:style w:type="character" w:customStyle="1" w:styleId="180">
    <w:name w:val="bds_more7"/>
    <w:qFormat/>
    <w:uiPriority w:val="0"/>
    <w:rPr>
      <w:rFonts w:ascii="Times New Roman" w:hAnsi="Times New Roman" w:eastAsia="宋体"/>
    </w:rPr>
  </w:style>
  <w:style w:type="character" w:customStyle="1" w:styleId="181">
    <w:name w:val="sidecatalog-index2"/>
    <w:qFormat/>
    <w:uiPriority w:val="0"/>
    <w:rPr>
      <w:rFonts w:ascii="Arail" w:hAnsi="Arail" w:eastAsia="Arail" w:cs="Arail"/>
      <w:color w:val="999999"/>
      <w:sz w:val="21"/>
      <w:szCs w:val="21"/>
    </w:rPr>
  </w:style>
  <w:style w:type="character" w:customStyle="1" w:styleId="182">
    <w:name w:val="批注文字 Char"/>
    <w:qFormat/>
    <w:uiPriority w:val="0"/>
    <w:rPr>
      <w:kern w:val="2"/>
      <w:sz w:val="21"/>
      <w:szCs w:val="24"/>
    </w:rPr>
  </w:style>
  <w:style w:type="character" w:customStyle="1" w:styleId="183">
    <w:name w:val="bds_more8"/>
    <w:qFormat/>
    <w:uiPriority w:val="0"/>
    <w:rPr>
      <w:rFonts w:ascii="Times New Roman" w:hAnsi="Times New Roman" w:eastAsia="宋体"/>
    </w:rPr>
  </w:style>
  <w:style w:type="character" w:customStyle="1" w:styleId="184">
    <w:name w:val="font81"/>
    <w:qFormat/>
    <w:uiPriority w:val="0"/>
    <w:rPr>
      <w:rFonts w:ascii="font-weight : 700" w:hAnsi="font-weight : 700" w:eastAsia="font-weight : 700" w:cs="font-weight : 700"/>
      <w:color w:val="000000"/>
      <w:sz w:val="20"/>
      <w:szCs w:val="20"/>
      <w:u w:val="none"/>
    </w:rPr>
  </w:style>
  <w:style w:type="character" w:customStyle="1" w:styleId="185">
    <w:name w:val="content_11"/>
    <w:qFormat/>
    <w:uiPriority w:val="0"/>
    <w:rPr>
      <w:sz w:val="20"/>
      <w:szCs w:val="20"/>
    </w:rPr>
  </w:style>
  <w:style w:type="character" w:customStyle="1" w:styleId="186">
    <w:name w:val="font21"/>
    <w:qFormat/>
    <w:uiPriority w:val="0"/>
    <w:rPr>
      <w:rFonts w:ascii="font-weight : 400" w:hAnsi="font-weight : 400" w:eastAsia="font-weight : 400" w:cs="font-weight : 400"/>
      <w:color w:val="000000"/>
      <w:sz w:val="20"/>
      <w:szCs w:val="20"/>
      <w:u w:val="none"/>
    </w:rPr>
  </w:style>
  <w:style w:type="character" w:customStyle="1" w:styleId="187">
    <w:name w:val="desc"/>
    <w:qFormat/>
    <w:uiPriority w:val="0"/>
    <w:rPr>
      <w:rFonts w:ascii="Times New Roman" w:hAnsi="Times New Roman" w:eastAsia="宋体"/>
      <w:color w:val="000000"/>
      <w:sz w:val="18"/>
      <w:szCs w:val="18"/>
    </w:rPr>
  </w:style>
  <w:style w:type="character" w:customStyle="1" w:styleId="188">
    <w:name w:val="bds_more9"/>
    <w:qFormat/>
    <w:uiPriority w:val="0"/>
    <w:rPr>
      <w:rFonts w:ascii="Times New Roman" w:hAnsi="Times New Roman" w:eastAsia="宋体"/>
    </w:rPr>
  </w:style>
  <w:style w:type="character" w:customStyle="1" w:styleId="189">
    <w:name w:val="p0 Char Char"/>
    <w:qFormat/>
    <w:uiPriority w:val="0"/>
    <w:rPr>
      <w:rFonts w:eastAsia="宋体"/>
      <w:kern w:val="2"/>
      <w:sz w:val="21"/>
      <w:szCs w:val="21"/>
      <w:lang w:val="en-US" w:eastAsia="zh-CN" w:bidi="ar-SA"/>
    </w:rPr>
  </w:style>
  <w:style w:type="character" w:customStyle="1" w:styleId="190">
    <w:name w:val="页眉 Char"/>
    <w:qFormat/>
    <w:uiPriority w:val="99"/>
    <w:rPr>
      <w:kern w:val="2"/>
      <w:sz w:val="18"/>
      <w:szCs w:val="18"/>
    </w:rPr>
  </w:style>
  <w:style w:type="character" w:customStyle="1" w:styleId="191">
    <w:name w:val="polysemyred"/>
    <w:qFormat/>
    <w:uiPriority w:val="0"/>
    <w:rPr>
      <w:rFonts w:ascii="Times New Roman" w:hAnsi="Times New Roman" w:eastAsia="宋体"/>
      <w:color w:val="FF6666"/>
      <w:sz w:val="18"/>
      <w:szCs w:val="18"/>
    </w:rPr>
  </w:style>
  <w:style w:type="character" w:customStyle="1" w:styleId="192">
    <w:name w:val="Char Char14"/>
    <w:qFormat/>
    <w:uiPriority w:val="0"/>
    <w:rPr>
      <w:rFonts w:ascii="Arial" w:hAnsi="Arial" w:eastAsia="黑体"/>
      <w:b/>
      <w:bCs/>
      <w:sz w:val="28"/>
      <w:szCs w:val="28"/>
      <w:lang w:val="en-US" w:eastAsia="zh-CN" w:bidi="ar-SA"/>
    </w:rPr>
  </w:style>
  <w:style w:type="character" w:customStyle="1" w:styleId="193">
    <w:name w:val="Font Style133"/>
    <w:unhideWhenUsed/>
    <w:qFormat/>
    <w:uiPriority w:val="0"/>
    <w:rPr>
      <w:rFonts w:hint="eastAsia" w:ascii="宋体" w:hAnsi="宋体" w:eastAsia="宋体"/>
      <w:spacing w:val="30"/>
      <w:sz w:val="24"/>
    </w:rPr>
  </w:style>
  <w:style w:type="character" w:customStyle="1" w:styleId="194">
    <w:name w:val="Char Char16"/>
    <w:qFormat/>
    <w:uiPriority w:val="0"/>
    <w:rPr>
      <w:rFonts w:ascii="宋体" w:hAnsi="Times New Roman" w:eastAsia="宋体"/>
      <w:b/>
      <w:sz w:val="24"/>
      <w:lang w:val="en-US" w:eastAsia="zh-CN" w:bidi="ar-SA"/>
    </w:rPr>
  </w:style>
  <w:style w:type="character" w:customStyle="1" w:styleId="195">
    <w:name w:val="Font Style121"/>
    <w:unhideWhenUsed/>
    <w:qFormat/>
    <w:uiPriority w:val="0"/>
    <w:rPr>
      <w:rFonts w:hint="eastAsia" w:ascii="宋体" w:hAnsi="宋体" w:eastAsia="宋体"/>
      <w:spacing w:val="-10"/>
      <w:sz w:val="30"/>
    </w:rPr>
  </w:style>
  <w:style w:type="character" w:customStyle="1" w:styleId="196">
    <w:name w:val="Font Style94"/>
    <w:unhideWhenUsed/>
    <w:qFormat/>
    <w:uiPriority w:val="0"/>
    <w:rPr>
      <w:rFonts w:hint="eastAsia" w:ascii="Times New Roman" w:hAnsi="Times New Roman" w:eastAsia="Times New Roman"/>
      <w:sz w:val="28"/>
    </w:rPr>
  </w:style>
  <w:style w:type="character" w:customStyle="1" w:styleId="197">
    <w:name w:val="Font Style124"/>
    <w:unhideWhenUsed/>
    <w:qFormat/>
    <w:uiPriority w:val="0"/>
    <w:rPr>
      <w:rFonts w:hint="eastAsia" w:ascii="宋体" w:hAnsi="宋体" w:eastAsia="宋体"/>
      <w:spacing w:val="30"/>
      <w:sz w:val="24"/>
    </w:rPr>
  </w:style>
  <w:style w:type="character" w:customStyle="1" w:styleId="198">
    <w:name w:val="bds_nopic1"/>
    <w:qFormat/>
    <w:uiPriority w:val="0"/>
    <w:rPr>
      <w:rFonts w:ascii="Times New Roman" w:hAnsi="Times New Roman" w:eastAsia="宋体"/>
    </w:rPr>
  </w:style>
  <w:style w:type="character" w:customStyle="1" w:styleId="199">
    <w:name w:val="morelink-item"/>
    <w:qFormat/>
    <w:uiPriority w:val="0"/>
    <w:rPr>
      <w:rFonts w:ascii="Times New Roman" w:hAnsi="Times New Roman" w:eastAsia="宋体"/>
    </w:rPr>
  </w:style>
  <w:style w:type="character" w:customStyle="1" w:styleId="200">
    <w:name w:val="Font Style86"/>
    <w:unhideWhenUsed/>
    <w:qFormat/>
    <w:uiPriority w:val="0"/>
    <w:rPr>
      <w:rFonts w:hint="eastAsia" w:ascii="黑体" w:hAnsi="黑体" w:eastAsia="黑体"/>
      <w:spacing w:val="10"/>
      <w:sz w:val="30"/>
    </w:rPr>
  </w:style>
  <w:style w:type="character" w:customStyle="1" w:styleId="201">
    <w:name w:val="Font Style128"/>
    <w:unhideWhenUsed/>
    <w:qFormat/>
    <w:uiPriority w:val="0"/>
    <w:rPr>
      <w:rFonts w:hint="eastAsia" w:ascii="Times New Roman" w:hAnsi="Times New Roman" w:eastAsia="Times New Roman"/>
      <w:sz w:val="16"/>
    </w:rPr>
  </w:style>
  <w:style w:type="character" w:customStyle="1" w:styleId="202">
    <w:name w:val="plus"/>
    <w:qFormat/>
    <w:uiPriority w:val="0"/>
    <w:rPr>
      <w:rFonts w:ascii="Times New Roman" w:hAnsi="Times New Roman" w:eastAsia="宋体"/>
      <w:b/>
      <w:vanish/>
      <w:color w:val="1F8DEF"/>
      <w:sz w:val="24"/>
      <w:szCs w:val="24"/>
    </w:rPr>
  </w:style>
  <w:style w:type="character" w:customStyle="1" w:styleId="203">
    <w:name w:val="纯文本 字符1"/>
    <w:qFormat/>
    <w:locked/>
    <w:uiPriority w:val="0"/>
    <w:rPr>
      <w:rFonts w:ascii="宋体" w:hAnsi="Courier New" w:eastAsia="宋体" w:cs="Courier New"/>
      <w:kern w:val="2"/>
      <w:sz w:val="21"/>
      <w:szCs w:val="21"/>
      <w:lang w:val="en-US" w:eastAsia="zh-CN" w:bidi="ar-SA"/>
    </w:rPr>
  </w:style>
  <w:style w:type="character" w:customStyle="1" w:styleId="204">
    <w:name w:val="Font Style90"/>
    <w:unhideWhenUsed/>
    <w:qFormat/>
    <w:uiPriority w:val="0"/>
    <w:rPr>
      <w:rFonts w:hint="eastAsia" w:ascii="宋体" w:hAnsi="宋体" w:eastAsia="宋体"/>
      <w:b/>
      <w:spacing w:val="-20"/>
      <w:sz w:val="40"/>
    </w:rPr>
  </w:style>
  <w:style w:type="character" w:customStyle="1" w:styleId="205">
    <w:name w:val="Font Style119"/>
    <w:unhideWhenUsed/>
    <w:qFormat/>
    <w:uiPriority w:val="0"/>
    <w:rPr>
      <w:rFonts w:hint="eastAsia" w:ascii="宋体" w:hAnsi="宋体" w:eastAsia="宋体"/>
      <w:sz w:val="24"/>
    </w:rPr>
  </w:style>
  <w:style w:type="character" w:customStyle="1" w:styleId="206">
    <w:name w:val="标题 5 Char"/>
    <w:qFormat/>
    <w:uiPriority w:val="0"/>
    <w:rPr>
      <w:b/>
      <w:bCs/>
      <w:kern w:val="2"/>
      <w:sz w:val="28"/>
      <w:szCs w:val="28"/>
    </w:rPr>
  </w:style>
  <w:style w:type="paragraph" w:customStyle="1" w:styleId="207">
    <w:name w:val="文章正文"/>
    <w:basedOn w:val="1"/>
    <w:qFormat/>
    <w:uiPriority w:val="0"/>
    <w:pPr>
      <w:widowControl w:val="0"/>
      <w:adjustRightInd w:val="0"/>
      <w:snapToGrid w:val="0"/>
      <w:spacing w:beforeLines="100" w:line="360" w:lineRule="auto"/>
      <w:ind w:firstLine="200" w:firstLineChars="200"/>
      <w:jc w:val="both"/>
    </w:pPr>
    <w:rPr>
      <w:rFonts w:ascii="Times New Roman" w:hAnsi="Times New Roman" w:eastAsia="宋体" w:cs="Times New Roman"/>
      <w:sz w:val="24"/>
    </w:rPr>
  </w:style>
  <w:style w:type="paragraph" w:customStyle="1" w:styleId="208">
    <w:name w:val="Style9"/>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09">
    <w:name w:val="Style52"/>
    <w:basedOn w:val="1"/>
    <w:unhideWhenUsed/>
    <w:qFormat/>
    <w:uiPriority w:val="0"/>
    <w:pPr>
      <w:widowControl w:val="0"/>
      <w:spacing w:line="682" w:lineRule="exact"/>
      <w:ind w:firstLine="557"/>
      <w:jc w:val="both"/>
    </w:pPr>
    <w:rPr>
      <w:rFonts w:ascii="Times New Roman" w:hAnsi="Times New Roman" w:eastAsia="宋体" w:cs="Times New Roman"/>
      <w:szCs w:val="24"/>
    </w:rPr>
  </w:style>
  <w:style w:type="paragraph" w:customStyle="1" w:styleId="210">
    <w:name w:val="_Style 39"/>
    <w:basedOn w:val="211"/>
    <w:qFormat/>
    <w:uiPriority w:val="0"/>
  </w:style>
  <w:style w:type="paragraph" w:customStyle="1" w:styleId="211">
    <w:name w:val="正文 New New New"/>
    <w:qFormat/>
    <w:uiPriority w:val="0"/>
    <w:pPr>
      <w:widowControl w:val="0"/>
      <w:spacing w:line="240" w:lineRule="auto"/>
      <w:jc w:val="both"/>
    </w:pPr>
    <w:rPr>
      <w:rFonts w:ascii="Times New Roman" w:hAnsi="Times New Roman" w:eastAsia="宋体" w:cs="Times New Roman"/>
      <w:kern w:val="2"/>
      <w:sz w:val="21"/>
      <w:szCs w:val="24"/>
      <w:lang w:val="en-US" w:eastAsia="zh-CN" w:bidi="ar-SA"/>
    </w:rPr>
  </w:style>
  <w:style w:type="paragraph" w:customStyle="1" w:styleId="212">
    <w:name w:val="Style76"/>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13">
    <w:name w:val="Style36"/>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14">
    <w:name w:val="Style15"/>
    <w:basedOn w:val="1"/>
    <w:unhideWhenUsed/>
    <w:qFormat/>
    <w:uiPriority w:val="0"/>
    <w:pPr>
      <w:widowControl w:val="0"/>
      <w:spacing w:line="557" w:lineRule="exact"/>
      <w:ind w:firstLine="672"/>
      <w:jc w:val="both"/>
    </w:pPr>
    <w:rPr>
      <w:rFonts w:ascii="Times New Roman" w:hAnsi="Times New Roman" w:eastAsia="宋体" w:cs="Times New Roman"/>
      <w:szCs w:val="24"/>
    </w:rPr>
  </w:style>
  <w:style w:type="paragraph" w:customStyle="1" w:styleId="215">
    <w:name w:val="NO3"/>
    <w:basedOn w:val="1"/>
    <w:qFormat/>
    <w:uiPriority w:val="0"/>
    <w:pPr>
      <w:widowControl w:val="0"/>
      <w:tabs>
        <w:tab w:val="left" w:pos="907"/>
      </w:tabs>
      <w:spacing w:line="360" w:lineRule="auto"/>
      <w:jc w:val="both"/>
    </w:pPr>
    <w:rPr>
      <w:rFonts w:ascii="宋体" w:hAnsi="宋体" w:eastAsia="宋体" w:cs="Times New Roman"/>
      <w:sz w:val="24"/>
      <w:szCs w:val="24"/>
    </w:rPr>
  </w:style>
  <w:style w:type="paragraph" w:customStyle="1" w:styleId="216">
    <w:name w:val="Style62"/>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17">
    <w:name w:val="Char Char1 Char Char Char"/>
    <w:basedOn w:val="1"/>
    <w:qFormat/>
    <w:uiPriority w:val="0"/>
    <w:pPr>
      <w:widowControl w:val="0"/>
      <w:spacing w:line="240" w:lineRule="auto"/>
      <w:jc w:val="both"/>
    </w:pPr>
    <w:rPr>
      <w:rFonts w:ascii="Times New Roman" w:hAnsi="Times New Roman" w:eastAsia="宋体" w:cs="Times New Roman"/>
      <w:kern w:val="0"/>
      <w:sz w:val="20"/>
      <w:szCs w:val="20"/>
    </w:rPr>
  </w:style>
  <w:style w:type="paragraph" w:customStyle="1" w:styleId="218">
    <w:name w:val="Style73"/>
    <w:basedOn w:val="1"/>
    <w:unhideWhenUsed/>
    <w:qFormat/>
    <w:uiPriority w:val="0"/>
    <w:pPr>
      <w:widowControl w:val="0"/>
      <w:spacing w:line="538" w:lineRule="exact"/>
      <w:ind w:firstLine="533"/>
      <w:jc w:val="both"/>
    </w:pPr>
    <w:rPr>
      <w:rFonts w:ascii="Times New Roman" w:hAnsi="Times New Roman" w:eastAsia="宋体" w:cs="Times New Roman"/>
      <w:szCs w:val="24"/>
    </w:rPr>
  </w:style>
  <w:style w:type="paragraph" w:customStyle="1" w:styleId="219">
    <w:name w:val="Style71"/>
    <w:basedOn w:val="1"/>
    <w:unhideWhenUsed/>
    <w:qFormat/>
    <w:uiPriority w:val="0"/>
    <w:pPr>
      <w:widowControl w:val="0"/>
      <w:spacing w:line="538" w:lineRule="exact"/>
      <w:ind w:firstLine="101"/>
      <w:jc w:val="both"/>
    </w:pPr>
    <w:rPr>
      <w:rFonts w:ascii="Times New Roman" w:hAnsi="Times New Roman" w:eastAsia="宋体" w:cs="Times New Roman"/>
      <w:szCs w:val="24"/>
    </w:rPr>
  </w:style>
  <w:style w:type="paragraph" w:customStyle="1" w:styleId="220">
    <w:name w:val="Char1 Char Char Char Char Char Char Char Char Char"/>
    <w:basedOn w:val="1"/>
    <w:qFormat/>
    <w:uiPriority w:val="0"/>
    <w:pPr>
      <w:widowControl w:val="0"/>
      <w:spacing w:line="240" w:lineRule="auto"/>
      <w:jc w:val="both"/>
    </w:pPr>
    <w:rPr>
      <w:rFonts w:ascii="Times New Roman" w:hAnsi="Times New Roman" w:eastAsia="宋体" w:cs="Times New Roman"/>
      <w:szCs w:val="20"/>
    </w:rPr>
  </w:style>
  <w:style w:type="paragraph" w:customStyle="1" w:styleId="221">
    <w:name w:val="Style4"/>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22">
    <w:name w:val="Style78"/>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23">
    <w:name w:val="Style60"/>
    <w:basedOn w:val="1"/>
    <w:unhideWhenUsed/>
    <w:qFormat/>
    <w:uiPriority w:val="0"/>
    <w:pPr>
      <w:widowControl w:val="0"/>
      <w:spacing w:line="566" w:lineRule="exact"/>
      <w:jc w:val="both"/>
    </w:pPr>
    <w:rPr>
      <w:rFonts w:ascii="Times New Roman" w:hAnsi="Times New Roman" w:eastAsia="宋体" w:cs="Times New Roman"/>
      <w:szCs w:val="24"/>
    </w:rPr>
  </w:style>
  <w:style w:type="paragraph" w:customStyle="1" w:styleId="224">
    <w:name w:val="Style48"/>
    <w:basedOn w:val="1"/>
    <w:unhideWhenUsed/>
    <w:qFormat/>
    <w:uiPriority w:val="0"/>
    <w:pPr>
      <w:widowControl w:val="0"/>
      <w:spacing w:line="542" w:lineRule="exact"/>
      <w:jc w:val="right"/>
    </w:pPr>
    <w:rPr>
      <w:rFonts w:ascii="Times New Roman" w:hAnsi="Times New Roman" w:eastAsia="宋体" w:cs="Times New Roman"/>
      <w:szCs w:val="24"/>
    </w:rPr>
  </w:style>
  <w:style w:type="paragraph" w:customStyle="1" w:styleId="225">
    <w:name w:val="Style41"/>
    <w:basedOn w:val="1"/>
    <w:unhideWhenUsed/>
    <w:qFormat/>
    <w:uiPriority w:val="0"/>
    <w:pPr>
      <w:widowControl w:val="0"/>
      <w:spacing w:line="542" w:lineRule="exact"/>
      <w:ind w:firstLine="125"/>
      <w:jc w:val="both"/>
    </w:pPr>
    <w:rPr>
      <w:rFonts w:ascii="Times New Roman" w:hAnsi="Times New Roman" w:eastAsia="宋体" w:cs="Times New Roman"/>
      <w:szCs w:val="24"/>
    </w:rPr>
  </w:style>
  <w:style w:type="paragraph" w:customStyle="1" w:styleId="226">
    <w:name w:val="Style50"/>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27">
    <w:name w:val="Char Char1 Char Char Char Char Char Char Char"/>
    <w:basedOn w:val="1"/>
    <w:qFormat/>
    <w:uiPriority w:val="0"/>
    <w:pPr>
      <w:spacing w:after="160" w:line="240" w:lineRule="exact"/>
    </w:pPr>
    <w:rPr>
      <w:rFonts w:ascii="Times New Roman" w:hAnsi="Times New Roman" w:eastAsia="宋体" w:cs="Times New Roman"/>
      <w:szCs w:val="24"/>
    </w:rPr>
  </w:style>
  <w:style w:type="paragraph" w:customStyle="1" w:styleId="228">
    <w:name w:val="Style59"/>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29">
    <w:name w:val="Style27"/>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30">
    <w:name w:val="Style61"/>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31">
    <w:name w:val="Style80"/>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32">
    <w:name w:val="Style12"/>
    <w:basedOn w:val="1"/>
    <w:unhideWhenUsed/>
    <w:qFormat/>
    <w:uiPriority w:val="0"/>
    <w:pPr>
      <w:widowControl w:val="0"/>
      <w:spacing w:line="564" w:lineRule="exact"/>
      <w:ind w:hanging="115"/>
      <w:jc w:val="both"/>
    </w:pPr>
    <w:rPr>
      <w:rFonts w:ascii="Times New Roman" w:hAnsi="Times New Roman" w:eastAsia="宋体" w:cs="Times New Roman"/>
      <w:szCs w:val="24"/>
    </w:rPr>
  </w:style>
  <w:style w:type="paragraph" w:customStyle="1" w:styleId="233">
    <w:name w:val="Style46"/>
    <w:basedOn w:val="1"/>
    <w:unhideWhenUsed/>
    <w:qFormat/>
    <w:uiPriority w:val="0"/>
    <w:pPr>
      <w:widowControl w:val="0"/>
      <w:spacing w:line="672" w:lineRule="exact"/>
      <w:jc w:val="both"/>
    </w:pPr>
    <w:rPr>
      <w:rFonts w:ascii="Times New Roman" w:hAnsi="Times New Roman" w:eastAsia="宋体" w:cs="Times New Roman"/>
      <w:szCs w:val="24"/>
    </w:rPr>
  </w:style>
  <w:style w:type="paragraph" w:customStyle="1" w:styleId="234">
    <w:name w:val="Style53"/>
    <w:basedOn w:val="1"/>
    <w:unhideWhenUsed/>
    <w:qFormat/>
    <w:uiPriority w:val="0"/>
    <w:pPr>
      <w:widowControl w:val="0"/>
      <w:spacing w:line="533" w:lineRule="exact"/>
      <w:ind w:firstLine="581"/>
      <w:jc w:val="both"/>
    </w:pPr>
    <w:rPr>
      <w:rFonts w:ascii="Times New Roman" w:hAnsi="Times New Roman" w:eastAsia="宋体" w:cs="Times New Roman"/>
      <w:szCs w:val="24"/>
    </w:rPr>
  </w:style>
  <w:style w:type="paragraph" w:customStyle="1" w:styleId="235">
    <w:name w:val="文档正文"/>
    <w:basedOn w:val="1"/>
    <w:qFormat/>
    <w:uiPriority w:val="0"/>
    <w:pPr>
      <w:widowControl w:val="0"/>
      <w:suppressAutoHyphens/>
      <w:spacing w:line="312" w:lineRule="atLeast"/>
      <w:ind w:firstLine="567"/>
      <w:textAlignment w:val="baseline"/>
    </w:pPr>
    <w:rPr>
      <w:rFonts w:ascii="长城仿宋" w:hAnsi="长城仿宋" w:eastAsia="长城仿宋" w:cs="Tahoma"/>
      <w:b/>
      <w:w w:val="80"/>
      <w:kern w:val="1"/>
      <w:sz w:val="28"/>
      <w:szCs w:val="20"/>
    </w:rPr>
  </w:style>
  <w:style w:type="paragraph" w:customStyle="1" w:styleId="236">
    <w:name w:val="修订1"/>
    <w:qFormat/>
    <w:uiPriority w:val="0"/>
    <w:pPr>
      <w:spacing w:line="240" w:lineRule="auto"/>
    </w:pPr>
    <w:rPr>
      <w:rFonts w:ascii="Times New Roman" w:hAnsi="Times New Roman" w:eastAsia="宋体" w:cs="Times New Roman"/>
      <w:kern w:val="2"/>
      <w:sz w:val="21"/>
      <w:szCs w:val="24"/>
      <w:lang w:val="en-US" w:eastAsia="zh-CN" w:bidi="ar-SA"/>
    </w:rPr>
  </w:style>
  <w:style w:type="paragraph" w:customStyle="1" w:styleId="237">
    <w:name w:val="Style16"/>
    <w:basedOn w:val="1"/>
    <w:unhideWhenUsed/>
    <w:qFormat/>
    <w:uiPriority w:val="0"/>
    <w:pPr>
      <w:widowControl w:val="0"/>
      <w:spacing w:line="240" w:lineRule="auto"/>
      <w:jc w:val="right"/>
    </w:pPr>
    <w:rPr>
      <w:rFonts w:ascii="Times New Roman" w:hAnsi="Times New Roman" w:eastAsia="宋体" w:cs="Times New Roman"/>
      <w:szCs w:val="24"/>
    </w:rPr>
  </w:style>
  <w:style w:type="paragraph" w:customStyle="1" w:styleId="238">
    <w:name w:val="Table Paragraph"/>
    <w:basedOn w:val="1"/>
    <w:qFormat/>
    <w:uiPriority w:val="0"/>
    <w:pPr>
      <w:widowControl w:val="0"/>
      <w:autoSpaceDE w:val="0"/>
      <w:autoSpaceDN w:val="0"/>
      <w:adjustRightInd w:val="0"/>
      <w:spacing w:line="240" w:lineRule="auto"/>
    </w:pPr>
    <w:rPr>
      <w:rFonts w:ascii="Calibri" w:hAnsi="Calibri" w:eastAsia="宋体" w:cs="Times New Roman"/>
      <w:kern w:val="0"/>
      <w:sz w:val="24"/>
      <w:szCs w:val="24"/>
    </w:rPr>
  </w:style>
  <w:style w:type="paragraph" w:customStyle="1" w:styleId="239">
    <w:name w:val="Style77"/>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40">
    <w:name w:val="Style68"/>
    <w:basedOn w:val="1"/>
    <w:unhideWhenUsed/>
    <w:qFormat/>
    <w:uiPriority w:val="0"/>
    <w:pPr>
      <w:widowControl w:val="0"/>
      <w:spacing w:line="547" w:lineRule="exact"/>
      <w:jc w:val="both"/>
    </w:pPr>
    <w:rPr>
      <w:rFonts w:ascii="Times New Roman" w:hAnsi="Times New Roman" w:eastAsia="宋体" w:cs="Times New Roman"/>
      <w:szCs w:val="24"/>
    </w:rPr>
  </w:style>
  <w:style w:type="paragraph" w:customStyle="1" w:styleId="241">
    <w:name w:val="Style58"/>
    <w:basedOn w:val="1"/>
    <w:unhideWhenUsed/>
    <w:qFormat/>
    <w:uiPriority w:val="0"/>
    <w:pPr>
      <w:widowControl w:val="0"/>
      <w:spacing w:line="413" w:lineRule="exact"/>
      <w:jc w:val="both"/>
    </w:pPr>
    <w:rPr>
      <w:rFonts w:ascii="Times New Roman" w:hAnsi="Times New Roman" w:eastAsia="宋体" w:cs="Times New Roman"/>
      <w:szCs w:val="24"/>
    </w:rPr>
  </w:style>
  <w:style w:type="paragraph" w:customStyle="1" w:styleId="242">
    <w:name w:val="表正文"/>
    <w:qFormat/>
    <w:uiPriority w:val="0"/>
    <w:pPr>
      <w:widowControl w:val="0"/>
      <w:spacing w:line="240" w:lineRule="auto"/>
      <w:ind w:left="840" w:leftChars="350"/>
      <w:jc w:val="both"/>
      <w:outlineLvl w:val="0"/>
    </w:pPr>
    <w:rPr>
      <w:rFonts w:ascii="宋体" w:hAnsi="Times New Roman" w:eastAsia="宋体" w:cs="Times New Roman"/>
      <w:b/>
      <w:kern w:val="0"/>
      <w:sz w:val="24"/>
      <w:szCs w:val="20"/>
      <w:lang w:val="en-US" w:eastAsia="zh-CN" w:bidi="ar-SA"/>
    </w:rPr>
  </w:style>
  <w:style w:type="paragraph" w:customStyle="1" w:styleId="243">
    <w:name w:val="Style42"/>
    <w:basedOn w:val="1"/>
    <w:unhideWhenUsed/>
    <w:qFormat/>
    <w:uiPriority w:val="0"/>
    <w:pPr>
      <w:widowControl w:val="0"/>
      <w:spacing w:line="542" w:lineRule="exact"/>
      <w:ind w:firstLine="547"/>
      <w:jc w:val="both"/>
    </w:pPr>
    <w:rPr>
      <w:rFonts w:ascii="Times New Roman" w:hAnsi="Times New Roman" w:eastAsia="宋体" w:cs="Times New Roman"/>
      <w:szCs w:val="24"/>
    </w:rPr>
  </w:style>
  <w:style w:type="paragraph" w:customStyle="1" w:styleId="244">
    <w:name w:val="Style69"/>
    <w:basedOn w:val="1"/>
    <w:unhideWhenUsed/>
    <w:qFormat/>
    <w:uiPriority w:val="0"/>
    <w:pPr>
      <w:widowControl w:val="0"/>
      <w:spacing w:line="557" w:lineRule="exact"/>
      <w:ind w:firstLine="1666"/>
      <w:jc w:val="both"/>
    </w:pPr>
    <w:rPr>
      <w:rFonts w:ascii="Times New Roman" w:hAnsi="Times New Roman" w:eastAsia="宋体" w:cs="Times New Roman"/>
      <w:szCs w:val="24"/>
    </w:rPr>
  </w:style>
  <w:style w:type="paragraph" w:customStyle="1" w:styleId="245">
    <w:name w:val="标题3"/>
    <w:basedOn w:val="2"/>
    <w:qFormat/>
    <w:uiPriority w:val="0"/>
    <w:pPr>
      <w:keepLines w:val="0"/>
      <w:widowControl w:val="0"/>
      <w:spacing w:beforeLines="50" w:afterLines="50" w:line="400" w:lineRule="exact"/>
      <w:jc w:val="both"/>
    </w:pPr>
    <w:rPr>
      <w:rFonts w:ascii="宋体" w:hAnsi="宋体" w:eastAsia="宋体" w:cs="Times New Roman"/>
      <w:b/>
      <w:bCs/>
      <w:color w:val="auto"/>
      <w:kern w:val="32"/>
      <w:sz w:val="24"/>
      <w:szCs w:val="32"/>
    </w:rPr>
  </w:style>
  <w:style w:type="paragraph" w:customStyle="1" w:styleId="246">
    <w:name w:val="Char Char11"/>
    <w:basedOn w:val="1"/>
    <w:qFormat/>
    <w:uiPriority w:val="0"/>
    <w:pPr>
      <w:widowControl w:val="0"/>
      <w:spacing w:line="240" w:lineRule="auto"/>
      <w:jc w:val="both"/>
    </w:pPr>
    <w:rPr>
      <w:rFonts w:ascii="Tahoma" w:hAnsi="Tahoma" w:eastAsia="宋体" w:cs="Times New Roman"/>
      <w:sz w:val="24"/>
      <w:szCs w:val="20"/>
    </w:rPr>
  </w:style>
  <w:style w:type="paragraph" w:customStyle="1" w:styleId="247">
    <w:name w:val="Style11"/>
    <w:basedOn w:val="1"/>
    <w:unhideWhenUsed/>
    <w:qFormat/>
    <w:uiPriority w:val="0"/>
    <w:pPr>
      <w:widowControl w:val="0"/>
      <w:spacing w:line="559" w:lineRule="exact"/>
      <w:ind w:firstLine="590"/>
      <w:jc w:val="both"/>
    </w:pPr>
    <w:rPr>
      <w:rFonts w:ascii="Times New Roman" w:hAnsi="Times New Roman" w:eastAsia="宋体" w:cs="Times New Roman"/>
      <w:szCs w:val="24"/>
    </w:rPr>
  </w:style>
  <w:style w:type="paragraph" w:customStyle="1" w:styleId="248">
    <w:name w:val="Style23"/>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49">
    <w:name w:val="标准正文"/>
    <w:basedOn w:val="1"/>
    <w:qFormat/>
    <w:uiPriority w:val="0"/>
    <w:pPr>
      <w:widowControl w:val="0"/>
      <w:autoSpaceDE w:val="0"/>
      <w:autoSpaceDN w:val="0"/>
      <w:adjustRightInd w:val="0"/>
      <w:snapToGrid w:val="0"/>
      <w:spacing w:afterLines="50" w:line="480" w:lineRule="exact"/>
    </w:pPr>
    <w:rPr>
      <w:rFonts w:ascii="宋体" w:hAnsi="Times New Roman" w:eastAsia="宋体" w:cs="Times New Roman"/>
      <w:kern w:val="0"/>
      <w:szCs w:val="20"/>
      <w:lang w:val="zh-CN"/>
    </w:rPr>
  </w:style>
  <w:style w:type="paragraph" w:customStyle="1" w:styleId="250">
    <w:name w:val="1 Char Char Char Char"/>
    <w:basedOn w:val="1"/>
    <w:qFormat/>
    <w:uiPriority w:val="0"/>
    <w:pPr>
      <w:widowControl w:val="0"/>
      <w:spacing w:line="240" w:lineRule="auto"/>
      <w:jc w:val="both"/>
    </w:pPr>
    <w:rPr>
      <w:rFonts w:ascii="Times New Roman" w:hAnsi="Times New Roman" w:eastAsia="宋体" w:cs="Times New Roman"/>
      <w:szCs w:val="24"/>
    </w:rPr>
  </w:style>
  <w:style w:type="paragraph" w:customStyle="1" w:styleId="251">
    <w:name w:val="Style13"/>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52">
    <w:name w:val="列出段落2"/>
    <w:basedOn w:val="1"/>
    <w:qFormat/>
    <w:uiPriority w:val="0"/>
    <w:pPr>
      <w:widowControl w:val="0"/>
      <w:spacing w:line="240" w:lineRule="auto"/>
      <w:ind w:firstLine="420" w:firstLineChars="200"/>
      <w:jc w:val="both"/>
    </w:pPr>
    <w:rPr>
      <w:rFonts w:ascii="Calibri" w:hAnsi="Calibri" w:eastAsia="宋体" w:cs="Calibri"/>
      <w:szCs w:val="21"/>
    </w:rPr>
  </w:style>
  <w:style w:type="paragraph" w:customStyle="1" w:styleId="253">
    <w:name w:val="Style65"/>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54">
    <w:name w:val="Char1 Char Char Char"/>
    <w:basedOn w:val="1"/>
    <w:qFormat/>
    <w:uiPriority w:val="0"/>
    <w:pPr>
      <w:spacing w:after="160" w:line="240" w:lineRule="exact"/>
    </w:pPr>
    <w:rPr>
      <w:rFonts w:ascii="Times New Roman" w:hAnsi="Times New Roman" w:eastAsia="宋体" w:cs="Times New Roman"/>
      <w:kern w:val="0"/>
      <w:sz w:val="24"/>
      <w:szCs w:val="20"/>
    </w:rPr>
  </w:style>
  <w:style w:type="paragraph" w:customStyle="1" w:styleId="255">
    <w:name w:val="Style70"/>
    <w:basedOn w:val="1"/>
    <w:unhideWhenUsed/>
    <w:qFormat/>
    <w:uiPriority w:val="0"/>
    <w:pPr>
      <w:widowControl w:val="0"/>
      <w:spacing w:line="549" w:lineRule="exact"/>
      <w:ind w:firstLine="686"/>
      <w:jc w:val="both"/>
    </w:pPr>
    <w:rPr>
      <w:rFonts w:ascii="Times New Roman" w:hAnsi="Times New Roman" w:eastAsia="宋体" w:cs="Times New Roman"/>
      <w:szCs w:val="24"/>
    </w:rPr>
  </w:style>
  <w:style w:type="paragraph" w:customStyle="1" w:styleId="256">
    <w:name w:val="标题2"/>
    <w:basedOn w:val="41"/>
    <w:qFormat/>
    <w:uiPriority w:val="0"/>
    <w:pPr>
      <w:widowControl w:val="0"/>
      <w:spacing w:before="240" w:after="240"/>
      <w:contextualSpacing w:val="0"/>
      <w:jc w:val="left"/>
      <w:outlineLvl w:val="0"/>
    </w:pPr>
    <w:rPr>
      <w:rFonts w:ascii="Cambria" w:hAnsi="Cambria" w:eastAsia="宋体" w:cs="Times New Roman"/>
      <w:b/>
      <w:spacing w:val="0"/>
      <w:kern w:val="2"/>
      <w:sz w:val="30"/>
      <w:szCs w:val="24"/>
    </w:rPr>
  </w:style>
  <w:style w:type="paragraph" w:customStyle="1" w:styleId="257">
    <w:name w:val="前言、引言标题"/>
    <w:next w:val="1"/>
    <w:qFormat/>
    <w:uiPriority w:val="0"/>
    <w:pPr>
      <w:shd w:val="clear" w:color="FFFFFF" w:fill="FFFFFF"/>
      <w:tabs>
        <w:tab w:val="left" w:pos="360"/>
        <w:tab w:val="left" w:pos="720"/>
      </w:tabs>
      <w:spacing w:before="640" w:after="560" w:line="240" w:lineRule="auto"/>
      <w:ind w:left="720" w:hanging="720"/>
      <w:jc w:val="center"/>
      <w:outlineLvl w:val="0"/>
    </w:pPr>
    <w:rPr>
      <w:rFonts w:ascii="黑体" w:hAnsi="Times New Roman" w:eastAsia="黑体" w:cs="Times New Roman"/>
      <w:kern w:val="0"/>
      <w:sz w:val="32"/>
      <w:szCs w:val="20"/>
      <w:lang w:val="en-US" w:eastAsia="zh-CN" w:bidi="ar-SA"/>
    </w:rPr>
  </w:style>
  <w:style w:type="paragraph" w:customStyle="1" w:styleId="258">
    <w:name w:val="Char21"/>
    <w:basedOn w:val="1"/>
    <w:qFormat/>
    <w:uiPriority w:val="0"/>
    <w:pPr>
      <w:spacing w:after="160" w:line="240" w:lineRule="exact"/>
    </w:pPr>
    <w:rPr>
      <w:rFonts w:ascii="Verdana" w:hAnsi="Verdana" w:eastAsia="宋体" w:cs="Times New Roman"/>
      <w:kern w:val="0"/>
      <w:sz w:val="20"/>
      <w:szCs w:val="20"/>
      <w:lang w:eastAsia="en-US"/>
    </w:rPr>
  </w:style>
  <w:style w:type="paragraph" w:customStyle="1" w:styleId="259">
    <w:name w:val="附录标识"/>
    <w:basedOn w:val="257"/>
    <w:qFormat/>
    <w:uiPriority w:val="0"/>
    <w:pPr>
      <w:tabs>
        <w:tab w:val="left" w:pos="6405"/>
        <w:tab w:val="clear" w:pos="360"/>
        <w:tab w:val="clear" w:pos="720"/>
      </w:tabs>
      <w:spacing w:after="200"/>
    </w:pPr>
    <w:rPr>
      <w:sz w:val="21"/>
    </w:rPr>
  </w:style>
  <w:style w:type="paragraph" w:customStyle="1" w:styleId="260">
    <w:name w:val="Style29"/>
    <w:basedOn w:val="1"/>
    <w:unhideWhenUsed/>
    <w:qFormat/>
    <w:uiPriority w:val="0"/>
    <w:pPr>
      <w:widowControl w:val="0"/>
      <w:spacing w:line="547" w:lineRule="exact"/>
      <w:ind w:firstLine="547"/>
      <w:jc w:val="both"/>
    </w:pPr>
    <w:rPr>
      <w:rFonts w:ascii="Times New Roman" w:hAnsi="Times New Roman" w:eastAsia="宋体" w:cs="Times New Roman"/>
      <w:szCs w:val="24"/>
    </w:rPr>
  </w:style>
  <w:style w:type="paragraph" w:customStyle="1" w:styleId="261">
    <w:name w:val="Style34"/>
    <w:basedOn w:val="1"/>
    <w:unhideWhenUsed/>
    <w:qFormat/>
    <w:uiPriority w:val="0"/>
    <w:pPr>
      <w:widowControl w:val="0"/>
      <w:spacing w:line="375" w:lineRule="exact"/>
      <w:jc w:val="both"/>
    </w:pPr>
    <w:rPr>
      <w:rFonts w:ascii="Times New Roman" w:hAnsi="Times New Roman" w:eastAsia="宋体" w:cs="Times New Roman"/>
      <w:szCs w:val="24"/>
    </w:rPr>
  </w:style>
  <w:style w:type="paragraph" w:customStyle="1" w:styleId="262">
    <w:name w:val="默认段落字体 Para Char Char Char Char Char Char Char Char Char Char Char Char Char Char Char Char Char Char Char"/>
    <w:basedOn w:val="1"/>
    <w:qFormat/>
    <w:uiPriority w:val="0"/>
    <w:pPr>
      <w:widowControl w:val="0"/>
      <w:spacing w:line="240" w:lineRule="auto"/>
      <w:jc w:val="both"/>
    </w:pPr>
    <w:rPr>
      <w:rFonts w:ascii="Times New Roman" w:hAnsi="Times New Roman" w:eastAsia="宋体" w:cs="Times New Roman"/>
      <w:szCs w:val="24"/>
    </w:rPr>
  </w:style>
  <w:style w:type="paragraph" w:customStyle="1" w:styleId="263">
    <w:name w:val="Table Text"/>
    <w:qFormat/>
    <w:uiPriority w:val="0"/>
    <w:pPr>
      <w:autoSpaceDE w:val="0"/>
      <w:autoSpaceDN w:val="0"/>
      <w:spacing w:before="80" w:after="80" w:line="240" w:lineRule="auto"/>
      <w:jc w:val="both"/>
      <w:textAlignment w:val="bottom"/>
    </w:pPr>
    <w:rPr>
      <w:rFonts w:ascii="Arial" w:hAnsi="Arial" w:eastAsia="宋体" w:cs="Arial Narrow"/>
      <w:kern w:val="0"/>
      <w:sz w:val="21"/>
      <w:szCs w:val="20"/>
      <w:lang w:val="en-US" w:eastAsia="zh-CN" w:bidi="ar-SA"/>
    </w:rPr>
  </w:style>
  <w:style w:type="paragraph" w:customStyle="1" w:styleId="264">
    <w:name w:val="Style74"/>
    <w:basedOn w:val="1"/>
    <w:unhideWhenUsed/>
    <w:qFormat/>
    <w:uiPriority w:val="0"/>
    <w:pPr>
      <w:widowControl w:val="0"/>
      <w:spacing w:line="437" w:lineRule="exact"/>
      <w:jc w:val="both"/>
    </w:pPr>
    <w:rPr>
      <w:rFonts w:ascii="Times New Roman" w:hAnsi="Times New Roman" w:eastAsia="宋体" w:cs="Times New Roman"/>
      <w:szCs w:val="24"/>
    </w:rPr>
  </w:style>
  <w:style w:type="paragraph" w:customStyle="1" w:styleId="265">
    <w:name w:val="Style28"/>
    <w:basedOn w:val="1"/>
    <w:unhideWhenUsed/>
    <w:qFormat/>
    <w:uiPriority w:val="0"/>
    <w:pPr>
      <w:widowControl w:val="0"/>
      <w:spacing w:line="552" w:lineRule="exact"/>
      <w:ind w:firstLine="547"/>
      <w:jc w:val="both"/>
    </w:pPr>
    <w:rPr>
      <w:rFonts w:ascii="Times New Roman" w:hAnsi="Times New Roman" w:eastAsia="宋体" w:cs="Times New Roman"/>
      <w:szCs w:val="24"/>
    </w:rPr>
  </w:style>
  <w:style w:type="paragraph" w:customStyle="1" w:styleId="266">
    <w:name w:val="Style24"/>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67">
    <w:name w:val="Style63"/>
    <w:basedOn w:val="1"/>
    <w:unhideWhenUsed/>
    <w:qFormat/>
    <w:uiPriority w:val="0"/>
    <w:pPr>
      <w:widowControl w:val="0"/>
      <w:spacing w:line="564" w:lineRule="exact"/>
      <w:ind w:firstLine="682"/>
      <w:jc w:val="both"/>
    </w:pPr>
    <w:rPr>
      <w:rFonts w:ascii="Times New Roman" w:hAnsi="Times New Roman" w:eastAsia="宋体" w:cs="Times New Roman"/>
      <w:szCs w:val="24"/>
    </w:rPr>
  </w:style>
  <w:style w:type="paragraph" w:customStyle="1" w:styleId="268">
    <w:name w:val="无间隔1"/>
    <w:qFormat/>
    <w:uiPriority w:val="1"/>
    <w:pPr>
      <w:widowControl w:val="0"/>
      <w:spacing w:line="240" w:lineRule="auto"/>
      <w:jc w:val="both"/>
    </w:pPr>
    <w:rPr>
      <w:rFonts w:ascii="Times New Roman" w:hAnsi="Times New Roman" w:eastAsia="宋体" w:cs="Times New Roman"/>
      <w:kern w:val="2"/>
      <w:sz w:val="21"/>
      <w:szCs w:val="24"/>
      <w:lang w:val="en-US" w:eastAsia="zh-CN" w:bidi="ar-SA"/>
    </w:rPr>
  </w:style>
  <w:style w:type="paragraph" w:customStyle="1" w:styleId="269">
    <w:name w:val="Style45"/>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70">
    <w:name w:val="Style64"/>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71">
    <w:name w:val="Style72"/>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72">
    <w:name w:val="Style21"/>
    <w:basedOn w:val="1"/>
    <w:unhideWhenUsed/>
    <w:qFormat/>
    <w:uiPriority w:val="0"/>
    <w:pPr>
      <w:widowControl w:val="0"/>
      <w:spacing w:line="566" w:lineRule="exact"/>
      <w:ind w:firstLine="682"/>
      <w:jc w:val="both"/>
    </w:pPr>
    <w:rPr>
      <w:rFonts w:ascii="Times New Roman" w:hAnsi="Times New Roman" w:eastAsia="宋体" w:cs="Times New Roman"/>
      <w:szCs w:val="24"/>
    </w:rPr>
  </w:style>
  <w:style w:type="paragraph" w:customStyle="1" w:styleId="273">
    <w:name w:val="Style26"/>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74">
    <w:name w:val="Style47"/>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75">
    <w:name w:val="Style44"/>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76">
    <w:name w:val="Char Char Char Char Char Char Char111"/>
    <w:basedOn w:val="1"/>
    <w:qFormat/>
    <w:uiPriority w:val="0"/>
    <w:pPr>
      <w:widowControl w:val="0"/>
      <w:snapToGrid w:val="0"/>
      <w:spacing w:line="360" w:lineRule="auto"/>
      <w:ind w:firstLine="200" w:firstLineChars="200"/>
      <w:jc w:val="both"/>
    </w:pPr>
    <w:rPr>
      <w:rFonts w:ascii="Times New Roman" w:hAnsi="Times New Roman" w:eastAsia="仿宋_GB2312" w:cs="Times New Roman"/>
      <w:sz w:val="24"/>
      <w:szCs w:val="24"/>
    </w:rPr>
  </w:style>
  <w:style w:type="paragraph" w:customStyle="1" w:styleId="277">
    <w:name w:val="Style10"/>
    <w:basedOn w:val="1"/>
    <w:unhideWhenUsed/>
    <w:qFormat/>
    <w:uiPriority w:val="0"/>
    <w:pPr>
      <w:widowControl w:val="0"/>
      <w:spacing w:line="538" w:lineRule="exact"/>
      <w:jc w:val="both"/>
    </w:pPr>
    <w:rPr>
      <w:rFonts w:ascii="Times New Roman" w:hAnsi="Times New Roman" w:eastAsia="宋体" w:cs="Times New Roman"/>
      <w:szCs w:val="24"/>
    </w:rPr>
  </w:style>
  <w:style w:type="paragraph" w:customStyle="1" w:styleId="278">
    <w:name w:val="Style8"/>
    <w:basedOn w:val="1"/>
    <w:unhideWhenUsed/>
    <w:qFormat/>
    <w:uiPriority w:val="0"/>
    <w:pPr>
      <w:widowControl w:val="0"/>
      <w:spacing w:line="566" w:lineRule="exact"/>
      <w:jc w:val="center"/>
    </w:pPr>
    <w:rPr>
      <w:rFonts w:ascii="Times New Roman" w:hAnsi="Times New Roman" w:eastAsia="宋体" w:cs="Times New Roman"/>
      <w:szCs w:val="24"/>
    </w:rPr>
  </w:style>
  <w:style w:type="paragraph" w:customStyle="1" w:styleId="279">
    <w:name w:val="Style54"/>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80">
    <w:name w:val="Style81"/>
    <w:basedOn w:val="1"/>
    <w:unhideWhenUsed/>
    <w:qFormat/>
    <w:uiPriority w:val="0"/>
    <w:pPr>
      <w:widowControl w:val="0"/>
      <w:spacing w:line="547" w:lineRule="exact"/>
      <w:jc w:val="both"/>
    </w:pPr>
    <w:rPr>
      <w:rFonts w:ascii="Times New Roman" w:hAnsi="Times New Roman" w:eastAsia="宋体" w:cs="Times New Roman"/>
      <w:szCs w:val="24"/>
    </w:rPr>
  </w:style>
  <w:style w:type="paragraph" w:customStyle="1" w:styleId="281">
    <w:name w:val="reader-word-layer reader-word-s1-1"/>
    <w:basedOn w:val="1"/>
    <w:qFormat/>
    <w:uiPriority w:val="0"/>
    <w:pPr>
      <w:spacing w:before="100" w:beforeAutospacing="1" w:after="100" w:afterAutospacing="1" w:line="240" w:lineRule="auto"/>
    </w:pPr>
    <w:rPr>
      <w:rFonts w:ascii="宋体" w:hAnsi="宋体" w:eastAsia="宋体" w:cs="宋体"/>
      <w:kern w:val="0"/>
      <w:sz w:val="24"/>
      <w:szCs w:val="24"/>
    </w:rPr>
  </w:style>
  <w:style w:type="paragraph" w:customStyle="1" w:styleId="282">
    <w:name w:val="Style56"/>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83">
    <w:name w:val="Style5"/>
    <w:basedOn w:val="1"/>
    <w:unhideWhenUsed/>
    <w:qFormat/>
    <w:uiPriority w:val="0"/>
    <w:pPr>
      <w:widowControl w:val="0"/>
      <w:spacing w:line="240" w:lineRule="auto"/>
      <w:jc w:val="both"/>
    </w:pPr>
    <w:rPr>
      <w:rFonts w:ascii="Times New Roman" w:hAnsi="Times New Roman" w:eastAsia="宋体" w:cs="Times New Roman"/>
      <w:szCs w:val="24"/>
    </w:rPr>
  </w:style>
  <w:style w:type="paragraph" w:customStyle="1" w:styleId="284">
    <w:name w:val="Style67"/>
    <w:basedOn w:val="1"/>
    <w:unhideWhenUsed/>
    <w:qFormat/>
    <w:uiPriority w:val="0"/>
    <w:pPr>
      <w:widowControl w:val="0"/>
      <w:spacing w:line="566" w:lineRule="exact"/>
      <w:ind w:firstLine="552"/>
      <w:jc w:val="both"/>
    </w:pPr>
    <w:rPr>
      <w:rFonts w:ascii="Times New Roman" w:hAnsi="Times New Roman" w:eastAsia="宋体" w:cs="Times New Roman"/>
      <w:szCs w:val="24"/>
    </w:rPr>
  </w:style>
  <w:style w:type="paragraph" w:customStyle="1" w:styleId="285">
    <w:name w:val="Char Char Char11"/>
    <w:basedOn w:val="1"/>
    <w:qFormat/>
    <w:uiPriority w:val="0"/>
    <w:pPr>
      <w:widowControl w:val="0"/>
      <w:spacing w:line="240" w:lineRule="auto"/>
      <w:jc w:val="both"/>
    </w:pPr>
    <w:rPr>
      <w:rFonts w:ascii="宋体" w:hAnsi="宋体" w:eastAsia="宋体" w:cs="Times New Roman"/>
      <w:b/>
      <w:sz w:val="28"/>
      <w:szCs w:val="28"/>
    </w:rPr>
  </w:style>
  <w:style w:type="paragraph" w:customStyle="1" w:styleId="286">
    <w:name w:val="Char Char Char1 Char11"/>
    <w:basedOn w:val="1"/>
    <w:qFormat/>
    <w:uiPriority w:val="0"/>
    <w:pPr>
      <w:widowControl w:val="0"/>
      <w:tabs>
        <w:tab w:val="left" w:pos="360"/>
      </w:tabs>
      <w:snapToGrid w:val="0"/>
      <w:spacing w:line="360" w:lineRule="auto"/>
      <w:jc w:val="both"/>
    </w:pPr>
    <w:rPr>
      <w:rFonts w:ascii="Times New Roman" w:hAnsi="Times New Roman" w:eastAsia="仿宋_GB2312" w:cs="宋体"/>
      <w:sz w:val="24"/>
      <w:szCs w:val="24"/>
    </w:rPr>
  </w:style>
  <w:style w:type="paragraph" w:customStyle="1" w:styleId="287">
    <w:name w:val="Char Char1"/>
    <w:basedOn w:val="1"/>
    <w:qFormat/>
    <w:uiPriority w:val="0"/>
    <w:pPr>
      <w:widowControl w:val="0"/>
      <w:spacing w:line="240" w:lineRule="auto"/>
      <w:jc w:val="both"/>
    </w:pPr>
    <w:rPr>
      <w:rFonts w:ascii="Tahoma" w:hAnsi="Tahoma" w:eastAsia="宋体" w:cs="Times New Roman"/>
      <w:sz w:val="24"/>
      <w:szCs w:val="20"/>
    </w:rPr>
  </w:style>
  <w:style w:type="paragraph" w:customStyle="1" w:styleId="288">
    <w:name w:val="Char2"/>
    <w:basedOn w:val="1"/>
    <w:qFormat/>
    <w:uiPriority w:val="0"/>
    <w:pPr>
      <w:spacing w:after="160" w:line="240" w:lineRule="exact"/>
    </w:pPr>
    <w:rPr>
      <w:rFonts w:ascii="Verdana" w:hAnsi="Verdana" w:eastAsia="宋体" w:cs="Times New Roman"/>
      <w:kern w:val="0"/>
      <w:sz w:val="20"/>
      <w:szCs w:val="20"/>
      <w:lang w:eastAsia="en-US"/>
    </w:rPr>
  </w:style>
  <w:style w:type="paragraph" w:customStyle="1" w:styleId="289">
    <w:name w:val="Char Char Char Char Char Char Char11"/>
    <w:basedOn w:val="1"/>
    <w:qFormat/>
    <w:uiPriority w:val="0"/>
    <w:pPr>
      <w:widowControl w:val="0"/>
      <w:snapToGrid w:val="0"/>
      <w:spacing w:line="360" w:lineRule="auto"/>
      <w:ind w:firstLine="200" w:firstLineChars="200"/>
      <w:jc w:val="both"/>
    </w:pPr>
    <w:rPr>
      <w:rFonts w:ascii="Times New Roman" w:hAnsi="Times New Roman" w:eastAsia="仿宋_GB2312" w:cs="Times New Roman"/>
      <w:sz w:val="24"/>
      <w:szCs w:val="24"/>
    </w:rPr>
  </w:style>
  <w:style w:type="paragraph" w:customStyle="1" w:styleId="290">
    <w:name w:val="Char Char Char1"/>
    <w:basedOn w:val="1"/>
    <w:qFormat/>
    <w:uiPriority w:val="0"/>
    <w:pPr>
      <w:widowControl w:val="0"/>
      <w:spacing w:line="240" w:lineRule="auto"/>
      <w:jc w:val="both"/>
    </w:pPr>
    <w:rPr>
      <w:rFonts w:ascii="宋体" w:hAnsi="宋体" w:eastAsia="宋体" w:cs="Times New Roman"/>
      <w:b/>
      <w:sz w:val="28"/>
      <w:szCs w:val="28"/>
    </w:rPr>
  </w:style>
  <w:style w:type="paragraph" w:customStyle="1" w:styleId="291">
    <w:name w:val="Char Char Char1 Char1"/>
    <w:basedOn w:val="1"/>
    <w:qFormat/>
    <w:uiPriority w:val="0"/>
    <w:pPr>
      <w:widowControl w:val="0"/>
      <w:tabs>
        <w:tab w:val="left" w:pos="360"/>
      </w:tabs>
      <w:snapToGrid w:val="0"/>
      <w:spacing w:line="360" w:lineRule="auto"/>
      <w:jc w:val="both"/>
    </w:pPr>
    <w:rPr>
      <w:rFonts w:ascii="Times New Roman" w:hAnsi="Times New Roman" w:eastAsia="仿宋_GB2312" w:cs="宋体"/>
      <w:sz w:val="24"/>
      <w:szCs w:val="24"/>
    </w:rPr>
  </w:style>
  <w:style w:type="character" w:customStyle="1" w:styleId="292">
    <w:name w:val="未处理的提及1"/>
    <w:basedOn w:val="46"/>
    <w:unhideWhenUsed/>
    <w:qFormat/>
    <w:uiPriority w:val="99"/>
    <w:rPr>
      <w:color w:val="605E5C"/>
      <w:shd w:val="clear" w:color="auto" w:fill="E1DFDD"/>
    </w:rPr>
  </w:style>
  <w:style w:type="paragraph" w:customStyle="1" w:styleId="293">
    <w:name w:val="正文_0"/>
    <w:next w:val="1"/>
    <w:qFormat/>
    <w:uiPriority w:val="0"/>
    <w:pPr>
      <w:widowControl w:val="0"/>
      <w:spacing w:line="240" w:lineRule="auto"/>
      <w:jc w:val="both"/>
    </w:pPr>
    <w:rPr>
      <w:rFonts w:ascii="Calibri" w:hAnsi="Calibri" w:eastAsia="宋体" w:cs="宋体"/>
      <w:kern w:val="2"/>
      <w:sz w:val="21"/>
      <w:szCs w:val="24"/>
      <w:lang w:val="en-US" w:eastAsia="zh-CN" w:bidi="ar-SA"/>
    </w:rPr>
  </w:style>
  <w:style w:type="character" w:customStyle="1" w:styleId="294">
    <w:name w:val="font01"/>
    <w:basedOn w:val="46"/>
    <w:qFormat/>
    <w:uiPriority w:val="0"/>
    <w:rPr>
      <w:rFonts w:hint="eastAsia" w:ascii="宋体" w:hAnsi="宋体" w:eastAsia="宋体" w:cs="宋体"/>
      <w:color w:val="000000"/>
      <w:sz w:val="24"/>
      <w:szCs w:val="24"/>
      <w:u w:val="none"/>
    </w:rPr>
  </w:style>
  <w:style w:type="character" w:customStyle="1" w:styleId="295">
    <w:name w:val="font151"/>
    <w:basedOn w:val="46"/>
    <w:qFormat/>
    <w:uiPriority w:val="0"/>
    <w:rPr>
      <w:rFonts w:ascii="Calibri" w:hAnsi="Calibri" w:cs="Calibri"/>
      <w:color w:val="000000"/>
      <w:sz w:val="24"/>
      <w:szCs w:val="24"/>
      <w:u w:val="none"/>
    </w:rPr>
  </w:style>
  <w:style w:type="character" w:customStyle="1" w:styleId="296">
    <w:name w:val="font12"/>
    <w:basedOn w:val="46"/>
    <w:qFormat/>
    <w:uiPriority w:val="0"/>
    <w:rPr>
      <w:rFonts w:hint="eastAsia" w:ascii="宋体" w:hAnsi="宋体" w:eastAsia="宋体" w:cs="宋体"/>
      <w:color w:val="000000"/>
      <w:sz w:val="20"/>
      <w:szCs w:val="20"/>
      <w:u w:val="none"/>
    </w:rPr>
  </w:style>
  <w:style w:type="character" w:customStyle="1" w:styleId="297">
    <w:name w:val="font141"/>
    <w:basedOn w:val="46"/>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F58C8B-DD99-40C5-ACC9-CABA4437F1CD}">
  <ds:schemaRefs/>
</ds:datastoreItem>
</file>

<file path=docProps/app.xml><?xml version="1.0" encoding="utf-8"?>
<Properties xmlns="http://schemas.openxmlformats.org/officeDocument/2006/extended-properties" xmlns:vt="http://schemas.openxmlformats.org/officeDocument/2006/docPropsVTypes">
  <Template>Normal</Template>
  <Pages>78</Pages>
  <Words>8992</Words>
  <Characters>10005</Characters>
  <Lines>344</Lines>
  <Paragraphs>96</Paragraphs>
  <TotalTime>6</TotalTime>
  <ScaleCrop>false</ScaleCrop>
  <LinksUpToDate>false</LinksUpToDate>
  <CharactersWithSpaces>10218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2025-08-20T16:32:00Z</dcterms:created>
  <dc:creator>HNHH-008</dc:creator>
  <cp:lastModifiedBy>Administrator</cp:lastModifiedBy>
  <cp:lastPrinted>2025-08-22T17:41:00Z</cp:lastPrinted>
  <dcterms:modified xsi:type="dcterms:W3CDTF">2026-10-11T09:21:38Z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67966813C72C4864961C3F86FF113F0B_13</vt:lpwstr>
  </property>
  <property fmtid="{D5CDD505-2E9C-101B-9397-08002B2CF9AE}" pid="4" name="KSOTemplateDocerSaveRecord">
    <vt:lpwstr>eyJoZGlkIjoiYTlmMjJmYmMxYTI3YjI3ZmY1ZDEwZDUwOGE4NGQ0Y2UiLCJ1c2VySWQiOiI0NTYyNTA3MjMifQ==</vt:lpwstr>
  </property>
</Properties>
</file>