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F51410">
      <w:pPr>
        <w:pStyle w:val="22"/>
        <w:adjustRightInd w:val="0"/>
        <w:snapToGrid w:val="0"/>
        <w:spacing w:line="240" w:lineRule="atLeast"/>
        <w:rPr>
          <w:rFonts w:hAnsi="宋体"/>
          <w:color w:val="auto"/>
          <w:sz w:val="44"/>
          <w:highlight w:val="none"/>
        </w:rPr>
      </w:pPr>
    </w:p>
    <w:p w14:paraId="7EF8A0C7">
      <w:pPr>
        <w:pStyle w:val="22"/>
        <w:adjustRightInd w:val="0"/>
        <w:snapToGrid w:val="0"/>
        <w:spacing w:line="240" w:lineRule="atLeast"/>
        <w:rPr>
          <w:rFonts w:hAnsi="宋体"/>
          <w:color w:val="auto"/>
          <w:sz w:val="44"/>
          <w:highlight w:val="none"/>
        </w:rPr>
      </w:pPr>
    </w:p>
    <w:p w14:paraId="47411A0B">
      <w:pPr>
        <w:pStyle w:val="22"/>
        <w:adjustRightInd w:val="0"/>
        <w:snapToGrid w:val="0"/>
        <w:spacing w:line="240" w:lineRule="atLeast"/>
        <w:rPr>
          <w:rFonts w:hAnsi="宋体"/>
          <w:color w:val="auto"/>
          <w:sz w:val="44"/>
          <w:highlight w:val="none"/>
        </w:rPr>
      </w:pPr>
    </w:p>
    <w:p w14:paraId="485891D8">
      <w:pPr>
        <w:pStyle w:val="22"/>
        <w:adjustRightInd w:val="0"/>
        <w:snapToGrid w:val="0"/>
        <w:spacing w:line="240" w:lineRule="atLeast"/>
        <w:jc w:val="center"/>
        <w:rPr>
          <w:rFonts w:ascii="华文中宋" w:hAnsi="华文中宋" w:eastAsia="华文中宋"/>
          <w:b/>
          <w:bCs/>
          <w:color w:val="auto"/>
          <w:sz w:val="84"/>
          <w:szCs w:val="84"/>
          <w:highlight w:val="none"/>
        </w:rPr>
      </w:pPr>
      <w:r>
        <w:rPr>
          <w:rFonts w:hint="eastAsia" w:ascii="华文中宋" w:hAnsi="华文中宋" w:eastAsia="华文中宋"/>
          <w:b/>
          <w:bCs/>
          <w:color w:val="auto"/>
          <w:sz w:val="84"/>
          <w:szCs w:val="84"/>
          <w:highlight w:val="none"/>
        </w:rPr>
        <w:t>政府采购</w:t>
      </w:r>
    </w:p>
    <w:p w14:paraId="4BD58BD1">
      <w:pPr>
        <w:pStyle w:val="22"/>
        <w:adjustRightInd w:val="0"/>
        <w:snapToGrid w:val="0"/>
        <w:spacing w:line="240" w:lineRule="atLeast"/>
        <w:jc w:val="center"/>
        <w:rPr>
          <w:rFonts w:ascii="华文中宋" w:hAnsi="华文中宋" w:eastAsia="华文中宋"/>
          <w:b/>
          <w:bCs/>
          <w:color w:val="auto"/>
          <w:sz w:val="84"/>
          <w:szCs w:val="84"/>
          <w:highlight w:val="none"/>
        </w:rPr>
      </w:pPr>
      <w:r>
        <w:rPr>
          <w:rFonts w:hint="eastAsia" w:ascii="华文中宋" w:hAnsi="华文中宋" w:eastAsia="华文中宋"/>
          <w:b/>
          <w:bCs/>
          <w:color w:val="auto"/>
          <w:sz w:val="84"/>
          <w:szCs w:val="84"/>
          <w:highlight w:val="none"/>
        </w:rPr>
        <w:t>货物项目招标文件</w:t>
      </w:r>
    </w:p>
    <w:p w14:paraId="680164B6">
      <w:pPr>
        <w:pStyle w:val="22"/>
        <w:adjustRightInd w:val="0"/>
        <w:snapToGrid w:val="0"/>
        <w:spacing w:line="240" w:lineRule="atLeast"/>
        <w:jc w:val="center"/>
        <w:rPr>
          <w:rFonts w:ascii="华文中宋" w:hAnsi="华文中宋" w:eastAsia="华文中宋"/>
          <w:b/>
          <w:bCs/>
          <w:color w:val="auto"/>
          <w:sz w:val="44"/>
          <w:szCs w:val="44"/>
          <w:highlight w:val="none"/>
        </w:rPr>
      </w:pPr>
    </w:p>
    <w:p w14:paraId="0B519CCD">
      <w:pPr>
        <w:pStyle w:val="22"/>
        <w:adjustRightInd w:val="0"/>
        <w:snapToGrid w:val="0"/>
        <w:spacing w:line="240" w:lineRule="atLeast"/>
        <w:rPr>
          <w:rFonts w:ascii="华文中宋" w:hAnsi="华文中宋" w:eastAsia="华文中宋"/>
          <w:b/>
          <w:bCs/>
          <w:color w:val="auto"/>
          <w:sz w:val="21"/>
          <w:highlight w:val="none"/>
        </w:rPr>
      </w:pPr>
    </w:p>
    <w:p w14:paraId="7217E1A3">
      <w:pPr>
        <w:pStyle w:val="22"/>
        <w:adjustRightInd w:val="0"/>
        <w:snapToGrid w:val="0"/>
        <w:spacing w:line="240" w:lineRule="atLeast"/>
        <w:jc w:val="center"/>
        <w:rPr>
          <w:rFonts w:ascii="华文中宋" w:hAnsi="华文中宋" w:eastAsia="华文中宋"/>
          <w:b/>
          <w:bCs/>
          <w:color w:val="auto"/>
          <w:sz w:val="44"/>
          <w:szCs w:val="44"/>
          <w:highlight w:val="none"/>
        </w:rPr>
      </w:pPr>
    </w:p>
    <w:p w14:paraId="623944D6">
      <w:pPr>
        <w:pStyle w:val="22"/>
        <w:adjustRightInd w:val="0"/>
        <w:snapToGrid w:val="0"/>
        <w:spacing w:line="240" w:lineRule="atLeast"/>
        <w:jc w:val="center"/>
        <w:rPr>
          <w:rFonts w:ascii="华文中宋" w:hAnsi="华文中宋" w:eastAsia="华文中宋"/>
          <w:b/>
          <w:bCs/>
          <w:color w:val="auto"/>
          <w:sz w:val="44"/>
          <w:szCs w:val="44"/>
          <w:highlight w:val="none"/>
        </w:rPr>
      </w:pPr>
    </w:p>
    <w:p w14:paraId="417360DC">
      <w:pPr>
        <w:pStyle w:val="22"/>
        <w:adjustRightInd w:val="0"/>
        <w:snapToGrid w:val="0"/>
        <w:spacing w:line="240" w:lineRule="atLeast"/>
        <w:jc w:val="center"/>
        <w:rPr>
          <w:rFonts w:ascii="华文中宋" w:hAnsi="华文中宋" w:eastAsia="华文中宋"/>
          <w:b/>
          <w:bCs/>
          <w:color w:val="auto"/>
          <w:sz w:val="44"/>
          <w:szCs w:val="44"/>
          <w:highlight w:val="none"/>
        </w:rPr>
      </w:pPr>
    </w:p>
    <w:p w14:paraId="2FB8BDD5">
      <w:pPr>
        <w:pStyle w:val="22"/>
        <w:adjustRightInd w:val="0"/>
        <w:snapToGrid w:val="0"/>
        <w:spacing w:line="240" w:lineRule="atLeast"/>
        <w:jc w:val="center"/>
        <w:rPr>
          <w:rFonts w:ascii="华文中宋" w:hAnsi="华文中宋" w:eastAsia="华文中宋"/>
          <w:bCs/>
          <w:color w:val="auto"/>
          <w:highlight w:val="none"/>
        </w:rPr>
      </w:pPr>
    </w:p>
    <w:p w14:paraId="2BB50CA5">
      <w:pPr>
        <w:adjustRightInd w:val="0"/>
        <w:snapToGrid w:val="0"/>
        <w:spacing w:line="360" w:lineRule="auto"/>
        <w:ind w:left="3207" w:leftChars="456" w:hanging="2249" w:hangingChars="700"/>
        <w:rPr>
          <w:rFonts w:hint="eastAsia" w:hAnsi="宋体" w:eastAsia="宋体"/>
          <w:b/>
          <w:color w:val="auto"/>
          <w:sz w:val="32"/>
          <w:szCs w:val="32"/>
          <w:highlight w:val="none"/>
          <w:lang w:eastAsia="zh-CN"/>
        </w:rPr>
      </w:pPr>
      <w:r>
        <w:rPr>
          <w:rFonts w:hint="eastAsia" w:hAnsi="宋体"/>
          <w:b/>
          <w:color w:val="auto"/>
          <w:sz w:val="32"/>
          <w:szCs w:val="32"/>
          <w:highlight w:val="none"/>
        </w:rPr>
        <w:t>采购项目名称：</w:t>
      </w:r>
      <w:r>
        <w:rPr>
          <w:rFonts w:hint="eastAsia" w:hAnsi="宋体"/>
          <w:b/>
          <w:color w:val="auto"/>
          <w:sz w:val="32"/>
          <w:szCs w:val="32"/>
          <w:highlight w:val="none"/>
          <w:u w:val="single"/>
          <w:lang w:val="en-US" w:eastAsia="zh-CN"/>
        </w:rPr>
        <w:t>娄底市中心医院彩色超声多普勒诊断仪一批采购项目（第二次）</w:t>
      </w:r>
    </w:p>
    <w:p w14:paraId="22128AFF">
      <w:pPr>
        <w:adjustRightInd w:val="0"/>
        <w:snapToGrid w:val="0"/>
        <w:spacing w:line="360" w:lineRule="auto"/>
        <w:ind w:firstLine="1124" w:firstLineChars="350"/>
        <w:rPr>
          <w:rFonts w:hint="default" w:hAnsi="宋体" w:eastAsia="宋体"/>
          <w:b/>
          <w:color w:val="auto"/>
          <w:sz w:val="32"/>
          <w:szCs w:val="32"/>
          <w:highlight w:val="none"/>
          <w:u w:val="single"/>
          <w:lang w:val="en-US" w:eastAsia="zh-CN"/>
        </w:rPr>
      </w:pPr>
      <w:r>
        <w:rPr>
          <w:rFonts w:hint="eastAsia" w:hAnsi="宋体"/>
          <w:b/>
          <w:color w:val="auto"/>
          <w:sz w:val="32"/>
          <w:szCs w:val="32"/>
          <w:highlight w:val="none"/>
        </w:rPr>
        <w:t>政府采购计划编号：</w:t>
      </w:r>
      <w:r>
        <w:rPr>
          <w:rFonts w:hint="eastAsia" w:hAnsi="宋体"/>
          <w:b/>
          <w:color w:val="auto"/>
          <w:sz w:val="32"/>
          <w:szCs w:val="32"/>
          <w:highlight w:val="none"/>
          <w:u w:val="single"/>
          <w:lang w:val="en-US" w:eastAsia="zh-CN"/>
        </w:rPr>
        <w:t>娄财</w:t>
      </w:r>
      <w:r>
        <w:rPr>
          <w:rFonts w:hint="eastAsia" w:hAnsi="宋体" w:eastAsia="宋体"/>
          <w:b/>
          <w:color w:val="auto"/>
          <w:sz w:val="32"/>
          <w:szCs w:val="32"/>
          <w:highlight w:val="none"/>
          <w:u w:val="single"/>
          <w:lang w:val="en-US" w:eastAsia="zh-CN"/>
        </w:rPr>
        <w:t>采计【2026】0059</w:t>
      </w:r>
    </w:p>
    <w:p w14:paraId="0D49ABA3">
      <w:pPr>
        <w:adjustRightInd w:val="0"/>
        <w:snapToGrid w:val="0"/>
        <w:spacing w:line="360" w:lineRule="auto"/>
        <w:ind w:firstLine="1124" w:firstLineChars="350"/>
        <w:rPr>
          <w:rFonts w:hint="default" w:hAnsi="宋体" w:eastAsia="宋体"/>
          <w:bCs/>
          <w:color w:val="auto"/>
          <w:sz w:val="32"/>
          <w:szCs w:val="32"/>
          <w:highlight w:val="none"/>
          <w:u w:val="single"/>
          <w:lang w:val="en-US" w:eastAsia="zh-CN"/>
        </w:rPr>
      </w:pPr>
      <w:r>
        <w:rPr>
          <w:rFonts w:hint="eastAsia" w:hAnsi="宋体"/>
          <w:b/>
          <w:color w:val="auto"/>
          <w:sz w:val="32"/>
          <w:szCs w:val="32"/>
          <w:highlight w:val="none"/>
        </w:rPr>
        <w:t>委托代理编号：</w:t>
      </w:r>
      <w:r>
        <w:rPr>
          <w:rFonts w:hint="eastAsia" w:hAnsi="宋体"/>
          <w:b/>
          <w:color w:val="auto"/>
          <w:sz w:val="32"/>
          <w:szCs w:val="32"/>
          <w:highlight w:val="none"/>
          <w:u w:val="single"/>
          <w:lang w:val="en-US" w:eastAsia="zh-CN"/>
        </w:rPr>
        <w:t>LDZC-2026GK0036</w:t>
      </w:r>
    </w:p>
    <w:p w14:paraId="7FD2C147">
      <w:pPr>
        <w:adjustRightInd w:val="0"/>
        <w:snapToGrid w:val="0"/>
        <w:spacing w:line="360" w:lineRule="auto"/>
        <w:ind w:firstLine="1124" w:firstLineChars="350"/>
        <w:rPr>
          <w:rFonts w:hint="eastAsia" w:hAnsi="宋体"/>
          <w:b/>
          <w:color w:val="auto"/>
          <w:sz w:val="32"/>
          <w:szCs w:val="32"/>
          <w:highlight w:val="none"/>
          <w:u w:val="single"/>
          <w:lang w:eastAsia="zh-CN"/>
        </w:rPr>
      </w:pPr>
      <w:r>
        <w:rPr>
          <w:rFonts w:hint="eastAsia" w:hAnsi="宋体"/>
          <w:b/>
          <w:color w:val="auto"/>
          <w:sz w:val="32"/>
          <w:szCs w:val="32"/>
          <w:highlight w:val="none"/>
        </w:rPr>
        <w:t>采   购   人：</w:t>
      </w:r>
      <w:r>
        <w:rPr>
          <w:rFonts w:hint="eastAsia" w:hAnsi="宋体"/>
          <w:b/>
          <w:color w:val="auto"/>
          <w:sz w:val="32"/>
          <w:szCs w:val="32"/>
          <w:highlight w:val="none"/>
          <w:u w:val="single"/>
          <w:lang w:eastAsia="zh-CN"/>
        </w:rPr>
        <w:t>娄底市中心医院</w:t>
      </w:r>
    </w:p>
    <w:p w14:paraId="5161E2BD">
      <w:pPr>
        <w:adjustRightInd w:val="0"/>
        <w:snapToGrid w:val="0"/>
        <w:spacing w:line="360" w:lineRule="auto"/>
        <w:ind w:firstLine="1124" w:firstLineChars="350"/>
        <w:rPr>
          <w:rFonts w:ascii="宋体"/>
          <w:b/>
          <w:color w:val="auto"/>
          <w:sz w:val="32"/>
          <w:szCs w:val="21"/>
          <w:highlight w:val="none"/>
        </w:rPr>
      </w:pPr>
      <w:r>
        <w:rPr>
          <w:rFonts w:hint="eastAsia" w:ascii="宋体"/>
          <w:b/>
          <w:color w:val="auto"/>
          <w:sz w:val="32"/>
          <w:szCs w:val="21"/>
          <w:highlight w:val="none"/>
        </w:rPr>
        <w:t>采购代理机构：</w:t>
      </w:r>
      <w:r>
        <w:rPr>
          <w:rFonts w:hint="eastAsia" w:ascii="宋体"/>
          <w:b/>
          <w:color w:val="auto"/>
          <w:sz w:val="32"/>
          <w:szCs w:val="21"/>
          <w:highlight w:val="none"/>
          <w:u w:val="single"/>
        </w:rPr>
        <w:t>娄底市政府采购中心</w:t>
      </w:r>
    </w:p>
    <w:p w14:paraId="34711B38">
      <w:pPr>
        <w:pStyle w:val="22"/>
        <w:adjustRightInd w:val="0"/>
        <w:snapToGrid w:val="0"/>
        <w:spacing w:line="360" w:lineRule="auto"/>
        <w:jc w:val="center"/>
        <w:rPr>
          <w:rFonts w:hAnsi="宋体"/>
          <w:bCs/>
          <w:color w:val="auto"/>
          <w:sz w:val="32"/>
          <w:szCs w:val="32"/>
          <w:highlight w:val="none"/>
        </w:rPr>
      </w:pPr>
    </w:p>
    <w:p w14:paraId="7D451DF5">
      <w:pPr>
        <w:pStyle w:val="22"/>
        <w:adjustRightInd w:val="0"/>
        <w:snapToGrid w:val="0"/>
        <w:spacing w:line="240" w:lineRule="atLeast"/>
        <w:jc w:val="center"/>
        <w:rPr>
          <w:rFonts w:hAnsi="宋体"/>
          <w:bCs/>
          <w:color w:val="auto"/>
          <w:sz w:val="32"/>
          <w:szCs w:val="32"/>
          <w:highlight w:val="none"/>
        </w:rPr>
      </w:pPr>
    </w:p>
    <w:p w14:paraId="246662FA">
      <w:pPr>
        <w:pStyle w:val="22"/>
        <w:adjustRightInd w:val="0"/>
        <w:snapToGrid w:val="0"/>
        <w:spacing w:line="240" w:lineRule="atLeast"/>
        <w:jc w:val="center"/>
        <w:rPr>
          <w:rFonts w:hAnsi="宋体"/>
          <w:bCs/>
          <w:color w:val="auto"/>
          <w:sz w:val="30"/>
          <w:szCs w:val="30"/>
          <w:highlight w:val="none"/>
        </w:rPr>
      </w:pPr>
    </w:p>
    <w:p w14:paraId="0CE37D81">
      <w:pPr>
        <w:pStyle w:val="22"/>
        <w:adjustRightInd w:val="0"/>
        <w:snapToGrid w:val="0"/>
        <w:spacing w:line="240" w:lineRule="atLeast"/>
        <w:jc w:val="center"/>
        <w:rPr>
          <w:rFonts w:hAnsi="宋体"/>
          <w:bCs/>
          <w:color w:val="auto"/>
          <w:sz w:val="30"/>
          <w:szCs w:val="30"/>
          <w:highlight w:val="none"/>
        </w:rPr>
      </w:pPr>
    </w:p>
    <w:p w14:paraId="5D2C2BD6">
      <w:pPr>
        <w:pStyle w:val="22"/>
        <w:adjustRightInd w:val="0"/>
        <w:snapToGrid w:val="0"/>
        <w:spacing w:line="240" w:lineRule="atLeast"/>
        <w:jc w:val="center"/>
        <w:rPr>
          <w:rFonts w:hint="eastAsia" w:ascii="华文中宋" w:hAnsi="华文中宋" w:eastAsia="华文中宋"/>
          <w:b/>
          <w:color w:val="auto"/>
          <w:spacing w:val="160"/>
          <w:sz w:val="36"/>
          <w:szCs w:val="36"/>
          <w:highlight w:val="none"/>
        </w:rPr>
      </w:pPr>
      <w:r>
        <w:rPr>
          <w:rFonts w:hint="eastAsia" w:hAnsi="宋体"/>
          <w:b/>
          <w:color w:val="auto"/>
          <w:sz w:val="32"/>
          <w:highlight w:val="none"/>
        </w:rPr>
        <w:t xml:space="preserve"> 202</w:t>
      </w:r>
      <w:r>
        <w:rPr>
          <w:rFonts w:hint="eastAsia" w:hAnsi="宋体"/>
          <w:b/>
          <w:color w:val="auto"/>
          <w:sz w:val="32"/>
          <w:highlight w:val="none"/>
          <w:lang w:val="en-US" w:eastAsia="zh-CN"/>
        </w:rPr>
        <w:t>6</w:t>
      </w:r>
      <w:r>
        <w:rPr>
          <w:rFonts w:hint="eastAsia" w:hAnsi="宋体"/>
          <w:b/>
          <w:color w:val="auto"/>
          <w:sz w:val="32"/>
          <w:highlight w:val="none"/>
        </w:rPr>
        <w:t>年</w:t>
      </w:r>
      <w:r>
        <w:rPr>
          <w:rFonts w:hint="eastAsia" w:hAnsi="宋体"/>
          <w:b/>
          <w:color w:val="auto"/>
          <w:sz w:val="32"/>
          <w:highlight w:val="none"/>
          <w:lang w:val="en-US" w:eastAsia="zh-CN"/>
        </w:rPr>
        <w:t>07</w:t>
      </w:r>
      <w:r>
        <w:rPr>
          <w:rFonts w:hint="eastAsia" w:hAnsi="宋体"/>
          <w:b/>
          <w:color w:val="auto"/>
          <w:sz w:val="32"/>
          <w:highlight w:val="none"/>
        </w:rPr>
        <w:t>月</w:t>
      </w:r>
      <w:r>
        <w:rPr>
          <w:rFonts w:hint="eastAsia" w:ascii="华文中宋" w:hAnsi="华文中宋" w:eastAsia="华文中宋"/>
          <w:b/>
          <w:color w:val="auto"/>
          <w:spacing w:val="160"/>
          <w:sz w:val="36"/>
          <w:szCs w:val="36"/>
          <w:highlight w:val="none"/>
        </w:rPr>
        <w:br w:type="page"/>
      </w:r>
    </w:p>
    <w:p w14:paraId="1242FAE5">
      <w:pPr>
        <w:pStyle w:val="22"/>
        <w:adjustRightInd w:val="0"/>
        <w:snapToGrid w:val="0"/>
        <w:spacing w:line="360" w:lineRule="auto"/>
        <w:jc w:val="center"/>
        <w:rPr>
          <w:rFonts w:hint="eastAsia" w:ascii="华文中宋" w:hAnsi="华文中宋" w:eastAsia="华文中宋"/>
          <w:b w:val="0"/>
          <w:bCs/>
          <w:color w:val="auto"/>
          <w:spacing w:val="160"/>
          <w:sz w:val="36"/>
          <w:szCs w:val="36"/>
          <w:highlight w:val="none"/>
        </w:rPr>
      </w:pPr>
    </w:p>
    <w:sdt>
      <w:sdtPr>
        <w:rPr>
          <w:rFonts w:ascii="宋体" w:hAnsi="宋体" w:eastAsia="宋体" w:cs="Times New Roman"/>
          <w:b w:val="0"/>
          <w:bCs/>
          <w:kern w:val="2"/>
          <w:sz w:val="36"/>
          <w:szCs w:val="36"/>
          <w:lang w:val="en-US" w:eastAsia="zh-CN" w:bidi="ar-SA"/>
        </w:rPr>
        <w:id w:val="519247545"/>
        <w15:color w:val="DBDBDB"/>
        <w:docPartObj>
          <w:docPartGallery w:val="Table of Contents"/>
          <w:docPartUnique/>
        </w:docPartObj>
      </w:sdtPr>
      <w:sdtEndPr>
        <w:rPr>
          <w:rFonts w:hint="eastAsia" w:ascii="华文中宋" w:hAnsi="华文中宋" w:eastAsia="华文中宋" w:cs="Times New Roman"/>
          <w:b/>
          <w:bCs/>
          <w:color w:val="auto"/>
          <w:spacing w:val="160"/>
          <w:kern w:val="0"/>
          <w:sz w:val="20"/>
          <w:szCs w:val="36"/>
          <w:highlight w:val="none"/>
          <w:lang w:val="en-US" w:eastAsia="zh-CN" w:bidi="ar-SA"/>
        </w:rPr>
      </w:sdtEndPr>
      <w:sdtContent>
        <w:p w14:paraId="39A17D2D">
          <w:pPr>
            <w:spacing w:before="0" w:beforeLines="0" w:after="0" w:afterLines="0" w:line="240" w:lineRule="auto"/>
            <w:ind w:left="0" w:leftChars="0" w:right="0" w:rightChars="0" w:firstLine="0" w:firstLineChars="0"/>
            <w:jc w:val="center"/>
            <w:rPr>
              <w:b w:val="0"/>
              <w:bCs/>
              <w:sz w:val="36"/>
              <w:szCs w:val="36"/>
            </w:rPr>
          </w:pPr>
          <w:r>
            <w:rPr>
              <w:rFonts w:ascii="宋体" w:hAnsi="宋体" w:eastAsia="宋体"/>
              <w:b w:val="0"/>
              <w:bCs/>
              <w:sz w:val="36"/>
              <w:szCs w:val="36"/>
            </w:rPr>
            <w:t>目</w:t>
          </w:r>
          <w:r>
            <w:rPr>
              <w:rFonts w:hint="eastAsia" w:ascii="宋体" w:hAnsi="宋体" w:eastAsia="宋体"/>
              <w:b w:val="0"/>
              <w:bCs/>
              <w:sz w:val="36"/>
              <w:szCs w:val="36"/>
              <w:lang w:val="en-US" w:eastAsia="zh-CN"/>
            </w:rPr>
            <w:t xml:space="preserve"> </w:t>
          </w:r>
          <w:r>
            <w:rPr>
              <w:rFonts w:ascii="宋体" w:hAnsi="宋体" w:eastAsia="宋体"/>
              <w:b w:val="0"/>
              <w:bCs/>
              <w:sz w:val="36"/>
              <w:szCs w:val="36"/>
            </w:rPr>
            <w:t>录</w:t>
          </w:r>
        </w:p>
        <w:p w14:paraId="42802F16">
          <w:pPr>
            <w:pStyle w:val="30"/>
            <w:tabs>
              <w:tab w:val="right" w:leader="dot" w:pos="8306"/>
              <w:tab w:val="clear" w:pos="1680"/>
              <w:tab w:val="clear" w:pos="8834"/>
            </w:tabs>
          </w:pPr>
          <w:r>
            <w:rPr>
              <w:rFonts w:hint="eastAsia" w:ascii="华文中宋" w:hAnsi="华文中宋" w:eastAsia="华文中宋"/>
              <w:b/>
              <w:color w:val="auto"/>
              <w:spacing w:val="160"/>
              <w:sz w:val="36"/>
              <w:szCs w:val="36"/>
              <w:highlight w:val="none"/>
            </w:rPr>
            <w:fldChar w:fldCharType="begin"/>
          </w:r>
          <w:r>
            <w:rPr>
              <w:rFonts w:hint="eastAsia" w:ascii="华文中宋" w:hAnsi="华文中宋" w:eastAsia="华文中宋"/>
              <w:b/>
              <w:color w:val="auto"/>
              <w:spacing w:val="160"/>
              <w:sz w:val="36"/>
              <w:szCs w:val="36"/>
              <w:highlight w:val="none"/>
            </w:rPr>
            <w:instrText xml:space="preserve">TOC \o "1-2" \h \u </w:instrText>
          </w:r>
          <w:r>
            <w:rPr>
              <w:rFonts w:hint="eastAsia" w:ascii="华文中宋" w:hAnsi="华文中宋" w:eastAsia="华文中宋"/>
              <w:b/>
              <w:color w:val="auto"/>
              <w:spacing w:val="160"/>
              <w:sz w:val="36"/>
              <w:szCs w:val="36"/>
              <w:highlight w:val="none"/>
            </w:rPr>
            <w:fldChar w:fldCharType="separate"/>
          </w:r>
          <w:r>
            <w:rPr>
              <w:rFonts w:hint="eastAsia" w:ascii="华文中宋" w:hAnsi="华文中宋" w:eastAsia="华文中宋"/>
              <w:color w:val="auto"/>
              <w:spacing w:val="160"/>
              <w:szCs w:val="36"/>
              <w:highlight w:val="none"/>
            </w:rPr>
            <w:fldChar w:fldCharType="begin"/>
          </w:r>
          <w:r>
            <w:rPr>
              <w:rFonts w:hint="eastAsia" w:ascii="华文中宋" w:hAnsi="华文中宋" w:eastAsia="华文中宋"/>
              <w:spacing w:val="160"/>
              <w:szCs w:val="36"/>
              <w:highlight w:val="none"/>
            </w:rPr>
            <w:instrText xml:space="preserve"> HYPERLINK \l _Toc1891472930 </w:instrText>
          </w:r>
          <w:r>
            <w:rPr>
              <w:rFonts w:hint="eastAsia" w:ascii="华文中宋" w:hAnsi="华文中宋" w:eastAsia="华文中宋"/>
              <w:spacing w:val="160"/>
              <w:szCs w:val="36"/>
              <w:highlight w:val="none"/>
            </w:rPr>
            <w:fldChar w:fldCharType="separate"/>
          </w:r>
          <w:r>
            <w:rPr>
              <w:rFonts w:hint="eastAsia" w:ascii="黑体" w:hAnsi="华文中宋" w:eastAsia="黑体"/>
              <w:szCs w:val="32"/>
            </w:rPr>
            <w:t xml:space="preserve">第一章 </w:t>
          </w:r>
          <w:r>
            <w:rPr>
              <w:rFonts w:hint="eastAsia" w:ascii="黑体" w:hAnsi="华文中宋" w:eastAsia="黑体"/>
              <w:szCs w:val="32"/>
              <w:highlight w:val="none"/>
            </w:rPr>
            <w:t>投标邀请（公开招标）</w:t>
          </w:r>
          <w:r>
            <w:tab/>
          </w:r>
          <w:r>
            <w:fldChar w:fldCharType="begin"/>
          </w:r>
          <w:r>
            <w:instrText xml:space="preserve"> PAGEREF _Toc1891472930 \h </w:instrText>
          </w:r>
          <w:r>
            <w:fldChar w:fldCharType="separate"/>
          </w:r>
          <w:r>
            <w:t>4</w:t>
          </w:r>
          <w:r>
            <w:fldChar w:fldCharType="end"/>
          </w:r>
          <w:r>
            <w:rPr>
              <w:rFonts w:hint="eastAsia" w:ascii="华文中宋" w:hAnsi="华文中宋" w:eastAsia="华文中宋"/>
              <w:color w:val="auto"/>
              <w:spacing w:val="160"/>
              <w:szCs w:val="36"/>
              <w:highlight w:val="none"/>
            </w:rPr>
            <w:fldChar w:fldCharType="end"/>
          </w:r>
        </w:p>
        <w:p w14:paraId="7187E80F">
          <w:pPr>
            <w:pStyle w:val="36"/>
            <w:tabs>
              <w:tab w:val="right" w:leader="dot" w:pos="8306"/>
            </w:tabs>
          </w:pPr>
          <w:r>
            <w:rPr>
              <w:rFonts w:hint="eastAsia" w:ascii="华文中宋" w:hAnsi="华文中宋" w:eastAsia="华文中宋"/>
              <w:color w:val="auto"/>
              <w:spacing w:val="160"/>
              <w:szCs w:val="36"/>
              <w:highlight w:val="none"/>
            </w:rPr>
            <w:fldChar w:fldCharType="begin"/>
          </w:r>
          <w:r>
            <w:rPr>
              <w:rFonts w:hint="eastAsia" w:ascii="华文中宋" w:hAnsi="华文中宋" w:eastAsia="华文中宋"/>
              <w:spacing w:val="160"/>
              <w:szCs w:val="36"/>
              <w:highlight w:val="none"/>
            </w:rPr>
            <w:instrText xml:space="preserve"> HYPERLINK \l _Toc767921030 </w:instrText>
          </w:r>
          <w:r>
            <w:rPr>
              <w:rFonts w:hint="eastAsia" w:ascii="华文中宋" w:hAnsi="华文中宋" w:eastAsia="华文中宋"/>
              <w:spacing w:val="160"/>
              <w:szCs w:val="36"/>
              <w:highlight w:val="none"/>
            </w:rPr>
            <w:fldChar w:fldCharType="separate"/>
          </w:r>
          <w:r>
            <w:rPr>
              <w:rFonts w:hint="eastAsia" w:ascii="宋体" w:hAnsi="宋体"/>
              <w:szCs w:val="18"/>
              <w:highlight w:val="none"/>
            </w:rPr>
            <w:t>一、采购项目基本信息</w:t>
          </w:r>
          <w:r>
            <w:tab/>
          </w:r>
          <w:r>
            <w:fldChar w:fldCharType="begin"/>
          </w:r>
          <w:r>
            <w:instrText xml:space="preserve"> PAGEREF _Toc767921030 \h </w:instrText>
          </w:r>
          <w:r>
            <w:fldChar w:fldCharType="separate"/>
          </w:r>
          <w:r>
            <w:t>4</w:t>
          </w:r>
          <w:r>
            <w:fldChar w:fldCharType="end"/>
          </w:r>
          <w:r>
            <w:rPr>
              <w:rFonts w:hint="eastAsia" w:ascii="华文中宋" w:hAnsi="华文中宋" w:eastAsia="华文中宋"/>
              <w:color w:val="auto"/>
              <w:spacing w:val="160"/>
              <w:szCs w:val="36"/>
              <w:highlight w:val="none"/>
            </w:rPr>
            <w:fldChar w:fldCharType="end"/>
          </w:r>
        </w:p>
        <w:p w14:paraId="66BD5647">
          <w:pPr>
            <w:pStyle w:val="36"/>
            <w:tabs>
              <w:tab w:val="right" w:leader="dot" w:pos="8306"/>
            </w:tabs>
          </w:pPr>
          <w:r>
            <w:rPr>
              <w:rFonts w:hint="eastAsia" w:ascii="华文中宋" w:hAnsi="华文中宋" w:eastAsia="华文中宋"/>
              <w:color w:val="auto"/>
              <w:spacing w:val="160"/>
              <w:szCs w:val="36"/>
              <w:highlight w:val="none"/>
            </w:rPr>
            <w:fldChar w:fldCharType="begin"/>
          </w:r>
          <w:r>
            <w:rPr>
              <w:rFonts w:hint="eastAsia" w:ascii="华文中宋" w:hAnsi="华文中宋" w:eastAsia="华文中宋"/>
              <w:spacing w:val="160"/>
              <w:szCs w:val="36"/>
              <w:highlight w:val="none"/>
            </w:rPr>
            <w:instrText xml:space="preserve"> HYPERLINK \l _Toc903059405 </w:instrText>
          </w:r>
          <w:r>
            <w:rPr>
              <w:rFonts w:hint="eastAsia" w:ascii="华文中宋" w:hAnsi="华文中宋" w:eastAsia="华文中宋"/>
              <w:spacing w:val="160"/>
              <w:szCs w:val="36"/>
              <w:highlight w:val="none"/>
            </w:rPr>
            <w:fldChar w:fldCharType="separate"/>
          </w:r>
          <w:r>
            <w:rPr>
              <w:rFonts w:hint="eastAsia" w:ascii="宋体" w:hAnsi="宋体"/>
              <w:szCs w:val="21"/>
            </w:rPr>
            <w:t xml:space="preserve">二、 </w:t>
          </w:r>
          <w:r>
            <w:rPr>
              <w:rFonts w:hint="eastAsia" w:ascii="宋体" w:hAnsi="宋体"/>
              <w:szCs w:val="21"/>
              <w:highlight w:val="none"/>
            </w:rPr>
            <w:t>采购人的采购需求</w:t>
          </w:r>
          <w:r>
            <w:tab/>
          </w:r>
          <w:r>
            <w:fldChar w:fldCharType="begin"/>
          </w:r>
          <w:r>
            <w:instrText xml:space="preserve"> PAGEREF _Toc903059405 \h </w:instrText>
          </w:r>
          <w:r>
            <w:fldChar w:fldCharType="separate"/>
          </w:r>
          <w:r>
            <w:t>4</w:t>
          </w:r>
          <w:r>
            <w:fldChar w:fldCharType="end"/>
          </w:r>
          <w:r>
            <w:rPr>
              <w:rFonts w:hint="eastAsia" w:ascii="华文中宋" w:hAnsi="华文中宋" w:eastAsia="华文中宋"/>
              <w:color w:val="auto"/>
              <w:spacing w:val="160"/>
              <w:szCs w:val="36"/>
              <w:highlight w:val="none"/>
            </w:rPr>
            <w:fldChar w:fldCharType="end"/>
          </w:r>
        </w:p>
        <w:p w14:paraId="7870B5C9">
          <w:pPr>
            <w:pStyle w:val="36"/>
            <w:tabs>
              <w:tab w:val="right" w:leader="dot" w:pos="8306"/>
            </w:tabs>
          </w:pPr>
          <w:r>
            <w:rPr>
              <w:rFonts w:hint="eastAsia" w:ascii="华文中宋" w:hAnsi="华文中宋" w:eastAsia="华文中宋"/>
              <w:color w:val="auto"/>
              <w:spacing w:val="160"/>
              <w:szCs w:val="36"/>
              <w:highlight w:val="none"/>
            </w:rPr>
            <w:fldChar w:fldCharType="begin"/>
          </w:r>
          <w:r>
            <w:rPr>
              <w:rFonts w:hint="eastAsia" w:ascii="华文中宋" w:hAnsi="华文中宋" w:eastAsia="华文中宋"/>
              <w:spacing w:val="160"/>
              <w:szCs w:val="36"/>
              <w:highlight w:val="none"/>
            </w:rPr>
            <w:instrText xml:space="preserve"> HYPERLINK \l _Toc1274862912 </w:instrText>
          </w:r>
          <w:r>
            <w:rPr>
              <w:rFonts w:hint="eastAsia" w:ascii="华文中宋" w:hAnsi="华文中宋" w:eastAsia="华文中宋"/>
              <w:spacing w:val="160"/>
              <w:szCs w:val="36"/>
              <w:highlight w:val="none"/>
            </w:rPr>
            <w:fldChar w:fldCharType="separate"/>
          </w:r>
          <w:r>
            <w:rPr>
              <w:rFonts w:hint="eastAsia" w:ascii="宋体" w:hAnsi="宋体"/>
              <w:szCs w:val="21"/>
              <w:highlight w:val="none"/>
            </w:rPr>
            <w:t>三、采购项目需要落实的政府采购政策：</w:t>
          </w:r>
          <w:r>
            <w:tab/>
          </w:r>
          <w:r>
            <w:fldChar w:fldCharType="begin"/>
          </w:r>
          <w:r>
            <w:instrText xml:space="preserve"> PAGEREF _Toc1274862912 \h </w:instrText>
          </w:r>
          <w:r>
            <w:fldChar w:fldCharType="separate"/>
          </w:r>
          <w:r>
            <w:t>5</w:t>
          </w:r>
          <w:r>
            <w:fldChar w:fldCharType="end"/>
          </w:r>
          <w:r>
            <w:rPr>
              <w:rFonts w:hint="eastAsia" w:ascii="华文中宋" w:hAnsi="华文中宋" w:eastAsia="华文中宋"/>
              <w:color w:val="auto"/>
              <w:spacing w:val="160"/>
              <w:szCs w:val="36"/>
              <w:highlight w:val="none"/>
            </w:rPr>
            <w:fldChar w:fldCharType="end"/>
          </w:r>
        </w:p>
        <w:p w14:paraId="00F79258">
          <w:pPr>
            <w:pStyle w:val="36"/>
            <w:tabs>
              <w:tab w:val="right" w:leader="dot" w:pos="8306"/>
            </w:tabs>
          </w:pPr>
          <w:r>
            <w:rPr>
              <w:rFonts w:hint="eastAsia" w:ascii="华文中宋" w:hAnsi="华文中宋" w:eastAsia="华文中宋"/>
              <w:color w:val="auto"/>
              <w:spacing w:val="160"/>
              <w:szCs w:val="36"/>
              <w:highlight w:val="none"/>
            </w:rPr>
            <w:fldChar w:fldCharType="begin"/>
          </w:r>
          <w:r>
            <w:rPr>
              <w:rFonts w:hint="eastAsia" w:ascii="华文中宋" w:hAnsi="华文中宋" w:eastAsia="华文中宋"/>
              <w:spacing w:val="160"/>
              <w:szCs w:val="36"/>
              <w:highlight w:val="none"/>
            </w:rPr>
            <w:instrText xml:space="preserve"> HYPERLINK \l _Toc338839681 </w:instrText>
          </w:r>
          <w:r>
            <w:rPr>
              <w:rFonts w:hint="eastAsia" w:ascii="华文中宋" w:hAnsi="华文中宋" w:eastAsia="华文中宋"/>
              <w:spacing w:val="160"/>
              <w:szCs w:val="36"/>
              <w:highlight w:val="none"/>
            </w:rPr>
            <w:fldChar w:fldCharType="separate"/>
          </w:r>
          <w:r>
            <w:rPr>
              <w:rFonts w:hint="eastAsia" w:ascii="宋体" w:hAnsi="宋体"/>
              <w:szCs w:val="21"/>
              <w:highlight w:val="none"/>
            </w:rPr>
            <w:t>四、投标人的资格要求：</w:t>
          </w:r>
          <w:r>
            <w:tab/>
          </w:r>
          <w:r>
            <w:fldChar w:fldCharType="begin"/>
          </w:r>
          <w:r>
            <w:instrText xml:space="preserve"> PAGEREF _Toc338839681 \h </w:instrText>
          </w:r>
          <w:r>
            <w:fldChar w:fldCharType="separate"/>
          </w:r>
          <w:r>
            <w:t>6</w:t>
          </w:r>
          <w:r>
            <w:fldChar w:fldCharType="end"/>
          </w:r>
          <w:r>
            <w:rPr>
              <w:rFonts w:hint="eastAsia" w:ascii="华文中宋" w:hAnsi="华文中宋" w:eastAsia="华文中宋"/>
              <w:color w:val="auto"/>
              <w:spacing w:val="160"/>
              <w:szCs w:val="36"/>
              <w:highlight w:val="none"/>
            </w:rPr>
            <w:fldChar w:fldCharType="end"/>
          </w:r>
        </w:p>
        <w:p w14:paraId="4A0D09D0">
          <w:pPr>
            <w:pStyle w:val="36"/>
            <w:tabs>
              <w:tab w:val="right" w:leader="dot" w:pos="8306"/>
            </w:tabs>
          </w:pPr>
          <w:r>
            <w:rPr>
              <w:rFonts w:hint="eastAsia" w:ascii="华文中宋" w:hAnsi="华文中宋" w:eastAsia="华文中宋"/>
              <w:color w:val="auto"/>
              <w:spacing w:val="160"/>
              <w:szCs w:val="36"/>
              <w:highlight w:val="none"/>
            </w:rPr>
            <w:fldChar w:fldCharType="begin"/>
          </w:r>
          <w:r>
            <w:rPr>
              <w:rFonts w:hint="eastAsia" w:ascii="华文中宋" w:hAnsi="华文中宋" w:eastAsia="华文中宋"/>
              <w:spacing w:val="160"/>
              <w:szCs w:val="36"/>
              <w:highlight w:val="none"/>
            </w:rPr>
            <w:instrText xml:space="preserve"> HYPERLINK \l _Toc1426536098 </w:instrText>
          </w:r>
          <w:r>
            <w:rPr>
              <w:rFonts w:hint="eastAsia" w:ascii="华文中宋" w:hAnsi="华文中宋" w:eastAsia="华文中宋"/>
              <w:spacing w:val="160"/>
              <w:szCs w:val="36"/>
              <w:highlight w:val="none"/>
            </w:rPr>
            <w:fldChar w:fldCharType="separate"/>
          </w:r>
          <w:r>
            <w:rPr>
              <w:rFonts w:hint="eastAsia" w:ascii="宋体" w:hAnsi="宋体"/>
              <w:szCs w:val="21"/>
              <w:highlight w:val="none"/>
            </w:rPr>
            <w:t>五、获取招标文件的时间、期限、地点及方式</w:t>
          </w:r>
          <w:r>
            <w:tab/>
          </w:r>
          <w:r>
            <w:fldChar w:fldCharType="begin"/>
          </w:r>
          <w:r>
            <w:instrText xml:space="preserve"> PAGEREF _Toc1426536098 \h </w:instrText>
          </w:r>
          <w:r>
            <w:fldChar w:fldCharType="separate"/>
          </w:r>
          <w:r>
            <w:t>6</w:t>
          </w:r>
          <w:r>
            <w:fldChar w:fldCharType="end"/>
          </w:r>
          <w:r>
            <w:rPr>
              <w:rFonts w:hint="eastAsia" w:ascii="华文中宋" w:hAnsi="华文中宋" w:eastAsia="华文中宋"/>
              <w:color w:val="auto"/>
              <w:spacing w:val="160"/>
              <w:szCs w:val="36"/>
              <w:highlight w:val="none"/>
            </w:rPr>
            <w:fldChar w:fldCharType="end"/>
          </w:r>
        </w:p>
        <w:p w14:paraId="3DAB8686">
          <w:pPr>
            <w:pStyle w:val="36"/>
            <w:tabs>
              <w:tab w:val="right" w:leader="dot" w:pos="8306"/>
            </w:tabs>
          </w:pPr>
          <w:r>
            <w:rPr>
              <w:rFonts w:hint="eastAsia" w:ascii="华文中宋" w:hAnsi="华文中宋" w:eastAsia="华文中宋"/>
              <w:color w:val="auto"/>
              <w:spacing w:val="160"/>
              <w:szCs w:val="36"/>
              <w:highlight w:val="none"/>
            </w:rPr>
            <w:fldChar w:fldCharType="begin"/>
          </w:r>
          <w:r>
            <w:rPr>
              <w:rFonts w:hint="eastAsia" w:ascii="华文中宋" w:hAnsi="华文中宋" w:eastAsia="华文中宋"/>
              <w:spacing w:val="160"/>
              <w:szCs w:val="36"/>
              <w:highlight w:val="none"/>
            </w:rPr>
            <w:instrText xml:space="preserve"> HYPERLINK \l _Toc1152897048 </w:instrText>
          </w:r>
          <w:r>
            <w:rPr>
              <w:rFonts w:hint="eastAsia" w:ascii="华文中宋" w:hAnsi="华文中宋" w:eastAsia="华文中宋"/>
              <w:spacing w:val="160"/>
              <w:szCs w:val="36"/>
              <w:highlight w:val="none"/>
            </w:rPr>
            <w:fldChar w:fldCharType="separate"/>
          </w:r>
          <w:r>
            <w:rPr>
              <w:rFonts w:hint="eastAsia" w:ascii="宋体" w:hAnsi="宋体"/>
              <w:szCs w:val="21"/>
              <w:highlight w:val="none"/>
            </w:rPr>
            <w:t>六、投标截止时间、开标时间及地点</w:t>
          </w:r>
          <w:r>
            <w:tab/>
          </w:r>
          <w:r>
            <w:fldChar w:fldCharType="begin"/>
          </w:r>
          <w:r>
            <w:instrText xml:space="preserve"> PAGEREF _Toc1152897048 \h </w:instrText>
          </w:r>
          <w:r>
            <w:fldChar w:fldCharType="separate"/>
          </w:r>
          <w:r>
            <w:t>6</w:t>
          </w:r>
          <w:r>
            <w:fldChar w:fldCharType="end"/>
          </w:r>
          <w:r>
            <w:rPr>
              <w:rFonts w:hint="eastAsia" w:ascii="华文中宋" w:hAnsi="华文中宋" w:eastAsia="华文中宋"/>
              <w:color w:val="auto"/>
              <w:spacing w:val="160"/>
              <w:szCs w:val="36"/>
              <w:highlight w:val="none"/>
            </w:rPr>
            <w:fldChar w:fldCharType="end"/>
          </w:r>
        </w:p>
        <w:p w14:paraId="29BB25BD">
          <w:pPr>
            <w:pStyle w:val="36"/>
            <w:tabs>
              <w:tab w:val="right" w:leader="dot" w:pos="8306"/>
            </w:tabs>
          </w:pPr>
          <w:r>
            <w:rPr>
              <w:rFonts w:hint="eastAsia" w:ascii="华文中宋" w:hAnsi="华文中宋" w:eastAsia="华文中宋"/>
              <w:color w:val="auto"/>
              <w:spacing w:val="160"/>
              <w:szCs w:val="36"/>
              <w:highlight w:val="none"/>
            </w:rPr>
            <w:fldChar w:fldCharType="begin"/>
          </w:r>
          <w:r>
            <w:rPr>
              <w:rFonts w:hint="eastAsia" w:ascii="华文中宋" w:hAnsi="华文中宋" w:eastAsia="华文中宋"/>
              <w:spacing w:val="160"/>
              <w:szCs w:val="36"/>
              <w:highlight w:val="none"/>
            </w:rPr>
            <w:instrText xml:space="preserve"> HYPERLINK \l _Toc501370040 </w:instrText>
          </w:r>
          <w:r>
            <w:rPr>
              <w:rFonts w:hint="eastAsia" w:ascii="华文中宋" w:hAnsi="华文中宋" w:eastAsia="华文中宋"/>
              <w:spacing w:val="160"/>
              <w:szCs w:val="36"/>
              <w:highlight w:val="none"/>
            </w:rPr>
            <w:fldChar w:fldCharType="separate"/>
          </w:r>
          <w:r>
            <w:rPr>
              <w:rFonts w:hint="eastAsia" w:ascii="宋体" w:hAnsi="宋体"/>
              <w:szCs w:val="21"/>
              <w:highlight w:val="none"/>
            </w:rPr>
            <w:t>七、公告期限：</w:t>
          </w:r>
          <w:r>
            <w:tab/>
          </w:r>
          <w:r>
            <w:fldChar w:fldCharType="begin"/>
          </w:r>
          <w:r>
            <w:instrText xml:space="preserve"> PAGEREF _Toc501370040 \h </w:instrText>
          </w:r>
          <w:r>
            <w:fldChar w:fldCharType="separate"/>
          </w:r>
          <w:r>
            <w:t>7</w:t>
          </w:r>
          <w:r>
            <w:fldChar w:fldCharType="end"/>
          </w:r>
          <w:r>
            <w:rPr>
              <w:rFonts w:hint="eastAsia" w:ascii="华文中宋" w:hAnsi="华文中宋" w:eastAsia="华文中宋"/>
              <w:color w:val="auto"/>
              <w:spacing w:val="160"/>
              <w:szCs w:val="36"/>
              <w:highlight w:val="none"/>
            </w:rPr>
            <w:fldChar w:fldCharType="end"/>
          </w:r>
        </w:p>
        <w:p w14:paraId="2770F5E2">
          <w:pPr>
            <w:pStyle w:val="36"/>
            <w:tabs>
              <w:tab w:val="right" w:leader="dot" w:pos="8306"/>
            </w:tabs>
          </w:pPr>
          <w:r>
            <w:rPr>
              <w:rFonts w:hint="eastAsia" w:ascii="华文中宋" w:hAnsi="华文中宋" w:eastAsia="华文中宋"/>
              <w:color w:val="auto"/>
              <w:spacing w:val="160"/>
              <w:szCs w:val="36"/>
              <w:highlight w:val="none"/>
            </w:rPr>
            <w:fldChar w:fldCharType="begin"/>
          </w:r>
          <w:r>
            <w:rPr>
              <w:rFonts w:hint="eastAsia" w:ascii="华文中宋" w:hAnsi="华文中宋" w:eastAsia="华文中宋"/>
              <w:spacing w:val="160"/>
              <w:szCs w:val="36"/>
              <w:highlight w:val="none"/>
            </w:rPr>
            <w:instrText xml:space="preserve"> HYPERLINK \l _Toc525551541 </w:instrText>
          </w:r>
          <w:r>
            <w:rPr>
              <w:rFonts w:hint="eastAsia" w:ascii="华文中宋" w:hAnsi="华文中宋" w:eastAsia="华文中宋"/>
              <w:spacing w:val="160"/>
              <w:szCs w:val="36"/>
              <w:highlight w:val="none"/>
            </w:rPr>
            <w:fldChar w:fldCharType="separate"/>
          </w:r>
          <w:r>
            <w:rPr>
              <w:rFonts w:hint="eastAsia" w:ascii="宋体" w:hAnsi="宋体"/>
              <w:szCs w:val="21"/>
              <w:highlight w:val="none"/>
            </w:rPr>
            <w:t>八、询问及质疑：</w:t>
          </w:r>
          <w:r>
            <w:tab/>
          </w:r>
          <w:r>
            <w:fldChar w:fldCharType="begin"/>
          </w:r>
          <w:r>
            <w:instrText xml:space="preserve"> PAGEREF _Toc525551541 \h </w:instrText>
          </w:r>
          <w:r>
            <w:fldChar w:fldCharType="separate"/>
          </w:r>
          <w:r>
            <w:t>7</w:t>
          </w:r>
          <w:r>
            <w:fldChar w:fldCharType="end"/>
          </w:r>
          <w:r>
            <w:rPr>
              <w:rFonts w:hint="eastAsia" w:ascii="华文中宋" w:hAnsi="华文中宋" w:eastAsia="华文中宋"/>
              <w:color w:val="auto"/>
              <w:spacing w:val="160"/>
              <w:szCs w:val="36"/>
              <w:highlight w:val="none"/>
            </w:rPr>
            <w:fldChar w:fldCharType="end"/>
          </w:r>
        </w:p>
        <w:p w14:paraId="76FA4A2B">
          <w:pPr>
            <w:pStyle w:val="36"/>
            <w:tabs>
              <w:tab w:val="right" w:leader="dot" w:pos="8306"/>
            </w:tabs>
          </w:pPr>
          <w:r>
            <w:rPr>
              <w:rFonts w:hint="eastAsia" w:ascii="华文中宋" w:hAnsi="华文中宋" w:eastAsia="华文中宋"/>
              <w:color w:val="auto"/>
              <w:spacing w:val="160"/>
              <w:szCs w:val="36"/>
              <w:highlight w:val="none"/>
            </w:rPr>
            <w:fldChar w:fldCharType="begin"/>
          </w:r>
          <w:r>
            <w:rPr>
              <w:rFonts w:hint="eastAsia" w:ascii="华文中宋" w:hAnsi="华文中宋" w:eastAsia="华文中宋"/>
              <w:spacing w:val="160"/>
              <w:szCs w:val="36"/>
              <w:highlight w:val="none"/>
            </w:rPr>
            <w:instrText xml:space="preserve"> HYPERLINK \l _Toc192868947 </w:instrText>
          </w:r>
          <w:r>
            <w:rPr>
              <w:rFonts w:hint="eastAsia" w:ascii="华文中宋" w:hAnsi="华文中宋" w:eastAsia="华文中宋"/>
              <w:spacing w:val="160"/>
              <w:szCs w:val="36"/>
              <w:highlight w:val="none"/>
            </w:rPr>
            <w:fldChar w:fldCharType="separate"/>
          </w:r>
          <w:r>
            <w:rPr>
              <w:rFonts w:hint="eastAsia" w:ascii="宋体" w:hAnsi="宋体"/>
              <w:bCs/>
              <w:szCs w:val="21"/>
              <w:highlight w:val="none"/>
            </w:rPr>
            <w:t>九、</w:t>
          </w:r>
          <w:r>
            <w:rPr>
              <w:rFonts w:hint="eastAsia" w:ascii="宋体" w:hAnsi="宋体"/>
              <w:szCs w:val="21"/>
              <w:highlight w:val="none"/>
            </w:rPr>
            <w:t>投标说明：</w:t>
          </w:r>
          <w:r>
            <w:tab/>
          </w:r>
          <w:r>
            <w:fldChar w:fldCharType="begin"/>
          </w:r>
          <w:r>
            <w:instrText xml:space="preserve"> PAGEREF _Toc192868947 \h </w:instrText>
          </w:r>
          <w:r>
            <w:fldChar w:fldCharType="separate"/>
          </w:r>
          <w:r>
            <w:t>7</w:t>
          </w:r>
          <w:r>
            <w:fldChar w:fldCharType="end"/>
          </w:r>
          <w:r>
            <w:rPr>
              <w:rFonts w:hint="eastAsia" w:ascii="华文中宋" w:hAnsi="华文中宋" w:eastAsia="华文中宋"/>
              <w:color w:val="auto"/>
              <w:spacing w:val="160"/>
              <w:szCs w:val="36"/>
              <w:highlight w:val="none"/>
            </w:rPr>
            <w:fldChar w:fldCharType="end"/>
          </w:r>
        </w:p>
        <w:p w14:paraId="1F22C65F">
          <w:pPr>
            <w:pStyle w:val="36"/>
            <w:tabs>
              <w:tab w:val="right" w:leader="dot" w:pos="8306"/>
            </w:tabs>
          </w:pPr>
          <w:r>
            <w:rPr>
              <w:rFonts w:hint="eastAsia" w:ascii="华文中宋" w:hAnsi="华文中宋" w:eastAsia="华文中宋"/>
              <w:color w:val="auto"/>
              <w:spacing w:val="160"/>
              <w:szCs w:val="36"/>
              <w:highlight w:val="none"/>
            </w:rPr>
            <w:fldChar w:fldCharType="begin"/>
          </w:r>
          <w:r>
            <w:rPr>
              <w:rFonts w:hint="eastAsia" w:ascii="华文中宋" w:hAnsi="华文中宋" w:eastAsia="华文中宋"/>
              <w:spacing w:val="160"/>
              <w:szCs w:val="36"/>
              <w:highlight w:val="none"/>
            </w:rPr>
            <w:instrText xml:space="preserve"> HYPERLINK \l _Toc2046581701 </w:instrText>
          </w:r>
          <w:r>
            <w:rPr>
              <w:rFonts w:hint="eastAsia" w:ascii="华文中宋" w:hAnsi="华文中宋" w:eastAsia="华文中宋"/>
              <w:spacing w:val="160"/>
              <w:szCs w:val="36"/>
              <w:highlight w:val="none"/>
            </w:rPr>
            <w:fldChar w:fldCharType="separate"/>
          </w:r>
          <w:r>
            <w:rPr>
              <w:rFonts w:hint="eastAsia" w:ascii="宋体" w:hAnsi="宋体"/>
              <w:bCs/>
              <w:szCs w:val="21"/>
              <w:highlight w:val="none"/>
            </w:rPr>
            <w:t>十、其他补充事宜</w:t>
          </w:r>
          <w:r>
            <w:tab/>
          </w:r>
          <w:r>
            <w:fldChar w:fldCharType="begin"/>
          </w:r>
          <w:r>
            <w:instrText xml:space="preserve"> PAGEREF _Toc2046581701 \h </w:instrText>
          </w:r>
          <w:r>
            <w:fldChar w:fldCharType="separate"/>
          </w:r>
          <w:r>
            <w:t>7</w:t>
          </w:r>
          <w:r>
            <w:fldChar w:fldCharType="end"/>
          </w:r>
          <w:r>
            <w:rPr>
              <w:rFonts w:hint="eastAsia" w:ascii="华文中宋" w:hAnsi="华文中宋" w:eastAsia="华文中宋"/>
              <w:color w:val="auto"/>
              <w:spacing w:val="160"/>
              <w:szCs w:val="36"/>
              <w:highlight w:val="none"/>
            </w:rPr>
            <w:fldChar w:fldCharType="end"/>
          </w:r>
        </w:p>
        <w:p w14:paraId="6B8FB773">
          <w:pPr>
            <w:pStyle w:val="36"/>
            <w:tabs>
              <w:tab w:val="right" w:leader="dot" w:pos="8306"/>
            </w:tabs>
          </w:pPr>
          <w:r>
            <w:rPr>
              <w:rFonts w:hint="eastAsia" w:ascii="华文中宋" w:hAnsi="华文中宋" w:eastAsia="华文中宋"/>
              <w:color w:val="auto"/>
              <w:spacing w:val="160"/>
              <w:szCs w:val="36"/>
              <w:highlight w:val="none"/>
            </w:rPr>
            <w:fldChar w:fldCharType="begin"/>
          </w:r>
          <w:r>
            <w:rPr>
              <w:rFonts w:hint="eastAsia" w:ascii="华文中宋" w:hAnsi="华文中宋" w:eastAsia="华文中宋"/>
              <w:spacing w:val="160"/>
              <w:szCs w:val="36"/>
              <w:highlight w:val="none"/>
            </w:rPr>
            <w:instrText xml:space="preserve"> HYPERLINK \l _Toc1479446612 </w:instrText>
          </w:r>
          <w:r>
            <w:rPr>
              <w:rFonts w:hint="eastAsia" w:ascii="华文中宋" w:hAnsi="华文中宋" w:eastAsia="华文中宋"/>
              <w:spacing w:val="160"/>
              <w:szCs w:val="36"/>
              <w:highlight w:val="none"/>
            </w:rPr>
            <w:fldChar w:fldCharType="separate"/>
          </w:r>
          <w:r>
            <w:rPr>
              <w:rFonts w:hint="eastAsia" w:ascii="宋体" w:hAnsi="宋体"/>
              <w:bCs/>
              <w:szCs w:val="21"/>
              <w:highlight w:val="none"/>
            </w:rPr>
            <w:t>十一</w:t>
          </w:r>
          <w:r>
            <w:rPr>
              <w:rFonts w:hint="eastAsia" w:ascii="宋体" w:hAnsi="宋体"/>
              <w:szCs w:val="21"/>
              <w:highlight w:val="none"/>
            </w:rPr>
            <w:t>、采购项目联系人姓名和电话</w:t>
          </w:r>
          <w:r>
            <w:tab/>
          </w:r>
          <w:r>
            <w:fldChar w:fldCharType="begin"/>
          </w:r>
          <w:r>
            <w:instrText xml:space="preserve"> PAGEREF _Toc1479446612 \h </w:instrText>
          </w:r>
          <w:r>
            <w:fldChar w:fldCharType="separate"/>
          </w:r>
          <w:r>
            <w:t>7</w:t>
          </w:r>
          <w:r>
            <w:fldChar w:fldCharType="end"/>
          </w:r>
          <w:r>
            <w:rPr>
              <w:rFonts w:hint="eastAsia" w:ascii="华文中宋" w:hAnsi="华文中宋" w:eastAsia="华文中宋"/>
              <w:color w:val="auto"/>
              <w:spacing w:val="160"/>
              <w:szCs w:val="36"/>
              <w:highlight w:val="none"/>
            </w:rPr>
            <w:fldChar w:fldCharType="end"/>
          </w:r>
        </w:p>
        <w:p w14:paraId="46E37674">
          <w:pPr>
            <w:pStyle w:val="36"/>
            <w:tabs>
              <w:tab w:val="right" w:leader="dot" w:pos="8306"/>
            </w:tabs>
          </w:pPr>
          <w:r>
            <w:rPr>
              <w:rFonts w:hint="eastAsia" w:ascii="华文中宋" w:hAnsi="华文中宋" w:eastAsia="华文中宋"/>
              <w:color w:val="auto"/>
              <w:spacing w:val="160"/>
              <w:szCs w:val="36"/>
              <w:highlight w:val="none"/>
            </w:rPr>
            <w:fldChar w:fldCharType="begin"/>
          </w:r>
          <w:r>
            <w:rPr>
              <w:rFonts w:hint="eastAsia" w:ascii="华文中宋" w:hAnsi="华文中宋" w:eastAsia="华文中宋"/>
              <w:spacing w:val="160"/>
              <w:szCs w:val="36"/>
              <w:highlight w:val="none"/>
            </w:rPr>
            <w:instrText xml:space="preserve"> HYPERLINK \l _Toc193394877 </w:instrText>
          </w:r>
          <w:r>
            <w:rPr>
              <w:rFonts w:hint="eastAsia" w:ascii="华文中宋" w:hAnsi="华文中宋" w:eastAsia="华文中宋"/>
              <w:spacing w:val="160"/>
              <w:szCs w:val="36"/>
              <w:highlight w:val="none"/>
            </w:rPr>
            <w:fldChar w:fldCharType="separate"/>
          </w:r>
          <w:r>
            <w:rPr>
              <w:rFonts w:hint="eastAsia" w:ascii="宋体" w:hAnsi="宋体"/>
              <w:bCs/>
              <w:szCs w:val="21"/>
              <w:highlight w:val="none"/>
            </w:rPr>
            <w:t>十二、采购人、采购代理机构的名称、地址和联系方法</w:t>
          </w:r>
          <w:r>
            <w:tab/>
          </w:r>
          <w:r>
            <w:fldChar w:fldCharType="begin"/>
          </w:r>
          <w:r>
            <w:instrText xml:space="preserve"> PAGEREF _Toc193394877 \h </w:instrText>
          </w:r>
          <w:r>
            <w:fldChar w:fldCharType="separate"/>
          </w:r>
          <w:r>
            <w:t>8</w:t>
          </w:r>
          <w:r>
            <w:fldChar w:fldCharType="end"/>
          </w:r>
          <w:r>
            <w:rPr>
              <w:rFonts w:hint="eastAsia" w:ascii="华文中宋" w:hAnsi="华文中宋" w:eastAsia="华文中宋"/>
              <w:color w:val="auto"/>
              <w:spacing w:val="160"/>
              <w:szCs w:val="36"/>
              <w:highlight w:val="none"/>
            </w:rPr>
            <w:fldChar w:fldCharType="end"/>
          </w:r>
        </w:p>
        <w:p w14:paraId="027F1DF2">
          <w:pPr>
            <w:pStyle w:val="30"/>
            <w:tabs>
              <w:tab w:val="right" w:leader="dot" w:pos="8306"/>
              <w:tab w:val="clear" w:pos="1680"/>
              <w:tab w:val="clear" w:pos="8834"/>
            </w:tabs>
          </w:pPr>
          <w:r>
            <w:rPr>
              <w:rFonts w:hint="eastAsia" w:ascii="华文中宋" w:hAnsi="华文中宋" w:eastAsia="华文中宋"/>
              <w:color w:val="auto"/>
              <w:spacing w:val="160"/>
              <w:szCs w:val="36"/>
              <w:highlight w:val="none"/>
            </w:rPr>
            <w:fldChar w:fldCharType="begin"/>
          </w:r>
          <w:r>
            <w:rPr>
              <w:rFonts w:hint="eastAsia" w:ascii="华文中宋" w:hAnsi="华文中宋" w:eastAsia="华文中宋"/>
              <w:spacing w:val="160"/>
              <w:szCs w:val="36"/>
              <w:highlight w:val="none"/>
            </w:rPr>
            <w:instrText xml:space="preserve"> HYPERLINK \l _Toc761925084 </w:instrText>
          </w:r>
          <w:r>
            <w:rPr>
              <w:rFonts w:hint="eastAsia" w:ascii="华文中宋" w:hAnsi="华文中宋" w:eastAsia="华文中宋"/>
              <w:spacing w:val="160"/>
              <w:szCs w:val="36"/>
              <w:highlight w:val="none"/>
            </w:rPr>
            <w:fldChar w:fldCharType="separate"/>
          </w:r>
          <w:r>
            <w:rPr>
              <w:rFonts w:hint="eastAsia" w:ascii="黑体" w:hAnsi="华文中宋" w:eastAsia="黑体"/>
              <w:szCs w:val="32"/>
              <w:highlight w:val="none"/>
            </w:rPr>
            <w:t>第二章 投标须知</w:t>
          </w:r>
          <w:r>
            <w:tab/>
          </w:r>
          <w:r>
            <w:fldChar w:fldCharType="begin"/>
          </w:r>
          <w:r>
            <w:instrText xml:space="preserve"> PAGEREF _Toc761925084 \h </w:instrText>
          </w:r>
          <w:r>
            <w:fldChar w:fldCharType="separate"/>
          </w:r>
          <w:r>
            <w:t>9</w:t>
          </w:r>
          <w:r>
            <w:fldChar w:fldCharType="end"/>
          </w:r>
          <w:r>
            <w:rPr>
              <w:rFonts w:hint="eastAsia" w:ascii="华文中宋" w:hAnsi="华文中宋" w:eastAsia="华文中宋"/>
              <w:color w:val="auto"/>
              <w:spacing w:val="160"/>
              <w:szCs w:val="36"/>
              <w:highlight w:val="none"/>
            </w:rPr>
            <w:fldChar w:fldCharType="end"/>
          </w:r>
        </w:p>
        <w:p w14:paraId="4B400622">
          <w:pPr>
            <w:pStyle w:val="36"/>
            <w:tabs>
              <w:tab w:val="right" w:leader="dot" w:pos="8306"/>
            </w:tabs>
          </w:pPr>
          <w:r>
            <w:rPr>
              <w:rFonts w:hint="eastAsia" w:ascii="华文中宋" w:hAnsi="华文中宋" w:eastAsia="华文中宋"/>
              <w:color w:val="auto"/>
              <w:spacing w:val="160"/>
              <w:szCs w:val="36"/>
              <w:highlight w:val="none"/>
            </w:rPr>
            <w:fldChar w:fldCharType="begin"/>
          </w:r>
          <w:r>
            <w:rPr>
              <w:rFonts w:hint="eastAsia" w:ascii="华文中宋" w:hAnsi="华文中宋" w:eastAsia="华文中宋"/>
              <w:spacing w:val="160"/>
              <w:szCs w:val="36"/>
              <w:highlight w:val="none"/>
            </w:rPr>
            <w:instrText xml:space="preserve"> HYPERLINK \l _Toc366084066 </w:instrText>
          </w:r>
          <w:r>
            <w:rPr>
              <w:rFonts w:hint="eastAsia" w:ascii="华文中宋" w:hAnsi="华文中宋" w:eastAsia="华文中宋"/>
              <w:spacing w:val="160"/>
              <w:szCs w:val="36"/>
              <w:highlight w:val="none"/>
            </w:rPr>
            <w:fldChar w:fldCharType="separate"/>
          </w:r>
          <w:r>
            <w:rPr>
              <w:rFonts w:hint="eastAsia" w:ascii="黑体" w:hAnsi="华文中宋" w:eastAsia="黑体"/>
              <w:szCs w:val="28"/>
              <w:highlight w:val="none"/>
            </w:rPr>
            <w:t>第一节  投标须知前附表</w:t>
          </w:r>
          <w:r>
            <w:tab/>
          </w:r>
          <w:r>
            <w:fldChar w:fldCharType="begin"/>
          </w:r>
          <w:r>
            <w:instrText xml:space="preserve"> PAGEREF _Toc366084066 \h </w:instrText>
          </w:r>
          <w:r>
            <w:fldChar w:fldCharType="separate"/>
          </w:r>
          <w:r>
            <w:t>9</w:t>
          </w:r>
          <w:r>
            <w:fldChar w:fldCharType="end"/>
          </w:r>
          <w:r>
            <w:rPr>
              <w:rFonts w:hint="eastAsia" w:ascii="华文中宋" w:hAnsi="华文中宋" w:eastAsia="华文中宋"/>
              <w:color w:val="auto"/>
              <w:spacing w:val="160"/>
              <w:szCs w:val="36"/>
              <w:highlight w:val="none"/>
            </w:rPr>
            <w:fldChar w:fldCharType="end"/>
          </w:r>
        </w:p>
        <w:p w14:paraId="75050933">
          <w:pPr>
            <w:pStyle w:val="36"/>
            <w:tabs>
              <w:tab w:val="right" w:leader="dot" w:pos="8306"/>
            </w:tabs>
          </w:pPr>
          <w:r>
            <w:rPr>
              <w:rFonts w:hint="eastAsia" w:ascii="华文中宋" w:hAnsi="华文中宋" w:eastAsia="华文中宋"/>
              <w:color w:val="auto"/>
              <w:spacing w:val="160"/>
              <w:szCs w:val="36"/>
              <w:highlight w:val="none"/>
            </w:rPr>
            <w:fldChar w:fldCharType="begin"/>
          </w:r>
          <w:r>
            <w:rPr>
              <w:rFonts w:hint="eastAsia" w:ascii="华文中宋" w:hAnsi="华文中宋" w:eastAsia="华文中宋"/>
              <w:spacing w:val="160"/>
              <w:szCs w:val="36"/>
              <w:highlight w:val="none"/>
            </w:rPr>
            <w:instrText xml:space="preserve"> HYPERLINK \l _Toc1146446784 </w:instrText>
          </w:r>
          <w:r>
            <w:rPr>
              <w:rFonts w:hint="eastAsia" w:ascii="华文中宋" w:hAnsi="华文中宋" w:eastAsia="华文中宋"/>
              <w:spacing w:val="160"/>
              <w:szCs w:val="36"/>
              <w:highlight w:val="none"/>
            </w:rPr>
            <w:fldChar w:fldCharType="separate"/>
          </w:r>
          <w:r>
            <w:rPr>
              <w:rFonts w:hint="eastAsia" w:ascii="黑体" w:hAnsi="黑体" w:eastAsia="黑体"/>
              <w:szCs w:val="28"/>
              <w:highlight w:val="none"/>
            </w:rPr>
            <w:t>第二节投标须知正文</w:t>
          </w:r>
          <w:r>
            <w:tab/>
          </w:r>
          <w:r>
            <w:fldChar w:fldCharType="begin"/>
          </w:r>
          <w:r>
            <w:instrText xml:space="preserve"> PAGEREF _Toc1146446784 \h </w:instrText>
          </w:r>
          <w:r>
            <w:fldChar w:fldCharType="separate"/>
          </w:r>
          <w:r>
            <w:t>13</w:t>
          </w:r>
          <w:r>
            <w:fldChar w:fldCharType="end"/>
          </w:r>
          <w:r>
            <w:rPr>
              <w:rFonts w:hint="eastAsia" w:ascii="华文中宋" w:hAnsi="华文中宋" w:eastAsia="华文中宋"/>
              <w:color w:val="auto"/>
              <w:spacing w:val="160"/>
              <w:szCs w:val="36"/>
              <w:highlight w:val="none"/>
            </w:rPr>
            <w:fldChar w:fldCharType="end"/>
          </w:r>
        </w:p>
        <w:p w14:paraId="3A02CEF9">
          <w:pPr>
            <w:pStyle w:val="30"/>
            <w:tabs>
              <w:tab w:val="right" w:leader="dot" w:pos="8306"/>
              <w:tab w:val="clear" w:pos="1680"/>
              <w:tab w:val="clear" w:pos="8834"/>
            </w:tabs>
          </w:pPr>
          <w:r>
            <w:rPr>
              <w:rFonts w:hint="eastAsia" w:ascii="华文中宋" w:hAnsi="华文中宋" w:eastAsia="华文中宋"/>
              <w:color w:val="auto"/>
              <w:spacing w:val="160"/>
              <w:szCs w:val="36"/>
              <w:highlight w:val="none"/>
            </w:rPr>
            <w:fldChar w:fldCharType="begin"/>
          </w:r>
          <w:r>
            <w:rPr>
              <w:rFonts w:hint="eastAsia" w:ascii="华文中宋" w:hAnsi="华文中宋" w:eastAsia="华文中宋"/>
              <w:spacing w:val="160"/>
              <w:szCs w:val="36"/>
              <w:highlight w:val="none"/>
            </w:rPr>
            <w:instrText xml:space="preserve"> HYPERLINK \l _Toc906609344 </w:instrText>
          </w:r>
          <w:r>
            <w:rPr>
              <w:rFonts w:hint="eastAsia" w:ascii="华文中宋" w:hAnsi="华文中宋" w:eastAsia="华文中宋"/>
              <w:spacing w:val="160"/>
              <w:szCs w:val="36"/>
              <w:highlight w:val="none"/>
            </w:rPr>
            <w:fldChar w:fldCharType="separate"/>
          </w:r>
          <w:r>
            <w:rPr>
              <w:rFonts w:hint="eastAsia" w:ascii="黑体" w:hAnsi="黑体" w:eastAsia="黑体"/>
              <w:szCs w:val="32"/>
              <w:highlight w:val="none"/>
            </w:rPr>
            <w:t>第三章 资格审查</w:t>
          </w:r>
          <w:r>
            <w:tab/>
          </w:r>
          <w:r>
            <w:fldChar w:fldCharType="begin"/>
          </w:r>
          <w:r>
            <w:instrText xml:space="preserve"> PAGEREF _Toc906609344 \h </w:instrText>
          </w:r>
          <w:r>
            <w:fldChar w:fldCharType="separate"/>
          </w:r>
          <w:r>
            <w:t>26</w:t>
          </w:r>
          <w:r>
            <w:fldChar w:fldCharType="end"/>
          </w:r>
          <w:r>
            <w:rPr>
              <w:rFonts w:hint="eastAsia" w:ascii="华文中宋" w:hAnsi="华文中宋" w:eastAsia="华文中宋"/>
              <w:color w:val="auto"/>
              <w:spacing w:val="160"/>
              <w:szCs w:val="36"/>
              <w:highlight w:val="none"/>
            </w:rPr>
            <w:fldChar w:fldCharType="end"/>
          </w:r>
        </w:p>
        <w:p w14:paraId="2BB4FE8D">
          <w:pPr>
            <w:pStyle w:val="30"/>
            <w:tabs>
              <w:tab w:val="right" w:leader="dot" w:pos="8306"/>
              <w:tab w:val="clear" w:pos="1680"/>
              <w:tab w:val="clear" w:pos="8834"/>
            </w:tabs>
          </w:pPr>
          <w:r>
            <w:rPr>
              <w:rFonts w:hint="eastAsia" w:ascii="华文中宋" w:hAnsi="华文中宋" w:eastAsia="华文中宋"/>
              <w:color w:val="auto"/>
              <w:spacing w:val="160"/>
              <w:szCs w:val="36"/>
              <w:highlight w:val="none"/>
            </w:rPr>
            <w:fldChar w:fldCharType="begin"/>
          </w:r>
          <w:r>
            <w:rPr>
              <w:rFonts w:hint="eastAsia" w:ascii="华文中宋" w:hAnsi="华文中宋" w:eastAsia="华文中宋"/>
              <w:spacing w:val="160"/>
              <w:szCs w:val="36"/>
              <w:highlight w:val="none"/>
            </w:rPr>
            <w:instrText xml:space="preserve"> HYPERLINK \l _Toc1668155146 </w:instrText>
          </w:r>
          <w:r>
            <w:rPr>
              <w:rFonts w:hint="eastAsia" w:ascii="华文中宋" w:hAnsi="华文中宋" w:eastAsia="华文中宋"/>
              <w:spacing w:val="160"/>
              <w:szCs w:val="36"/>
              <w:highlight w:val="none"/>
            </w:rPr>
            <w:fldChar w:fldCharType="separate"/>
          </w:r>
          <w:r>
            <w:rPr>
              <w:rFonts w:hint="eastAsia" w:ascii="黑体" w:hAnsi="华文中宋" w:eastAsia="黑体"/>
              <w:szCs w:val="32"/>
              <w:highlight w:val="none"/>
            </w:rPr>
            <w:t>第四章  评标方法及标准</w:t>
          </w:r>
          <w:r>
            <w:tab/>
          </w:r>
          <w:r>
            <w:fldChar w:fldCharType="begin"/>
          </w:r>
          <w:r>
            <w:instrText xml:space="preserve"> PAGEREF _Toc1668155146 \h </w:instrText>
          </w:r>
          <w:r>
            <w:fldChar w:fldCharType="separate"/>
          </w:r>
          <w:r>
            <w:t>31</w:t>
          </w:r>
          <w:r>
            <w:fldChar w:fldCharType="end"/>
          </w:r>
          <w:r>
            <w:rPr>
              <w:rFonts w:hint="eastAsia" w:ascii="华文中宋" w:hAnsi="华文中宋" w:eastAsia="华文中宋"/>
              <w:color w:val="auto"/>
              <w:spacing w:val="160"/>
              <w:szCs w:val="36"/>
              <w:highlight w:val="none"/>
            </w:rPr>
            <w:fldChar w:fldCharType="end"/>
          </w:r>
        </w:p>
        <w:p w14:paraId="470C8A59">
          <w:pPr>
            <w:pStyle w:val="36"/>
            <w:tabs>
              <w:tab w:val="right" w:leader="dot" w:pos="8306"/>
            </w:tabs>
          </w:pPr>
          <w:r>
            <w:rPr>
              <w:rFonts w:hint="eastAsia" w:ascii="华文中宋" w:hAnsi="华文中宋" w:eastAsia="华文中宋"/>
              <w:color w:val="auto"/>
              <w:spacing w:val="160"/>
              <w:szCs w:val="36"/>
              <w:highlight w:val="none"/>
            </w:rPr>
            <w:fldChar w:fldCharType="begin"/>
          </w:r>
          <w:r>
            <w:rPr>
              <w:rFonts w:hint="eastAsia" w:ascii="华文中宋" w:hAnsi="华文中宋" w:eastAsia="华文中宋"/>
              <w:spacing w:val="160"/>
              <w:szCs w:val="36"/>
              <w:highlight w:val="none"/>
            </w:rPr>
            <w:instrText xml:space="preserve"> HYPERLINK \l _Toc1517016503 </w:instrText>
          </w:r>
          <w:r>
            <w:rPr>
              <w:rFonts w:hint="eastAsia" w:ascii="华文中宋" w:hAnsi="华文中宋" w:eastAsia="华文中宋"/>
              <w:spacing w:val="160"/>
              <w:szCs w:val="36"/>
              <w:highlight w:val="none"/>
            </w:rPr>
            <w:fldChar w:fldCharType="separate"/>
          </w:r>
          <w:r>
            <w:rPr>
              <w:rFonts w:hint="eastAsia" w:ascii="黑体" w:hAnsi="华文中宋" w:eastAsia="黑体"/>
              <w:bCs w:val="0"/>
              <w:szCs w:val="28"/>
              <w:highlight w:val="none"/>
            </w:rPr>
            <w:t>第一</w:t>
          </w:r>
          <w:r>
            <w:rPr>
              <w:rFonts w:hint="eastAsia" w:ascii="黑体" w:hAnsi="华文中宋" w:eastAsia="黑体"/>
              <w:szCs w:val="28"/>
              <w:highlight w:val="none"/>
            </w:rPr>
            <w:t>节  评标方法及标准前附表</w:t>
          </w:r>
          <w:r>
            <w:tab/>
          </w:r>
          <w:r>
            <w:fldChar w:fldCharType="begin"/>
          </w:r>
          <w:r>
            <w:instrText xml:space="preserve"> PAGEREF _Toc1517016503 \h </w:instrText>
          </w:r>
          <w:r>
            <w:fldChar w:fldCharType="separate"/>
          </w:r>
          <w:r>
            <w:t>31</w:t>
          </w:r>
          <w:r>
            <w:fldChar w:fldCharType="end"/>
          </w:r>
          <w:r>
            <w:rPr>
              <w:rFonts w:hint="eastAsia" w:ascii="华文中宋" w:hAnsi="华文中宋" w:eastAsia="华文中宋"/>
              <w:color w:val="auto"/>
              <w:spacing w:val="160"/>
              <w:szCs w:val="36"/>
              <w:highlight w:val="none"/>
            </w:rPr>
            <w:fldChar w:fldCharType="end"/>
          </w:r>
        </w:p>
        <w:p w14:paraId="555ED20A">
          <w:pPr>
            <w:pStyle w:val="36"/>
            <w:tabs>
              <w:tab w:val="right" w:leader="dot" w:pos="8306"/>
            </w:tabs>
          </w:pPr>
          <w:r>
            <w:rPr>
              <w:rFonts w:hint="eastAsia" w:ascii="华文中宋" w:hAnsi="华文中宋" w:eastAsia="华文中宋"/>
              <w:color w:val="auto"/>
              <w:spacing w:val="160"/>
              <w:szCs w:val="36"/>
              <w:highlight w:val="none"/>
            </w:rPr>
            <w:fldChar w:fldCharType="begin"/>
          </w:r>
          <w:r>
            <w:rPr>
              <w:rFonts w:hint="eastAsia" w:ascii="华文中宋" w:hAnsi="华文中宋" w:eastAsia="华文中宋"/>
              <w:spacing w:val="160"/>
              <w:szCs w:val="36"/>
              <w:highlight w:val="none"/>
            </w:rPr>
            <w:instrText xml:space="preserve"> HYPERLINK \l _Toc1038213515 </w:instrText>
          </w:r>
          <w:r>
            <w:rPr>
              <w:rFonts w:hint="eastAsia" w:ascii="华文中宋" w:hAnsi="华文中宋" w:eastAsia="华文中宋"/>
              <w:spacing w:val="160"/>
              <w:szCs w:val="36"/>
              <w:highlight w:val="none"/>
            </w:rPr>
            <w:fldChar w:fldCharType="separate"/>
          </w:r>
          <w:r>
            <w:rPr>
              <w:rFonts w:hint="eastAsia" w:ascii="黑体" w:hAnsi="黑体" w:eastAsia="黑体"/>
              <w:szCs w:val="28"/>
              <w:highlight w:val="none"/>
            </w:rPr>
            <w:t>第二节  评标方法及标准</w:t>
          </w:r>
          <w:r>
            <w:tab/>
          </w:r>
          <w:r>
            <w:fldChar w:fldCharType="begin"/>
          </w:r>
          <w:r>
            <w:instrText xml:space="preserve"> PAGEREF _Toc1038213515 \h </w:instrText>
          </w:r>
          <w:r>
            <w:fldChar w:fldCharType="separate"/>
          </w:r>
          <w:r>
            <w:t>33</w:t>
          </w:r>
          <w:r>
            <w:fldChar w:fldCharType="end"/>
          </w:r>
          <w:r>
            <w:rPr>
              <w:rFonts w:hint="eastAsia" w:ascii="华文中宋" w:hAnsi="华文中宋" w:eastAsia="华文中宋"/>
              <w:color w:val="auto"/>
              <w:spacing w:val="160"/>
              <w:szCs w:val="36"/>
              <w:highlight w:val="none"/>
            </w:rPr>
            <w:fldChar w:fldCharType="end"/>
          </w:r>
        </w:p>
        <w:p w14:paraId="6947E428">
          <w:pPr>
            <w:pStyle w:val="36"/>
            <w:tabs>
              <w:tab w:val="right" w:leader="dot" w:pos="8306"/>
            </w:tabs>
          </w:pPr>
          <w:r>
            <w:rPr>
              <w:rFonts w:hint="eastAsia" w:ascii="华文中宋" w:hAnsi="华文中宋" w:eastAsia="华文中宋"/>
              <w:color w:val="auto"/>
              <w:spacing w:val="160"/>
              <w:szCs w:val="36"/>
              <w:highlight w:val="none"/>
            </w:rPr>
            <w:fldChar w:fldCharType="begin"/>
          </w:r>
          <w:r>
            <w:rPr>
              <w:rFonts w:hint="eastAsia" w:ascii="华文中宋" w:hAnsi="华文中宋" w:eastAsia="华文中宋"/>
              <w:spacing w:val="160"/>
              <w:szCs w:val="36"/>
              <w:highlight w:val="none"/>
            </w:rPr>
            <w:instrText xml:space="preserve"> HYPERLINK \l _Toc130264803 </w:instrText>
          </w:r>
          <w:r>
            <w:rPr>
              <w:rFonts w:hint="eastAsia" w:ascii="华文中宋" w:hAnsi="华文中宋" w:eastAsia="华文中宋"/>
              <w:spacing w:val="160"/>
              <w:szCs w:val="36"/>
              <w:highlight w:val="none"/>
            </w:rPr>
            <w:fldChar w:fldCharType="separate"/>
          </w:r>
          <w:r>
            <w:rPr>
              <w:rFonts w:hint="eastAsia" w:ascii="黑体" w:hAnsi="华文中宋" w:eastAsia="黑体"/>
              <w:szCs w:val="28"/>
              <w:highlight w:val="none"/>
            </w:rPr>
            <w:t>第三节 投标文件的符合性审查</w:t>
          </w:r>
          <w:r>
            <w:tab/>
          </w:r>
          <w:r>
            <w:fldChar w:fldCharType="begin"/>
          </w:r>
          <w:r>
            <w:instrText xml:space="preserve"> PAGEREF _Toc130264803 \h </w:instrText>
          </w:r>
          <w:r>
            <w:fldChar w:fldCharType="separate"/>
          </w:r>
          <w:r>
            <w:t>37</w:t>
          </w:r>
          <w:r>
            <w:fldChar w:fldCharType="end"/>
          </w:r>
          <w:r>
            <w:rPr>
              <w:rFonts w:hint="eastAsia" w:ascii="华文中宋" w:hAnsi="华文中宋" w:eastAsia="华文中宋"/>
              <w:color w:val="auto"/>
              <w:spacing w:val="160"/>
              <w:szCs w:val="36"/>
              <w:highlight w:val="none"/>
            </w:rPr>
            <w:fldChar w:fldCharType="end"/>
          </w:r>
        </w:p>
        <w:p w14:paraId="6444CC5A">
          <w:pPr>
            <w:pStyle w:val="36"/>
            <w:tabs>
              <w:tab w:val="right" w:leader="dot" w:pos="8306"/>
            </w:tabs>
          </w:pPr>
          <w:r>
            <w:rPr>
              <w:rFonts w:hint="eastAsia" w:ascii="华文中宋" w:hAnsi="华文中宋" w:eastAsia="华文中宋"/>
              <w:color w:val="auto"/>
              <w:spacing w:val="160"/>
              <w:szCs w:val="36"/>
              <w:highlight w:val="none"/>
            </w:rPr>
            <w:fldChar w:fldCharType="begin"/>
          </w:r>
          <w:r>
            <w:rPr>
              <w:rFonts w:hint="eastAsia" w:ascii="华文中宋" w:hAnsi="华文中宋" w:eastAsia="华文中宋"/>
              <w:spacing w:val="160"/>
              <w:szCs w:val="36"/>
              <w:highlight w:val="none"/>
            </w:rPr>
            <w:instrText xml:space="preserve"> HYPERLINK \l _Toc314471737 </w:instrText>
          </w:r>
          <w:r>
            <w:rPr>
              <w:rFonts w:hint="eastAsia" w:ascii="华文中宋" w:hAnsi="华文中宋" w:eastAsia="华文中宋"/>
              <w:spacing w:val="160"/>
              <w:szCs w:val="36"/>
              <w:highlight w:val="none"/>
            </w:rPr>
            <w:fldChar w:fldCharType="separate"/>
          </w:r>
          <w:r>
            <w:rPr>
              <w:rFonts w:hint="eastAsia" w:ascii="黑体" w:hAnsi="华文中宋" w:eastAsia="黑体"/>
              <w:szCs w:val="28"/>
              <w:highlight w:val="none"/>
            </w:rPr>
            <w:t>第四节 投标文件的比较与评价（综合评分法）</w:t>
          </w:r>
          <w:r>
            <w:tab/>
          </w:r>
          <w:r>
            <w:fldChar w:fldCharType="begin"/>
          </w:r>
          <w:r>
            <w:instrText xml:space="preserve"> PAGEREF _Toc314471737 \h </w:instrText>
          </w:r>
          <w:r>
            <w:fldChar w:fldCharType="separate"/>
          </w:r>
          <w:r>
            <w:t>41</w:t>
          </w:r>
          <w:r>
            <w:fldChar w:fldCharType="end"/>
          </w:r>
          <w:r>
            <w:rPr>
              <w:rFonts w:hint="eastAsia" w:ascii="华文中宋" w:hAnsi="华文中宋" w:eastAsia="华文中宋"/>
              <w:color w:val="auto"/>
              <w:spacing w:val="160"/>
              <w:szCs w:val="36"/>
              <w:highlight w:val="none"/>
            </w:rPr>
            <w:fldChar w:fldCharType="end"/>
          </w:r>
        </w:p>
        <w:p w14:paraId="5A29ABBB">
          <w:pPr>
            <w:pStyle w:val="30"/>
            <w:tabs>
              <w:tab w:val="right" w:leader="dot" w:pos="8306"/>
              <w:tab w:val="clear" w:pos="1680"/>
              <w:tab w:val="clear" w:pos="8834"/>
            </w:tabs>
          </w:pPr>
          <w:r>
            <w:rPr>
              <w:rFonts w:hint="eastAsia" w:ascii="华文中宋" w:hAnsi="华文中宋" w:eastAsia="华文中宋"/>
              <w:color w:val="auto"/>
              <w:spacing w:val="160"/>
              <w:szCs w:val="36"/>
              <w:highlight w:val="none"/>
            </w:rPr>
            <w:fldChar w:fldCharType="begin"/>
          </w:r>
          <w:r>
            <w:rPr>
              <w:rFonts w:hint="eastAsia" w:ascii="华文中宋" w:hAnsi="华文中宋" w:eastAsia="华文中宋"/>
              <w:spacing w:val="160"/>
              <w:szCs w:val="36"/>
              <w:highlight w:val="none"/>
            </w:rPr>
            <w:instrText xml:space="preserve"> HYPERLINK \l _Toc751738634 </w:instrText>
          </w:r>
          <w:r>
            <w:rPr>
              <w:rFonts w:hint="eastAsia" w:ascii="华文中宋" w:hAnsi="华文中宋" w:eastAsia="华文中宋"/>
              <w:spacing w:val="160"/>
              <w:szCs w:val="36"/>
              <w:highlight w:val="none"/>
            </w:rPr>
            <w:fldChar w:fldCharType="separate"/>
          </w:r>
          <w:r>
            <w:rPr>
              <w:rFonts w:hint="eastAsia" w:ascii="黑体" w:hAnsi="华文中宋" w:eastAsia="黑体" w:cs="Courier New"/>
              <w:szCs w:val="32"/>
              <w:highlight w:val="none"/>
              <w:lang w:val="en-US" w:eastAsia="zh-CN"/>
            </w:rPr>
            <w:t xml:space="preserve">第五章 </w:t>
          </w:r>
          <w:r>
            <w:rPr>
              <w:rFonts w:hint="eastAsia" w:ascii="黑体" w:hAnsi="华文中宋" w:eastAsia="黑体" w:cs="Courier New"/>
              <w:szCs w:val="32"/>
              <w:highlight w:val="none"/>
            </w:rPr>
            <w:t xml:space="preserve"> 采购需求</w:t>
          </w:r>
          <w:r>
            <w:tab/>
          </w:r>
          <w:r>
            <w:fldChar w:fldCharType="begin"/>
          </w:r>
          <w:r>
            <w:instrText xml:space="preserve"> PAGEREF _Toc751738634 \h </w:instrText>
          </w:r>
          <w:r>
            <w:fldChar w:fldCharType="separate"/>
          </w:r>
          <w:r>
            <w:t>47</w:t>
          </w:r>
          <w:r>
            <w:fldChar w:fldCharType="end"/>
          </w:r>
          <w:r>
            <w:rPr>
              <w:rFonts w:hint="eastAsia" w:ascii="华文中宋" w:hAnsi="华文中宋" w:eastAsia="华文中宋"/>
              <w:color w:val="auto"/>
              <w:spacing w:val="160"/>
              <w:szCs w:val="36"/>
              <w:highlight w:val="none"/>
            </w:rPr>
            <w:fldChar w:fldCharType="end"/>
          </w:r>
        </w:p>
        <w:p w14:paraId="7821D0EC">
          <w:pPr>
            <w:pStyle w:val="36"/>
            <w:tabs>
              <w:tab w:val="right" w:leader="dot" w:pos="8306"/>
            </w:tabs>
          </w:pPr>
          <w:r>
            <w:rPr>
              <w:rFonts w:hint="eastAsia" w:ascii="华文中宋" w:hAnsi="华文中宋" w:eastAsia="华文中宋"/>
              <w:color w:val="auto"/>
              <w:spacing w:val="160"/>
              <w:szCs w:val="36"/>
              <w:highlight w:val="none"/>
            </w:rPr>
            <w:fldChar w:fldCharType="begin"/>
          </w:r>
          <w:r>
            <w:rPr>
              <w:rFonts w:hint="eastAsia" w:ascii="华文中宋" w:hAnsi="华文中宋" w:eastAsia="华文中宋"/>
              <w:spacing w:val="160"/>
              <w:szCs w:val="36"/>
              <w:highlight w:val="none"/>
            </w:rPr>
            <w:instrText xml:space="preserve"> HYPERLINK \l _Toc404876072 </w:instrText>
          </w:r>
          <w:r>
            <w:rPr>
              <w:rFonts w:hint="eastAsia" w:ascii="华文中宋" w:hAnsi="华文中宋" w:eastAsia="华文中宋"/>
              <w:spacing w:val="160"/>
              <w:szCs w:val="36"/>
              <w:highlight w:val="none"/>
            </w:rPr>
            <w:fldChar w:fldCharType="separate"/>
          </w:r>
          <w:r>
            <w:rPr>
              <w:rFonts w:hint="eastAsia" w:asciiTheme="majorEastAsia" w:hAnsiTheme="majorEastAsia" w:eastAsiaTheme="majorEastAsia" w:cstheme="majorEastAsia"/>
              <w:kern w:val="0"/>
              <w:szCs w:val="21"/>
              <w:highlight w:val="none"/>
              <w:lang w:bidi="ar"/>
            </w:rPr>
            <w:t>（</w:t>
          </w:r>
          <w:r>
            <w:rPr>
              <w:rFonts w:hint="eastAsia" w:asciiTheme="majorEastAsia" w:hAnsiTheme="majorEastAsia" w:eastAsiaTheme="majorEastAsia" w:cstheme="majorEastAsia"/>
              <w:kern w:val="0"/>
              <w:szCs w:val="21"/>
              <w:highlight w:val="none"/>
              <w:lang w:eastAsia="zh-CN" w:bidi="ar"/>
            </w:rPr>
            <w:t>一</w:t>
          </w:r>
          <w:r>
            <w:rPr>
              <w:rFonts w:hint="eastAsia" w:asciiTheme="majorEastAsia" w:hAnsiTheme="majorEastAsia" w:eastAsiaTheme="majorEastAsia" w:cstheme="majorEastAsia"/>
              <w:kern w:val="0"/>
              <w:szCs w:val="21"/>
              <w:highlight w:val="none"/>
              <w:lang w:bidi="ar"/>
            </w:rPr>
            <w:t>）采购项目预（概）算</w:t>
          </w:r>
          <w:r>
            <w:tab/>
          </w:r>
          <w:r>
            <w:fldChar w:fldCharType="begin"/>
          </w:r>
          <w:r>
            <w:instrText xml:space="preserve"> PAGEREF _Toc404876072 \h </w:instrText>
          </w:r>
          <w:r>
            <w:fldChar w:fldCharType="separate"/>
          </w:r>
          <w:r>
            <w:t>47</w:t>
          </w:r>
          <w:r>
            <w:fldChar w:fldCharType="end"/>
          </w:r>
          <w:r>
            <w:rPr>
              <w:rFonts w:hint="eastAsia" w:ascii="华文中宋" w:hAnsi="华文中宋" w:eastAsia="华文中宋"/>
              <w:color w:val="auto"/>
              <w:spacing w:val="160"/>
              <w:szCs w:val="36"/>
              <w:highlight w:val="none"/>
            </w:rPr>
            <w:fldChar w:fldCharType="end"/>
          </w:r>
        </w:p>
        <w:p w14:paraId="135F2B76">
          <w:pPr>
            <w:pStyle w:val="36"/>
            <w:tabs>
              <w:tab w:val="right" w:leader="dot" w:pos="8306"/>
            </w:tabs>
          </w:pPr>
          <w:r>
            <w:rPr>
              <w:rFonts w:hint="eastAsia" w:ascii="华文中宋" w:hAnsi="华文中宋" w:eastAsia="华文中宋"/>
              <w:color w:val="auto"/>
              <w:spacing w:val="160"/>
              <w:szCs w:val="36"/>
              <w:highlight w:val="none"/>
            </w:rPr>
            <w:fldChar w:fldCharType="begin"/>
          </w:r>
          <w:r>
            <w:rPr>
              <w:rFonts w:hint="eastAsia" w:ascii="华文中宋" w:hAnsi="华文中宋" w:eastAsia="华文中宋"/>
              <w:spacing w:val="160"/>
              <w:szCs w:val="36"/>
              <w:highlight w:val="none"/>
            </w:rPr>
            <w:instrText xml:space="preserve"> HYPERLINK \l _Toc1860868216 </w:instrText>
          </w:r>
          <w:r>
            <w:rPr>
              <w:rFonts w:hint="eastAsia" w:ascii="华文中宋" w:hAnsi="华文中宋" w:eastAsia="华文中宋"/>
              <w:spacing w:val="160"/>
              <w:szCs w:val="36"/>
              <w:highlight w:val="none"/>
            </w:rPr>
            <w:fldChar w:fldCharType="separate"/>
          </w:r>
          <w:r>
            <w:rPr>
              <w:rFonts w:hint="eastAsia" w:asciiTheme="majorEastAsia" w:hAnsiTheme="majorEastAsia" w:eastAsiaTheme="majorEastAsia" w:cstheme="majorEastAsia"/>
              <w:kern w:val="0"/>
              <w:szCs w:val="21"/>
              <w:highlight w:val="none"/>
              <w:lang w:bidi="ar"/>
            </w:rPr>
            <w:t>（</w:t>
          </w:r>
          <w:r>
            <w:rPr>
              <w:rFonts w:hint="eastAsia" w:asciiTheme="majorEastAsia" w:hAnsiTheme="majorEastAsia" w:eastAsiaTheme="majorEastAsia" w:cstheme="majorEastAsia"/>
              <w:kern w:val="0"/>
              <w:szCs w:val="21"/>
              <w:highlight w:val="none"/>
              <w:lang w:eastAsia="zh-CN" w:bidi="ar"/>
            </w:rPr>
            <w:t>二</w:t>
          </w:r>
          <w:r>
            <w:rPr>
              <w:rFonts w:hint="eastAsia" w:asciiTheme="majorEastAsia" w:hAnsiTheme="majorEastAsia" w:eastAsiaTheme="majorEastAsia" w:cstheme="majorEastAsia"/>
              <w:kern w:val="0"/>
              <w:szCs w:val="21"/>
              <w:highlight w:val="none"/>
              <w:lang w:bidi="ar"/>
            </w:rPr>
            <w:t>）采购标的汇总表</w:t>
          </w:r>
          <w:r>
            <w:tab/>
          </w:r>
          <w:r>
            <w:fldChar w:fldCharType="begin"/>
          </w:r>
          <w:r>
            <w:instrText xml:space="preserve"> PAGEREF _Toc1860868216 \h </w:instrText>
          </w:r>
          <w:r>
            <w:fldChar w:fldCharType="separate"/>
          </w:r>
          <w:r>
            <w:t>47</w:t>
          </w:r>
          <w:r>
            <w:fldChar w:fldCharType="end"/>
          </w:r>
          <w:r>
            <w:rPr>
              <w:rFonts w:hint="eastAsia" w:ascii="华文中宋" w:hAnsi="华文中宋" w:eastAsia="华文中宋"/>
              <w:color w:val="auto"/>
              <w:spacing w:val="160"/>
              <w:szCs w:val="36"/>
              <w:highlight w:val="none"/>
            </w:rPr>
            <w:fldChar w:fldCharType="end"/>
          </w:r>
        </w:p>
        <w:p w14:paraId="6D9B28E6">
          <w:pPr>
            <w:pStyle w:val="36"/>
            <w:tabs>
              <w:tab w:val="right" w:leader="dot" w:pos="8306"/>
            </w:tabs>
          </w:pPr>
          <w:r>
            <w:rPr>
              <w:rFonts w:hint="eastAsia" w:ascii="华文中宋" w:hAnsi="华文中宋" w:eastAsia="华文中宋"/>
              <w:color w:val="auto"/>
              <w:spacing w:val="160"/>
              <w:szCs w:val="36"/>
              <w:highlight w:val="none"/>
            </w:rPr>
            <w:fldChar w:fldCharType="begin"/>
          </w:r>
          <w:r>
            <w:rPr>
              <w:rFonts w:hint="eastAsia" w:ascii="华文中宋" w:hAnsi="华文中宋" w:eastAsia="华文中宋"/>
              <w:spacing w:val="160"/>
              <w:szCs w:val="36"/>
              <w:highlight w:val="none"/>
            </w:rPr>
            <w:instrText xml:space="preserve"> HYPERLINK \l _Toc661318052 </w:instrText>
          </w:r>
          <w:r>
            <w:rPr>
              <w:rFonts w:hint="eastAsia" w:ascii="华文中宋" w:hAnsi="华文中宋" w:eastAsia="华文中宋"/>
              <w:spacing w:val="160"/>
              <w:szCs w:val="36"/>
              <w:highlight w:val="none"/>
            </w:rPr>
            <w:fldChar w:fldCharType="separate"/>
          </w:r>
          <w:r>
            <w:rPr>
              <w:rFonts w:hint="eastAsia" w:asciiTheme="majorEastAsia" w:hAnsiTheme="majorEastAsia" w:eastAsiaTheme="majorEastAsia" w:cstheme="majorEastAsia"/>
              <w:kern w:val="0"/>
              <w:szCs w:val="21"/>
              <w:highlight w:val="none"/>
              <w:lang w:bidi="ar"/>
            </w:rPr>
            <w:t>（</w:t>
          </w:r>
          <w:r>
            <w:rPr>
              <w:rFonts w:hint="eastAsia" w:asciiTheme="majorEastAsia" w:hAnsiTheme="majorEastAsia" w:eastAsiaTheme="majorEastAsia" w:cstheme="majorEastAsia"/>
              <w:kern w:val="0"/>
              <w:szCs w:val="21"/>
              <w:highlight w:val="none"/>
              <w:lang w:eastAsia="zh-CN" w:bidi="ar"/>
            </w:rPr>
            <w:t>三</w:t>
          </w:r>
          <w:r>
            <w:rPr>
              <w:rFonts w:hint="eastAsia" w:asciiTheme="majorEastAsia" w:hAnsiTheme="majorEastAsia" w:eastAsiaTheme="majorEastAsia" w:cstheme="majorEastAsia"/>
              <w:kern w:val="0"/>
              <w:szCs w:val="21"/>
              <w:highlight w:val="none"/>
              <w:lang w:bidi="ar"/>
            </w:rPr>
            <w:t>）技术商务要求</w:t>
          </w:r>
          <w:r>
            <w:tab/>
          </w:r>
          <w:r>
            <w:fldChar w:fldCharType="begin"/>
          </w:r>
          <w:r>
            <w:instrText xml:space="preserve"> PAGEREF _Toc661318052 \h </w:instrText>
          </w:r>
          <w:r>
            <w:fldChar w:fldCharType="separate"/>
          </w:r>
          <w:r>
            <w:t>48</w:t>
          </w:r>
          <w:r>
            <w:fldChar w:fldCharType="end"/>
          </w:r>
          <w:r>
            <w:rPr>
              <w:rFonts w:hint="eastAsia" w:ascii="华文中宋" w:hAnsi="华文中宋" w:eastAsia="华文中宋"/>
              <w:color w:val="auto"/>
              <w:spacing w:val="160"/>
              <w:szCs w:val="36"/>
              <w:highlight w:val="none"/>
            </w:rPr>
            <w:fldChar w:fldCharType="end"/>
          </w:r>
        </w:p>
        <w:p w14:paraId="1E3E3573">
          <w:pPr>
            <w:pStyle w:val="36"/>
            <w:tabs>
              <w:tab w:val="right" w:pos="3200"/>
              <w:tab w:val="right" w:leader="dot" w:pos="8306"/>
            </w:tabs>
          </w:pPr>
          <w:r>
            <w:rPr>
              <w:rFonts w:hint="eastAsia" w:ascii="华文中宋" w:hAnsi="华文中宋" w:eastAsia="华文中宋"/>
              <w:color w:val="auto"/>
              <w:spacing w:val="160"/>
              <w:szCs w:val="36"/>
              <w:highlight w:val="none"/>
            </w:rPr>
            <w:fldChar w:fldCharType="begin"/>
          </w:r>
          <w:r>
            <w:rPr>
              <w:rFonts w:hint="eastAsia" w:ascii="华文中宋" w:hAnsi="华文中宋" w:eastAsia="华文中宋"/>
              <w:spacing w:val="160"/>
              <w:szCs w:val="36"/>
              <w:highlight w:val="none"/>
            </w:rPr>
            <w:instrText xml:space="preserve"> HYPERLINK \l _Toc1817913849 </w:instrText>
          </w:r>
          <w:r>
            <w:rPr>
              <w:rFonts w:hint="eastAsia" w:ascii="华文中宋" w:hAnsi="华文中宋" w:eastAsia="华文中宋"/>
              <w:spacing w:val="160"/>
              <w:szCs w:val="36"/>
              <w:highlight w:val="none"/>
            </w:rPr>
            <w:fldChar w:fldCharType="separate"/>
          </w:r>
          <w:r>
            <w:rPr>
              <w:rFonts w:hint="eastAsia" w:asciiTheme="majorEastAsia" w:hAnsiTheme="majorEastAsia" w:eastAsiaTheme="majorEastAsia" w:cstheme="majorEastAsia"/>
              <w:bCs/>
              <w:szCs w:val="21"/>
              <w:highlight w:val="none"/>
              <w:lang w:val="en-US" w:eastAsia="zh-CN"/>
            </w:rPr>
            <w:t>序号</w:t>
          </w:r>
          <w:r>
            <w:rPr>
              <w:rFonts w:hint="eastAsia" w:asciiTheme="majorEastAsia" w:hAnsiTheme="majorEastAsia" w:eastAsiaTheme="majorEastAsia" w:cstheme="majorEastAsia"/>
              <w:bCs/>
              <w:kern w:val="2"/>
              <w:szCs w:val="21"/>
              <w:highlight w:val="none"/>
              <w:lang w:val="en-US" w:eastAsia="zh-CN" w:bidi="ar-SA"/>
            </w:rPr>
            <w:t>1</w:t>
          </w:r>
          <w:r>
            <w:rPr>
              <w:rFonts w:hint="eastAsia" w:asciiTheme="majorEastAsia" w:hAnsiTheme="majorEastAsia" w:eastAsiaTheme="majorEastAsia" w:cstheme="majorEastAsia"/>
              <w:bCs/>
              <w:kern w:val="2"/>
              <w:szCs w:val="21"/>
              <w:highlight w:val="none"/>
              <w:lang w:val="en-US" w:eastAsia="zh-CN" w:bidi="ar-SA"/>
            </w:rPr>
            <w:tab/>
          </w:r>
          <w:r>
            <w:rPr>
              <w:rFonts w:hint="eastAsia" w:asciiTheme="majorEastAsia" w:hAnsiTheme="majorEastAsia" w:eastAsiaTheme="majorEastAsia" w:cstheme="majorEastAsia"/>
              <w:bCs/>
              <w:kern w:val="2"/>
              <w:szCs w:val="21"/>
              <w:highlight w:val="none"/>
              <w:lang w:val="en-US" w:eastAsia="zh-CN" w:bidi="ar-SA"/>
            </w:rPr>
            <w:t>便携式彩色多普勒超声诊断仪</w:t>
          </w:r>
          <w:r>
            <w:tab/>
          </w:r>
          <w:r>
            <w:fldChar w:fldCharType="begin"/>
          </w:r>
          <w:r>
            <w:instrText xml:space="preserve"> PAGEREF _Toc1817913849 \h </w:instrText>
          </w:r>
          <w:r>
            <w:fldChar w:fldCharType="separate"/>
          </w:r>
          <w:r>
            <w:t>48</w:t>
          </w:r>
          <w:r>
            <w:fldChar w:fldCharType="end"/>
          </w:r>
          <w:r>
            <w:rPr>
              <w:rFonts w:hint="eastAsia" w:ascii="华文中宋" w:hAnsi="华文中宋" w:eastAsia="华文中宋"/>
              <w:color w:val="auto"/>
              <w:spacing w:val="160"/>
              <w:szCs w:val="36"/>
              <w:highlight w:val="none"/>
            </w:rPr>
            <w:fldChar w:fldCharType="end"/>
          </w:r>
        </w:p>
        <w:p w14:paraId="072D9B4D">
          <w:pPr>
            <w:pStyle w:val="36"/>
            <w:tabs>
              <w:tab w:val="right" w:leader="dot" w:pos="8306"/>
            </w:tabs>
          </w:pPr>
          <w:r>
            <w:rPr>
              <w:rFonts w:hint="eastAsia" w:ascii="华文中宋" w:hAnsi="华文中宋" w:eastAsia="华文中宋"/>
              <w:color w:val="auto"/>
              <w:spacing w:val="160"/>
              <w:szCs w:val="36"/>
              <w:highlight w:val="none"/>
            </w:rPr>
            <w:fldChar w:fldCharType="begin"/>
          </w:r>
          <w:r>
            <w:rPr>
              <w:rFonts w:hint="eastAsia" w:ascii="华文中宋" w:hAnsi="华文中宋" w:eastAsia="华文中宋"/>
              <w:spacing w:val="160"/>
              <w:szCs w:val="36"/>
              <w:highlight w:val="none"/>
            </w:rPr>
            <w:instrText xml:space="preserve"> HYPERLINK \l _Toc1328702630 </w:instrText>
          </w:r>
          <w:r>
            <w:rPr>
              <w:rFonts w:hint="eastAsia" w:ascii="华文中宋" w:hAnsi="华文中宋" w:eastAsia="华文中宋"/>
              <w:spacing w:val="160"/>
              <w:szCs w:val="36"/>
              <w:highlight w:val="none"/>
            </w:rPr>
            <w:fldChar w:fldCharType="separate"/>
          </w:r>
          <w:r>
            <w:rPr>
              <w:rFonts w:hint="eastAsia" w:ascii="宋体" w:hAnsi="宋体" w:eastAsia="宋体" w:cs="宋体"/>
              <w:bCs/>
              <w:szCs w:val="21"/>
              <w:highlight w:val="none"/>
              <w:lang w:val="en-US" w:eastAsia="zh-CN"/>
            </w:rPr>
            <w:t>序号</w:t>
          </w:r>
          <w:r>
            <w:rPr>
              <w:rFonts w:hint="eastAsia" w:hAnsi="宋体" w:cs="宋体"/>
              <w:bCs/>
              <w:kern w:val="2"/>
              <w:szCs w:val="21"/>
              <w:highlight w:val="none"/>
              <w:lang w:val="en-US" w:eastAsia="zh-CN" w:bidi="ar-SA"/>
            </w:rPr>
            <w:t>2</w:t>
          </w:r>
          <w:r>
            <w:rPr>
              <w:rFonts w:hint="eastAsia" w:ascii="宋体" w:hAnsi="宋体" w:eastAsia="宋体" w:cs="宋体"/>
              <w:bCs/>
              <w:kern w:val="2"/>
              <w:szCs w:val="21"/>
              <w:highlight w:val="none"/>
              <w:lang w:val="en-US" w:eastAsia="zh-CN" w:bidi="ar-SA"/>
            </w:rPr>
            <w:t>便携式彩色多普勒超声诊断仪</w:t>
          </w:r>
          <w:r>
            <w:tab/>
          </w:r>
          <w:r>
            <w:fldChar w:fldCharType="begin"/>
          </w:r>
          <w:r>
            <w:instrText xml:space="preserve"> PAGEREF _Toc1328702630 \h </w:instrText>
          </w:r>
          <w:r>
            <w:fldChar w:fldCharType="separate"/>
          </w:r>
          <w:r>
            <w:t>51</w:t>
          </w:r>
          <w:r>
            <w:fldChar w:fldCharType="end"/>
          </w:r>
          <w:r>
            <w:rPr>
              <w:rFonts w:hint="eastAsia" w:ascii="华文中宋" w:hAnsi="华文中宋" w:eastAsia="华文中宋"/>
              <w:color w:val="auto"/>
              <w:spacing w:val="160"/>
              <w:szCs w:val="36"/>
              <w:highlight w:val="none"/>
            </w:rPr>
            <w:fldChar w:fldCharType="end"/>
          </w:r>
        </w:p>
        <w:p w14:paraId="72A0868F">
          <w:pPr>
            <w:pStyle w:val="36"/>
            <w:tabs>
              <w:tab w:val="right" w:pos="3600"/>
              <w:tab w:val="right" w:leader="dot" w:pos="8306"/>
            </w:tabs>
          </w:pPr>
          <w:r>
            <w:rPr>
              <w:rFonts w:hint="eastAsia" w:ascii="华文中宋" w:hAnsi="华文中宋" w:eastAsia="华文中宋"/>
              <w:color w:val="auto"/>
              <w:spacing w:val="160"/>
              <w:szCs w:val="36"/>
              <w:highlight w:val="none"/>
            </w:rPr>
            <w:fldChar w:fldCharType="begin"/>
          </w:r>
          <w:r>
            <w:rPr>
              <w:rFonts w:hint="eastAsia" w:ascii="华文中宋" w:hAnsi="华文中宋" w:eastAsia="华文中宋"/>
              <w:spacing w:val="160"/>
              <w:szCs w:val="36"/>
              <w:highlight w:val="none"/>
            </w:rPr>
            <w:instrText xml:space="preserve"> HYPERLINK \l _Toc413062122 </w:instrText>
          </w:r>
          <w:r>
            <w:rPr>
              <w:rFonts w:hint="eastAsia" w:ascii="华文中宋" w:hAnsi="华文中宋" w:eastAsia="华文中宋"/>
              <w:spacing w:val="160"/>
              <w:szCs w:val="36"/>
              <w:highlight w:val="none"/>
            </w:rPr>
            <w:fldChar w:fldCharType="separate"/>
          </w:r>
          <w:r>
            <w:rPr>
              <w:rFonts w:hint="eastAsia" w:ascii="宋体" w:hAnsi="宋体" w:eastAsia="宋体" w:cs="宋体"/>
              <w:bCs/>
              <w:szCs w:val="21"/>
              <w:highlight w:val="none"/>
              <w:lang w:val="en-US" w:eastAsia="zh-CN"/>
            </w:rPr>
            <w:t>序号</w:t>
          </w:r>
          <w:r>
            <w:rPr>
              <w:rFonts w:hint="eastAsia" w:hAnsi="宋体" w:cs="宋体"/>
              <w:bCs/>
              <w:kern w:val="2"/>
              <w:szCs w:val="21"/>
              <w:highlight w:val="none"/>
              <w:lang w:val="en-US" w:eastAsia="zh-CN" w:bidi="ar-SA"/>
            </w:rPr>
            <w:t>3</w:t>
          </w:r>
          <w:r>
            <w:rPr>
              <w:rFonts w:hint="eastAsia" w:ascii="宋体" w:hAnsi="宋体" w:eastAsia="宋体" w:cs="宋体"/>
              <w:bCs/>
              <w:kern w:val="2"/>
              <w:szCs w:val="21"/>
              <w:highlight w:val="none"/>
              <w:lang w:val="en-US" w:eastAsia="zh-CN" w:bidi="ar-SA"/>
            </w:rPr>
            <w:tab/>
          </w:r>
          <w:r>
            <w:rPr>
              <w:rFonts w:hint="eastAsia" w:ascii="宋体" w:hAnsi="宋体" w:eastAsia="宋体" w:cs="宋体"/>
              <w:bCs/>
              <w:kern w:val="2"/>
              <w:szCs w:val="21"/>
              <w:highlight w:val="none"/>
              <w:lang w:val="en-US" w:eastAsia="zh-CN" w:bidi="ar-SA"/>
            </w:rPr>
            <w:t>便携式彩色多普勒超声诊断仪</w:t>
          </w:r>
          <w:r>
            <w:tab/>
          </w:r>
          <w:r>
            <w:fldChar w:fldCharType="begin"/>
          </w:r>
          <w:r>
            <w:instrText xml:space="preserve"> PAGEREF _Toc413062122 \h </w:instrText>
          </w:r>
          <w:r>
            <w:fldChar w:fldCharType="separate"/>
          </w:r>
          <w:r>
            <w:t>53</w:t>
          </w:r>
          <w:r>
            <w:fldChar w:fldCharType="end"/>
          </w:r>
          <w:r>
            <w:rPr>
              <w:rFonts w:hint="eastAsia" w:ascii="华文中宋" w:hAnsi="华文中宋" w:eastAsia="华文中宋"/>
              <w:color w:val="auto"/>
              <w:spacing w:val="160"/>
              <w:szCs w:val="36"/>
              <w:highlight w:val="none"/>
            </w:rPr>
            <w:fldChar w:fldCharType="end"/>
          </w:r>
        </w:p>
        <w:p w14:paraId="5598FC1B">
          <w:pPr>
            <w:pStyle w:val="36"/>
            <w:tabs>
              <w:tab w:val="right" w:leader="dot" w:pos="8306"/>
            </w:tabs>
          </w:pPr>
          <w:r>
            <w:rPr>
              <w:rFonts w:hint="eastAsia" w:ascii="华文中宋" w:hAnsi="华文中宋" w:eastAsia="华文中宋"/>
              <w:color w:val="auto"/>
              <w:spacing w:val="160"/>
              <w:szCs w:val="36"/>
              <w:highlight w:val="none"/>
            </w:rPr>
            <w:fldChar w:fldCharType="begin"/>
          </w:r>
          <w:r>
            <w:rPr>
              <w:rFonts w:hint="eastAsia" w:ascii="华文中宋" w:hAnsi="华文中宋" w:eastAsia="华文中宋"/>
              <w:spacing w:val="160"/>
              <w:szCs w:val="36"/>
              <w:highlight w:val="none"/>
            </w:rPr>
            <w:instrText xml:space="preserve"> HYPERLINK \l _Toc1561903132 </w:instrText>
          </w:r>
          <w:r>
            <w:rPr>
              <w:rFonts w:hint="eastAsia" w:ascii="华文中宋" w:hAnsi="华文中宋" w:eastAsia="华文中宋"/>
              <w:spacing w:val="160"/>
              <w:szCs w:val="36"/>
              <w:highlight w:val="none"/>
            </w:rPr>
            <w:fldChar w:fldCharType="separate"/>
          </w:r>
          <w:r>
            <w:rPr>
              <w:rFonts w:hint="eastAsia" w:ascii="宋体" w:hAnsi="宋体" w:eastAsia="宋体" w:cs="宋体"/>
              <w:bCs/>
              <w:szCs w:val="21"/>
              <w:highlight w:val="none"/>
              <w:lang w:val="en-US" w:eastAsia="zh-CN"/>
            </w:rPr>
            <w:t>序号</w:t>
          </w:r>
          <w:r>
            <w:rPr>
              <w:rFonts w:hint="eastAsia" w:hAnsi="宋体" w:cs="宋体"/>
              <w:bCs/>
              <w:kern w:val="2"/>
              <w:szCs w:val="21"/>
              <w:highlight w:val="none"/>
              <w:lang w:val="en-US" w:eastAsia="zh-CN" w:bidi="ar-SA"/>
            </w:rPr>
            <w:t>4</w:t>
          </w:r>
          <w:r>
            <w:rPr>
              <w:rFonts w:hint="eastAsia" w:ascii="宋体" w:hAnsi="宋体" w:eastAsia="宋体" w:cs="宋体"/>
              <w:bCs/>
              <w:kern w:val="2"/>
              <w:szCs w:val="21"/>
              <w:highlight w:val="none"/>
              <w:lang w:val="en-US" w:eastAsia="zh-CN" w:bidi="ar-SA"/>
            </w:rPr>
            <w:t>便携式彩色多普勒超声诊断仪（心脏用）</w:t>
          </w:r>
          <w:r>
            <w:tab/>
          </w:r>
          <w:r>
            <w:fldChar w:fldCharType="begin"/>
          </w:r>
          <w:r>
            <w:instrText xml:space="preserve"> PAGEREF _Toc1561903132 \h </w:instrText>
          </w:r>
          <w:r>
            <w:fldChar w:fldCharType="separate"/>
          </w:r>
          <w:r>
            <w:t>56</w:t>
          </w:r>
          <w:r>
            <w:fldChar w:fldCharType="end"/>
          </w:r>
          <w:r>
            <w:rPr>
              <w:rFonts w:hint="eastAsia" w:ascii="华文中宋" w:hAnsi="华文中宋" w:eastAsia="华文中宋"/>
              <w:color w:val="auto"/>
              <w:spacing w:val="160"/>
              <w:szCs w:val="36"/>
              <w:highlight w:val="none"/>
            </w:rPr>
            <w:fldChar w:fldCharType="end"/>
          </w:r>
        </w:p>
        <w:p w14:paraId="33D90D6A">
          <w:pPr>
            <w:pStyle w:val="36"/>
            <w:tabs>
              <w:tab w:val="right" w:leader="dot" w:pos="8306"/>
            </w:tabs>
          </w:pPr>
          <w:r>
            <w:rPr>
              <w:rFonts w:hint="eastAsia" w:ascii="华文中宋" w:hAnsi="华文中宋" w:eastAsia="华文中宋"/>
              <w:color w:val="auto"/>
              <w:spacing w:val="160"/>
              <w:szCs w:val="36"/>
              <w:highlight w:val="none"/>
            </w:rPr>
            <w:fldChar w:fldCharType="begin"/>
          </w:r>
          <w:r>
            <w:rPr>
              <w:rFonts w:hint="eastAsia" w:ascii="华文中宋" w:hAnsi="华文中宋" w:eastAsia="华文中宋"/>
              <w:spacing w:val="160"/>
              <w:szCs w:val="36"/>
              <w:highlight w:val="none"/>
            </w:rPr>
            <w:instrText xml:space="preserve"> HYPERLINK \l _Toc2096623660 </w:instrText>
          </w:r>
          <w:r>
            <w:rPr>
              <w:rFonts w:hint="eastAsia" w:ascii="华文中宋" w:hAnsi="华文中宋" w:eastAsia="华文中宋"/>
              <w:spacing w:val="160"/>
              <w:szCs w:val="36"/>
              <w:highlight w:val="none"/>
            </w:rPr>
            <w:fldChar w:fldCharType="separate"/>
          </w:r>
          <w:r>
            <w:rPr>
              <w:rFonts w:hint="eastAsia" w:ascii="宋体" w:hAnsi="宋体" w:eastAsia="宋体" w:cs="宋体"/>
              <w:bCs/>
              <w:szCs w:val="21"/>
              <w:highlight w:val="none"/>
              <w:lang w:val="en-US" w:eastAsia="zh-CN"/>
            </w:rPr>
            <w:t>序号</w:t>
          </w:r>
          <w:r>
            <w:rPr>
              <w:rFonts w:hint="eastAsia" w:hAnsi="宋体" w:cs="宋体"/>
              <w:bCs/>
              <w:kern w:val="2"/>
              <w:szCs w:val="21"/>
              <w:highlight w:val="none"/>
              <w:lang w:val="en-US" w:eastAsia="zh-CN" w:bidi="ar-SA"/>
            </w:rPr>
            <w:t>5</w:t>
          </w:r>
          <w:r>
            <w:rPr>
              <w:rFonts w:hint="eastAsia" w:ascii="宋体" w:hAnsi="宋体" w:eastAsia="宋体" w:cs="宋体"/>
              <w:bCs/>
              <w:kern w:val="2"/>
              <w:szCs w:val="21"/>
              <w:highlight w:val="none"/>
              <w:lang w:val="en-US" w:eastAsia="zh-CN" w:bidi="ar-SA"/>
            </w:rPr>
            <w:t>便携式彩色多普勒超声诊断仪</w:t>
          </w:r>
          <w:r>
            <w:tab/>
          </w:r>
          <w:r>
            <w:fldChar w:fldCharType="begin"/>
          </w:r>
          <w:r>
            <w:instrText xml:space="preserve"> PAGEREF _Toc2096623660 \h </w:instrText>
          </w:r>
          <w:r>
            <w:fldChar w:fldCharType="separate"/>
          </w:r>
          <w:r>
            <w:t>61</w:t>
          </w:r>
          <w:r>
            <w:fldChar w:fldCharType="end"/>
          </w:r>
          <w:r>
            <w:rPr>
              <w:rFonts w:hint="eastAsia" w:ascii="华文中宋" w:hAnsi="华文中宋" w:eastAsia="华文中宋"/>
              <w:color w:val="auto"/>
              <w:spacing w:val="160"/>
              <w:szCs w:val="36"/>
              <w:highlight w:val="none"/>
            </w:rPr>
            <w:fldChar w:fldCharType="end"/>
          </w:r>
        </w:p>
        <w:p w14:paraId="0DB47DFA">
          <w:pPr>
            <w:pStyle w:val="36"/>
            <w:tabs>
              <w:tab w:val="right" w:leader="dot" w:pos="8306"/>
            </w:tabs>
          </w:pPr>
          <w:r>
            <w:rPr>
              <w:rFonts w:hint="eastAsia" w:ascii="华文中宋" w:hAnsi="华文中宋" w:eastAsia="华文中宋"/>
              <w:color w:val="auto"/>
              <w:spacing w:val="160"/>
              <w:szCs w:val="36"/>
              <w:highlight w:val="none"/>
            </w:rPr>
            <w:fldChar w:fldCharType="begin"/>
          </w:r>
          <w:r>
            <w:rPr>
              <w:rFonts w:hint="eastAsia" w:ascii="华文中宋" w:hAnsi="华文中宋" w:eastAsia="华文中宋"/>
              <w:spacing w:val="160"/>
              <w:szCs w:val="36"/>
              <w:highlight w:val="none"/>
            </w:rPr>
            <w:instrText xml:space="preserve"> HYPERLINK \l _Toc1316121527 </w:instrText>
          </w:r>
          <w:r>
            <w:rPr>
              <w:rFonts w:hint="eastAsia" w:ascii="华文中宋" w:hAnsi="华文中宋" w:eastAsia="华文中宋"/>
              <w:spacing w:val="160"/>
              <w:szCs w:val="36"/>
              <w:highlight w:val="none"/>
            </w:rPr>
            <w:fldChar w:fldCharType="separate"/>
          </w:r>
          <w:r>
            <w:rPr>
              <w:rFonts w:hint="eastAsia" w:ascii="宋体" w:hAnsi="宋体" w:eastAsia="宋体" w:cs="宋体"/>
              <w:bCs/>
              <w:szCs w:val="21"/>
              <w:highlight w:val="none"/>
              <w:lang w:val="en-US" w:eastAsia="zh-CN"/>
            </w:rPr>
            <w:t>序号</w:t>
          </w:r>
          <w:r>
            <w:rPr>
              <w:rFonts w:hint="eastAsia" w:hAnsi="宋体" w:cs="宋体"/>
              <w:bCs/>
              <w:kern w:val="2"/>
              <w:szCs w:val="21"/>
              <w:highlight w:val="none"/>
              <w:lang w:val="en-US" w:eastAsia="zh-CN" w:bidi="ar-SA"/>
            </w:rPr>
            <w:t>6</w:t>
          </w:r>
          <w:r>
            <w:rPr>
              <w:rFonts w:hint="eastAsia" w:ascii="宋体" w:hAnsi="宋体" w:eastAsia="宋体" w:cs="宋体"/>
              <w:bCs/>
              <w:kern w:val="2"/>
              <w:szCs w:val="21"/>
              <w:highlight w:val="none"/>
              <w:lang w:val="en-US" w:eastAsia="zh-CN" w:bidi="ar-SA"/>
            </w:rPr>
            <w:t>便携式彩色多普勒超声诊断仪</w:t>
          </w:r>
          <w:r>
            <w:tab/>
          </w:r>
          <w:r>
            <w:fldChar w:fldCharType="begin"/>
          </w:r>
          <w:r>
            <w:instrText xml:space="preserve"> PAGEREF _Toc1316121527 \h </w:instrText>
          </w:r>
          <w:r>
            <w:fldChar w:fldCharType="separate"/>
          </w:r>
          <w:r>
            <w:t>63</w:t>
          </w:r>
          <w:r>
            <w:fldChar w:fldCharType="end"/>
          </w:r>
          <w:r>
            <w:rPr>
              <w:rFonts w:hint="eastAsia" w:ascii="华文中宋" w:hAnsi="华文中宋" w:eastAsia="华文中宋"/>
              <w:color w:val="auto"/>
              <w:spacing w:val="160"/>
              <w:szCs w:val="36"/>
              <w:highlight w:val="none"/>
            </w:rPr>
            <w:fldChar w:fldCharType="end"/>
          </w:r>
        </w:p>
        <w:p w14:paraId="6C0582A2">
          <w:pPr>
            <w:pStyle w:val="30"/>
            <w:tabs>
              <w:tab w:val="right" w:leader="dot" w:pos="8306"/>
              <w:tab w:val="clear" w:pos="1680"/>
              <w:tab w:val="clear" w:pos="8834"/>
            </w:tabs>
          </w:pPr>
          <w:r>
            <w:rPr>
              <w:rFonts w:hint="eastAsia" w:ascii="华文中宋" w:hAnsi="华文中宋" w:eastAsia="华文中宋"/>
              <w:color w:val="auto"/>
              <w:spacing w:val="160"/>
              <w:szCs w:val="36"/>
              <w:highlight w:val="none"/>
            </w:rPr>
            <w:fldChar w:fldCharType="begin"/>
          </w:r>
          <w:r>
            <w:rPr>
              <w:rFonts w:hint="eastAsia" w:ascii="华文中宋" w:hAnsi="华文中宋" w:eastAsia="华文中宋"/>
              <w:spacing w:val="160"/>
              <w:szCs w:val="36"/>
              <w:highlight w:val="none"/>
            </w:rPr>
            <w:instrText xml:space="preserve"> HYPERLINK \l _Toc689282396 </w:instrText>
          </w:r>
          <w:r>
            <w:rPr>
              <w:rFonts w:hint="eastAsia" w:ascii="华文中宋" w:hAnsi="华文中宋" w:eastAsia="华文中宋"/>
              <w:spacing w:val="160"/>
              <w:szCs w:val="36"/>
              <w:highlight w:val="none"/>
            </w:rPr>
            <w:fldChar w:fldCharType="separate"/>
          </w:r>
          <w:r>
            <w:rPr>
              <w:rFonts w:hint="eastAsia" w:ascii="黑体" w:hAnsi="华文中宋" w:eastAsia="黑体"/>
              <w:szCs w:val="32"/>
              <w:highlight w:val="none"/>
            </w:rPr>
            <w:t>第六章 政府采购合同</w:t>
          </w:r>
          <w:r>
            <w:tab/>
          </w:r>
          <w:r>
            <w:fldChar w:fldCharType="begin"/>
          </w:r>
          <w:r>
            <w:instrText xml:space="preserve"> PAGEREF _Toc689282396 \h </w:instrText>
          </w:r>
          <w:r>
            <w:fldChar w:fldCharType="separate"/>
          </w:r>
          <w:r>
            <w:t>67</w:t>
          </w:r>
          <w:r>
            <w:fldChar w:fldCharType="end"/>
          </w:r>
          <w:r>
            <w:rPr>
              <w:rFonts w:hint="eastAsia" w:ascii="华文中宋" w:hAnsi="华文中宋" w:eastAsia="华文中宋"/>
              <w:color w:val="auto"/>
              <w:spacing w:val="160"/>
              <w:szCs w:val="36"/>
              <w:highlight w:val="none"/>
            </w:rPr>
            <w:fldChar w:fldCharType="end"/>
          </w:r>
        </w:p>
        <w:p w14:paraId="55963998">
          <w:pPr>
            <w:pStyle w:val="36"/>
            <w:tabs>
              <w:tab w:val="right" w:leader="dot" w:pos="8306"/>
            </w:tabs>
          </w:pPr>
          <w:r>
            <w:rPr>
              <w:rFonts w:hint="eastAsia" w:ascii="华文中宋" w:hAnsi="华文中宋" w:eastAsia="华文中宋"/>
              <w:color w:val="auto"/>
              <w:spacing w:val="160"/>
              <w:szCs w:val="36"/>
              <w:highlight w:val="none"/>
            </w:rPr>
            <w:fldChar w:fldCharType="begin"/>
          </w:r>
          <w:r>
            <w:rPr>
              <w:rFonts w:hint="eastAsia" w:ascii="华文中宋" w:hAnsi="华文中宋" w:eastAsia="华文中宋"/>
              <w:spacing w:val="160"/>
              <w:szCs w:val="36"/>
              <w:highlight w:val="none"/>
            </w:rPr>
            <w:instrText xml:space="preserve"> HYPERLINK \l _Toc287979694 </w:instrText>
          </w:r>
          <w:r>
            <w:rPr>
              <w:rFonts w:hint="eastAsia" w:ascii="华文中宋" w:hAnsi="华文中宋" w:eastAsia="华文中宋"/>
              <w:spacing w:val="160"/>
              <w:szCs w:val="36"/>
              <w:highlight w:val="none"/>
            </w:rPr>
            <w:fldChar w:fldCharType="separate"/>
          </w:r>
          <w:r>
            <w:rPr>
              <w:rFonts w:hint="eastAsia" w:ascii="黑体" w:hAnsi="华文中宋" w:eastAsia="黑体"/>
              <w:szCs w:val="28"/>
              <w:highlight w:val="none"/>
            </w:rPr>
            <w:t xml:space="preserve">第一节 </w:t>
          </w:r>
          <w:r>
            <w:rPr>
              <w:rFonts w:hint="eastAsia" w:ascii="宋体" w:hAnsi="宋体" w:cs="黑体"/>
              <w:highlight w:val="none"/>
            </w:rPr>
            <w:t xml:space="preserve"> 政府采购合同协议书</w:t>
          </w:r>
          <w:r>
            <w:tab/>
          </w:r>
          <w:r>
            <w:fldChar w:fldCharType="begin"/>
          </w:r>
          <w:r>
            <w:instrText xml:space="preserve"> PAGEREF _Toc287979694 \h </w:instrText>
          </w:r>
          <w:r>
            <w:fldChar w:fldCharType="separate"/>
          </w:r>
          <w:r>
            <w:t>67</w:t>
          </w:r>
          <w:r>
            <w:fldChar w:fldCharType="end"/>
          </w:r>
          <w:r>
            <w:rPr>
              <w:rFonts w:hint="eastAsia" w:ascii="华文中宋" w:hAnsi="华文中宋" w:eastAsia="华文中宋"/>
              <w:color w:val="auto"/>
              <w:spacing w:val="160"/>
              <w:szCs w:val="36"/>
              <w:highlight w:val="none"/>
            </w:rPr>
            <w:fldChar w:fldCharType="end"/>
          </w:r>
        </w:p>
        <w:p w14:paraId="6BA894B0">
          <w:pPr>
            <w:pStyle w:val="36"/>
            <w:tabs>
              <w:tab w:val="right" w:leader="dot" w:pos="8306"/>
            </w:tabs>
          </w:pPr>
          <w:r>
            <w:rPr>
              <w:rFonts w:hint="eastAsia" w:ascii="华文中宋" w:hAnsi="华文中宋" w:eastAsia="华文中宋"/>
              <w:color w:val="auto"/>
              <w:spacing w:val="160"/>
              <w:szCs w:val="36"/>
              <w:highlight w:val="none"/>
            </w:rPr>
            <w:fldChar w:fldCharType="begin"/>
          </w:r>
          <w:r>
            <w:rPr>
              <w:rFonts w:hint="eastAsia" w:ascii="华文中宋" w:hAnsi="华文中宋" w:eastAsia="华文中宋"/>
              <w:spacing w:val="160"/>
              <w:szCs w:val="36"/>
              <w:highlight w:val="none"/>
            </w:rPr>
            <w:instrText xml:space="preserve"> HYPERLINK \l _Toc595173977 </w:instrText>
          </w:r>
          <w:r>
            <w:rPr>
              <w:rFonts w:hint="eastAsia" w:ascii="华文中宋" w:hAnsi="华文中宋" w:eastAsia="华文中宋"/>
              <w:spacing w:val="160"/>
              <w:szCs w:val="36"/>
              <w:highlight w:val="none"/>
            </w:rPr>
            <w:fldChar w:fldCharType="separate"/>
          </w:r>
          <w:r>
            <w:rPr>
              <w:rFonts w:hint="eastAsia" w:ascii="黑体" w:hAnsi="黑体" w:eastAsia="黑体"/>
              <w:szCs w:val="28"/>
              <w:highlight w:val="none"/>
            </w:rPr>
            <w:t>第二节 政府采购合同通用条款</w:t>
          </w:r>
          <w:r>
            <w:tab/>
          </w:r>
          <w:r>
            <w:fldChar w:fldCharType="begin"/>
          </w:r>
          <w:r>
            <w:instrText xml:space="preserve"> PAGEREF _Toc595173977 \h </w:instrText>
          </w:r>
          <w:r>
            <w:fldChar w:fldCharType="separate"/>
          </w:r>
          <w:r>
            <w:t>73</w:t>
          </w:r>
          <w:r>
            <w:fldChar w:fldCharType="end"/>
          </w:r>
          <w:r>
            <w:rPr>
              <w:rFonts w:hint="eastAsia" w:ascii="华文中宋" w:hAnsi="华文中宋" w:eastAsia="华文中宋"/>
              <w:color w:val="auto"/>
              <w:spacing w:val="160"/>
              <w:szCs w:val="36"/>
              <w:highlight w:val="none"/>
            </w:rPr>
            <w:fldChar w:fldCharType="end"/>
          </w:r>
        </w:p>
        <w:p w14:paraId="2160F9E5">
          <w:pPr>
            <w:pStyle w:val="36"/>
            <w:tabs>
              <w:tab w:val="right" w:leader="dot" w:pos="8306"/>
            </w:tabs>
          </w:pPr>
          <w:r>
            <w:rPr>
              <w:rFonts w:hint="eastAsia" w:ascii="华文中宋" w:hAnsi="华文中宋" w:eastAsia="华文中宋"/>
              <w:color w:val="auto"/>
              <w:spacing w:val="160"/>
              <w:szCs w:val="36"/>
              <w:highlight w:val="none"/>
            </w:rPr>
            <w:fldChar w:fldCharType="begin"/>
          </w:r>
          <w:r>
            <w:rPr>
              <w:rFonts w:hint="eastAsia" w:ascii="华文中宋" w:hAnsi="华文中宋" w:eastAsia="华文中宋"/>
              <w:spacing w:val="160"/>
              <w:szCs w:val="36"/>
              <w:highlight w:val="none"/>
            </w:rPr>
            <w:instrText xml:space="preserve"> HYPERLINK \l _Toc1842179444 </w:instrText>
          </w:r>
          <w:r>
            <w:rPr>
              <w:rFonts w:hint="eastAsia" w:ascii="华文中宋" w:hAnsi="华文中宋" w:eastAsia="华文中宋"/>
              <w:spacing w:val="160"/>
              <w:szCs w:val="36"/>
              <w:highlight w:val="none"/>
            </w:rPr>
            <w:fldChar w:fldCharType="separate"/>
          </w:r>
          <w:r>
            <w:rPr>
              <w:rFonts w:hint="eastAsia" w:ascii="黑体" w:hAnsi="华文中宋" w:eastAsia="黑体"/>
              <w:szCs w:val="28"/>
              <w:highlight w:val="none"/>
            </w:rPr>
            <w:t>第三节 政府采购合同专用条款</w:t>
          </w:r>
          <w:r>
            <w:tab/>
          </w:r>
          <w:r>
            <w:fldChar w:fldCharType="begin"/>
          </w:r>
          <w:r>
            <w:instrText xml:space="preserve"> PAGEREF _Toc1842179444 \h </w:instrText>
          </w:r>
          <w:r>
            <w:fldChar w:fldCharType="separate"/>
          </w:r>
          <w:r>
            <w:t>80</w:t>
          </w:r>
          <w:r>
            <w:fldChar w:fldCharType="end"/>
          </w:r>
          <w:r>
            <w:rPr>
              <w:rFonts w:hint="eastAsia" w:ascii="华文中宋" w:hAnsi="华文中宋" w:eastAsia="华文中宋"/>
              <w:color w:val="auto"/>
              <w:spacing w:val="160"/>
              <w:szCs w:val="36"/>
              <w:highlight w:val="none"/>
            </w:rPr>
            <w:fldChar w:fldCharType="end"/>
          </w:r>
        </w:p>
        <w:p w14:paraId="797FB451">
          <w:pPr>
            <w:pStyle w:val="30"/>
            <w:tabs>
              <w:tab w:val="right" w:leader="dot" w:pos="8306"/>
              <w:tab w:val="clear" w:pos="1680"/>
              <w:tab w:val="clear" w:pos="8834"/>
            </w:tabs>
          </w:pPr>
          <w:r>
            <w:rPr>
              <w:rFonts w:hint="eastAsia" w:ascii="华文中宋" w:hAnsi="华文中宋" w:eastAsia="华文中宋"/>
              <w:color w:val="auto"/>
              <w:spacing w:val="160"/>
              <w:szCs w:val="36"/>
              <w:highlight w:val="none"/>
            </w:rPr>
            <w:fldChar w:fldCharType="begin"/>
          </w:r>
          <w:r>
            <w:rPr>
              <w:rFonts w:hint="eastAsia" w:ascii="华文中宋" w:hAnsi="华文中宋" w:eastAsia="华文中宋"/>
              <w:spacing w:val="160"/>
              <w:szCs w:val="36"/>
              <w:highlight w:val="none"/>
            </w:rPr>
            <w:instrText xml:space="preserve"> HYPERLINK \l _Toc789349734 </w:instrText>
          </w:r>
          <w:r>
            <w:rPr>
              <w:rFonts w:hint="eastAsia" w:ascii="华文中宋" w:hAnsi="华文中宋" w:eastAsia="华文中宋"/>
              <w:spacing w:val="160"/>
              <w:szCs w:val="36"/>
              <w:highlight w:val="none"/>
            </w:rPr>
            <w:fldChar w:fldCharType="separate"/>
          </w:r>
          <w:r>
            <w:rPr>
              <w:rFonts w:hint="eastAsia" w:ascii="黑体" w:hAnsi="华文中宋" w:eastAsia="黑体"/>
              <w:szCs w:val="32"/>
              <w:highlight w:val="none"/>
            </w:rPr>
            <w:t>第七章 投标文件的组成</w:t>
          </w:r>
          <w:r>
            <w:tab/>
          </w:r>
          <w:r>
            <w:fldChar w:fldCharType="begin"/>
          </w:r>
          <w:r>
            <w:instrText xml:space="preserve"> PAGEREF _Toc789349734 \h </w:instrText>
          </w:r>
          <w:r>
            <w:fldChar w:fldCharType="separate"/>
          </w:r>
          <w:r>
            <w:t>81</w:t>
          </w:r>
          <w:r>
            <w:fldChar w:fldCharType="end"/>
          </w:r>
          <w:r>
            <w:rPr>
              <w:rFonts w:hint="eastAsia" w:ascii="华文中宋" w:hAnsi="华文中宋" w:eastAsia="华文中宋"/>
              <w:color w:val="auto"/>
              <w:spacing w:val="160"/>
              <w:szCs w:val="36"/>
              <w:highlight w:val="none"/>
            </w:rPr>
            <w:fldChar w:fldCharType="end"/>
          </w:r>
        </w:p>
        <w:p w14:paraId="408FF2F4">
          <w:pPr>
            <w:pStyle w:val="30"/>
            <w:tabs>
              <w:tab w:val="right" w:leader="dot" w:pos="8306"/>
              <w:tab w:val="clear" w:pos="1680"/>
              <w:tab w:val="clear" w:pos="8834"/>
            </w:tabs>
          </w:pPr>
          <w:r>
            <w:rPr>
              <w:rFonts w:hint="eastAsia" w:ascii="华文中宋" w:hAnsi="华文中宋" w:eastAsia="华文中宋"/>
              <w:color w:val="auto"/>
              <w:spacing w:val="160"/>
              <w:szCs w:val="36"/>
              <w:highlight w:val="none"/>
            </w:rPr>
            <w:fldChar w:fldCharType="begin"/>
          </w:r>
          <w:r>
            <w:rPr>
              <w:rFonts w:hint="eastAsia" w:ascii="华文中宋" w:hAnsi="华文中宋" w:eastAsia="华文中宋"/>
              <w:spacing w:val="160"/>
              <w:szCs w:val="36"/>
              <w:highlight w:val="none"/>
            </w:rPr>
            <w:instrText xml:space="preserve"> HYPERLINK \l _Toc688447787 </w:instrText>
          </w:r>
          <w:r>
            <w:rPr>
              <w:rFonts w:hint="eastAsia" w:ascii="华文中宋" w:hAnsi="华文中宋" w:eastAsia="华文中宋"/>
              <w:spacing w:val="160"/>
              <w:szCs w:val="36"/>
              <w:highlight w:val="none"/>
            </w:rPr>
            <w:fldChar w:fldCharType="separate"/>
          </w:r>
          <w:r>
            <w:rPr>
              <w:rFonts w:hint="eastAsia" w:ascii="黑体" w:hAnsi="黑体" w:eastAsia="黑体"/>
              <w:szCs w:val="44"/>
              <w:highlight w:val="none"/>
            </w:rPr>
            <w:t>第一部分 资格证明文件</w:t>
          </w:r>
          <w:r>
            <w:tab/>
          </w:r>
          <w:r>
            <w:fldChar w:fldCharType="begin"/>
          </w:r>
          <w:r>
            <w:instrText xml:space="preserve"> PAGEREF _Toc688447787 \h </w:instrText>
          </w:r>
          <w:r>
            <w:fldChar w:fldCharType="separate"/>
          </w:r>
          <w:r>
            <w:t>82</w:t>
          </w:r>
          <w:r>
            <w:fldChar w:fldCharType="end"/>
          </w:r>
          <w:r>
            <w:rPr>
              <w:rFonts w:hint="eastAsia" w:ascii="华文中宋" w:hAnsi="华文中宋" w:eastAsia="华文中宋"/>
              <w:color w:val="auto"/>
              <w:spacing w:val="160"/>
              <w:szCs w:val="36"/>
              <w:highlight w:val="none"/>
            </w:rPr>
            <w:fldChar w:fldCharType="end"/>
          </w:r>
        </w:p>
        <w:p w14:paraId="27C35A2D">
          <w:pPr>
            <w:pStyle w:val="36"/>
            <w:tabs>
              <w:tab w:val="right" w:leader="dot" w:pos="8306"/>
            </w:tabs>
          </w:pPr>
          <w:r>
            <w:rPr>
              <w:rFonts w:hint="eastAsia" w:ascii="华文中宋" w:hAnsi="华文中宋" w:eastAsia="华文中宋"/>
              <w:color w:val="auto"/>
              <w:spacing w:val="160"/>
              <w:szCs w:val="36"/>
              <w:highlight w:val="none"/>
            </w:rPr>
            <w:fldChar w:fldCharType="begin"/>
          </w:r>
          <w:r>
            <w:rPr>
              <w:rFonts w:hint="eastAsia" w:ascii="华文中宋" w:hAnsi="华文中宋" w:eastAsia="华文中宋"/>
              <w:spacing w:val="160"/>
              <w:szCs w:val="36"/>
              <w:highlight w:val="none"/>
            </w:rPr>
            <w:instrText xml:space="preserve"> HYPERLINK \l _Toc452688483 </w:instrText>
          </w:r>
          <w:r>
            <w:rPr>
              <w:rFonts w:hint="eastAsia" w:ascii="华文中宋" w:hAnsi="华文中宋" w:eastAsia="华文中宋"/>
              <w:spacing w:val="160"/>
              <w:szCs w:val="36"/>
              <w:highlight w:val="none"/>
            </w:rPr>
            <w:fldChar w:fldCharType="separate"/>
          </w:r>
          <w:r>
            <w:rPr>
              <w:rFonts w:hint="eastAsia" w:ascii="黑体" w:hAnsi="宋体" w:eastAsia="黑体"/>
              <w:szCs w:val="28"/>
              <w:highlight w:val="none"/>
            </w:rPr>
            <w:t>一、开标一览表</w:t>
          </w:r>
          <w:r>
            <w:tab/>
          </w:r>
          <w:r>
            <w:fldChar w:fldCharType="begin"/>
          </w:r>
          <w:r>
            <w:instrText xml:space="preserve"> PAGEREF _Toc452688483 \h </w:instrText>
          </w:r>
          <w:r>
            <w:fldChar w:fldCharType="separate"/>
          </w:r>
          <w:r>
            <w:t>83</w:t>
          </w:r>
          <w:r>
            <w:fldChar w:fldCharType="end"/>
          </w:r>
          <w:r>
            <w:rPr>
              <w:rFonts w:hint="eastAsia" w:ascii="华文中宋" w:hAnsi="华文中宋" w:eastAsia="华文中宋"/>
              <w:color w:val="auto"/>
              <w:spacing w:val="160"/>
              <w:szCs w:val="36"/>
              <w:highlight w:val="none"/>
            </w:rPr>
            <w:fldChar w:fldCharType="end"/>
          </w:r>
        </w:p>
        <w:p w14:paraId="5F3679FD">
          <w:pPr>
            <w:pStyle w:val="36"/>
            <w:tabs>
              <w:tab w:val="right" w:leader="dot" w:pos="8306"/>
            </w:tabs>
          </w:pPr>
          <w:r>
            <w:rPr>
              <w:rFonts w:hint="eastAsia" w:ascii="华文中宋" w:hAnsi="华文中宋" w:eastAsia="华文中宋"/>
              <w:color w:val="auto"/>
              <w:spacing w:val="160"/>
              <w:szCs w:val="36"/>
              <w:highlight w:val="none"/>
            </w:rPr>
            <w:fldChar w:fldCharType="begin"/>
          </w:r>
          <w:r>
            <w:rPr>
              <w:rFonts w:hint="eastAsia" w:ascii="华文中宋" w:hAnsi="华文中宋" w:eastAsia="华文中宋"/>
              <w:spacing w:val="160"/>
              <w:szCs w:val="36"/>
              <w:highlight w:val="none"/>
            </w:rPr>
            <w:instrText xml:space="preserve"> HYPERLINK \l _Toc80959621 </w:instrText>
          </w:r>
          <w:r>
            <w:rPr>
              <w:rFonts w:hint="eastAsia" w:ascii="华文中宋" w:hAnsi="华文中宋" w:eastAsia="华文中宋"/>
              <w:spacing w:val="160"/>
              <w:szCs w:val="36"/>
              <w:highlight w:val="none"/>
            </w:rPr>
            <w:fldChar w:fldCharType="separate"/>
          </w:r>
          <w:r>
            <w:rPr>
              <w:rFonts w:hint="eastAsia" w:ascii="黑体" w:hAnsi="黑体" w:eastAsia="黑体"/>
              <w:szCs w:val="28"/>
              <w:highlight w:val="none"/>
            </w:rPr>
            <w:t>二、投标保证金</w:t>
          </w:r>
          <w:r>
            <w:tab/>
          </w:r>
          <w:r>
            <w:fldChar w:fldCharType="begin"/>
          </w:r>
          <w:r>
            <w:instrText xml:space="preserve"> PAGEREF _Toc80959621 \h </w:instrText>
          </w:r>
          <w:r>
            <w:fldChar w:fldCharType="separate"/>
          </w:r>
          <w:r>
            <w:t>84</w:t>
          </w:r>
          <w:r>
            <w:fldChar w:fldCharType="end"/>
          </w:r>
          <w:r>
            <w:rPr>
              <w:rFonts w:hint="eastAsia" w:ascii="华文中宋" w:hAnsi="华文中宋" w:eastAsia="华文中宋"/>
              <w:color w:val="auto"/>
              <w:spacing w:val="160"/>
              <w:szCs w:val="36"/>
              <w:highlight w:val="none"/>
            </w:rPr>
            <w:fldChar w:fldCharType="end"/>
          </w:r>
        </w:p>
        <w:p w14:paraId="2CFF4B70">
          <w:pPr>
            <w:pStyle w:val="36"/>
            <w:tabs>
              <w:tab w:val="right" w:leader="dot" w:pos="8306"/>
            </w:tabs>
          </w:pPr>
          <w:r>
            <w:rPr>
              <w:rFonts w:hint="eastAsia" w:ascii="华文中宋" w:hAnsi="华文中宋" w:eastAsia="华文中宋"/>
              <w:color w:val="auto"/>
              <w:spacing w:val="160"/>
              <w:szCs w:val="36"/>
              <w:highlight w:val="none"/>
            </w:rPr>
            <w:fldChar w:fldCharType="begin"/>
          </w:r>
          <w:r>
            <w:rPr>
              <w:rFonts w:hint="eastAsia" w:ascii="华文中宋" w:hAnsi="华文中宋" w:eastAsia="华文中宋"/>
              <w:spacing w:val="160"/>
              <w:szCs w:val="36"/>
              <w:highlight w:val="none"/>
            </w:rPr>
            <w:instrText xml:space="preserve"> HYPERLINK \l _Toc1450372872 </w:instrText>
          </w:r>
          <w:r>
            <w:rPr>
              <w:rFonts w:hint="eastAsia" w:ascii="华文中宋" w:hAnsi="华文中宋" w:eastAsia="华文中宋"/>
              <w:spacing w:val="160"/>
              <w:szCs w:val="36"/>
              <w:highlight w:val="none"/>
            </w:rPr>
            <w:fldChar w:fldCharType="separate"/>
          </w:r>
          <w:r>
            <w:rPr>
              <w:rFonts w:hint="eastAsia" w:ascii="黑体" w:hAnsi="宋体" w:eastAsia="黑体"/>
              <w:szCs w:val="28"/>
              <w:highlight w:val="none"/>
            </w:rPr>
            <w:t>三、</w:t>
          </w:r>
          <w:r>
            <w:rPr>
              <w:rFonts w:hint="eastAsia" w:ascii="黑体" w:hAnsi="宋体" w:eastAsia="黑体"/>
              <w:bCs/>
              <w:szCs w:val="28"/>
              <w:highlight w:val="none"/>
            </w:rPr>
            <w:t>授权委托书</w:t>
          </w:r>
          <w:r>
            <w:tab/>
          </w:r>
          <w:r>
            <w:fldChar w:fldCharType="begin"/>
          </w:r>
          <w:r>
            <w:instrText xml:space="preserve"> PAGEREF _Toc1450372872 \h </w:instrText>
          </w:r>
          <w:r>
            <w:fldChar w:fldCharType="separate"/>
          </w:r>
          <w:r>
            <w:t>85</w:t>
          </w:r>
          <w:r>
            <w:fldChar w:fldCharType="end"/>
          </w:r>
          <w:r>
            <w:rPr>
              <w:rFonts w:hint="eastAsia" w:ascii="华文中宋" w:hAnsi="华文中宋" w:eastAsia="华文中宋"/>
              <w:color w:val="auto"/>
              <w:spacing w:val="160"/>
              <w:szCs w:val="36"/>
              <w:highlight w:val="none"/>
            </w:rPr>
            <w:fldChar w:fldCharType="end"/>
          </w:r>
        </w:p>
        <w:p w14:paraId="78B72C6A">
          <w:pPr>
            <w:pStyle w:val="36"/>
            <w:tabs>
              <w:tab w:val="right" w:leader="dot" w:pos="8306"/>
            </w:tabs>
          </w:pPr>
          <w:r>
            <w:rPr>
              <w:rFonts w:hint="eastAsia" w:ascii="华文中宋" w:hAnsi="华文中宋" w:eastAsia="华文中宋"/>
              <w:color w:val="auto"/>
              <w:spacing w:val="160"/>
              <w:szCs w:val="36"/>
              <w:highlight w:val="none"/>
            </w:rPr>
            <w:fldChar w:fldCharType="begin"/>
          </w:r>
          <w:r>
            <w:rPr>
              <w:rFonts w:hint="eastAsia" w:ascii="华文中宋" w:hAnsi="华文中宋" w:eastAsia="华文中宋"/>
              <w:spacing w:val="160"/>
              <w:szCs w:val="36"/>
              <w:highlight w:val="none"/>
            </w:rPr>
            <w:instrText xml:space="preserve"> HYPERLINK \l _Toc818772549 </w:instrText>
          </w:r>
          <w:r>
            <w:rPr>
              <w:rFonts w:hint="eastAsia" w:ascii="华文中宋" w:hAnsi="华文中宋" w:eastAsia="华文中宋"/>
              <w:spacing w:val="160"/>
              <w:szCs w:val="36"/>
              <w:highlight w:val="none"/>
            </w:rPr>
            <w:fldChar w:fldCharType="separate"/>
          </w:r>
          <w:r>
            <w:rPr>
              <w:rFonts w:hint="eastAsia" w:ascii="黑体" w:hAnsi="宋体" w:eastAsia="黑体"/>
              <w:szCs w:val="28"/>
              <w:highlight w:val="none"/>
            </w:rPr>
            <w:t>四、投标人提供的资格证明文件</w:t>
          </w:r>
          <w:r>
            <w:tab/>
          </w:r>
          <w:r>
            <w:fldChar w:fldCharType="begin"/>
          </w:r>
          <w:r>
            <w:instrText xml:space="preserve"> PAGEREF _Toc818772549 \h </w:instrText>
          </w:r>
          <w:r>
            <w:fldChar w:fldCharType="separate"/>
          </w:r>
          <w:r>
            <w:t>87</w:t>
          </w:r>
          <w:r>
            <w:fldChar w:fldCharType="end"/>
          </w:r>
          <w:r>
            <w:rPr>
              <w:rFonts w:hint="eastAsia" w:ascii="华文中宋" w:hAnsi="华文中宋" w:eastAsia="华文中宋"/>
              <w:color w:val="auto"/>
              <w:spacing w:val="160"/>
              <w:szCs w:val="36"/>
              <w:highlight w:val="none"/>
            </w:rPr>
            <w:fldChar w:fldCharType="end"/>
          </w:r>
        </w:p>
        <w:p w14:paraId="135FD7F6">
          <w:pPr>
            <w:pStyle w:val="30"/>
            <w:tabs>
              <w:tab w:val="right" w:leader="dot" w:pos="8306"/>
              <w:tab w:val="clear" w:pos="1680"/>
              <w:tab w:val="clear" w:pos="8834"/>
            </w:tabs>
          </w:pPr>
          <w:r>
            <w:rPr>
              <w:rFonts w:hint="eastAsia" w:ascii="华文中宋" w:hAnsi="华文中宋" w:eastAsia="华文中宋"/>
              <w:color w:val="auto"/>
              <w:spacing w:val="160"/>
              <w:szCs w:val="36"/>
              <w:highlight w:val="none"/>
            </w:rPr>
            <w:fldChar w:fldCharType="begin"/>
          </w:r>
          <w:r>
            <w:rPr>
              <w:rFonts w:hint="eastAsia" w:ascii="华文中宋" w:hAnsi="华文中宋" w:eastAsia="华文中宋"/>
              <w:spacing w:val="160"/>
              <w:szCs w:val="36"/>
              <w:highlight w:val="none"/>
            </w:rPr>
            <w:instrText xml:space="preserve"> HYPERLINK \l _Toc1227406406 </w:instrText>
          </w:r>
          <w:r>
            <w:rPr>
              <w:rFonts w:hint="eastAsia" w:ascii="华文中宋" w:hAnsi="华文中宋" w:eastAsia="华文中宋"/>
              <w:spacing w:val="160"/>
              <w:szCs w:val="36"/>
              <w:highlight w:val="none"/>
            </w:rPr>
            <w:fldChar w:fldCharType="separate"/>
          </w:r>
          <w:r>
            <w:rPr>
              <w:rFonts w:hint="eastAsia" w:ascii="黑体" w:hAnsi="黑体" w:eastAsia="黑体"/>
              <w:szCs w:val="44"/>
              <w:highlight w:val="none"/>
            </w:rPr>
            <w:t>第二部分 商务技术文件</w:t>
          </w:r>
          <w:r>
            <w:tab/>
          </w:r>
          <w:r>
            <w:fldChar w:fldCharType="begin"/>
          </w:r>
          <w:r>
            <w:instrText xml:space="preserve"> PAGEREF _Toc1227406406 \h </w:instrText>
          </w:r>
          <w:r>
            <w:fldChar w:fldCharType="separate"/>
          </w:r>
          <w:r>
            <w:t>94</w:t>
          </w:r>
          <w:r>
            <w:fldChar w:fldCharType="end"/>
          </w:r>
          <w:r>
            <w:rPr>
              <w:rFonts w:hint="eastAsia" w:ascii="华文中宋" w:hAnsi="华文中宋" w:eastAsia="华文中宋"/>
              <w:color w:val="auto"/>
              <w:spacing w:val="160"/>
              <w:szCs w:val="36"/>
              <w:highlight w:val="none"/>
            </w:rPr>
            <w:fldChar w:fldCharType="end"/>
          </w:r>
        </w:p>
        <w:p w14:paraId="71D30091">
          <w:pPr>
            <w:pStyle w:val="36"/>
            <w:tabs>
              <w:tab w:val="right" w:leader="dot" w:pos="8306"/>
            </w:tabs>
          </w:pPr>
          <w:r>
            <w:rPr>
              <w:rFonts w:hint="eastAsia" w:ascii="华文中宋" w:hAnsi="华文中宋" w:eastAsia="华文中宋"/>
              <w:color w:val="auto"/>
              <w:spacing w:val="160"/>
              <w:szCs w:val="36"/>
              <w:highlight w:val="none"/>
            </w:rPr>
            <w:fldChar w:fldCharType="begin"/>
          </w:r>
          <w:r>
            <w:rPr>
              <w:rFonts w:hint="eastAsia" w:ascii="华文中宋" w:hAnsi="华文中宋" w:eastAsia="华文中宋"/>
              <w:spacing w:val="160"/>
              <w:szCs w:val="36"/>
              <w:highlight w:val="none"/>
            </w:rPr>
            <w:instrText xml:space="preserve"> HYPERLINK \l _Toc209498568 </w:instrText>
          </w:r>
          <w:r>
            <w:rPr>
              <w:rFonts w:hint="eastAsia" w:ascii="华文中宋" w:hAnsi="华文中宋" w:eastAsia="华文中宋"/>
              <w:spacing w:val="160"/>
              <w:szCs w:val="36"/>
              <w:highlight w:val="none"/>
            </w:rPr>
            <w:fldChar w:fldCharType="separate"/>
          </w:r>
          <w:r>
            <w:rPr>
              <w:rFonts w:hint="eastAsia" w:ascii="黑体" w:hAnsi="宋体" w:eastAsia="黑体"/>
              <w:szCs w:val="28"/>
              <w:highlight w:val="none"/>
            </w:rPr>
            <w:t>五</w:t>
          </w:r>
          <w:r>
            <w:rPr>
              <w:rFonts w:ascii="黑体" w:hAnsi="宋体" w:eastAsia="黑体"/>
              <w:szCs w:val="28"/>
              <w:highlight w:val="none"/>
            </w:rPr>
            <w:t>、</w:t>
          </w:r>
          <w:r>
            <w:rPr>
              <w:rFonts w:hint="eastAsia" w:ascii="黑体" w:hAnsi="宋体" w:eastAsia="黑体"/>
              <w:szCs w:val="28"/>
              <w:highlight w:val="none"/>
            </w:rPr>
            <w:t>投标函</w:t>
          </w:r>
          <w:r>
            <w:tab/>
          </w:r>
          <w:r>
            <w:fldChar w:fldCharType="begin"/>
          </w:r>
          <w:r>
            <w:instrText xml:space="preserve"> PAGEREF _Toc209498568 \h </w:instrText>
          </w:r>
          <w:r>
            <w:fldChar w:fldCharType="separate"/>
          </w:r>
          <w:r>
            <w:t>95</w:t>
          </w:r>
          <w:r>
            <w:fldChar w:fldCharType="end"/>
          </w:r>
          <w:r>
            <w:rPr>
              <w:rFonts w:hint="eastAsia" w:ascii="华文中宋" w:hAnsi="华文中宋" w:eastAsia="华文中宋"/>
              <w:color w:val="auto"/>
              <w:spacing w:val="160"/>
              <w:szCs w:val="36"/>
              <w:highlight w:val="none"/>
            </w:rPr>
            <w:fldChar w:fldCharType="end"/>
          </w:r>
        </w:p>
        <w:p w14:paraId="652789C0">
          <w:pPr>
            <w:pStyle w:val="36"/>
            <w:tabs>
              <w:tab w:val="right" w:leader="dot" w:pos="8306"/>
            </w:tabs>
          </w:pPr>
          <w:r>
            <w:rPr>
              <w:rFonts w:hint="eastAsia" w:ascii="华文中宋" w:hAnsi="华文中宋" w:eastAsia="华文中宋"/>
              <w:color w:val="auto"/>
              <w:spacing w:val="160"/>
              <w:szCs w:val="36"/>
              <w:highlight w:val="none"/>
            </w:rPr>
            <w:fldChar w:fldCharType="begin"/>
          </w:r>
          <w:r>
            <w:rPr>
              <w:rFonts w:hint="eastAsia" w:ascii="华文中宋" w:hAnsi="华文中宋" w:eastAsia="华文中宋"/>
              <w:spacing w:val="160"/>
              <w:szCs w:val="36"/>
              <w:highlight w:val="none"/>
            </w:rPr>
            <w:instrText xml:space="preserve"> HYPERLINK \l _Toc1021005766 </w:instrText>
          </w:r>
          <w:r>
            <w:rPr>
              <w:rFonts w:hint="eastAsia" w:ascii="华文中宋" w:hAnsi="华文中宋" w:eastAsia="华文中宋"/>
              <w:spacing w:val="160"/>
              <w:szCs w:val="36"/>
              <w:highlight w:val="none"/>
            </w:rPr>
            <w:fldChar w:fldCharType="separate"/>
          </w:r>
          <w:r>
            <w:rPr>
              <w:rFonts w:hint="eastAsia" w:ascii="黑体" w:hAnsi="宋体" w:eastAsia="黑体"/>
              <w:szCs w:val="28"/>
              <w:highlight w:val="none"/>
            </w:rPr>
            <w:t>六、分项报价</w:t>
          </w:r>
          <w:r>
            <w:tab/>
          </w:r>
          <w:r>
            <w:fldChar w:fldCharType="begin"/>
          </w:r>
          <w:r>
            <w:instrText xml:space="preserve"> PAGEREF _Toc1021005766 \h </w:instrText>
          </w:r>
          <w:r>
            <w:fldChar w:fldCharType="separate"/>
          </w:r>
          <w:r>
            <w:t>97</w:t>
          </w:r>
          <w:r>
            <w:fldChar w:fldCharType="end"/>
          </w:r>
          <w:r>
            <w:rPr>
              <w:rFonts w:hint="eastAsia" w:ascii="华文中宋" w:hAnsi="华文中宋" w:eastAsia="华文中宋"/>
              <w:color w:val="auto"/>
              <w:spacing w:val="160"/>
              <w:szCs w:val="36"/>
              <w:highlight w:val="none"/>
            </w:rPr>
            <w:fldChar w:fldCharType="end"/>
          </w:r>
        </w:p>
        <w:p w14:paraId="60D1D185">
          <w:pPr>
            <w:pStyle w:val="36"/>
            <w:tabs>
              <w:tab w:val="right" w:leader="dot" w:pos="8306"/>
            </w:tabs>
          </w:pPr>
          <w:r>
            <w:rPr>
              <w:rFonts w:hint="eastAsia" w:ascii="华文中宋" w:hAnsi="华文中宋" w:eastAsia="华文中宋"/>
              <w:color w:val="auto"/>
              <w:spacing w:val="160"/>
              <w:szCs w:val="36"/>
              <w:highlight w:val="none"/>
            </w:rPr>
            <w:fldChar w:fldCharType="begin"/>
          </w:r>
          <w:r>
            <w:rPr>
              <w:rFonts w:hint="eastAsia" w:ascii="华文中宋" w:hAnsi="华文中宋" w:eastAsia="华文中宋"/>
              <w:spacing w:val="160"/>
              <w:szCs w:val="36"/>
              <w:highlight w:val="none"/>
            </w:rPr>
            <w:instrText xml:space="preserve"> HYPERLINK \l _Toc1759473900 </w:instrText>
          </w:r>
          <w:r>
            <w:rPr>
              <w:rFonts w:hint="eastAsia" w:ascii="华文中宋" w:hAnsi="华文中宋" w:eastAsia="华文中宋"/>
              <w:spacing w:val="160"/>
              <w:szCs w:val="36"/>
              <w:highlight w:val="none"/>
            </w:rPr>
            <w:fldChar w:fldCharType="separate"/>
          </w:r>
          <w:r>
            <w:rPr>
              <w:rFonts w:hint="eastAsia" w:ascii="黑体" w:hAnsi="宋体" w:eastAsia="黑体"/>
              <w:szCs w:val="28"/>
              <w:highlight w:val="none"/>
            </w:rPr>
            <w:t>七、采购需求响应</w:t>
          </w:r>
          <w:r>
            <w:tab/>
          </w:r>
          <w:r>
            <w:fldChar w:fldCharType="begin"/>
          </w:r>
          <w:r>
            <w:instrText xml:space="preserve"> PAGEREF _Toc1759473900 \h </w:instrText>
          </w:r>
          <w:r>
            <w:fldChar w:fldCharType="separate"/>
          </w:r>
          <w:r>
            <w:t>98</w:t>
          </w:r>
          <w:r>
            <w:fldChar w:fldCharType="end"/>
          </w:r>
          <w:r>
            <w:rPr>
              <w:rFonts w:hint="eastAsia" w:ascii="华文中宋" w:hAnsi="华文中宋" w:eastAsia="华文中宋"/>
              <w:color w:val="auto"/>
              <w:spacing w:val="160"/>
              <w:szCs w:val="36"/>
              <w:highlight w:val="none"/>
            </w:rPr>
            <w:fldChar w:fldCharType="end"/>
          </w:r>
        </w:p>
        <w:p w14:paraId="7914C3B7">
          <w:pPr>
            <w:pStyle w:val="36"/>
            <w:tabs>
              <w:tab w:val="right" w:leader="dot" w:pos="8306"/>
            </w:tabs>
          </w:pPr>
          <w:r>
            <w:rPr>
              <w:rFonts w:hint="eastAsia" w:ascii="华文中宋" w:hAnsi="华文中宋" w:eastAsia="华文中宋"/>
              <w:color w:val="auto"/>
              <w:spacing w:val="160"/>
              <w:szCs w:val="36"/>
              <w:highlight w:val="none"/>
            </w:rPr>
            <w:fldChar w:fldCharType="begin"/>
          </w:r>
          <w:r>
            <w:rPr>
              <w:rFonts w:hint="eastAsia" w:ascii="华文中宋" w:hAnsi="华文中宋" w:eastAsia="华文中宋"/>
              <w:spacing w:val="160"/>
              <w:szCs w:val="36"/>
              <w:highlight w:val="none"/>
            </w:rPr>
            <w:instrText xml:space="preserve"> HYPERLINK \l _Toc1877653715 </w:instrText>
          </w:r>
          <w:r>
            <w:rPr>
              <w:rFonts w:hint="eastAsia" w:ascii="华文中宋" w:hAnsi="华文中宋" w:eastAsia="华文中宋"/>
              <w:spacing w:val="160"/>
              <w:szCs w:val="36"/>
              <w:highlight w:val="none"/>
            </w:rPr>
            <w:fldChar w:fldCharType="separate"/>
          </w:r>
          <w:r>
            <w:rPr>
              <w:rFonts w:hint="eastAsia" w:ascii="黑体" w:hAnsi="黑体" w:eastAsia="黑体"/>
              <w:szCs w:val="28"/>
              <w:highlight w:val="none"/>
            </w:rPr>
            <w:t>八、合同条款偏离表</w:t>
          </w:r>
          <w:r>
            <w:tab/>
          </w:r>
          <w:r>
            <w:fldChar w:fldCharType="begin"/>
          </w:r>
          <w:r>
            <w:instrText xml:space="preserve"> PAGEREF _Toc1877653715 \h </w:instrText>
          </w:r>
          <w:r>
            <w:fldChar w:fldCharType="separate"/>
          </w:r>
          <w:r>
            <w:t>99</w:t>
          </w:r>
          <w:r>
            <w:fldChar w:fldCharType="end"/>
          </w:r>
          <w:r>
            <w:rPr>
              <w:rFonts w:hint="eastAsia" w:ascii="华文中宋" w:hAnsi="华文中宋" w:eastAsia="华文中宋"/>
              <w:color w:val="auto"/>
              <w:spacing w:val="160"/>
              <w:szCs w:val="36"/>
              <w:highlight w:val="none"/>
            </w:rPr>
            <w:fldChar w:fldCharType="end"/>
          </w:r>
        </w:p>
        <w:p w14:paraId="11E587F1">
          <w:pPr>
            <w:pStyle w:val="36"/>
            <w:tabs>
              <w:tab w:val="right" w:leader="dot" w:pos="8306"/>
            </w:tabs>
          </w:pPr>
          <w:r>
            <w:rPr>
              <w:rFonts w:hint="eastAsia" w:ascii="华文中宋" w:hAnsi="华文中宋" w:eastAsia="华文中宋"/>
              <w:color w:val="auto"/>
              <w:spacing w:val="160"/>
              <w:szCs w:val="36"/>
              <w:highlight w:val="none"/>
            </w:rPr>
            <w:fldChar w:fldCharType="begin"/>
          </w:r>
          <w:r>
            <w:rPr>
              <w:rFonts w:hint="eastAsia" w:ascii="华文中宋" w:hAnsi="华文中宋" w:eastAsia="华文中宋"/>
              <w:spacing w:val="160"/>
              <w:szCs w:val="36"/>
              <w:highlight w:val="none"/>
            </w:rPr>
            <w:instrText xml:space="preserve"> HYPERLINK \l _Toc390538621 </w:instrText>
          </w:r>
          <w:r>
            <w:rPr>
              <w:rFonts w:hint="eastAsia" w:ascii="华文中宋" w:hAnsi="华文中宋" w:eastAsia="华文中宋"/>
              <w:spacing w:val="160"/>
              <w:szCs w:val="36"/>
              <w:highlight w:val="none"/>
            </w:rPr>
            <w:fldChar w:fldCharType="separate"/>
          </w:r>
          <w:r>
            <w:rPr>
              <w:rFonts w:hint="eastAsia" w:ascii="黑体" w:hAnsi="宋体" w:eastAsia="黑体"/>
              <w:szCs w:val="28"/>
              <w:highlight w:val="none"/>
            </w:rPr>
            <w:t>九、采购需求偏离表</w:t>
          </w:r>
          <w:r>
            <w:tab/>
          </w:r>
          <w:r>
            <w:fldChar w:fldCharType="begin"/>
          </w:r>
          <w:r>
            <w:instrText xml:space="preserve"> PAGEREF _Toc390538621 \h </w:instrText>
          </w:r>
          <w:r>
            <w:fldChar w:fldCharType="separate"/>
          </w:r>
          <w:r>
            <w:t>100</w:t>
          </w:r>
          <w:r>
            <w:fldChar w:fldCharType="end"/>
          </w:r>
          <w:r>
            <w:rPr>
              <w:rFonts w:hint="eastAsia" w:ascii="华文中宋" w:hAnsi="华文中宋" w:eastAsia="华文中宋"/>
              <w:color w:val="auto"/>
              <w:spacing w:val="160"/>
              <w:szCs w:val="36"/>
              <w:highlight w:val="none"/>
            </w:rPr>
            <w:fldChar w:fldCharType="end"/>
          </w:r>
        </w:p>
        <w:p w14:paraId="3C1C7DEE">
          <w:pPr>
            <w:pStyle w:val="36"/>
            <w:tabs>
              <w:tab w:val="right" w:leader="dot" w:pos="8306"/>
            </w:tabs>
          </w:pPr>
          <w:r>
            <w:rPr>
              <w:rFonts w:hint="eastAsia" w:ascii="华文中宋" w:hAnsi="华文中宋" w:eastAsia="华文中宋"/>
              <w:color w:val="auto"/>
              <w:spacing w:val="160"/>
              <w:szCs w:val="36"/>
              <w:highlight w:val="none"/>
            </w:rPr>
            <w:fldChar w:fldCharType="begin"/>
          </w:r>
          <w:r>
            <w:rPr>
              <w:rFonts w:hint="eastAsia" w:ascii="华文中宋" w:hAnsi="华文中宋" w:eastAsia="华文中宋"/>
              <w:spacing w:val="160"/>
              <w:szCs w:val="36"/>
              <w:highlight w:val="none"/>
            </w:rPr>
            <w:instrText xml:space="preserve"> HYPERLINK \l _Toc650203768 </w:instrText>
          </w:r>
          <w:r>
            <w:rPr>
              <w:rFonts w:hint="eastAsia" w:ascii="华文中宋" w:hAnsi="华文中宋" w:eastAsia="华文中宋"/>
              <w:spacing w:val="160"/>
              <w:szCs w:val="36"/>
              <w:highlight w:val="none"/>
            </w:rPr>
            <w:fldChar w:fldCharType="separate"/>
          </w:r>
          <w:r>
            <w:rPr>
              <w:rFonts w:hint="eastAsia" w:ascii="黑体" w:hAnsi="宋体" w:eastAsia="黑体"/>
              <w:szCs w:val="28"/>
              <w:highlight w:val="none"/>
            </w:rPr>
            <w:t>十、享受政府采购政策优惠的证明资料</w:t>
          </w:r>
          <w:r>
            <w:tab/>
          </w:r>
          <w:r>
            <w:fldChar w:fldCharType="begin"/>
          </w:r>
          <w:r>
            <w:instrText xml:space="preserve"> PAGEREF _Toc650203768 \h </w:instrText>
          </w:r>
          <w:r>
            <w:fldChar w:fldCharType="separate"/>
          </w:r>
          <w:r>
            <w:t>101</w:t>
          </w:r>
          <w:r>
            <w:fldChar w:fldCharType="end"/>
          </w:r>
          <w:r>
            <w:rPr>
              <w:rFonts w:hint="eastAsia" w:ascii="华文中宋" w:hAnsi="华文中宋" w:eastAsia="华文中宋"/>
              <w:color w:val="auto"/>
              <w:spacing w:val="160"/>
              <w:szCs w:val="36"/>
              <w:highlight w:val="none"/>
            </w:rPr>
            <w:fldChar w:fldCharType="end"/>
          </w:r>
        </w:p>
        <w:p w14:paraId="3D2B9386">
          <w:pPr>
            <w:pStyle w:val="36"/>
            <w:tabs>
              <w:tab w:val="right" w:leader="dot" w:pos="8306"/>
            </w:tabs>
          </w:pPr>
          <w:r>
            <w:rPr>
              <w:rFonts w:hint="eastAsia" w:ascii="华文中宋" w:hAnsi="华文中宋" w:eastAsia="华文中宋"/>
              <w:color w:val="auto"/>
              <w:spacing w:val="160"/>
              <w:szCs w:val="36"/>
              <w:highlight w:val="none"/>
            </w:rPr>
            <w:fldChar w:fldCharType="begin"/>
          </w:r>
          <w:r>
            <w:rPr>
              <w:rFonts w:hint="eastAsia" w:ascii="华文中宋" w:hAnsi="华文中宋" w:eastAsia="华文中宋"/>
              <w:spacing w:val="160"/>
              <w:szCs w:val="36"/>
              <w:highlight w:val="none"/>
            </w:rPr>
            <w:instrText xml:space="preserve"> HYPERLINK \l _Toc2007918518 </w:instrText>
          </w:r>
          <w:r>
            <w:rPr>
              <w:rFonts w:hint="eastAsia" w:ascii="华文中宋" w:hAnsi="华文中宋" w:eastAsia="华文中宋"/>
              <w:spacing w:val="160"/>
              <w:szCs w:val="36"/>
              <w:highlight w:val="none"/>
            </w:rPr>
            <w:fldChar w:fldCharType="separate"/>
          </w:r>
          <w:r>
            <w:rPr>
              <w:rFonts w:hint="eastAsia" w:ascii="黑体" w:hAnsi="宋体" w:eastAsia="黑体"/>
              <w:szCs w:val="28"/>
              <w:highlight w:val="none"/>
            </w:rPr>
            <w:t>十一、投标货物符合招标文件规定的证明文件</w:t>
          </w:r>
          <w:r>
            <w:tab/>
          </w:r>
          <w:r>
            <w:fldChar w:fldCharType="begin"/>
          </w:r>
          <w:r>
            <w:instrText xml:space="preserve"> PAGEREF _Toc2007918518 \h </w:instrText>
          </w:r>
          <w:r>
            <w:fldChar w:fldCharType="separate"/>
          </w:r>
          <w:r>
            <w:t>106</w:t>
          </w:r>
          <w:r>
            <w:fldChar w:fldCharType="end"/>
          </w:r>
          <w:r>
            <w:rPr>
              <w:rFonts w:hint="eastAsia" w:ascii="华文中宋" w:hAnsi="华文中宋" w:eastAsia="华文中宋"/>
              <w:color w:val="auto"/>
              <w:spacing w:val="160"/>
              <w:szCs w:val="36"/>
              <w:highlight w:val="none"/>
            </w:rPr>
            <w:fldChar w:fldCharType="end"/>
          </w:r>
        </w:p>
        <w:p w14:paraId="4D1A58C2">
          <w:pPr>
            <w:pStyle w:val="36"/>
            <w:tabs>
              <w:tab w:val="right" w:leader="dot" w:pos="8306"/>
            </w:tabs>
          </w:pPr>
          <w:r>
            <w:rPr>
              <w:rFonts w:hint="eastAsia" w:ascii="华文中宋" w:hAnsi="华文中宋" w:eastAsia="华文中宋"/>
              <w:color w:val="auto"/>
              <w:spacing w:val="160"/>
              <w:szCs w:val="36"/>
              <w:highlight w:val="none"/>
            </w:rPr>
            <w:fldChar w:fldCharType="begin"/>
          </w:r>
          <w:r>
            <w:rPr>
              <w:rFonts w:hint="eastAsia" w:ascii="华文中宋" w:hAnsi="华文中宋" w:eastAsia="华文中宋"/>
              <w:spacing w:val="160"/>
              <w:szCs w:val="36"/>
              <w:highlight w:val="none"/>
            </w:rPr>
            <w:instrText xml:space="preserve"> HYPERLINK \l _Toc705010359 </w:instrText>
          </w:r>
          <w:r>
            <w:rPr>
              <w:rFonts w:hint="eastAsia" w:ascii="华文中宋" w:hAnsi="华文中宋" w:eastAsia="华文中宋"/>
              <w:spacing w:val="160"/>
              <w:szCs w:val="36"/>
              <w:highlight w:val="none"/>
            </w:rPr>
            <w:fldChar w:fldCharType="separate"/>
          </w:r>
          <w:r>
            <w:rPr>
              <w:rFonts w:hint="eastAsia" w:ascii="黑体" w:hAnsi="宋体" w:eastAsia="黑体"/>
              <w:szCs w:val="28"/>
              <w:highlight w:val="none"/>
            </w:rPr>
            <w:t>十二、投标人认为需提供的其他资料</w:t>
          </w:r>
          <w:r>
            <w:tab/>
          </w:r>
          <w:r>
            <w:fldChar w:fldCharType="begin"/>
          </w:r>
          <w:r>
            <w:instrText xml:space="preserve"> PAGEREF _Toc705010359 \h </w:instrText>
          </w:r>
          <w:r>
            <w:fldChar w:fldCharType="separate"/>
          </w:r>
          <w:r>
            <w:t>107</w:t>
          </w:r>
          <w:r>
            <w:fldChar w:fldCharType="end"/>
          </w:r>
          <w:r>
            <w:rPr>
              <w:rFonts w:hint="eastAsia" w:ascii="华文中宋" w:hAnsi="华文中宋" w:eastAsia="华文中宋"/>
              <w:color w:val="auto"/>
              <w:spacing w:val="160"/>
              <w:szCs w:val="36"/>
              <w:highlight w:val="none"/>
            </w:rPr>
            <w:fldChar w:fldCharType="end"/>
          </w:r>
        </w:p>
        <w:p w14:paraId="02FF3AA4">
          <w:pPr>
            <w:pStyle w:val="22"/>
            <w:adjustRightInd w:val="0"/>
            <w:snapToGrid w:val="0"/>
            <w:spacing w:line="360" w:lineRule="auto"/>
            <w:jc w:val="center"/>
            <w:outlineLvl w:val="9"/>
            <w:rPr>
              <w:rFonts w:hint="eastAsia" w:ascii="华文中宋" w:hAnsi="华文中宋" w:eastAsia="华文中宋" w:cs="Times New Roman"/>
              <w:b/>
              <w:color w:val="auto"/>
              <w:spacing w:val="160"/>
              <w:kern w:val="0"/>
              <w:sz w:val="20"/>
              <w:szCs w:val="36"/>
              <w:highlight w:val="none"/>
              <w:lang w:val="en-US" w:eastAsia="zh-CN" w:bidi="ar-SA"/>
            </w:rPr>
          </w:pPr>
          <w:r>
            <w:rPr>
              <w:rFonts w:hint="eastAsia" w:ascii="华文中宋" w:hAnsi="华文中宋" w:eastAsia="华文中宋"/>
              <w:color w:val="auto"/>
              <w:spacing w:val="160"/>
              <w:szCs w:val="36"/>
              <w:highlight w:val="none"/>
            </w:rPr>
            <w:fldChar w:fldCharType="end"/>
          </w:r>
        </w:p>
      </w:sdtContent>
    </w:sdt>
    <w:p w14:paraId="1F77BC85">
      <w:pPr>
        <w:pStyle w:val="22"/>
        <w:adjustRightInd w:val="0"/>
        <w:snapToGrid w:val="0"/>
        <w:spacing w:line="360" w:lineRule="auto"/>
        <w:jc w:val="center"/>
        <w:outlineLvl w:val="9"/>
        <w:rPr>
          <w:rFonts w:hint="eastAsia" w:ascii="华文中宋" w:hAnsi="华文中宋" w:eastAsia="华文中宋" w:cs="Times New Roman"/>
          <w:b/>
          <w:color w:val="auto"/>
          <w:spacing w:val="160"/>
          <w:kern w:val="0"/>
          <w:sz w:val="20"/>
          <w:szCs w:val="36"/>
          <w:highlight w:val="none"/>
          <w:lang w:val="en-US" w:eastAsia="zh-CN" w:bidi="ar-SA"/>
        </w:rPr>
      </w:pPr>
    </w:p>
    <w:p w14:paraId="064026C1">
      <w:pPr>
        <w:pStyle w:val="22"/>
        <w:adjustRightInd w:val="0"/>
        <w:snapToGrid w:val="0"/>
        <w:spacing w:line="360" w:lineRule="auto"/>
        <w:jc w:val="center"/>
        <w:outlineLvl w:val="9"/>
        <w:rPr>
          <w:rFonts w:hint="eastAsia" w:ascii="华文中宋" w:hAnsi="华文中宋" w:eastAsia="华文中宋" w:cs="Times New Roman"/>
          <w:b/>
          <w:color w:val="auto"/>
          <w:spacing w:val="160"/>
          <w:kern w:val="0"/>
          <w:sz w:val="20"/>
          <w:szCs w:val="36"/>
          <w:highlight w:val="none"/>
          <w:lang w:val="en-US" w:eastAsia="zh-CN" w:bidi="ar-SA"/>
        </w:rPr>
      </w:pPr>
    </w:p>
    <w:p w14:paraId="52B7DDF9">
      <w:pPr>
        <w:pStyle w:val="22"/>
        <w:adjustRightInd w:val="0"/>
        <w:snapToGrid w:val="0"/>
        <w:spacing w:line="360" w:lineRule="auto"/>
        <w:jc w:val="center"/>
        <w:outlineLvl w:val="9"/>
        <w:rPr>
          <w:rFonts w:hint="eastAsia" w:ascii="华文中宋" w:hAnsi="华文中宋" w:eastAsia="华文中宋" w:cs="Times New Roman"/>
          <w:b/>
          <w:color w:val="auto"/>
          <w:spacing w:val="160"/>
          <w:kern w:val="0"/>
          <w:sz w:val="20"/>
          <w:szCs w:val="36"/>
          <w:highlight w:val="none"/>
          <w:lang w:val="en-US" w:eastAsia="zh-CN" w:bidi="ar-SA"/>
        </w:rPr>
      </w:pPr>
    </w:p>
    <w:p w14:paraId="7117185E">
      <w:pPr>
        <w:pStyle w:val="102"/>
        <w:numPr>
          <w:ilvl w:val="0"/>
          <w:numId w:val="2"/>
        </w:numPr>
        <w:ind w:firstLine="640"/>
        <w:jc w:val="center"/>
        <w:outlineLvl w:val="0"/>
        <w:rPr>
          <w:rFonts w:ascii="黑体" w:hAnsi="华文中宋" w:eastAsia="黑体"/>
          <w:color w:val="auto"/>
          <w:sz w:val="32"/>
          <w:szCs w:val="32"/>
          <w:highlight w:val="none"/>
        </w:rPr>
      </w:pPr>
      <w:bookmarkStart w:id="0" w:name="_Toc34720698"/>
      <w:bookmarkStart w:id="1" w:name="_Toc20642243"/>
      <w:bookmarkStart w:id="2" w:name="_Toc20816073"/>
      <w:bookmarkStart w:id="3" w:name="_Toc35421027"/>
      <w:bookmarkStart w:id="4" w:name="_Toc21000471"/>
      <w:bookmarkStart w:id="5" w:name="_Toc20988241"/>
      <w:bookmarkStart w:id="6" w:name="_Toc21001314"/>
      <w:bookmarkStart w:id="7" w:name="_Toc53472201"/>
      <w:r>
        <w:rPr>
          <w:rFonts w:hint="eastAsia" w:ascii="黑体" w:hAnsi="华文中宋" w:eastAsia="黑体"/>
          <w:color w:val="auto"/>
          <w:sz w:val="32"/>
          <w:szCs w:val="32"/>
          <w:highlight w:val="none"/>
        </w:rPr>
        <w:t xml:space="preserve"> </w:t>
      </w:r>
      <w:bookmarkStart w:id="8" w:name="_Toc1891472930"/>
      <w:r>
        <w:rPr>
          <w:rFonts w:hint="eastAsia" w:ascii="黑体" w:hAnsi="华文中宋" w:eastAsia="黑体"/>
          <w:color w:val="auto"/>
          <w:sz w:val="32"/>
          <w:szCs w:val="32"/>
          <w:highlight w:val="none"/>
        </w:rPr>
        <w:t>投标邀请（公开招标）</w:t>
      </w:r>
      <w:bookmarkEnd w:id="8"/>
    </w:p>
    <w:p w14:paraId="17E767DD">
      <w:pPr>
        <w:pStyle w:val="102"/>
        <w:ind w:firstLine="0" w:firstLineChars="0"/>
        <w:rPr>
          <w:rFonts w:ascii="黑体" w:hAnsi="华文中宋" w:eastAsia="黑体"/>
          <w:color w:val="auto"/>
          <w:sz w:val="32"/>
          <w:szCs w:val="32"/>
          <w:highlight w:val="none"/>
        </w:rPr>
      </w:pPr>
    </w:p>
    <w:p w14:paraId="0870EEA3">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u w:val="single"/>
          <w:lang w:eastAsia="zh-CN"/>
        </w:rPr>
        <w:t>娄底市中心医院</w:t>
      </w:r>
      <w:r>
        <w:rPr>
          <w:rFonts w:hint="eastAsia" w:ascii="宋体" w:hAnsi="宋体"/>
          <w:color w:val="auto"/>
          <w:szCs w:val="21"/>
          <w:highlight w:val="none"/>
        </w:rPr>
        <w:t>的</w:t>
      </w:r>
      <w:r>
        <w:rPr>
          <w:rFonts w:hint="eastAsia" w:ascii="宋体" w:hAnsi="宋体"/>
          <w:color w:val="auto"/>
          <w:szCs w:val="21"/>
          <w:highlight w:val="none"/>
          <w:u w:val="single"/>
        </w:rPr>
        <w:t xml:space="preserve"> </w:t>
      </w:r>
      <w:r>
        <w:rPr>
          <w:rFonts w:hint="eastAsia" w:ascii="宋体" w:hAnsi="宋体"/>
          <w:color w:val="auto"/>
          <w:szCs w:val="21"/>
          <w:highlight w:val="none"/>
          <w:u w:val="single"/>
          <w:lang w:eastAsia="zh-CN"/>
        </w:rPr>
        <w:t>娄底市中心医院彩色超声多普勒诊断仪一批采购项目（第二次）</w:t>
      </w:r>
      <w:r>
        <w:rPr>
          <w:rFonts w:hint="eastAsia" w:ascii="宋体" w:hAnsi="宋体"/>
          <w:color w:val="auto"/>
          <w:szCs w:val="21"/>
          <w:highlight w:val="none"/>
        </w:rPr>
        <w:t>进行公开招标采购，现邀请合格投标人参加投标。</w:t>
      </w:r>
    </w:p>
    <w:p w14:paraId="2BE0AA46">
      <w:pPr>
        <w:adjustRightInd w:val="0"/>
        <w:snapToGrid w:val="0"/>
        <w:spacing w:line="360" w:lineRule="auto"/>
        <w:ind w:firstLine="361" w:firstLineChars="200"/>
        <w:outlineLvl w:val="1"/>
        <w:rPr>
          <w:rFonts w:ascii="宋体" w:hAnsi="宋体"/>
          <w:b/>
          <w:color w:val="auto"/>
          <w:sz w:val="18"/>
          <w:szCs w:val="18"/>
          <w:highlight w:val="none"/>
        </w:rPr>
      </w:pPr>
      <w:bookmarkStart w:id="9" w:name="_Toc767921030"/>
      <w:r>
        <w:rPr>
          <w:rFonts w:hint="eastAsia" w:ascii="宋体" w:hAnsi="宋体"/>
          <w:b/>
          <w:color w:val="auto"/>
          <w:sz w:val="18"/>
          <w:szCs w:val="18"/>
          <w:highlight w:val="none"/>
        </w:rPr>
        <w:t>一、采购项目基本信息</w:t>
      </w:r>
      <w:bookmarkEnd w:id="9"/>
    </w:p>
    <w:p w14:paraId="598B052F">
      <w:pPr>
        <w:adjustRightInd w:val="0"/>
        <w:snapToGrid w:val="0"/>
        <w:spacing w:line="360" w:lineRule="auto"/>
        <w:ind w:firstLine="420" w:firstLineChars="200"/>
        <w:outlineLvl w:val="2"/>
        <w:rPr>
          <w:rFonts w:hint="eastAsia" w:ascii="宋体" w:hAnsi="宋体" w:eastAsia="宋体"/>
          <w:color w:val="auto"/>
          <w:szCs w:val="21"/>
          <w:highlight w:val="none"/>
          <w:lang w:eastAsia="zh-CN"/>
        </w:rPr>
      </w:pPr>
      <w:r>
        <w:rPr>
          <w:rFonts w:hint="eastAsia" w:ascii="宋体" w:hAnsi="宋体"/>
          <w:color w:val="auto"/>
          <w:szCs w:val="21"/>
          <w:highlight w:val="none"/>
        </w:rPr>
        <w:t>1、采购项目名称：</w:t>
      </w:r>
      <w:r>
        <w:rPr>
          <w:rFonts w:hint="eastAsia" w:ascii="宋体" w:hAnsi="宋体"/>
          <w:color w:val="auto"/>
          <w:szCs w:val="21"/>
          <w:highlight w:val="none"/>
          <w:u w:val="single"/>
          <w:lang w:eastAsia="zh-CN"/>
        </w:rPr>
        <w:t>娄底市中心医院彩色超声多普勒诊断仪一批采购项目（第二次）</w:t>
      </w:r>
    </w:p>
    <w:p w14:paraId="241C943F">
      <w:pPr>
        <w:adjustRightInd w:val="0"/>
        <w:snapToGrid w:val="0"/>
        <w:spacing w:line="360" w:lineRule="auto"/>
        <w:ind w:firstLine="420" w:firstLineChars="200"/>
        <w:outlineLvl w:val="2"/>
        <w:rPr>
          <w:rFonts w:hint="eastAsia" w:ascii="宋体" w:hAnsi="宋体"/>
          <w:color w:val="auto"/>
          <w:szCs w:val="21"/>
          <w:highlight w:val="none"/>
          <w:u w:val="single"/>
          <w:lang w:val="en-US" w:eastAsia="zh-CN"/>
        </w:rPr>
      </w:pPr>
      <w:r>
        <w:rPr>
          <w:rFonts w:hint="eastAsia" w:ascii="宋体" w:hAnsi="宋体"/>
          <w:color w:val="auto"/>
          <w:szCs w:val="21"/>
          <w:highlight w:val="none"/>
        </w:rPr>
        <w:t>2、政府采购计划编号：</w:t>
      </w:r>
      <w:r>
        <w:rPr>
          <w:rFonts w:hint="eastAsia" w:ascii="宋体" w:hAnsi="宋体"/>
          <w:color w:val="auto"/>
          <w:szCs w:val="21"/>
          <w:highlight w:val="none"/>
          <w:u w:val="single"/>
          <w:lang w:val="en-US" w:eastAsia="zh-CN"/>
        </w:rPr>
        <w:t>娄财采计【2026】0059</w:t>
      </w:r>
    </w:p>
    <w:p w14:paraId="12D69FAC">
      <w:pPr>
        <w:adjustRightInd w:val="0"/>
        <w:snapToGrid w:val="0"/>
        <w:spacing w:line="360" w:lineRule="auto"/>
        <w:ind w:firstLine="420" w:firstLineChars="200"/>
        <w:outlineLvl w:val="2"/>
        <w:rPr>
          <w:rFonts w:hint="default" w:ascii="宋体" w:hAnsi="宋体" w:eastAsia="宋体"/>
          <w:color w:val="auto"/>
          <w:szCs w:val="21"/>
          <w:highlight w:val="none"/>
          <w:u w:val="single"/>
          <w:lang w:val="en-US" w:eastAsia="zh-CN"/>
        </w:rPr>
      </w:pPr>
      <w:r>
        <w:rPr>
          <w:rFonts w:hint="eastAsia" w:ascii="宋体" w:hAnsi="宋体"/>
          <w:color w:val="auto"/>
          <w:szCs w:val="21"/>
          <w:highlight w:val="none"/>
        </w:rPr>
        <w:t>3、委托代理编号：</w:t>
      </w:r>
      <w:r>
        <w:rPr>
          <w:rFonts w:hint="eastAsia" w:ascii="宋体" w:hAnsi="宋体"/>
          <w:color w:val="auto"/>
          <w:szCs w:val="21"/>
          <w:highlight w:val="none"/>
          <w:u w:val="single"/>
          <w:lang w:val="en-US" w:eastAsia="zh-CN"/>
        </w:rPr>
        <w:t>LDZC-2026GK0036</w:t>
      </w:r>
    </w:p>
    <w:p w14:paraId="31D306F9">
      <w:pPr>
        <w:adjustRightInd w:val="0"/>
        <w:snapToGrid w:val="0"/>
        <w:spacing w:line="360" w:lineRule="auto"/>
        <w:ind w:firstLine="420" w:firstLineChars="200"/>
        <w:outlineLvl w:val="2"/>
        <w:rPr>
          <w:rFonts w:hint="eastAsia" w:ascii="宋体" w:hAnsi="宋体" w:eastAsia="宋体" w:cs="Times New Roman"/>
          <w:color w:val="auto"/>
          <w:szCs w:val="21"/>
          <w:highlight w:val="none"/>
        </w:rPr>
      </w:pPr>
      <w:r>
        <w:rPr>
          <w:rFonts w:hint="eastAsia" w:ascii="宋体" w:hAnsi="宋体"/>
          <w:color w:val="auto"/>
          <w:szCs w:val="21"/>
          <w:highlight w:val="none"/>
        </w:rPr>
        <w:t>4、采购项目预</w:t>
      </w:r>
      <w:r>
        <w:rPr>
          <w:rFonts w:hint="eastAsia" w:ascii="宋体" w:hAnsi="宋体" w:eastAsia="宋体" w:cs="Times New Roman"/>
          <w:color w:val="auto"/>
          <w:szCs w:val="21"/>
          <w:highlight w:val="none"/>
        </w:rPr>
        <w:t>算：</w:t>
      </w:r>
      <w:r>
        <w:rPr>
          <w:rFonts w:hint="eastAsia" w:ascii="宋体" w:hAnsi="宋体" w:eastAsia="宋体" w:cs="Times New Roman"/>
          <w:color w:val="auto"/>
          <w:szCs w:val="21"/>
          <w:highlight w:val="none"/>
          <w:lang w:val="en-US" w:eastAsia="zh-CN"/>
        </w:rPr>
        <w:t>1667000.00</w:t>
      </w:r>
      <w:r>
        <w:rPr>
          <w:rFonts w:hint="eastAsia" w:ascii="宋体" w:hAnsi="宋体" w:eastAsia="宋体" w:cs="Times New Roman"/>
          <w:color w:val="auto"/>
          <w:szCs w:val="21"/>
          <w:highlight w:val="none"/>
        </w:rPr>
        <w:t>元</w:t>
      </w:r>
    </w:p>
    <w:p w14:paraId="704C5F73">
      <w:pPr>
        <w:adjustRightInd w:val="0"/>
        <w:snapToGrid w:val="0"/>
        <w:spacing w:line="360" w:lineRule="auto"/>
        <w:ind w:firstLine="420" w:firstLineChars="200"/>
        <w:outlineLvl w:val="2"/>
        <w:rPr>
          <w:rFonts w:hint="default" w:ascii="宋体" w:hAnsi="宋体" w:eastAsia="宋体"/>
          <w:color w:val="auto"/>
          <w:szCs w:val="21"/>
          <w:highlight w:val="none"/>
          <w:u w:val="single"/>
          <w:lang w:val="en-US" w:eastAsia="zh-CN"/>
        </w:rPr>
      </w:pPr>
      <w:r>
        <w:rPr>
          <w:rFonts w:hint="eastAsia" w:ascii="宋体" w:hAnsi="宋体" w:eastAsia="宋体" w:cs="Times New Roman"/>
          <w:color w:val="auto"/>
          <w:szCs w:val="21"/>
          <w:highlight w:val="none"/>
          <w:lang w:val="en-US" w:eastAsia="zh-CN"/>
        </w:rPr>
        <w:t>最高限价：1457000.</w:t>
      </w:r>
      <w:r>
        <w:rPr>
          <w:rFonts w:hint="eastAsia" w:ascii="宋体" w:hAnsi="宋体"/>
          <w:color w:val="auto"/>
          <w:szCs w:val="21"/>
          <w:highlight w:val="none"/>
          <w:u w:val="none"/>
          <w:lang w:val="en-US" w:eastAsia="zh-CN"/>
        </w:rPr>
        <w:t>00元</w:t>
      </w:r>
    </w:p>
    <w:p w14:paraId="20566B73">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sym w:font="Wingdings" w:char="00A8"/>
      </w:r>
      <w:r>
        <w:rPr>
          <w:rFonts w:hint="eastAsia" w:ascii="宋体" w:hAnsi="宋体"/>
          <w:color w:val="auto"/>
          <w:szCs w:val="21"/>
          <w:highlight w:val="none"/>
        </w:rPr>
        <w:t>支持预付款，预付比例：</w:t>
      </w:r>
      <w:r>
        <w:rPr>
          <w:rFonts w:hint="eastAsia" w:ascii="宋体" w:hAnsi="宋体"/>
          <w:color w:val="auto"/>
          <w:szCs w:val="21"/>
          <w:highlight w:val="none"/>
          <w:u w:val="single"/>
        </w:rPr>
        <w:t xml:space="preserve">  /  </w:t>
      </w:r>
    </w:p>
    <w:p w14:paraId="2BB8BB13">
      <w:pPr>
        <w:adjustRightInd w:val="0"/>
        <w:snapToGrid w:val="0"/>
        <w:spacing w:line="360" w:lineRule="auto"/>
        <w:ind w:firstLine="420" w:firstLineChars="200"/>
        <w:outlineLvl w:val="2"/>
        <w:rPr>
          <w:rFonts w:ascii="宋体" w:hAnsi="宋体"/>
          <w:color w:val="auto"/>
          <w:szCs w:val="21"/>
          <w:highlight w:val="none"/>
        </w:rPr>
      </w:pPr>
      <w:r>
        <w:rPr>
          <w:rFonts w:hint="eastAsia" w:ascii="宋体" w:hAnsi="宋体"/>
          <w:color w:val="auto"/>
          <w:szCs w:val="21"/>
          <w:highlight w:val="none"/>
        </w:rPr>
        <w:t>5、本项目对应的中小企业划分标准所属行业：</w:t>
      </w:r>
      <w:r>
        <w:rPr>
          <w:rFonts w:hint="eastAsia" w:ascii="宋体" w:hAnsi="宋体"/>
          <w:color w:val="auto"/>
          <w:szCs w:val="21"/>
          <w:highlight w:val="none"/>
          <w:u w:val="single"/>
        </w:rPr>
        <w:t xml:space="preserve"> </w:t>
      </w:r>
      <w:r>
        <w:rPr>
          <w:rFonts w:hint="eastAsia" w:ascii="宋体" w:hAnsi="宋体"/>
          <w:color w:val="auto"/>
          <w:szCs w:val="21"/>
          <w:highlight w:val="none"/>
          <w:u w:val="single"/>
          <w:lang w:val="en-US" w:eastAsia="zh-CN"/>
        </w:rPr>
        <w:t xml:space="preserve"> 工业  </w:t>
      </w:r>
    </w:p>
    <w:p w14:paraId="3456410B">
      <w:pPr>
        <w:adjustRightInd w:val="0"/>
        <w:snapToGrid w:val="0"/>
        <w:spacing w:line="360" w:lineRule="auto"/>
        <w:ind w:firstLine="420" w:firstLineChars="200"/>
        <w:outlineLvl w:val="2"/>
        <w:rPr>
          <w:rFonts w:ascii="宋体" w:hAnsi="宋体"/>
          <w:bCs/>
          <w:color w:val="auto"/>
          <w:szCs w:val="21"/>
          <w:highlight w:val="none"/>
          <w:u w:val="single"/>
        </w:rPr>
      </w:pPr>
      <w:r>
        <w:rPr>
          <w:rFonts w:hint="eastAsia" w:ascii="宋体" w:hAnsi="宋体"/>
          <w:bCs/>
          <w:color w:val="auto"/>
          <w:szCs w:val="21"/>
          <w:highlight w:val="none"/>
        </w:rPr>
        <w:t>6、评标方法：</w:t>
      </w:r>
      <w:r>
        <w:rPr>
          <w:rFonts w:hint="eastAsia" w:ascii="宋体" w:hAnsi="宋体"/>
          <w:color w:val="auto"/>
          <w:szCs w:val="21"/>
          <w:highlight w:val="none"/>
        </w:rPr>
        <w:sym w:font="Wingdings" w:char="00FE"/>
      </w:r>
      <w:r>
        <w:rPr>
          <w:rFonts w:hint="eastAsia" w:ascii="宋体" w:hAnsi="宋体"/>
          <w:iCs/>
          <w:color w:val="auto"/>
          <w:szCs w:val="21"/>
          <w:highlight w:val="none"/>
        </w:rPr>
        <w:t xml:space="preserve">综合评分法  </w:t>
      </w:r>
      <w:r>
        <w:rPr>
          <w:rFonts w:hint="eastAsia" w:ascii="宋体" w:hAnsi="宋体"/>
          <w:iCs/>
          <w:color w:val="auto"/>
          <w:szCs w:val="21"/>
          <w:highlight w:val="none"/>
        </w:rPr>
        <w:sym w:font="Wingdings" w:char="00A8"/>
      </w:r>
      <w:r>
        <w:rPr>
          <w:rFonts w:hint="eastAsia" w:ascii="宋体" w:hAnsi="宋体"/>
          <w:iCs/>
          <w:color w:val="auto"/>
          <w:szCs w:val="21"/>
          <w:highlight w:val="none"/>
        </w:rPr>
        <w:t>最低价法</w:t>
      </w:r>
    </w:p>
    <w:p w14:paraId="45268AE9">
      <w:pPr>
        <w:adjustRightInd w:val="0"/>
        <w:snapToGrid w:val="0"/>
        <w:spacing w:line="360" w:lineRule="auto"/>
        <w:ind w:firstLine="420" w:firstLineChars="200"/>
        <w:outlineLvl w:val="2"/>
        <w:rPr>
          <w:rFonts w:hint="eastAsia" w:ascii="宋体" w:hAnsi="宋体"/>
          <w:iCs/>
          <w:color w:val="auto"/>
          <w:szCs w:val="21"/>
          <w:highlight w:val="none"/>
        </w:rPr>
      </w:pPr>
      <w:r>
        <w:rPr>
          <w:rFonts w:hint="eastAsia" w:ascii="宋体" w:hAnsi="宋体"/>
          <w:iCs/>
          <w:color w:val="auto"/>
          <w:szCs w:val="21"/>
          <w:highlight w:val="none"/>
        </w:rPr>
        <w:t>7、合同定价方式：</w:t>
      </w:r>
      <w:r>
        <w:rPr>
          <w:rFonts w:hint="eastAsia" w:ascii="宋体" w:hAnsi="宋体"/>
          <w:iCs/>
          <w:color w:val="auto"/>
          <w:szCs w:val="21"/>
          <w:highlight w:val="none"/>
        </w:rPr>
        <w:sym w:font="Wingdings" w:char="00FE"/>
      </w:r>
      <w:r>
        <w:rPr>
          <w:rFonts w:hint="eastAsia" w:ascii="宋体" w:hAnsi="宋体"/>
          <w:iCs/>
          <w:color w:val="auto"/>
          <w:szCs w:val="21"/>
          <w:highlight w:val="none"/>
        </w:rPr>
        <w:t xml:space="preserve">固定总价  </w:t>
      </w:r>
      <w:r>
        <w:rPr>
          <w:rFonts w:hint="eastAsia" w:ascii="宋体" w:hAnsi="宋体"/>
          <w:iCs/>
          <w:color w:val="auto"/>
          <w:szCs w:val="21"/>
          <w:highlight w:val="none"/>
        </w:rPr>
        <w:sym w:font="Wingdings" w:char="00FE"/>
      </w:r>
      <w:r>
        <w:rPr>
          <w:rFonts w:hint="eastAsia" w:ascii="宋体" w:hAnsi="宋体"/>
          <w:iCs/>
          <w:color w:val="auto"/>
          <w:szCs w:val="21"/>
          <w:highlight w:val="none"/>
        </w:rPr>
        <w:t xml:space="preserve">固定单价  </w:t>
      </w:r>
      <w:r>
        <w:rPr>
          <w:rFonts w:hint="eastAsia" w:ascii="宋体" w:hAnsi="宋体"/>
          <w:iCs/>
          <w:color w:val="auto"/>
          <w:szCs w:val="21"/>
          <w:highlight w:val="none"/>
        </w:rPr>
        <w:sym w:font="Wingdings" w:char="00A8"/>
      </w:r>
      <w:r>
        <w:rPr>
          <w:rFonts w:hint="eastAsia" w:ascii="宋体" w:hAnsi="宋体"/>
          <w:iCs/>
          <w:color w:val="auto"/>
          <w:szCs w:val="21"/>
          <w:highlight w:val="none"/>
        </w:rPr>
        <w:t xml:space="preserve">成本补偿  </w:t>
      </w:r>
      <w:r>
        <w:rPr>
          <w:rFonts w:hint="eastAsia" w:ascii="宋体" w:hAnsi="宋体"/>
          <w:iCs/>
          <w:color w:val="auto"/>
          <w:szCs w:val="21"/>
          <w:highlight w:val="none"/>
        </w:rPr>
        <w:sym w:font="Wingdings" w:char="00A8"/>
      </w:r>
      <w:r>
        <w:rPr>
          <w:rFonts w:hint="eastAsia" w:ascii="宋体" w:hAnsi="宋体"/>
          <w:iCs/>
          <w:color w:val="auto"/>
          <w:szCs w:val="21"/>
          <w:highlight w:val="none"/>
        </w:rPr>
        <w:t>绩效激励</w:t>
      </w:r>
    </w:p>
    <w:p w14:paraId="6A0BDC64">
      <w:pPr>
        <w:adjustRightInd w:val="0"/>
        <w:snapToGrid w:val="0"/>
        <w:spacing w:line="360" w:lineRule="auto"/>
        <w:ind w:firstLine="420" w:firstLineChars="200"/>
        <w:outlineLvl w:val="2"/>
        <w:rPr>
          <w:rFonts w:hint="eastAsia" w:ascii="宋体" w:hAnsi="宋体" w:eastAsia="宋体" w:cs="Times New Roman"/>
          <w:color w:val="auto"/>
          <w:szCs w:val="21"/>
          <w:highlight w:val="none"/>
          <w:lang w:val="en-US" w:eastAsia="zh-CN"/>
        </w:rPr>
      </w:pPr>
      <w:r>
        <w:rPr>
          <w:rFonts w:hint="eastAsia" w:ascii="宋体" w:hAnsi="宋体" w:eastAsia="宋体" w:cs="Times New Roman"/>
          <w:color w:val="auto"/>
          <w:szCs w:val="21"/>
          <w:highlight w:val="none"/>
        </w:rPr>
        <w:t>8、合同履行期限：按合同约定的日期交货</w:t>
      </w:r>
      <w:r>
        <w:rPr>
          <w:rFonts w:hint="eastAsia" w:ascii="宋体" w:hAnsi="宋体" w:cs="Times New Roman"/>
          <w:color w:val="auto"/>
          <w:szCs w:val="21"/>
          <w:highlight w:val="none"/>
          <w:lang w:eastAsia="zh-CN"/>
        </w:rPr>
        <w:t>。</w:t>
      </w:r>
    </w:p>
    <w:p w14:paraId="15640A1E">
      <w:pPr>
        <w:adjustRightInd w:val="0"/>
        <w:snapToGrid w:val="0"/>
        <w:spacing w:line="360" w:lineRule="auto"/>
        <w:ind w:firstLine="420" w:firstLineChars="200"/>
        <w:outlineLvl w:val="2"/>
        <w:rPr>
          <w:rFonts w:ascii="宋体" w:hAnsi="宋体"/>
          <w:color w:val="auto"/>
          <w:szCs w:val="21"/>
          <w:highlight w:val="none"/>
        </w:rPr>
      </w:pPr>
      <w:r>
        <w:rPr>
          <w:rFonts w:hint="eastAsia" w:ascii="宋体" w:hAnsi="宋体"/>
          <w:color w:val="auto"/>
          <w:szCs w:val="21"/>
          <w:highlight w:val="none"/>
        </w:rPr>
        <w:t>9、本项目分阶段要求投标人提供以下保证：</w:t>
      </w:r>
    </w:p>
    <w:p w14:paraId="26102ED7">
      <w:pPr>
        <w:adjustRightInd w:val="0"/>
        <w:snapToGrid w:val="0"/>
        <w:spacing w:line="360" w:lineRule="auto"/>
        <w:ind w:firstLine="630" w:firstLineChars="300"/>
        <w:rPr>
          <w:rFonts w:ascii="宋体" w:hAnsi="宋体"/>
          <w:color w:val="auto"/>
          <w:szCs w:val="21"/>
          <w:highlight w:val="none"/>
        </w:rPr>
      </w:pPr>
      <w:r>
        <w:rPr>
          <w:rFonts w:hint="eastAsia" w:ascii="宋体" w:hAnsi="宋体"/>
          <w:color w:val="auto"/>
          <w:szCs w:val="21"/>
          <w:highlight w:val="none"/>
        </w:rPr>
        <w:sym w:font="Wingdings" w:char="00A8"/>
      </w:r>
      <w:r>
        <w:rPr>
          <w:rFonts w:hint="eastAsia" w:ascii="宋体" w:hAnsi="宋体"/>
          <w:color w:val="auto"/>
          <w:szCs w:val="21"/>
          <w:highlight w:val="none"/>
        </w:rPr>
        <w:t xml:space="preserve">投标保证金：采购项目预算的 </w:t>
      </w:r>
      <w:r>
        <w:rPr>
          <w:rFonts w:hint="eastAsia" w:ascii="宋体" w:hAnsi="宋体"/>
          <w:color w:val="auto"/>
          <w:szCs w:val="21"/>
          <w:highlight w:val="none"/>
          <w:u w:val="single"/>
        </w:rPr>
        <w:t xml:space="preserve"> / </w:t>
      </w:r>
      <w:r>
        <w:rPr>
          <w:rFonts w:hint="eastAsia" w:ascii="宋体" w:hAnsi="宋体"/>
          <w:color w:val="auto"/>
          <w:szCs w:val="21"/>
          <w:highlight w:val="none"/>
        </w:rPr>
        <w:t>%</w:t>
      </w:r>
    </w:p>
    <w:p w14:paraId="57A0C6FA">
      <w:pPr>
        <w:adjustRightInd w:val="0"/>
        <w:snapToGrid w:val="0"/>
        <w:spacing w:line="360" w:lineRule="auto"/>
        <w:ind w:firstLine="630" w:firstLineChars="300"/>
        <w:rPr>
          <w:rFonts w:ascii="宋体" w:hAnsi="宋体"/>
          <w:color w:val="auto"/>
          <w:szCs w:val="21"/>
          <w:highlight w:val="none"/>
        </w:rPr>
      </w:pPr>
      <w:r>
        <w:rPr>
          <w:rFonts w:hint="eastAsia" w:ascii="宋体" w:hAnsi="宋体"/>
          <w:color w:val="auto"/>
          <w:szCs w:val="21"/>
          <w:highlight w:val="none"/>
        </w:rPr>
        <w:sym w:font="Wingdings" w:char="00A8"/>
      </w:r>
      <w:r>
        <w:rPr>
          <w:rFonts w:hint="eastAsia" w:ascii="宋体" w:hAnsi="宋体"/>
          <w:color w:val="auto"/>
          <w:szCs w:val="21"/>
          <w:highlight w:val="none"/>
        </w:rPr>
        <w:t xml:space="preserve">履约保证金：中标金额的 </w:t>
      </w:r>
      <w:r>
        <w:rPr>
          <w:rFonts w:hint="eastAsia" w:ascii="宋体" w:hAnsi="宋体"/>
          <w:color w:val="auto"/>
          <w:szCs w:val="21"/>
          <w:highlight w:val="none"/>
          <w:u w:val="single"/>
        </w:rPr>
        <w:t xml:space="preserve"> / </w:t>
      </w:r>
      <w:r>
        <w:rPr>
          <w:rFonts w:hint="eastAsia" w:ascii="宋体" w:hAnsi="宋体"/>
          <w:color w:val="auto"/>
          <w:szCs w:val="21"/>
          <w:highlight w:val="none"/>
        </w:rPr>
        <w:t xml:space="preserve"> %</w:t>
      </w:r>
    </w:p>
    <w:p w14:paraId="02B7C09A">
      <w:pPr>
        <w:pStyle w:val="102"/>
        <w:spacing w:line="360" w:lineRule="auto"/>
        <w:ind w:left="0" w:leftChars="0" w:firstLine="630" w:firstLineChars="300"/>
        <w:rPr>
          <w:rFonts w:ascii="宋体" w:hAnsi="宋体"/>
          <w:color w:val="auto"/>
          <w:sz w:val="21"/>
          <w:szCs w:val="21"/>
          <w:highlight w:val="none"/>
        </w:rPr>
      </w:pPr>
      <w:r>
        <w:rPr>
          <w:rFonts w:hint="eastAsia" w:ascii="宋体" w:hAnsi="宋体"/>
          <w:iCs/>
          <w:color w:val="auto"/>
          <w:sz w:val="21"/>
          <w:szCs w:val="21"/>
          <w:highlight w:val="none"/>
        </w:rPr>
        <w:sym w:font="Wingdings" w:char="00A8"/>
      </w:r>
      <w:r>
        <w:rPr>
          <w:rFonts w:hint="eastAsia" w:ascii="宋体" w:hAnsi="宋体"/>
          <w:color w:val="auto"/>
          <w:sz w:val="21"/>
          <w:szCs w:val="21"/>
          <w:highlight w:val="none"/>
        </w:rPr>
        <w:t>预付款保证金：预付款的</w:t>
      </w:r>
      <w:r>
        <w:rPr>
          <w:rFonts w:hint="eastAsia" w:ascii="宋体" w:hAnsi="宋体"/>
          <w:color w:val="auto"/>
          <w:sz w:val="21"/>
          <w:szCs w:val="21"/>
          <w:highlight w:val="none"/>
          <w:u w:val="single"/>
        </w:rPr>
        <w:t xml:space="preserve">  /  </w:t>
      </w:r>
      <w:r>
        <w:rPr>
          <w:rFonts w:hint="eastAsia" w:ascii="宋体" w:hAnsi="宋体"/>
          <w:color w:val="auto"/>
          <w:sz w:val="21"/>
          <w:szCs w:val="21"/>
          <w:highlight w:val="none"/>
        </w:rPr>
        <w:t>%</w:t>
      </w:r>
    </w:p>
    <w:p w14:paraId="11A032D6">
      <w:pPr>
        <w:pStyle w:val="102"/>
        <w:spacing w:line="360" w:lineRule="auto"/>
        <w:ind w:firstLine="630" w:firstLineChars="300"/>
        <w:rPr>
          <w:rFonts w:ascii="宋体" w:hAnsi="宋体"/>
          <w:iCs/>
          <w:color w:val="auto"/>
          <w:sz w:val="21"/>
          <w:szCs w:val="21"/>
          <w:highlight w:val="none"/>
        </w:rPr>
      </w:pPr>
      <w:r>
        <w:rPr>
          <w:rFonts w:hint="eastAsia" w:ascii="宋体" w:hAnsi="宋体"/>
          <w:iCs/>
          <w:color w:val="auto"/>
          <w:sz w:val="21"/>
          <w:szCs w:val="21"/>
          <w:highlight w:val="none"/>
        </w:rPr>
        <w:sym w:font="Wingdings" w:char="00A8"/>
      </w:r>
      <w:r>
        <w:rPr>
          <w:rFonts w:hint="eastAsia" w:ascii="宋体" w:hAnsi="宋体"/>
          <w:color w:val="auto"/>
          <w:sz w:val="21"/>
          <w:szCs w:val="21"/>
          <w:highlight w:val="none"/>
        </w:rPr>
        <w:t>质量保证金：</w:t>
      </w:r>
      <w:r>
        <w:rPr>
          <w:rFonts w:hint="eastAsia" w:ascii="宋体" w:hAnsi="宋体"/>
          <w:iCs/>
          <w:color w:val="auto"/>
          <w:sz w:val="21"/>
          <w:szCs w:val="21"/>
          <w:highlight w:val="none"/>
        </w:rPr>
        <w:t>中标金额的</w:t>
      </w:r>
      <w:r>
        <w:rPr>
          <w:rFonts w:hint="eastAsia" w:ascii="宋体" w:hAnsi="宋体"/>
          <w:iCs/>
          <w:color w:val="auto"/>
          <w:sz w:val="21"/>
          <w:szCs w:val="21"/>
          <w:highlight w:val="none"/>
          <w:u w:val="single"/>
        </w:rPr>
        <w:t xml:space="preserve">   /  </w:t>
      </w:r>
      <w:r>
        <w:rPr>
          <w:rFonts w:hint="eastAsia" w:ascii="宋体" w:hAnsi="宋体"/>
          <w:iCs/>
          <w:color w:val="auto"/>
          <w:sz w:val="21"/>
          <w:szCs w:val="21"/>
          <w:highlight w:val="none"/>
        </w:rPr>
        <w:t>%</w:t>
      </w:r>
      <w:r>
        <w:rPr>
          <w:rFonts w:hint="eastAsia" w:ascii="宋体" w:hAnsi="宋体"/>
          <w:color w:val="auto"/>
          <w:sz w:val="21"/>
          <w:szCs w:val="21"/>
          <w:highlight w:val="none"/>
        </w:rPr>
        <w:t>；</w:t>
      </w:r>
    </w:p>
    <w:p w14:paraId="658CC732">
      <w:pPr>
        <w:numPr>
          <w:ilvl w:val="0"/>
          <w:numId w:val="3"/>
        </w:numPr>
        <w:adjustRightInd w:val="0"/>
        <w:snapToGrid w:val="0"/>
        <w:spacing w:line="360" w:lineRule="auto"/>
        <w:ind w:firstLine="422" w:firstLineChars="200"/>
        <w:outlineLvl w:val="1"/>
        <w:rPr>
          <w:rFonts w:hint="eastAsia" w:ascii="宋体" w:hAnsi="宋体"/>
          <w:b/>
          <w:color w:val="auto"/>
          <w:szCs w:val="21"/>
          <w:highlight w:val="none"/>
        </w:rPr>
      </w:pPr>
      <w:bookmarkStart w:id="10" w:name="_Toc903059405"/>
      <w:r>
        <w:rPr>
          <w:rFonts w:hint="eastAsia" w:ascii="宋体" w:hAnsi="宋体"/>
          <w:b/>
          <w:color w:val="auto"/>
          <w:szCs w:val="21"/>
          <w:highlight w:val="none"/>
        </w:rPr>
        <w:t>采购人的采购需求</w:t>
      </w:r>
      <w:bookmarkEnd w:id="10"/>
    </w:p>
    <w:tbl>
      <w:tblPr>
        <w:tblStyle w:val="47"/>
        <w:tblW w:w="524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39"/>
        <w:gridCol w:w="666"/>
        <w:gridCol w:w="1534"/>
        <w:gridCol w:w="800"/>
        <w:gridCol w:w="2139"/>
        <w:gridCol w:w="1558"/>
        <w:gridCol w:w="783"/>
        <w:gridCol w:w="826"/>
      </w:tblGrid>
      <w:tr w14:paraId="61F7BD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1A5012">
            <w:pPr>
              <w:adjustRightInd w:val="0"/>
              <w:snapToGrid w:val="0"/>
              <w:spacing w:line="360" w:lineRule="auto"/>
              <w:jc w:val="center"/>
              <w:rPr>
                <w:rFonts w:hint="default" w:ascii="宋体" w:hAnsi="宋体" w:eastAsia="宋体" w:cs="Times New Roman"/>
                <w:color w:val="auto"/>
                <w:szCs w:val="21"/>
                <w:highlight w:val="none"/>
                <w:lang w:val="en-US" w:eastAsia="zh-CN"/>
              </w:rPr>
            </w:pPr>
            <w:r>
              <w:rPr>
                <w:rFonts w:hint="eastAsia" w:ascii="宋体" w:hAnsi="宋体" w:eastAsia="宋体" w:cs="Times New Roman"/>
                <w:color w:val="auto"/>
                <w:szCs w:val="21"/>
                <w:highlight w:val="none"/>
                <w:lang w:val="en-US" w:eastAsia="zh-CN"/>
              </w:rPr>
              <w:t>包号</w:t>
            </w:r>
          </w:p>
        </w:tc>
        <w:tc>
          <w:tcPr>
            <w:tcW w:w="3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F35D9A">
            <w:pPr>
              <w:adjustRightInd w:val="0"/>
              <w:snapToGrid w:val="0"/>
              <w:spacing w:line="360" w:lineRule="auto"/>
              <w:jc w:val="center"/>
              <w:rPr>
                <w:rFonts w:hint="eastAsia" w:ascii="宋体" w:hAnsi="宋体" w:eastAsia="宋体" w:cs="Times New Roman"/>
                <w:color w:val="auto"/>
                <w:szCs w:val="21"/>
                <w:highlight w:val="none"/>
                <w:lang w:val="en-US" w:eastAsia="zh-CN"/>
              </w:rPr>
            </w:pPr>
            <w:r>
              <w:rPr>
                <w:rFonts w:hint="eastAsia" w:ascii="宋体" w:hAnsi="宋体" w:eastAsia="宋体" w:cs="Times New Roman"/>
                <w:color w:val="auto"/>
                <w:szCs w:val="21"/>
                <w:highlight w:val="none"/>
                <w:lang w:val="en-US" w:eastAsia="zh-CN"/>
              </w:rPr>
              <w:t>序号</w:t>
            </w:r>
          </w:p>
        </w:tc>
        <w:tc>
          <w:tcPr>
            <w:tcW w:w="8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88AC38">
            <w:pPr>
              <w:adjustRightInd w:val="0"/>
              <w:snapToGrid w:val="0"/>
              <w:spacing w:line="360" w:lineRule="auto"/>
              <w:jc w:val="center"/>
              <w:rPr>
                <w:rFonts w:hint="eastAsia" w:ascii="宋体" w:hAnsi="宋体" w:eastAsia="宋体" w:cs="Times New Roman"/>
                <w:color w:val="auto"/>
                <w:szCs w:val="21"/>
                <w:highlight w:val="none"/>
              </w:rPr>
            </w:pPr>
            <w:r>
              <w:rPr>
                <w:rFonts w:hint="eastAsia" w:ascii="宋体" w:hAnsi="宋体" w:eastAsia="宋体" w:cs="Times New Roman"/>
                <w:color w:val="auto"/>
                <w:szCs w:val="21"/>
                <w:highlight w:val="none"/>
                <w:lang w:val="en-US" w:eastAsia="zh-CN"/>
              </w:rPr>
              <w:t>设备名称</w:t>
            </w:r>
          </w:p>
        </w:tc>
        <w:tc>
          <w:tcPr>
            <w:tcW w:w="4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7D2E19">
            <w:pPr>
              <w:adjustRightInd w:val="0"/>
              <w:snapToGrid w:val="0"/>
              <w:spacing w:line="360" w:lineRule="auto"/>
              <w:jc w:val="center"/>
              <w:rPr>
                <w:rFonts w:hint="default" w:ascii="宋体" w:hAnsi="宋体" w:eastAsia="宋体" w:cs="Times New Roman"/>
                <w:color w:val="auto"/>
                <w:szCs w:val="21"/>
                <w:highlight w:val="none"/>
                <w:lang w:val="en-US"/>
              </w:rPr>
            </w:pPr>
            <w:r>
              <w:rPr>
                <w:rFonts w:hint="eastAsia" w:ascii="宋体" w:hAnsi="宋体" w:eastAsia="宋体" w:cs="Times New Roman"/>
                <w:color w:val="auto"/>
                <w:szCs w:val="21"/>
                <w:highlight w:val="none"/>
                <w:lang w:val="en-US" w:eastAsia="zh-CN"/>
              </w:rPr>
              <w:t>数量（</w:t>
            </w:r>
            <w:r>
              <w:rPr>
                <w:rFonts w:hint="eastAsia" w:ascii="宋体" w:hAnsi="宋体" w:cs="Times New Roman"/>
                <w:color w:val="auto"/>
                <w:szCs w:val="21"/>
                <w:highlight w:val="none"/>
                <w:lang w:val="en-US" w:eastAsia="zh-CN"/>
              </w:rPr>
              <w:t>套</w:t>
            </w:r>
            <w:r>
              <w:rPr>
                <w:rFonts w:hint="eastAsia" w:ascii="宋体" w:hAnsi="宋体" w:eastAsia="宋体" w:cs="Times New Roman"/>
                <w:color w:val="auto"/>
                <w:szCs w:val="21"/>
                <w:highlight w:val="none"/>
                <w:lang w:val="en-US" w:eastAsia="zh-CN"/>
              </w:rPr>
              <w:t>）</w:t>
            </w:r>
          </w:p>
        </w:tc>
        <w:tc>
          <w:tcPr>
            <w:tcW w:w="1195" w:type="pct"/>
            <w:tcBorders>
              <w:top w:val="single" w:color="000000" w:sz="4" w:space="0"/>
              <w:left w:val="single" w:color="000000" w:sz="4" w:space="0"/>
              <w:bottom w:val="single" w:color="auto" w:sz="4" w:space="0"/>
              <w:right w:val="single" w:color="auto" w:sz="4" w:space="0"/>
            </w:tcBorders>
            <w:shd w:val="clear" w:color="auto" w:fill="auto"/>
            <w:vAlign w:val="center"/>
          </w:tcPr>
          <w:p w14:paraId="52541375">
            <w:pPr>
              <w:adjustRightInd w:val="0"/>
              <w:snapToGrid w:val="0"/>
              <w:spacing w:line="360" w:lineRule="auto"/>
              <w:jc w:val="center"/>
              <w:rPr>
                <w:rFonts w:hint="eastAsia" w:ascii="宋体" w:hAnsi="宋体" w:eastAsia="宋体" w:cs="Times New Roman"/>
                <w:color w:val="auto"/>
                <w:szCs w:val="21"/>
                <w:highlight w:val="none"/>
              </w:rPr>
            </w:pPr>
            <w:r>
              <w:rPr>
                <w:rFonts w:hint="eastAsia" w:ascii="宋体" w:hAnsi="宋体" w:cs="宋体"/>
                <w:color w:val="auto"/>
                <w:kern w:val="0"/>
                <w:highlight w:val="none"/>
              </w:rPr>
              <w:t>包名称/标的名称</w:t>
            </w:r>
          </w:p>
        </w:tc>
        <w:tc>
          <w:tcPr>
            <w:tcW w:w="870" w:type="pct"/>
            <w:tcBorders>
              <w:top w:val="single" w:color="000000" w:sz="4" w:space="0"/>
              <w:left w:val="single" w:color="auto" w:sz="4" w:space="0"/>
              <w:bottom w:val="single" w:color="000000" w:sz="4" w:space="0"/>
              <w:right w:val="single" w:color="000000" w:sz="4" w:space="0"/>
            </w:tcBorders>
            <w:shd w:val="clear" w:color="auto" w:fill="auto"/>
            <w:vAlign w:val="center"/>
          </w:tcPr>
          <w:p w14:paraId="2A2E2CB4">
            <w:pPr>
              <w:adjustRightInd w:val="0"/>
              <w:snapToGrid w:val="0"/>
              <w:spacing w:line="360" w:lineRule="auto"/>
              <w:jc w:val="center"/>
              <w:rPr>
                <w:rFonts w:hint="eastAsia" w:ascii="宋体" w:hAnsi="宋体" w:eastAsia="宋体" w:cs="Times New Roman"/>
                <w:color w:val="auto"/>
                <w:szCs w:val="21"/>
                <w:highlight w:val="none"/>
                <w:lang w:val="en-US" w:eastAsia="zh-CN"/>
              </w:rPr>
            </w:pPr>
            <w:r>
              <w:rPr>
                <w:rFonts w:hint="eastAsia" w:ascii="宋体" w:hAnsi="宋体" w:eastAsia="宋体" w:cs="Times New Roman"/>
                <w:color w:val="auto"/>
                <w:szCs w:val="21"/>
                <w:highlight w:val="none"/>
                <w:lang w:val="en-US" w:eastAsia="zh-CN"/>
              </w:rPr>
              <w:t>最高限价（元）</w:t>
            </w:r>
          </w:p>
        </w:tc>
        <w:tc>
          <w:tcPr>
            <w:tcW w:w="4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AC6A72">
            <w:pPr>
              <w:adjustRightInd w:val="0"/>
              <w:snapToGrid w:val="0"/>
              <w:spacing w:line="360" w:lineRule="auto"/>
              <w:jc w:val="center"/>
              <w:rPr>
                <w:rFonts w:hint="default" w:ascii="宋体" w:hAnsi="宋体" w:eastAsia="宋体" w:cs="Times New Roman"/>
                <w:color w:val="auto"/>
                <w:szCs w:val="21"/>
                <w:highlight w:val="none"/>
                <w:lang w:val="en-US"/>
              </w:rPr>
            </w:pPr>
            <w:r>
              <w:rPr>
                <w:rFonts w:hint="eastAsia" w:ascii="宋体" w:hAnsi="宋体" w:eastAsia="宋体" w:cs="Times New Roman"/>
                <w:color w:val="auto"/>
                <w:szCs w:val="21"/>
                <w:highlight w:val="none"/>
                <w:lang w:val="en-US" w:eastAsia="zh-CN"/>
              </w:rPr>
              <w:t>节能产品</w:t>
            </w:r>
          </w:p>
        </w:tc>
        <w:tc>
          <w:tcPr>
            <w:tcW w:w="461" w:type="pct"/>
            <w:tcBorders>
              <w:top w:val="single" w:color="000000" w:sz="4" w:space="0"/>
              <w:left w:val="single" w:color="000000" w:sz="4" w:space="0"/>
              <w:bottom w:val="single" w:color="000000" w:sz="4" w:space="0"/>
              <w:right w:val="single" w:color="auto" w:sz="4" w:space="0"/>
            </w:tcBorders>
            <w:shd w:val="clear" w:color="auto" w:fill="auto"/>
            <w:vAlign w:val="center"/>
          </w:tcPr>
          <w:p w14:paraId="35FE1943">
            <w:pPr>
              <w:adjustRightInd w:val="0"/>
              <w:snapToGrid w:val="0"/>
              <w:spacing w:line="360" w:lineRule="auto"/>
              <w:jc w:val="center"/>
              <w:rPr>
                <w:rFonts w:hint="default" w:ascii="宋体" w:hAnsi="宋体" w:eastAsia="宋体" w:cs="Times New Roman"/>
                <w:color w:val="auto"/>
                <w:szCs w:val="21"/>
                <w:highlight w:val="none"/>
                <w:lang w:val="en-US" w:eastAsia="zh-CN"/>
              </w:rPr>
            </w:pPr>
            <w:r>
              <w:rPr>
                <w:rFonts w:hint="eastAsia" w:ascii="宋体" w:hAnsi="宋体" w:eastAsia="宋体" w:cs="Times New Roman"/>
                <w:color w:val="auto"/>
                <w:szCs w:val="21"/>
                <w:highlight w:val="none"/>
                <w:lang w:val="en-US" w:eastAsia="zh-CN"/>
              </w:rPr>
              <w:t>进口产品</w:t>
            </w:r>
          </w:p>
        </w:tc>
      </w:tr>
      <w:tr w14:paraId="1799D0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70" w:hRule="atLeast"/>
        </w:trPr>
        <w:tc>
          <w:tcPr>
            <w:tcW w:w="357" w:type="pct"/>
            <w:vMerge w:val="restart"/>
            <w:tcBorders>
              <w:top w:val="single" w:color="000000" w:sz="4" w:space="0"/>
              <w:left w:val="single" w:color="000000" w:sz="4" w:space="0"/>
              <w:right w:val="single" w:color="000000" w:sz="4" w:space="0"/>
            </w:tcBorders>
            <w:shd w:val="clear" w:color="auto" w:fill="auto"/>
            <w:vAlign w:val="center"/>
          </w:tcPr>
          <w:p w14:paraId="73E979E6">
            <w:pPr>
              <w:adjustRightInd w:val="0"/>
              <w:snapToGrid w:val="0"/>
              <w:spacing w:line="360" w:lineRule="auto"/>
              <w:ind w:firstLine="630" w:firstLineChars="300"/>
              <w:jc w:val="center"/>
              <w:rPr>
                <w:rFonts w:hint="default" w:ascii="宋体" w:hAnsi="宋体" w:eastAsia="宋体" w:cs="Times New Roman"/>
                <w:color w:val="auto"/>
                <w:szCs w:val="21"/>
                <w:highlight w:val="none"/>
                <w:lang w:val="en-US" w:eastAsia="zh-CN"/>
              </w:rPr>
            </w:pPr>
            <w:r>
              <w:rPr>
                <w:rFonts w:hint="eastAsia" w:ascii="宋体" w:hAnsi="宋体" w:cs="Times New Roman"/>
                <w:color w:val="auto"/>
                <w:szCs w:val="21"/>
                <w:highlight w:val="none"/>
                <w:lang w:val="en-US" w:eastAsia="zh-CN"/>
              </w:rPr>
              <w:t>11</w:t>
            </w:r>
          </w:p>
        </w:tc>
        <w:tc>
          <w:tcPr>
            <w:tcW w:w="3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7DB5BF">
            <w:pPr>
              <w:adjustRightInd w:val="0"/>
              <w:snapToGrid w:val="0"/>
              <w:spacing w:line="360" w:lineRule="auto"/>
              <w:jc w:val="center"/>
              <w:rPr>
                <w:rFonts w:hint="default" w:ascii="宋体" w:hAnsi="宋体" w:eastAsia="宋体" w:cs="Times New Roman"/>
                <w:color w:val="auto"/>
                <w:szCs w:val="21"/>
                <w:highlight w:val="none"/>
                <w:lang w:val="en-US" w:eastAsia="zh-CN"/>
              </w:rPr>
            </w:pPr>
            <w:r>
              <w:rPr>
                <w:rFonts w:hint="eastAsia" w:ascii="宋体" w:hAnsi="宋体" w:cs="Times New Roman"/>
                <w:color w:val="auto"/>
                <w:szCs w:val="21"/>
                <w:highlight w:val="none"/>
                <w:lang w:val="en-US" w:eastAsia="zh-CN"/>
              </w:rPr>
              <w:t>1</w:t>
            </w:r>
          </w:p>
        </w:tc>
        <w:tc>
          <w:tcPr>
            <w:tcW w:w="8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598962">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便携式彩色多普勒超声诊断仪</w:t>
            </w:r>
          </w:p>
        </w:tc>
        <w:tc>
          <w:tcPr>
            <w:tcW w:w="447" w:type="pct"/>
            <w:tcBorders>
              <w:top w:val="single" w:color="auto" w:sz="4" w:space="0"/>
              <w:left w:val="single" w:color="000000" w:sz="4" w:space="0"/>
              <w:bottom w:val="single" w:color="auto" w:sz="4" w:space="0"/>
              <w:right w:val="single" w:color="auto" w:sz="4" w:space="0"/>
            </w:tcBorders>
            <w:shd w:val="clear" w:color="auto" w:fill="auto"/>
            <w:vAlign w:val="center"/>
          </w:tcPr>
          <w:p w14:paraId="437C3E9A">
            <w:pPr>
              <w:keepNext w:val="0"/>
              <w:keepLines w:val="0"/>
              <w:widowControl/>
              <w:suppressLineNumbers w:val="0"/>
              <w:jc w:val="center"/>
              <w:textAlignment w:val="center"/>
              <w:rPr>
                <w:rFonts w:hint="eastAsia" w:ascii="宋体" w:hAnsi="宋体" w:eastAsia="宋体" w:cs="Times New Roman"/>
                <w:color w:val="auto"/>
                <w:szCs w:val="21"/>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1</w:t>
            </w:r>
          </w:p>
        </w:tc>
        <w:tc>
          <w:tcPr>
            <w:tcW w:w="1195" w:type="pct"/>
            <w:vMerge w:val="restart"/>
            <w:tcBorders>
              <w:top w:val="single" w:color="auto" w:sz="4" w:space="0"/>
              <w:left w:val="single" w:color="auto" w:sz="4" w:space="0"/>
              <w:right w:val="single" w:color="auto" w:sz="4" w:space="0"/>
            </w:tcBorders>
            <w:shd w:val="clear" w:color="auto" w:fill="auto"/>
            <w:vAlign w:val="center"/>
          </w:tcPr>
          <w:p w14:paraId="024D521F">
            <w:pPr>
              <w:adjustRightInd w:val="0"/>
              <w:snapToGrid w:val="0"/>
              <w:spacing w:line="360" w:lineRule="auto"/>
              <w:jc w:val="center"/>
              <w:rPr>
                <w:rFonts w:hint="eastAsia" w:ascii="宋体" w:hAnsi="宋体" w:eastAsia="宋体" w:cs="Times New Roman"/>
                <w:color w:val="auto"/>
                <w:szCs w:val="21"/>
                <w:highlight w:val="none"/>
                <w:lang w:val="en-US" w:eastAsia="zh-CN"/>
              </w:rPr>
            </w:pPr>
            <w:r>
              <w:rPr>
                <w:rFonts w:hint="eastAsia" w:ascii="宋体" w:hAnsi="宋体" w:eastAsia="宋体" w:cs="宋体"/>
                <w:i w:val="0"/>
                <w:iCs w:val="0"/>
                <w:color w:val="auto"/>
                <w:kern w:val="0"/>
                <w:sz w:val="22"/>
                <w:szCs w:val="22"/>
                <w:highlight w:val="none"/>
                <w:u w:val="none"/>
                <w:lang w:val="en-US" w:eastAsia="zh-CN" w:bidi="ar"/>
              </w:rPr>
              <w:t>便携式彩色多普勒超声诊断仪</w:t>
            </w:r>
            <w:r>
              <w:rPr>
                <w:rFonts w:hint="eastAsia" w:ascii="宋体" w:hAnsi="宋体" w:cs="宋体"/>
                <w:i w:val="0"/>
                <w:iCs w:val="0"/>
                <w:color w:val="auto"/>
                <w:kern w:val="0"/>
                <w:sz w:val="22"/>
                <w:szCs w:val="22"/>
                <w:highlight w:val="none"/>
                <w:u w:val="none"/>
                <w:lang w:val="en-US" w:eastAsia="zh-CN" w:bidi="ar"/>
              </w:rPr>
              <w:t>一批</w:t>
            </w:r>
          </w:p>
        </w:tc>
        <w:tc>
          <w:tcPr>
            <w:tcW w:w="870" w:type="pct"/>
            <w:tcBorders>
              <w:top w:val="single" w:color="000000" w:sz="4" w:space="0"/>
              <w:left w:val="single" w:color="auto" w:sz="4" w:space="0"/>
              <w:bottom w:val="single" w:color="000000" w:sz="4" w:space="0"/>
              <w:right w:val="single" w:color="000000" w:sz="4" w:space="0"/>
            </w:tcBorders>
            <w:shd w:val="clear" w:color="auto" w:fill="auto"/>
            <w:vAlign w:val="center"/>
          </w:tcPr>
          <w:p w14:paraId="56BC43E6">
            <w:pPr>
              <w:keepNext w:val="0"/>
              <w:keepLines w:val="0"/>
              <w:widowControl/>
              <w:suppressLineNumbers w:val="0"/>
              <w:jc w:val="center"/>
              <w:textAlignment w:val="center"/>
              <w:rPr>
                <w:rFonts w:hint="default" w:ascii="宋体" w:hAnsi="宋体" w:eastAsia="宋体" w:cs="Times New Roman"/>
                <w:color w:val="auto"/>
                <w:szCs w:val="21"/>
                <w:highlight w:val="none"/>
                <w:lang w:val="en-US" w:eastAsia="zh-CN"/>
              </w:rPr>
            </w:pPr>
            <w:r>
              <w:rPr>
                <w:rFonts w:hint="default" w:ascii="Calibri" w:hAnsi="Calibri" w:eastAsia="宋体" w:cs="Calibri"/>
                <w:i w:val="0"/>
                <w:iCs w:val="0"/>
                <w:color w:val="auto"/>
                <w:kern w:val="0"/>
                <w:sz w:val="21"/>
                <w:szCs w:val="21"/>
                <w:highlight w:val="none"/>
                <w:u w:val="none"/>
                <w:lang w:val="en-US" w:eastAsia="zh-CN" w:bidi="ar"/>
              </w:rPr>
              <w:t>26</w:t>
            </w:r>
            <w:r>
              <w:rPr>
                <w:rFonts w:hint="eastAsia" w:ascii="Calibri" w:hAnsi="Calibri" w:cs="Calibri"/>
                <w:i w:val="0"/>
                <w:iCs w:val="0"/>
                <w:color w:val="auto"/>
                <w:kern w:val="0"/>
                <w:sz w:val="21"/>
                <w:szCs w:val="21"/>
                <w:highlight w:val="none"/>
                <w:u w:val="none"/>
                <w:lang w:val="en-US" w:eastAsia="zh-CN" w:bidi="ar"/>
              </w:rPr>
              <w:t>0000</w:t>
            </w:r>
          </w:p>
        </w:tc>
        <w:tc>
          <w:tcPr>
            <w:tcW w:w="4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ED2934">
            <w:pPr>
              <w:adjustRightInd w:val="0"/>
              <w:snapToGrid w:val="0"/>
              <w:spacing w:line="360" w:lineRule="auto"/>
              <w:jc w:val="center"/>
              <w:rPr>
                <w:rFonts w:hint="eastAsia" w:ascii="宋体" w:hAnsi="宋体"/>
                <w:iCs/>
                <w:color w:val="auto"/>
                <w:highlight w:val="none"/>
              </w:rPr>
            </w:pPr>
            <w:r>
              <w:rPr>
                <w:rFonts w:hint="eastAsia" w:ascii="宋体" w:hAnsi="宋体"/>
                <w:iCs/>
                <w:color w:val="auto"/>
                <w:highlight w:val="none"/>
              </w:rPr>
              <w:sym w:font="Wingdings" w:char="00A8"/>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CE952A">
            <w:pPr>
              <w:adjustRightInd w:val="0"/>
              <w:snapToGrid w:val="0"/>
              <w:spacing w:line="360" w:lineRule="auto"/>
              <w:jc w:val="center"/>
              <w:rPr>
                <w:rFonts w:hint="eastAsia" w:ascii="宋体" w:hAnsi="宋体"/>
                <w:iCs/>
                <w:color w:val="auto"/>
                <w:highlight w:val="none"/>
              </w:rPr>
            </w:pPr>
            <w:r>
              <w:rPr>
                <w:rFonts w:hint="eastAsia" w:ascii="宋体" w:hAnsi="宋体"/>
                <w:iCs/>
                <w:color w:val="auto"/>
                <w:highlight w:val="none"/>
              </w:rPr>
              <w:sym w:font="Wingdings" w:char="00A8"/>
            </w:r>
          </w:p>
        </w:tc>
      </w:tr>
      <w:tr w14:paraId="641A39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70" w:hRule="atLeast"/>
        </w:trPr>
        <w:tc>
          <w:tcPr>
            <w:tcW w:w="357" w:type="pct"/>
            <w:vMerge w:val="continue"/>
            <w:tcBorders>
              <w:left w:val="single" w:color="000000" w:sz="4" w:space="0"/>
              <w:right w:val="single" w:color="000000" w:sz="4" w:space="0"/>
            </w:tcBorders>
            <w:shd w:val="clear" w:color="auto" w:fill="auto"/>
            <w:vAlign w:val="center"/>
          </w:tcPr>
          <w:p w14:paraId="26FC78AA">
            <w:pPr>
              <w:adjustRightInd w:val="0"/>
              <w:snapToGrid w:val="0"/>
              <w:spacing w:line="360" w:lineRule="auto"/>
              <w:ind w:firstLine="630" w:firstLineChars="300"/>
              <w:jc w:val="center"/>
              <w:rPr>
                <w:rFonts w:hint="eastAsia" w:ascii="宋体" w:hAnsi="宋体" w:eastAsia="宋体" w:cs="Times New Roman"/>
                <w:color w:val="auto"/>
                <w:szCs w:val="21"/>
                <w:highlight w:val="none"/>
                <w:lang w:val="en-US" w:eastAsia="zh-CN"/>
              </w:rPr>
            </w:pPr>
          </w:p>
        </w:tc>
        <w:tc>
          <w:tcPr>
            <w:tcW w:w="3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1AAB0B">
            <w:pPr>
              <w:adjustRightInd w:val="0"/>
              <w:snapToGrid w:val="0"/>
              <w:spacing w:line="360" w:lineRule="auto"/>
              <w:jc w:val="center"/>
              <w:rPr>
                <w:rFonts w:hint="default" w:ascii="宋体" w:hAnsi="宋体" w:eastAsia="宋体" w:cs="Times New Roman"/>
                <w:color w:val="auto"/>
                <w:szCs w:val="21"/>
                <w:highlight w:val="none"/>
                <w:lang w:val="en-US" w:eastAsia="zh-CN"/>
              </w:rPr>
            </w:pPr>
            <w:r>
              <w:rPr>
                <w:rFonts w:hint="eastAsia" w:ascii="宋体" w:hAnsi="宋体" w:cs="Times New Roman"/>
                <w:color w:val="auto"/>
                <w:szCs w:val="21"/>
                <w:highlight w:val="none"/>
                <w:lang w:val="en-US" w:eastAsia="zh-CN"/>
              </w:rPr>
              <w:t>2</w:t>
            </w:r>
          </w:p>
        </w:tc>
        <w:tc>
          <w:tcPr>
            <w:tcW w:w="8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83AF2A">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便携式彩色多普勒超声诊断仪</w:t>
            </w:r>
          </w:p>
        </w:tc>
        <w:tc>
          <w:tcPr>
            <w:tcW w:w="447" w:type="pct"/>
            <w:tcBorders>
              <w:top w:val="single" w:color="auto" w:sz="4" w:space="0"/>
              <w:left w:val="single" w:color="000000" w:sz="4" w:space="0"/>
              <w:bottom w:val="single" w:color="auto" w:sz="4" w:space="0"/>
              <w:right w:val="single" w:color="000000" w:sz="4" w:space="0"/>
            </w:tcBorders>
            <w:shd w:val="clear" w:color="auto" w:fill="auto"/>
            <w:vAlign w:val="center"/>
          </w:tcPr>
          <w:p w14:paraId="2672852F">
            <w:pPr>
              <w:keepNext w:val="0"/>
              <w:keepLines w:val="0"/>
              <w:widowControl/>
              <w:suppressLineNumbers w:val="0"/>
              <w:jc w:val="center"/>
              <w:textAlignment w:val="center"/>
              <w:rPr>
                <w:rFonts w:hint="eastAsia" w:ascii="宋体" w:hAnsi="宋体" w:eastAsia="宋体" w:cs="Times New Roman"/>
                <w:color w:val="auto"/>
                <w:szCs w:val="21"/>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1</w:t>
            </w:r>
          </w:p>
        </w:tc>
        <w:tc>
          <w:tcPr>
            <w:tcW w:w="1195" w:type="pct"/>
            <w:vMerge w:val="continue"/>
            <w:tcBorders>
              <w:left w:val="single" w:color="auto" w:sz="4" w:space="0"/>
              <w:right w:val="single" w:color="auto" w:sz="4" w:space="0"/>
            </w:tcBorders>
            <w:shd w:val="clear" w:color="auto" w:fill="auto"/>
            <w:vAlign w:val="center"/>
          </w:tcPr>
          <w:p w14:paraId="04310FF2">
            <w:pPr>
              <w:adjustRightInd w:val="0"/>
              <w:snapToGrid w:val="0"/>
              <w:spacing w:line="360" w:lineRule="auto"/>
              <w:jc w:val="center"/>
              <w:rPr>
                <w:rFonts w:hint="eastAsia" w:ascii="宋体" w:hAnsi="宋体" w:eastAsia="宋体" w:cs="Times New Roman"/>
                <w:color w:val="auto"/>
                <w:szCs w:val="21"/>
                <w:highlight w:val="none"/>
                <w:lang w:val="en-US" w:eastAsia="zh-CN"/>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8DBF24">
            <w:pPr>
              <w:keepNext w:val="0"/>
              <w:keepLines w:val="0"/>
              <w:widowControl/>
              <w:suppressLineNumbers w:val="0"/>
              <w:jc w:val="center"/>
              <w:textAlignment w:val="center"/>
              <w:rPr>
                <w:rFonts w:hint="default" w:ascii="宋体" w:hAnsi="宋体" w:eastAsia="宋体" w:cs="Times New Roman"/>
                <w:color w:val="auto"/>
                <w:szCs w:val="21"/>
                <w:highlight w:val="none"/>
                <w:lang w:val="en-US" w:eastAsia="zh-CN"/>
              </w:rPr>
            </w:pPr>
            <w:r>
              <w:rPr>
                <w:rFonts w:hint="default" w:ascii="Calibri" w:hAnsi="Calibri" w:eastAsia="宋体" w:cs="Calibri"/>
                <w:i w:val="0"/>
                <w:iCs w:val="0"/>
                <w:color w:val="auto"/>
                <w:kern w:val="0"/>
                <w:sz w:val="21"/>
                <w:szCs w:val="21"/>
                <w:highlight w:val="none"/>
                <w:u w:val="none"/>
                <w:lang w:val="en-US" w:eastAsia="zh-CN" w:bidi="ar"/>
              </w:rPr>
              <w:t>2</w:t>
            </w:r>
            <w:r>
              <w:rPr>
                <w:rFonts w:hint="eastAsia" w:ascii="Calibri" w:hAnsi="Calibri" w:cs="Calibri"/>
                <w:i w:val="0"/>
                <w:iCs w:val="0"/>
                <w:color w:val="auto"/>
                <w:kern w:val="0"/>
                <w:sz w:val="21"/>
                <w:szCs w:val="21"/>
                <w:highlight w:val="none"/>
                <w:u w:val="none"/>
                <w:lang w:val="en-US" w:eastAsia="zh-CN" w:bidi="ar"/>
              </w:rPr>
              <w:t>00000</w:t>
            </w:r>
          </w:p>
        </w:tc>
        <w:tc>
          <w:tcPr>
            <w:tcW w:w="4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F6C214">
            <w:pPr>
              <w:adjustRightInd w:val="0"/>
              <w:snapToGrid w:val="0"/>
              <w:spacing w:line="360" w:lineRule="auto"/>
              <w:jc w:val="center"/>
              <w:rPr>
                <w:rFonts w:hint="eastAsia" w:ascii="宋体" w:hAnsi="宋体"/>
                <w:iCs/>
                <w:color w:val="auto"/>
                <w:highlight w:val="none"/>
              </w:rPr>
            </w:pPr>
            <w:r>
              <w:rPr>
                <w:rFonts w:hint="eastAsia" w:ascii="宋体" w:hAnsi="宋体"/>
                <w:iCs/>
                <w:color w:val="auto"/>
                <w:highlight w:val="none"/>
              </w:rPr>
              <w:sym w:font="Wingdings" w:char="00A8"/>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3C4804">
            <w:pPr>
              <w:adjustRightInd w:val="0"/>
              <w:snapToGrid w:val="0"/>
              <w:spacing w:line="360" w:lineRule="auto"/>
              <w:jc w:val="center"/>
              <w:rPr>
                <w:rFonts w:hint="eastAsia" w:ascii="宋体" w:hAnsi="宋体"/>
                <w:iCs/>
                <w:color w:val="auto"/>
                <w:highlight w:val="none"/>
              </w:rPr>
            </w:pPr>
            <w:r>
              <w:rPr>
                <w:rFonts w:hint="eastAsia" w:ascii="宋体" w:hAnsi="宋体"/>
                <w:iCs/>
                <w:color w:val="auto"/>
                <w:highlight w:val="none"/>
              </w:rPr>
              <w:sym w:font="Wingdings" w:char="00A8"/>
            </w:r>
          </w:p>
        </w:tc>
      </w:tr>
      <w:tr w14:paraId="542C1D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70" w:hRule="atLeast"/>
        </w:trPr>
        <w:tc>
          <w:tcPr>
            <w:tcW w:w="357" w:type="pct"/>
            <w:vMerge w:val="continue"/>
            <w:tcBorders>
              <w:left w:val="single" w:color="000000" w:sz="4" w:space="0"/>
              <w:right w:val="single" w:color="000000" w:sz="4" w:space="0"/>
            </w:tcBorders>
            <w:shd w:val="clear" w:color="auto" w:fill="auto"/>
            <w:vAlign w:val="center"/>
          </w:tcPr>
          <w:p w14:paraId="026ED534">
            <w:pPr>
              <w:adjustRightInd w:val="0"/>
              <w:snapToGrid w:val="0"/>
              <w:spacing w:line="360" w:lineRule="auto"/>
              <w:ind w:firstLine="630" w:firstLineChars="300"/>
              <w:jc w:val="center"/>
              <w:rPr>
                <w:rFonts w:hint="eastAsia" w:ascii="宋体" w:hAnsi="宋体" w:eastAsia="宋体" w:cs="Times New Roman"/>
                <w:color w:val="auto"/>
                <w:szCs w:val="21"/>
                <w:highlight w:val="none"/>
                <w:lang w:val="en-US" w:eastAsia="zh-CN"/>
              </w:rPr>
            </w:pPr>
          </w:p>
        </w:tc>
        <w:tc>
          <w:tcPr>
            <w:tcW w:w="3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D7418F">
            <w:pPr>
              <w:adjustRightInd w:val="0"/>
              <w:snapToGrid w:val="0"/>
              <w:spacing w:line="360" w:lineRule="auto"/>
              <w:jc w:val="center"/>
              <w:rPr>
                <w:rFonts w:hint="default" w:ascii="宋体" w:hAnsi="宋体" w:eastAsia="宋体" w:cs="Times New Roman"/>
                <w:color w:val="auto"/>
                <w:szCs w:val="21"/>
                <w:highlight w:val="none"/>
                <w:lang w:val="en-US" w:eastAsia="zh-CN"/>
              </w:rPr>
            </w:pPr>
            <w:r>
              <w:rPr>
                <w:rFonts w:hint="eastAsia" w:ascii="宋体" w:hAnsi="宋体" w:cs="Times New Roman"/>
                <w:color w:val="auto"/>
                <w:szCs w:val="21"/>
                <w:highlight w:val="none"/>
                <w:lang w:val="en-US" w:eastAsia="zh-CN"/>
              </w:rPr>
              <w:t>3</w:t>
            </w:r>
          </w:p>
        </w:tc>
        <w:tc>
          <w:tcPr>
            <w:tcW w:w="8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BCD9B6">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便携式彩色多普勒超声诊断仪</w:t>
            </w:r>
          </w:p>
        </w:tc>
        <w:tc>
          <w:tcPr>
            <w:tcW w:w="447" w:type="pct"/>
            <w:tcBorders>
              <w:top w:val="single" w:color="auto" w:sz="4" w:space="0"/>
              <w:left w:val="single" w:color="000000" w:sz="4" w:space="0"/>
              <w:bottom w:val="single" w:color="auto" w:sz="4" w:space="0"/>
              <w:right w:val="single" w:color="000000" w:sz="4" w:space="0"/>
            </w:tcBorders>
            <w:shd w:val="clear" w:color="auto" w:fill="auto"/>
            <w:vAlign w:val="center"/>
          </w:tcPr>
          <w:p w14:paraId="69839315">
            <w:pPr>
              <w:keepNext w:val="0"/>
              <w:keepLines w:val="0"/>
              <w:widowControl/>
              <w:suppressLineNumbers w:val="0"/>
              <w:jc w:val="center"/>
              <w:textAlignment w:val="center"/>
              <w:rPr>
                <w:rFonts w:hint="eastAsia" w:ascii="宋体" w:hAnsi="宋体" w:eastAsia="宋体" w:cs="Times New Roman"/>
                <w:color w:val="auto"/>
                <w:szCs w:val="21"/>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1</w:t>
            </w:r>
          </w:p>
        </w:tc>
        <w:tc>
          <w:tcPr>
            <w:tcW w:w="1195" w:type="pct"/>
            <w:vMerge w:val="continue"/>
            <w:tcBorders>
              <w:left w:val="single" w:color="auto" w:sz="4" w:space="0"/>
              <w:right w:val="single" w:color="auto" w:sz="4" w:space="0"/>
            </w:tcBorders>
            <w:shd w:val="clear" w:color="auto" w:fill="auto"/>
            <w:vAlign w:val="center"/>
          </w:tcPr>
          <w:p w14:paraId="5711BD4C">
            <w:pPr>
              <w:adjustRightInd w:val="0"/>
              <w:snapToGrid w:val="0"/>
              <w:spacing w:line="360" w:lineRule="auto"/>
              <w:jc w:val="center"/>
              <w:rPr>
                <w:rFonts w:hint="eastAsia" w:ascii="宋体" w:hAnsi="宋体" w:eastAsia="宋体" w:cs="Times New Roman"/>
                <w:color w:val="auto"/>
                <w:szCs w:val="21"/>
                <w:highlight w:val="none"/>
                <w:lang w:val="en-US" w:eastAsia="zh-CN"/>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5C9816">
            <w:pPr>
              <w:keepNext w:val="0"/>
              <w:keepLines w:val="0"/>
              <w:widowControl/>
              <w:suppressLineNumbers w:val="0"/>
              <w:jc w:val="center"/>
              <w:textAlignment w:val="center"/>
              <w:rPr>
                <w:rFonts w:hint="default" w:ascii="宋体" w:hAnsi="宋体" w:eastAsia="宋体" w:cs="Times New Roman"/>
                <w:color w:val="auto"/>
                <w:szCs w:val="21"/>
                <w:highlight w:val="none"/>
                <w:lang w:val="en-US" w:eastAsia="zh-CN"/>
              </w:rPr>
            </w:pPr>
            <w:r>
              <w:rPr>
                <w:rFonts w:hint="default" w:ascii="Calibri" w:hAnsi="Calibri" w:eastAsia="宋体" w:cs="Calibri"/>
                <w:i w:val="0"/>
                <w:iCs w:val="0"/>
                <w:color w:val="auto"/>
                <w:kern w:val="0"/>
                <w:sz w:val="21"/>
                <w:szCs w:val="21"/>
                <w:highlight w:val="none"/>
                <w:u w:val="none"/>
                <w:lang w:val="en-US" w:eastAsia="zh-CN" w:bidi="ar"/>
              </w:rPr>
              <w:t>117</w:t>
            </w:r>
            <w:r>
              <w:rPr>
                <w:rFonts w:hint="eastAsia" w:ascii="Calibri" w:hAnsi="Calibri" w:cs="Calibri"/>
                <w:i w:val="0"/>
                <w:iCs w:val="0"/>
                <w:color w:val="auto"/>
                <w:kern w:val="0"/>
                <w:sz w:val="21"/>
                <w:szCs w:val="21"/>
                <w:highlight w:val="none"/>
                <w:u w:val="none"/>
                <w:lang w:val="en-US" w:eastAsia="zh-CN" w:bidi="ar"/>
              </w:rPr>
              <w:t>000</w:t>
            </w:r>
          </w:p>
        </w:tc>
        <w:tc>
          <w:tcPr>
            <w:tcW w:w="4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7CDAAE">
            <w:pPr>
              <w:adjustRightInd w:val="0"/>
              <w:snapToGrid w:val="0"/>
              <w:spacing w:line="360" w:lineRule="auto"/>
              <w:jc w:val="center"/>
              <w:rPr>
                <w:rFonts w:hint="eastAsia" w:ascii="宋体" w:hAnsi="宋体"/>
                <w:iCs/>
                <w:color w:val="auto"/>
                <w:highlight w:val="none"/>
              </w:rPr>
            </w:pPr>
            <w:r>
              <w:rPr>
                <w:rFonts w:hint="eastAsia" w:ascii="宋体" w:hAnsi="宋体"/>
                <w:iCs/>
                <w:color w:val="auto"/>
                <w:highlight w:val="none"/>
              </w:rPr>
              <w:sym w:font="Wingdings" w:char="00A8"/>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7EB020">
            <w:pPr>
              <w:adjustRightInd w:val="0"/>
              <w:snapToGrid w:val="0"/>
              <w:spacing w:line="360" w:lineRule="auto"/>
              <w:jc w:val="center"/>
              <w:rPr>
                <w:rFonts w:hint="eastAsia" w:ascii="宋体" w:hAnsi="宋体"/>
                <w:iCs/>
                <w:color w:val="auto"/>
                <w:highlight w:val="none"/>
              </w:rPr>
            </w:pPr>
            <w:r>
              <w:rPr>
                <w:rFonts w:hint="eastAsia" w:ascii="宋体" w:hAnsi="宋体"/>
                <w:iCs/>
                <w:color w:val="auto"/>
                <w:highlight w:val="none"/>
              </w:rPr>
              <w:sym w:font="Wingdings" w:char="00A8"/>
            </w:r>
          </w:p>
        </w:tc>
      </w:tr>
      <w:tr w14:paraId="7EB3B5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70" w:hRule="atLeast"/>
        </w:trPr>
        <w:tc>
          <w:tcPr>
            <w:tcW w:w="357" w:type="pct"/>
            <w:vMerge w:val="continue"/>
            <w:tcBorders>
              <w:left w:val="single" w:color="000000" w:sz="4" w:space="0"/>
              <w:right w:val="single" w:color="000000" w:sz="4" w:space="0"/>
            </w:tcBorders>
            <w:shd w:val="clear" w:color="auto" w:fill="auto"/>
            <w:vAlign w:val="center"/>
          </w:tcPr>
          <w:p w14:paraId="4A21F3F8">
            <w:pPr>
              <w:adjustRightInd w:val="0"/>
              <w:snapToGrid w:val="0"/>
              <w:spacing w:line="360" w:lineRule="auto"/>
              <w:ind w:firstLine="630" w:firstLineChars="300"/>
              <w:jc w:val="center"/>
              <w:rPr>
                <w:rFonts w:hint="eastAsia" w:ascii="宋体" w:hAnsi="宋体" w:eastAsia="宋体" w:cs="Times New Roman"/>
                <w:color w:val="auto"/>
                <w:szCs w:val="21"/>
                <w:highlight w:val="none"/>
                <w:lang w:val="en-US" w:eastAsia="zh-CN"/>
              </w:rPr>
            </w:pPr>
          </w:p>
        </w:tc>
        <w:tc>
          <w:tcPr>
            <w:tcW w:w="3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AE12D4">
            <w:pPr>
              <w:adjustRightInd w:val="0"/>
              <w:snapToGrid w:val="0"/>
              <w:spacing w:line="360" w:lineRule="auto"/>
              <w:jc w:val="center"/>
              <w:rPr>
                <w:rFonts w:hint="default" w:ascii="宋体" w:hAnsi="宋体" w:eastAsia="宋体" w:cs="Times New Roman"/>
                <w:color w:val="auto"/>
                <w:szCs w:val="21"/>
                <w:highlight w:val="none"/>
                <w:lang w:val="en-US" w:eastAsia="zh-CN"/>
              </w:rPr>
            </w:pPr>
            <w:r>
              <w:rPr>
                <w:rFonts w:hint="eastAsia" w:ascii="宋体" w:hAnsi="宋体" w:cs="Times New Roman"/>
                <w:color w:val="auto"/>
                <w:szCs w:val="21"/>
                <w:highlight w:val="none"/>
                <w:lang w:val="en-US" w:eastAsia="zh-CN"/>
              </w:rPr>
              <w:t>4</w:t>
            </w:r>
          </w:p>
        </w:tc>
        <w:tc>
          <w:tcPr>
            <w:tcW w:w="8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90B522">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便携式彩色多普勒超声诊断仪（心脏用）</w:t>
            </w:r>
          </w:p>
        </w:tc>
        <w:tc>
          <w:tcPr>
            <w:tcW w:w="447" w:type="pct"/>
            <w:tcBorders>
              <w:top w:val="single" w:color="auto" w:sz="4" w:space="0"/>
              <w:left w:val="single" w:color="000000" w:sz="4" w:space="0"/>
              <w:bottom w:val="single" w:color="auto" w:sz="4" w:space="0"/>
              <w:right w:val="single" w:color="000000" w:sz="4" w:space="0"/>
            </w:tcBorders>
            <w:shd w:val="clear" w:color="auto" w:fill="auto"/>
            <w:vAlign w:val="center"/>
          </w:tcPr>
          <w:p w14:paraId="17AE804E">
            <w:pPr>
              <w:keepNext w:val="0"/>
              <w:keepLines w:val="0"/>
              <w:widowControl/>
              <w:suppressLineNumbers w:val="0"/>
              <w:jc w:val="center"/>
              <w:textAlignment w:val="center"/>
              <w:rPr>
                <w:rFonts w:hint="eastAsia" w:ascii="宋体" w:hAnsi="宋体" w:eastAsia="宋体" w:cs="Times New Roman"/>
                <w:color w:val="auto"/>
                <w:szCs w:val="21"/>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1</w:t>
            </w:r>
          </w:p>
        </w:tc>
        <w:tc>
          <w:tcPr>
            <w:tcW w:w="1195" w:type="pct"/>
            <w:vMerge w:val="continue"/>
            <w:tcBorders>
              <w:left w:val="single" w:color="auto" w:sz="4" w:space="0"/>
              <w:right w:val="single" w:color="auto" w:sz="4" w:space="0"/>
            </w:tcBorders>
            <w:shd w:val="clear" w:color="auto" w:fill="auto"/>
            <w:vAlign w:val="center"/>
          </w:tcPr>
          <w:p w14:paraId="67029500">
            <w:pPr>
              <w:adjustRightInd w:val="0"/>
              <w:snapToGrid w:val="0"/>
              <w:spacing w:line="360" w:lineRule="auto"/>
              <w:jc w:val="center"/>
              <w:rPr>
                <w:rFonts w:hint="eastAsia" w:ascii="宋体" w:hAnsi="宋体" w:eastAsia="宋体" w:cs="Times New Roman"/>
                <w:color w:val="auto"/>
                <w:szCs w:val="21"/>
                <w:highlight w:val="none"/>
                <w:lang w:val="en-US" w:eastAsia="zh-CN"/>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A2DDB9">
            <w:pPr>
              <w:keepNext w:val="0"/>
              <w:keepLines w:val="0"/>
              <w:widowControl/>
              <w:suppressLineNumbers w:val="0"/>
              <w:jc w:val="center"/>
              <w:textAlignment w:val="center"/>
              <w:rPr>
                <w:rFonts w:hint="default" w:ascii="宋体" w:hAnsi="宋体" w:eastAsia="宋体" w:cs="Times New Roman"/>
                <w:color w:val="auto"/>
                <w:szCs w:val="21"/>
                <w:highlight w:val="none"/>
                <w:lang w:val="en-US" w:eastAsia="zh-CN"/>
              </w:rPr>
            </w:pPr>
            <w:r>
              <w:rPr>
                <w:rFonts w:hint="eastAsia" w:ascii="Calibri" w:hAnsi="Calibri" w:cs="Calibri"/>
                <w:i w:val="0"/>
                <w:iCs w:val="0"/>
                <w:color w:val="auto"/>
                <w:kern w:val="0"/>
                <w:sz w:val="21"/>
                <w:szCs w:val="21"/>
                <w:highlight w:val="none"/>
                <w:u w:val="none"/>
                <w:lang w:val="en-US" w:eastAsia="zh-CN" w:bidi="ar"/>
              </w:rPr>
              <w:t>480000</w:t>
            </w:r>
          </w:p>
        </w:tc>
        <w:tc>
          <w:tcPr>
            <w:tcW w:w="4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9A1EF1">
            <w:pPr>
              <w:adjustRightInd w:val="0"/>
              <w:snapToGrid w:val="0"/>
              <w:spacing w:line="360" w:lineRule="auto"/>
              <w:jc w:val="center"/>
              <w:rPr>
                <w:rFonts w:hint="eastAsia" w:ascii="宋体" w:hAnsi="宋体"/>
                <w:iCs/>
                <w:color w:val="auto"/>
                <w:highlight w:val="none"/>
              </w:rPr>
            </w:pPr>
            <w:r>
              <w:rPr>
                <w:rFonts w:hint="eastAsia" w:ascii="宋体" w:hAnsi="宋体"/>
                <w:iCs/>
                <w:color w:val="auto"/>
                <w:highlight w:val="none"/>
              </w:rPr>
              <w:sym w:font="Wingdings" w:char="00A8"/>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DD9D31">
            <w:pPr>
              <w:adjustRightInd w:val="0"/>
              <w:snapToGrid w:val="0"/>
              <w:spacing w:line="360" w:lineRule="auto"/>
              <w:jc w:val="center"/>
              <w:rPr>
                <w:rFonts w:hint="eastAsia" w:ascii="宋体" w:hAnsi="宋体"/>
                <w:iCs/>
                <w:color w:val="auto"/>
                <w:highlight w:val="none"/>
              </w:rPr>
            </w:pPr>
            <w:r>
              <w:rPr>
                <w:rFonts w:hint="eastAsia" w:ascii="宋体" w:hAnsi="宋体"/>
                <w:iCs/>
                <w:color w:val="auto"/>
                <w:highlight w:val="none"/>
              </w:rPr>
              <w:sym w:font="Wingdings" w:char="00A8"/>
            </w:r>
          </w:p>
        </w:tc>
      </w:tr>
      <w:tr w14:paraId="32ACFE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70" w:hRule="atLeast"/>
        </w:trPr>
        <w:tc>
          <w:tcPr>
            <w:tcW w:w="357" w:type="pct"/>
            <w:vMerge w:val="continue"/>
            <w:tcBorders>
              <w:left w:val="single" w:color="000000" w:sz="4" w:space="0"/>
              <w:right w:val="single" w:color="000000" w:sz="4" w:space="0"/>
            </w:tcBorders>
            <w:shd w:val="clear" w:color="auto" w:fill="auto"/>
            <w:vAlign w:val="center"/>
          </w:tcPr>
          <w:p w14:paraId="03EC2F7E">
            <w:pPr>
              <w:adjustRightInd w:val="0"/>
              <w:snapToGrid w:val="0"/>
              <w:spacing w:line="360" w:lineRule="auto"/>
              <w:ind w:firstLine="630" w:firstLineChars="300"/>
              <w:jc w:val="center"/>
              <w:rPr>
                <w:rFonts w:hint="eastAsia" w:ascii="宋体" w:hAnsi="宋体" w:eastAsia="宋体" w:cs="Times New Roman"/>
                <w:color w:val="auto"/>
                <w:szCs w:val="21"/>
                <w:highlight w:val="none"/>
                <w:lang w:val="en-US" w:eastAsia="zh-CN"/>
              </w:rPr>
            </w:pPr>
          </w:p>
        </w:tc>
        <w:tc>
          <w:tcPr>
            <w:tcW w:w="3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BEF0DD">
            <w:pPr>
              <w:adjustRightInd w:val="0"/>
              <w:snapToGrid w:val="0"/>
              <w:spacing w:line="360" w:lineRule="auto"/>
              <w:jc w:val="center"/>
              <w:rPr>
                <w:rFonts w:hint="default" w:ascii="宋体" w:hAnsi="宋体" w:eastAsia="宋体" w:cs="Times New Roman"/>
                <w:color w:val="auto"/>
                <w:szCs w:val="21"/>
                <w:highlight w:val="none"/>
                <w:lang w:val="en-US" w:eastAsia="zh-CN"/>
              </w:rPr>
            </w:pPr>
            <w:r>
              <w:rPr>
                <w:rFonts w:hint="eastAsia" w:ascii="宋体" w:hAnsi="宋体" w:cs="Times New Roman"/>
                <w:color w:val="auto"/>
                <w:szCs w:val="21"/>
                <w:highlight w:val="none"/>
                <w:lang w:val="en-US" w:eastAsia="zh-CN"/>
              </w:rPr>
              <w:t>5</w:t>
            </w:r>
          </w:p>
        </w:tc>
        <w:tc>
          <w:tcPr>
            <w:tcW w:w="8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A1052C">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便携式彩色多普勒超声诊断仪</w:t>
            </w:r>
          </w:p>
        </w:tc>
        <w:tc>
          <w:tcPr>
            <w:tcW w:w="447" w:type="pct"/>
            <w:tcBorders>
              <w:top w:val="single" w:color="auto" w:sz="4" w:space="0"/>
              <w:left w:val="single" w:color="000000" w:sz="4" w:space="0"/>
              <w:bottom w:val="single" w:color="auto" w:sz="4" w:space="0"/>
              <w:right w:val="single" w:color="000000" w:sz="4" w:space="0"/>
            </w:tcBorders>
            <w:shd w:val="clear" w:color="auto" w:fill="auto"/>
            <w:vAlign w:val="center"/>
          </w:tcPr>
          <w:p w14:paraId="04F803BA">
            <w:pPr>
              <w:keepNext w:val="0"/>
              <w:keepLines w:val="0"/>
              <w:widowControl/>
              <w:suppressLineNumbers w:val="0"/>
              <w:jc w:val="center"/>
              <w:textAlignment w:val="center"/>
              <w:rPr>
                <w:rFonts w:hint="eastAsia" w:ascii="宋体" w:hAnsi="宋体" w:eastAsia="宋体" w:cs="Times New Roman"/>
                <w:color w:val="auto"/>
                <w:szCs w:val="21"/>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1</w:t>
            </w:r>
          </w:p>
        </w:tc>
        <w:tc>
          <w:tcPr>
            <w:tcW w:w="1195" w:type="pct"/>
            <w:vMerge w:val="continue"/>
            <w:tcBorders>
              <w:left w:val="single" w:color="auto" w:sz="4" w:space="0"/>
              <w:right w:val="single" w:color="auto" w:sz="4" w:space="0"/>
            </w:tcBorders>
            <w:shd w:val="clear" w:color="auto" w:fill="auto"/>
            <w:vAlign w:val="center"/>
          </w:tcPr>
          <w:p w14:paraId="27D6A610">
            <w:pPr>
              <w:adjustRightInd w:val="0"/>
              <w:snapToGrid w:val="0"/>
              <w:spacing w:line="360" w:lineRule="auto"/>
              <w:jc w:val="center"/>
              <w:rPr>
                <w:rFonts w:hint="eastAsia" w:ascii="宋体" w:hAnsi="宋体" w:eastAsia="宋体" w:cs="Times New Roman"/>
                <w:color w:val="auto"/>
                <w:szCs w:val="21"/>
                <w:highlight w:val="none"/>
                <w:lang w:val="en-US" w:eastAsia="zh-CN"/>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C67B35">
            <w:pPr>
              <w:keepNext w:val="0"/>
              <w:keepLines w:val="0"/>
              <w:widowControl/>
              <w:suppressLineNumbers w:val="0"/>
              <w:jc w:val="center"/>
              <w:textAlignment w:val="center"/>
              <w:rPr>
                <w:rFonts w:hint="default" w:ascii="宋体" w:hAnsi="宋体" w:eastAsia="宋体" w:cs="Times New Roman"/>
                <w:color w:val="auto"/>
                <w:szCs w:val="21"/>
                <w:highlight w:val="none"/>
                <w:lang w:val="en-US" w:eastAsia="zh-CN"/>
              </w:rPr>
            </w:pPr>
            <w:r>
              <w:rPr>
                <w:rFonts w:hint="default" w:ascii="Calibri" w:hAnsi="Calibri" w:eastAsia="宋体" w:cs="Calibri"/>
                <w:i w:val="0"/>
                <w:iCs w:val="0"/>
                <w:color w:val="auto"/>
                <w:kern w:val="0"/>
                <w:sz w:val="21"/>
                <w:szCs w:val="21"/>
                <w:highlight w:val="none"/>
                <w:u w:val="none"/>
                <w:lang w:val="en-US" w:eastAsia="zh-CN" w:bidi="ar"/>
              </w:rPr>
              <w:t>2</w:t>
            </w:r>
            <w:r>
              <w:rPr>
                <w:rFonts w:hint="eastAsia" w:ascii="Calibri" w:hAnsi="Calibri" w:cs="Calibri"/>
                <w:i w:val="0"/>
                <w:iCs w:val="0"/>
                <w:color w:val="auto"/>
                <w:kern w:val="0"/>
                <w:sz w:val="21"/>
                <w:szCs w:val="21"/>
                <w:highlight w:val="none"/>
                <w:u w:val="none"/>
                <w:lang w:val="en-US" w:eastAsia="zh-CN" w:bidi="ar"/>
              </w:rPr>
              <w:t>00000</w:t>
            </w:r>
          </w:p>
        </w:tc>
        <w:tc>
          <w:tcPr>
            <w:tcW w:w="4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592C55">
            <w:pPr>
              <w:adjustRightInd w:val="0"/>
              <w:snapToGrid w:val="0"/>
              <w:spacing w:line="360" w:lineRule="auto"/>
              <w:jc w:val="center"/>
              <w:rPr>
                <w:rFonts w:hint="eastAsia" w:ascii="宋体" w:hAnsi="宋体"/>
                <w:iCs/>
                <w:color w:val="auto"/>
                <w:highlight w:val="none"/>
              </w:rPr>
            </w:pPr>
            <w:r>
              <w:rPr>
                <w:rFonts w:hint="eastAsia" w:ascii="宋体" w:hAnsi="宋体"/>
                <w:iCs/>
                <w:color w:val="auto"/>
                <w:highlight w:val="none"/>
              </w:rPr>
              <w:sym w:font="Wingdings" w:char="00A8"/>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85E8F2">
            <w:pPr>
              <w:adjustRightInd w:val="0"/>
              <w:snapToGrid w:val="0"/>
              <w:spacing w:line="360" w:lineRule="auto"/>
              <w:jc w:val="center"/>
              <w:rPr>
                <w:rFonts w:hint="eastAsia" w:ascii="宋体" w:hAnsi="宋体"/>
                <w:iCs/>
                <w:color w:val="auto"/>
                <w:highlight w:val="none"/>
              </w:rPr>
            </w:pPr>
            <w:r>
              <w:rPr>
                <w:rFonts w:hint="eastAsia" w:ascii="宋体" w:hAnsi="宋体"/>
                <w:iCs/>
                <w:color w:val="auto"/>
                <w:highlight w:val="none"/>
              </w:rPr>
              <w:sym w:font="Wingdings" w:char="00A8"/>
            </w:r>
          </w:p>
        </w:tc>
      </w:tr>
      <w:tr w14:paraId="7BBEA6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70" w:hRule="atLeast"/>
        </w:trPr>
        <w:tc>
          <w:tcPr>
            <w:tcW w:w="357" w:type="pct"/>
            <w:vMerge w:val="continue"/>
            <w:tcBorders>
              <w:left w:val="single" w:color="000000" w:sz="4" w:space="0"/>
              <w:bottom w:val="single" w:color="000000" w:sz="4" w:space="0"/>
              <w:right w:val="single" w:color="000000" w:sz="4" w:space="0"/>
            </w:tcBorders>
            <w:shd w:val="clear" w:color="auto" w:fill="auto"/>
            <w:vAlign w:val="center"/>
          </w:tcPr>
          <w:p w14:paraId="01D404A5">
            <w:pPr>
              <w:adjustRightInd w:val="0"/>
              <w:snapToGrid w:val="0"/>
              <w:spacing w:line="360" w:lineRule="auto"/>
              <w:ind w:firstLine="630" w:firstLineChars="300"/>
              <w:jc w:val="center"/>
              <w:rPr>
                <w:rFonts w:hint="eastAsia" w:ascii="宋体" w:hAnsi="宋体" w:eastAsia="宋体" w:cs="Times New Roman"/>
                <w:color w:val="auto"/>
                <w:szCs w:val="21"/>
                <w:highlight w:val="none"/>
                <w:lang w:val="en-US" w:eastAsia="zh-CN"/>
              </w:rPr>
            </w:pPr>
          </w:p>
        </w:tc>
        <w:tc>
          <w:tcPr>
            <w:tcW w:w="3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3FC3E0">
            <w:pPr>
              <w:adjustRightInd w:val="0"/>
              <w:snapToGrid w:val="0"/>
              <w:spacing w:line="360" w:lineRule="auto"/>
              <w:jc w:val="center"/>
              <w:rPr>
                <w:rFonts w:hint="default" w:ascii="宋体" w:hAnsi="宋体" w:cs="Times New Roman"/>
                <w:color w:val="auto"/>
                <w:szCs w:val="21"/>
                <w:highlight w:val="none"/>
                <w:lang w:val="en-US" w:eastAsia="zh-CN"/>
              </w:rPr>
            </w:pPr>
            <w:r>
              <w:rPr>
                <w:rFonts w:hint="eastAsia" w:ascii="宋体" w:hAnsi="宋体" w:cs="Times New Roman"/>
                <w:color w:val="auto"/>
                <w:szCs w:val="21"/>
                <w:highlight w:val="none"/>
                <w:lang w:val="en-US" w:eastAsia="zh-CN"/>
              </w:rPr>
              <w:t>6</w:t>
            </w:r>
          </w:p>
        </w:tc>
        <w:tc>
          <w:tcPr>
            <w:tcW w:w="8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D04EF4">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便携式全数字彩色超声诊断仪</w:t>
            </w:r>
          </w:p>
        </w:tc>
        <w:tc>
          <w:tcPr>
            <w:tcW w:w="447" w:type="pct"/>
            <w:tcBorders>
              <w:top w:val="single" w:color="auto" w:sz="4" w:space="0"/>
              <w:left w:val="single" w:color="000000" w:sz="4" w:space="0"/>
              <w:bottom w:val="single" w:color="000000" w:sz="4" w:space="0"/>
              <w:right w:val="single" w:color="000000" w:sz="4" w:space="0"/>
            </w:tcBorders>
            <w:shd w:val="clear" w:color="auto" w:fill="auto"/>
            <w:vAlign w:val="center"/>
          </w:tcPr>
          <w:p w14:paraId="565D9E85">
            <w:pPr>
              <w:keepNext w:val="0"/>
              <w:keepLines w:val="0"/>
              <w:widowControl/>
              <w:suppressLineNumbers w:val="0"/>
              <w:jc w:val="center"/>
              <w:textAlignment w:val="center"/>
              <w:rPr>
                <w:rFonts w:hint="eastAsia" w:ascii="宋体" w:hAnsi="宋体" w:eastAsia="宋体" w:cs="Times New Roman"/>
                <w:color w:val="auto"/>
                <w:szCs w:val="21"/>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1</w:t>
            </w:r>
          </w:p>
        </w:tc>
        <w:tc>
          <w:tcPr>
            <w:tcW w:w="1195" w:type="pct"/>
            <w:vMerge w:val="continue"/>
            <w:tcBorders>
              <w:left w:val="single" w:color="auto" w:sz="4" w:space="0"/>
              <w:bottom w:val="single" w:color="000000" w:sz="4" w:space="0"/>
              <w:right w:val="single" w:color="auto" w:sz="4" w:space="0"/>
            </w:tcBorders>
            <w:shd w:val="clear" w:color="auto" w:fill="auto"/>
            <w:vAlign w:val="center"/>
          </w:tcPr>
          <w:p w14:paraId="4D6C3F94">
            <w:pPr>
              <w:adjustRightInd w:val="0"/>
              <w:snapToGrid w:val="0"/>
              <w:spacing w:line="360" w:lineRule="auto"/>
              <w:jc w:val="center"/>
              <w:rPr>
                <w:rFonts w:hint="eastAsia" w:ascii="宋体" w:hAnsi="宋体" w:eastAsia="宋体" w:cs="Times New Roman"/>
                <w:color w:val="auto"/>
                <w:szCs w:val="21"/>
                <w:highlight w:val="none"/>
                <w:lang w:val="en-US" w:eastAsia="zh-CN"/>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E15D32">
            <w:pPr>
              <w:keepNext w:val="0"/>
              <w:keepLines w:val="0"/>
              <w:widowControl/>
              <w:suppressLineNumbers w:val="0"/>
              <w:jc w:val="center"/>
              <w:textAlignment w:val="center"/>
              <w:rPr>
                <w:rFonts w:hint="default" w:ascii="宋体" w:hAnsi="宋体" w:eastAsia="宋体" w:cs="Times New Roman"/>
                <w:color w:val="auto"/>
                <w:szCs w:val="21"/>
                <w:highlight w:val="none"/>
                <w:lang w:val="en-US" w:eastAsia="zh-CN"/>
              </w:rPr>
            </w:pPr>
            <w:r>
              <w:rPr>
                <w:rFonts w:hint="default" w:ascii="Calibri" w:hAnsi="Calibri" w:eastAsia="宋体" w:cs="Calibri"/>
                <w:i w:val="0"/>
                <w:iCs w:val="0"/>
                <w:color w:val="auto"/>
                <w:kern w:val="0"/>
                <w:sz w:val="21"/>
                <w:szCs w:val="21"/>
                <w:highlight w:val="none"/>
                <w:u w:val="none"/>
                <w:lang w:val="en-US" w:eastAsia="zh-CN" w:bidi="ar"/>
              </w:rPr>
              <w:t>2</w:t>
            </w:r>
            <w:r>
              <w:rPr>
                <w:rFonts w:hint="eastAsia" w:ascii="Calibri" w:hAnsi="Calibri" w:cs="Calibri"/>
                <w:i w:val="0"/>
                <w:iCs w:val="0"/>
                <w:color w:val="auto"/>
                <w:kern w:val="0"/>
                <w:sz w:val="21"/>
                <w:szCs w:val="21"/>
                <w:highlight w:val="none"/>
                <w:u w:val="none"/>
                <w:lang w:val="en-US" w:eastAsia="zh-CN" w:bidi="ar"/>
              </w:rPr>
              <w:t>00000</w:t>
            </w:r>
          </w:p>
        </w:tc>
        <w:tc>
          <w:tcPr>
            <w:tcW w:w="4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57EA95">
            <w:pPr>
              <w:adjustRightInd w:val="0"/>
              <w:snapToGrid w:val="0"/>
              <w:spacing w:line="360" w:lineRule="auto"/>
              <w:jc w:val="center"/>
              <w:rPr>
                <w:rFonts w:hint="eastAsia" w:ascii="宋体" w:hAnsi="宋体"/>
                <w:iCs/>
                <w:color w:val="auto"/>
                <w:highlight w:val="none"/>
              </w:rPr>
            </w:pPr>
            <w:r>
              <w:rPr>
                <w:rFonts w:hint="eastAsia" w:ascii="宋体" w:hAnsi="宋体"/>
                <w:iCs/>
                <w:color w:val="auto"/>
                <w:highlight w:val="none"/>
              </w:rPr>
              <w:sym w:font="Wingdings" w:char="00A8"/>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390DD1">
            <w:pPr>
              <w:adjustRightInd w:val="0"/>
              <w:snapToGrid w:val="0"/>
              <w:spacing w:line="360" w:lineRule="auto"/>
              <w:jc w:val="center"/>
              <w:rPr>
                <w:rFonts w:hint="eastAsia" w:ascii="宋体" w:hAnsi="宋体"/>
                <w:iCs/>
                <w:color w:val="auto"/>
                <w:highlight w:val="none"/>
              </w:rPr>
            </w:pPr>
            <w:r>
              <w:rPr>
                <w:rFonts w:hint="eastAsia" w:ascii="宋体" w:hAnsi="宋体"/>
                <w:iCs/>
                <w:color w:val="auto"/>
                <w:highlight w:val="none"/>
              </w:rPr>
              <w:sym w:font="Wingdings" w:char="00A8"/>
            </w:r>
          </w:p>
        </w:tc>
      </w:tr>
    </w:tbl>
    <w:p w14:paraId="4D69D05A">
      <w:pPr>
        <w:numPr>
          <w:ilvl w:val="0"/>
          <w:numId w:val="0"/>
        </w:numPr>
        <w:adjustRightInd w:val="0"/>
        <w:snapToGrid w:val="0"/>
        <w:spacing w:line="360" w:lineRule="auto"/>
        <w:rPr>
          <w:rFonts w:hint="eastAsia" w:ascii="宋体" w:hAnsi="宋体"/>
          <w:b/>
          <w:color w:val="auto"/>
          <w:szCs w:val="21"/>
          <w:highlight w:val="none"/>
        </w:rPr>
      </w:pPr>
    </w:p>
    <w:p w14:paraId="33C97BFA">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说明：1.节能产品实行</w:t>
      </w:r>
      <w:r>
        <w:rPr>
          <w:rFonts w:hint="eastAsia" w:ascii="宋体" w:hAnsi="宋体"/>
          <w:iCs/>
          <w:color w:val="auto"/>
          <w:szCs w:val="21"/>
          <w:highlight w:val="none"/>
        </w:rPr>
        <w:t>强制采购的</w:t>
      </w:r>
      <w:r>
        <w:rPr>
          <w:rFonts w:hint="eastAsia" w:ascii="宋体" w:hAnsi="宋体"/>
          <w:color w:val="auto"/>
          <w:szCs w:val="21"/>
          <w:highlight w:val="none"/>
        </w:rPr>
        <w:t>，需提供国家认证机构出具的、处于有效期内的节能产品证书。</w:t>
      </w:r>
    </w:p>
    <w:p w14:paraId="7EE47B30">
      <w:pPr>
        <w:tabs>
          <w:tab w:val="left" w:pos="312"/>
        </w:tabs>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2.同意购买进口产品的，不限制满足采购需求的国内产品参与投标。</w:t>
      </w:r>
    </w:p>
    <w:p w14:paraId="0223F418">
      <w:pPr>
        <w:adjustRightInd w:val="0"/>
        <w:snapToGrid w:val="0"/>
        <w:spacing w:line="360" w:lineRule="auto"/>
        <w:ind w:firstLine="422" w:firstLineChars="200"/>
        <w:outlineLvl w:val="1"/>
        <w:rPr>
          <w:rFonts w:ascii="宋体" w:hAnsi="宋体"/>
          <w:b/>
          <w:color w:val="auto"/>
          <w:szCs w:val="21"/>
          <w:highlight w:val="none"/>
        </w:rPr>
      </w:pPr>
      <w:bookmarkStart w:id="11" w:name="_Toc1274862912"/>
      <w:r>
        <w:rPr>
          <w:rFonts w:hint="eastAsia" w:ascii="宋体" w:hAnsi="宋体"/>
          <w:b/>
          <w:color w:val="auto"/>
          <w:szCs w:val="21"/>
          <w:highlight w:val="none"/>
        </w:rPr>
        <w:t>三、采购项目需要落实的政府采购政策：</w:t>
      </w:r>
      <w:bookmarkEnd w:id="11"/>
    </w:p>
    <w:p w14:paraId="4B44CE61">
      <w:pPr>
        <w:adjustRightInd w:val="0"/>
        <w:snapToGrid w:val="0"/>
        <w:spacing w:line="360" w:lineRule="auto"/>
        <w:ind w:firstLine="420" w:firstLineChars="200"/>
        <w:rPr>
          <w:rFonts w:hint="eastAsia" w:ascii="宋体" w:hAnsi="宋体" w:eastAsia="宋体" w:cs="Times New Roman"/>
          <w:color w:val="auto"/>
          <w:szCs w:val="21"/>
          <w:lang w:val="en-US" w:eastAsia="zh-CN"/>
        </w:rPr>
      </w:pPr>
      <w:bookmarkStart w:id="12" w:name="_Toc338839681"/>
      <w:r>
        <w:rPr>
          <w:rFonts w:hint="eastAsia" w:ascii="宋体" w:hAnsi="宋体" w:eastAsia="宋体" w:cs="Times New Roman"/>
          <w:color w:val="auto"/>
          <w:szCs w:val="21"/>
          <w:lang w:val="en-US" w:eastAsia="zh-CN"/>
        </w:rPr>
        <w:t>1.优先采购：</w:t>
      </w:r>
    </w:p>
    <w:p w14:paraId="2D7E16EA">
      <w:pPr>
        <w:adjustRightInd w:val="0"/>
        <w:snapToGrid w:val="0"/>
        <w:spacing w:line="360" w:lineRule="auto"/>
        <w:ind w:firstLine="420" w:firstLineChars="200"/>
        <w:rPr>
          <w:rFonts w:hint="eastAsia" w:ascii="宋体" w:hAnsi="宋体" w:eastAsia="宋体" w:cs="Times New Roman"/>
          <w:color w:val="auto"/>
          <w:szCs w:val="21"/>
          <w:lang w:val="en-US" w:eastAsia="zh-CN"/>
        </w:rPr>
      </w:pPr>
      <w:r>
        <w:rPr>
          <w:rFonts w:hint="eastAsia" w:ascii="宋体" w:hAnsi="宋体" w:eastAsia="宋体" w:cs="Times New Roman"/>
          <w:color w:val="auto"/>
          <w:szCs w:val="21"/>
          <w:lang w:val="en-US" w:eastAsia="zh-CN"/>
        </w:rPr>
        <w:t>纳入财政部会同国务院有关部门发布的节能产品、环境标志产品政府采购品目清单，实施政府优先采购的，评审时按有关规定对于价格分和技术分，分别给予总分值4%的加分。</w:t>
      </w:r>
    </w:p>
    <w:p w14:paraId="231DFAB6">
      <w:pPr>
        <w:adjustRightInd w:val="0"/>
        <w:snapToGrid w:val="0"/>
        <w:spacing w:line="360" w:lineRule="auto"/>
        <w:ind w:firstLine="420" w:firstLineChars="200"/>
        <w:rPr>
          <w:rFonts w:hint="eastAsia" w:ascii="宋体" w:hAnsi="宋体" w:eastAsia="宋体" w:cs="Times New Roman"/>
          <w:color w:val="auto"/>
          <w:szCs w:val="21"/>
          <w:lang w:val="en-US" w:eastAsia="zh-CN"/>
        </w:rPr>
      </w:pPr>
      <w:r>
        <w:rPr>
          <w:rFonts w:hint="eastAsia" w:ascii="宋体" w:hAnsi="宋体" w:eastAsia="宋体" w:cs="Times New Roman"/>
          <w:color w:val="auto"/>
          <w:szCs w:val="21"/>
          <w:lang w:val="en-US" w:eastAsia="zh-CN"/>
        </w:rPr>
        <w:t>2.强制采购：纳入财政部会同国务院有关部门发布的节能产品政府采购品目清单，实施政府强制采购的（品目清单标注</w:t>
      </w:r>
      <w:r>
        <w:rPr>
          <w:rFonts w:hint="eastAsia" w:ascii="宋体" w:hAnsi="宋体" w:eastAsia="宋体" w:cs="Times New Roman"/>
          <w:color w:val="auto"/>
          <w:szCs w:val="21"/>
          <w:lang w:val="en-US" w:eastAsia="zh-CN"/>
        </w:rPr>
        <w:sym w:font="Wingdings" w:char="F0AB"/>
      </w:r>
      <w:r>
        <w:rPr>
          <w:rFonts w:hint="eastAsia" w:ascii="宋体" w:hAnsi="宋体" w:eastAsia="宋体" w:cs="Times New Roman"/>
          <w:color w:val="auto"/>
          <w:szCs w:val="21"/>
          <w:lang w:val="en-US" w:eastAsia="zh-CN"/>
        </w:rPr>
        <w:t>符号产品），投标人投标产品应当取得国家确定的认证机构出具的、处于有效期之内的节能产品认证证书，否则其投标无效。</w:t>
      </w:r>
    </w:p>
    <w:p w14:paraId="64069202">
      <w:pPr>
        <w:adjustRightInd w:val="0"/>
        <w:snapToGrid w:val="0"/>
        <w:spacing w:line="360" w:lineRule="auto"/>
        <w:ind w:firstLine="420" w:firstLineChars="200"/>
        <w:rPr>
          <w:rFonts w:hint="eastAsia" w:ascii="宋体" w:hAnsi="宋体" w:eastAsia="宋体" w:cs="Times New Roman"/>
          <w:color w:val="auto"/>
          <w:szCs w:val="21"/>
          <w:lang w:val="en-US" w:eastAsia="zh-CN"/>
        </w:rPr>
      </w:pPr>
      <w:r>
        <w:rPr>
          <w:rFonts w:hint="eastAsia" w:ascii="宋体" w:hAnsi="宋体" w:eastAsia="宋体" w:cs="Times New Roman"/>
          <w:color w:val="auto"/>
          <w:szCs w:val="21"/>
          <w:lang w:val="en-US" w:eastAsia="zh-CN"/>
        </w:rPr>
        <w:t>3.价格评审优惠：</w:t>
      </w:r>
    </w:p>
    <w:p w14:paraId="55634BBF">
      <w:pPr>
        <w:adjustRightInd w:val="0"/>
        <w:snapToGrid w:val="0"/>
        <w:spacing w:line="360" w:lineRule="auto"/>
        <w:ind w:firstLine="420" w:firstLineChars="200"/>
        <w:rPr>
          <w:rFonts w:hint="eastAsia" w:ascii="宋体" w:hAnsi="宋体" w:eastAsia="宋体" w:cs="Times New Roman"/>
          <w:color w:val="auto"/>
          <w:szCs w:val="21"/>
          <w:lang w:val="en-US" w:eastAsia="zh-CN"/>
        </w:rPr>
      </w:pPr>
      <w:r>
        <w:rPr>
          <w:rFonts w:hint="eastAsia" w:ascii="宋体" w:hAnsi="宋体" w:eastAsia="宋体" w:cs="Times New Roman"/>
          <w:color w:val="auto"/>
          <w:szCs w:val="21"/>
          <w:lang w:val="en-US" w:eastAsia="zh-CN"/>
        </w:rPr>
        <w:t>（1）本项目非专门面向中小企业采购，对制造商为小微企业的产品价格评审优惠</w:t>
      </w:r>
      <w:r>
        <w:rPr>
          <w:rFonts w:hint="eastAsia" w:ascii="宋体" w:hAnsi="宋体" w:eastAsia="宋体" w:cs="Times New Roman"/>
          <w:color w:val="auto"/>
          <w:szCs w:val="21"/>
          <w:u w:val="single"/>
          <w:lang w:val="en-US" w:eastAsia="zh-CN"/>
        </w:rPr>
        <w:t>10</w:t>
      </w:r>
      <w:r>
        <w:rPr>
          <w:rFonts w:hint="eastAsia" w:ascii="宋体" w:hAnsi="宋体" w:eastAsia="宋体" w:cs="Times New Roman"/>
          <w:color w:val="auto"/>
          <w:szCs w:val="21"/>
          <w:lang w:val="en-US" w:eastAsia="zh-CN"/>
        </w:rPr>
        <w:t>%。</w:t>
      </w:r>
    </w:p>
    <w:p w14:paraId="09C147B0">
      <w:pPr>
        <w:adjustRightInd w:val="0"/>
        <w:snapToGrid w:val="0"/>
        <w:spacing w:line="360" w:lineRule="auto"/>
        <w:ind w:firstLine="420" w:firstLineChars="200"/>
        <w:rPr>
          <w:rFonts w:hint="eastAsia" w:ascii="宋体" w:hAnsi="宋体" w:eastAsia="宋体" w:cs="Times New Roman"/>
          <w:color w:val="auto"/>
          <w:szCs w:val="21"/>
          <w:lang w:val="en-US" w:eastAsia="zh-CN"/>
        </w:rPr>
      </w:pPr>
      <w:r>
        <w:rPr>
          <w:rFonts w:hint="eastAsia" w:ascii="宋体" w:hAnsi="宋体" w:eastAsia="宋体" w:cs="Times New Roman"/>
          <w:color w:val="auto"/>
          <w:szCs w:val="21"/>
          <w:lang w:val="en-US" w:eastAsia="zh-CN"/>
        </w:rPr>
        <w:t>（2）监狱企业、残疾人福利性单位视同小型、微型企业。</w:t>
      </w:r>
    </w:p>
    <w:p w14:paraId="6E5B4353">
      <w:pPr>
        <w:adjustRightInd w:val="0"/>
        <w:snapToGrid w:val="0"/>
        <w:spacing w:line="360" w:lineRule="auto"/>
        <w:ind w:firstLine="422" w:firstLineChars="200"/>
        <w:outlineLvl w:val="1"/>
        <w:rPr>
          <w:rFonts w:ascii="宋体" w:hAnsi="宋体"/>
          <w:color w:val="auto"/>
          <w:szCs w:val="21"/>
          <w:highlight w:val="none"/>
        </w:rPr>
      </w:pPr>
      <w:r>
        <w:rPr>
          <w:rFonts w:hint="eastAsia" w:ascii="宋体" w:hAnsi="宋体"/>
          <w:b/>
          <w:color w:val="auto"/>
          <w:szCs w:val="21"/>
          <w:highlight w:val="none"/>
        </w:rPr>
        <w:t>四、投标人的资格要求</w:t>
      </w:r>
      <w:r>
        <w:rPr>
          <w:rFonts w:hint="eastAsia" w:ascii="宋体" w:hAnsi="宋体"/>
          <w:color w:val="auto"/>
          <w:szCs w:val="21"/>
          <w:highlight w:val="none"/>
        </w:rPr>
        <w:t>：</w:t>
      </w:r>
      <w:bookmarkEnd w:id="12"/>
    </w:p>
    <w:p w14:paraId="6E87F5C4">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1、投标人基本资格条件：投标人必须是在中华人民共和国境内注册登记的法人、其他组织或者自然人，且应当符合《政府采购法》第二十二条第一款的规定。</w:t>
      </w:r>
    </w:p>
    <w:p w14:paraId="47BAC507">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 xml:space="preserve">（1）具有独立承担民事责任的能力； </w:t>
      </w:r>
    </w:p>
    <w:p w14:paraId="08A071F5">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 xml:space="preserve">（2）具有良好的商业信誉和健全的财务会计制度； </w:t>
      </w:r>
    </w:p>
    <w:p w14:paraId="70F35C43">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 xml:space="preserve">（3）具有履行合同所必需的设备和专业技术能力； </w:t>
      </w:r>
    </w:p>
    <w:p w14:paraId="5FE7BA8D">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 xml:space="preserve">（4）有依法缴纳税收和社会保障资金的良好记录； </w:t>
      </w:r>
    </w:p>
    <w:p w14:paraId="0B7B23EF">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 xml:space="preserve">（5）参加政府采购活动前三年内，在经营活动中没有重大违法记录； </w:t>
      </w:r>
    </w:p>
    <w:p w14:paraId="27719AB2">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（6）法律、行政法规规定的其他条件。</w:t>
      </w:r>
    </w:p>
    <w:p w14:paraId="2CCA9645">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2、落实政府采购政策需满足的资格要求：</w:t>
      </w:r>
    </w:p>
    <w:p w14:paraId="089EA891">
      <w:pPr>
        <w:adjustRightInd w:val="0"/>
        <w:snapToGrid w:val="0"/>
        <w:spacing w:line="360" w:lineRule="auto"/>
        <w:ind w:firstLine="420" w:firstLineChars="200"/>
        <w:rPr>
          <w:rFonts w:ascii="宋体" w:hAnsi="宋体"/>
          <w:color w:val="auto"/>
          <w:szCs w:val="21"/>
          <w:highlight w:val="none"/>
        </w:rPr>
      </w:pPr>
      <w:r>
        <w:rPr>
          <w:rFonts w:hint="eastAsia" w:ascii="宋体" w:hAnsi="宋体"/>
          <w:iCs/>
          <w:color w:val="auto"/>
          <w:szCs w:val="21"/>
          <w:highlight w:val="none"/>
        </w:rPr>
        <w:sym w:font="Wingdings" w:char="00A8"/>
      </w:r>
      <w:r>
        <w:rPr>
          <w:rFonts w:hint="eastAsia" w:ascii="宋体" w:hAnsi="宋体"/>
          <w:iCs/>
          <w:color w:val="auto"/>
          <w:szCs w:val="21"/>
          <w:highlight w:val="none"/>
        </w:rPr>
        <w:t>专门面向</w:t>
      </w:r>
      <w:r>
        <w:rPr>
          <w:rFonts w:hint="eastAsia" w:ascii="宋体" w:hAnsi="宋体"/>
          <w:bCs/>
          <w:color w:val="auto"/>
          <w:szCs w:val="21"/>
          <w:highlight w:val="none"/>
        </w:rPr>
        <w:t>：</w:t>
      </w:r>
      <w:r>
        <w:rPr>
          <w:rFonts w:hint="eastAsia" w:ascii="宋体" w:hAnsi="宋体"/>
          <w:iCs/>
          <w:color w:val="auto"/>
          <w:szCs w:val="21"/>
          <w:highlight w:val="none"/>
        </w:rPr>
        <w:sym w:font="Wingdings" w:char="00A8"/>
      </w:r>
      <w:r>
        <w:rPr>
          <w:rFonts w:hint="eastAsia" w:ascii="宋体" w:hAnsi="宋体"/>
          <w:iCs/>
          <w:color w:val="auto"/>
          <w:szCs w:val="21"/>
          <w:highlight w:val="none"/>
        </w:rPr>
        <w:t xml:space="preserve">中小企业   </w:t>
      </w:r>
      <w:r>
        <w:rPr>
          <w:rFonts w:hint="eastAsia" w:ascii="宋体" w:hAnsi="宋体"/>
          <w:iCs/>
          <w:color w:val="auto"/>
          <w:szCs w:val="21"/>
          <w:highlight w:val="none"/>
        </w:rPr>
        <w:sym w:font="Wingdings" w:char="00A8"/>
      </w:r>
      <w:r>
        <w:rPr>
          <w:rFonts w:hint="eastAsia" w:ascii="宋体" w:hAnsi="宋体"/>
          <w:iCs/>
          <w:color w:val="auto"/>
          <w:szCs w:val="21"/>
          <w:highlight w:val="none"/>
        </w:rPr>
        <w:t xml:space="preserve">小微企业   </w:t>
      </w:r>
      <w:r>
        <w:rPr>
          <w:rFonts w:hint="eastAsia" w:ascii="宋体" w:hAnsi="宋体"/>
          <w:iCs/>
          <w:color w:val="auto"/>
          <w:szCs w:val="21"/>
          <w:highlight w:val="none"/>
        </w:rPr>
        <w:sym w:font="Wingdings" w:char="00A8"/>
      </w:r>
      <w:r>
        <w:rPr>
          <w:rFonts w:hint="eastAsia" w:ascii="宋体" w:hAnsi="宋体"/>
          <w:iCs/>
          <w:color w:val="auto"/>
          <w:szCs w:val="21"/>
          <w:highlight w:val="none"/>
        </w:rPr>
        <w:t xml:space="preserve">监狱企业   </w:t>
      </w:r>
      <w:r>
        <w:rPr>
          <w:rFonts w:hint="eastAsia" w:ascii="宋体" w:hAnsi="宋体"/>
          <w:iCs/>
          <w:color w:val="auto"/>
          <w:szCs w:val="21"/>
          <w:highlight w:val="none"/>
        </w:rPr>
        <w:sym w:font="Wingdings" w:char="00A8"/>
      </w:r>
      <w:r>
        <w:rPr>
          <w:rFonts w:hint="eastAsia" w:ascii="宋体" w:hAnsi="宋体"/>
          <w:iCs/>
          <w:color w:val="auto"/>
          <w:szCs w:val="21"/>
          <w:highlight w:val="none"/>
        </w:rPr>
        <w:t>福利性单位。</w:t>
      </w:r>
    </w:p>
    <w:p w14:paraId="249FF171">
      <w:pPr>
        <w:adjustRightInd w:val="0"/>
        <w:snapToGrid w:val="0"/>
        <w:spacing w:line="360" w:lineRule="auto"/>
        <w:ind w:firstLine="420" w:firstLineChars="200"/>
        <w:rPr>
          <w:rFonts w:ascii="宋体" w:hAnsi="宋体"/>
          <w:color w:val="auto"/>
          <w:szCs w:val="21"/>
          <w:highlight w:val="none"/>
        </w:rPr>
      </w:pPr>
      <w:r>
        <w:rPr>
          <w:rFonts w:hint="eastAsia" w:ascii="宋体" w:hAnsi="宋体"/>
          <w:iCs/>
          <w:color w:val="auto"/>
          <w:szCs w:val="21"/>
          <w:highlight w:val="none"/>
        </w:rPr>
        <w:sym w:font="Wingdings" w:char="00A8"/>
      </w:r>
      <w:r>
        <w:rPr>
          <w:rFonts w:hint="eastAsia" w:ascii="宋体" w:hAnsi="宋体"/>
          <w:iCs/>
          <w:color w:val="auto"/>
          <w:szCs w:val="21"/>
          <w:highlight w:val="none"/>
        </w:rPr>
        <w:t>强制</w:t>
      </w:r>
      <w:r>
        <w:rPr>
          <w:rFonts w:hint="eastAsia" w:ascii="宋体" w:hAnsi="宋体"/>
          <w:bCs/>
          <w:color w:val="auto"/>
          <w:szCs w:val="21"/>
          <w:highlight w:val="none"/>
        </w:rPr>
        <w:t>分包：大型企业应将采购份额的</w:t>
      </w:r>
      <w:r>
        <w:rPr>
          <w:rFonts w:hint="eastAsia" w:ascii="宋体" w:hAnsi="宋体"/>
          <w:bCs/>
          <w:color w:val="auto"/>
          <w:szCs w:val="21"/>
          <w:highlight w:val="none"/>
          <w:u w:val="single"/>
        </w:rPr>
        <w:t xml:space="preserve">  /  </w:t>
      </w:r>
      <w:r>
        <w:rPr>
          <w:rFonts w:hint="eastAsia" w:ascii="宋体" w:hAnsi="宋体"/>
          <w:bCs/>
          <w:color w:val="auto"/>
          <w:szCs w:val="21"/>
          <w:highlight w:val="none"/>
        </w:rPr>
        <w:t>%分包给中小企业。</w:t>
      </w:r>
    </w:p>
    <w:p w14:paraId="5B576278">
      <w:pPr>
        <w:numPr>
          <w:ilvl w:val="0"/>
          <w:numId w:val="0"/>
        </w:numPr>
        <w:adjustRightInd w:val="0"/>
        <w:snapToGrid w:val="0"/>
        <w:spacing w:line="360" w:lineRule="auto"/>
        <w:ind w:firstLine="420" w:firstLineChars="200"/>
        <w:rPr>
          <w:rFonts w:hint="eastAsia" w:ascii="宋体" w:hAnsi="宋体" w:eastAsia="宋体"/>
          <w:color w:val="auto"/>
          <w:szCs w:val="21"/>
          <w:highlight w:val="none"/>
        </w:rPr>
      </w:pPr>
      <w:r>
        <w:rPr>
          <w:rFonts w:hint="eastAsia" w:ascii="宋体" w:hAnsi="宋体"/>
          <w:color w:val="auto"/>
          <w:szCs w:val="21"/>
          <w:highlight w:val="none"/>
          <w:lang w:val="en-US" w:eastAsia="zh-CN"/>
        </w:rPr>
        <w:t>3、</w:t>
      </w:r>
      <w:r>
        <w:rPr>
          <w:rFonts w:hint="eastAsia" w:ascii="宋体" w:hAnsi="宋体" w:eastAsia="宋体"/>
          <w:color w:val="auto"/>
          <w:szCs w:val="21"/>
          <w:highlight w:val="none"/>
        </w:rPr>
        <w:t>采购项目的特定资格条件：（1）所投货物若纳入医疗器械管理的，投标人须具有有效的医疗器械生产或经营许可证（或相应的备案凭证）。</w:t>
      </w:r>
    </w:p>
    <w:p w14:paraId="5A5EE376">
      <w:pPr>
        <w:numPr>
          <w:ilvl w:val="0"/>
          <w:numId w:val="4"/>
        </w:numPr>
        <w:adjustRightInd w:val="0"/>
        <w:snapToGrid w:val="0"/>
        <w:spacing w:line="360" w:lineRule="auto"/>
        <w:ind w:firstLine="420" w:firstLineChars="200"/>
        <w:rPr>
          <w:rFonts w:hint="eastAsia" w:ascii="宋体" w:hAnsi="宋体" w:eastAsia="宋体"/>
          <w:color w:val="auto"/>
          <w:szCs w:val="21"/>
          <w:highlight w:val="none"/>
        </w:rPr>
      </w:pPr>
      <w:r>
        <w:rPr>
          <w:rFonts w:hint="eastAsia" w:ascii="宋体" w:hAnsi="宋体" w:eastAsia="宋体"/>
          <w:color w:val="auto"/>
          <w:szCs w:val="21"/>
          <w:highlight w:val="none"/>
        </w:rPr>
        <w:t>所投货物纳入医疗器械管理的，货物须具有有效的医疗器械注册证（或备案凭证）。</w:t>
      </w:r>
    </w:p>
    <w:p w14:paraId="2244DA1F">
      <w:pPr>
        <w:numPr>
          <w:ilvl w:val="0"/>
          <w:numId w:val="0"/>
        </w:num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4、单位负责人为同一人或者存在直接控股、管理关系的不同投标人，不得参加同一合同项下的政府采购活动。</w:t>
      </w:r>
    </w:p>
    <w:p w14:paraId="3BEA6EF8">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5、为本采购项目提供整体设计、规范编制或者项目管理、监理、检测等服务的，不得再参加此项目的其他采购活动。</w:t>
      </w:r>
    </w:p>
    <w:p w14:paraId="40DBAF29">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6、列入失信被执行人、重大税收违法失信主体名单，列入政府采购严重违法失信行为记录名单的，拒绝其参与政府采购活动。</w:t>
      </w:r>
    </w:p>
    <w:p w14:paraId="081B49AC">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7、联合体投标。本次招标不接受联合体投标。</w:t>
      </w:r>
    </w:p>
    <w:p w14:paraId="263BA690">
      <w:pPr>
        <w:adjustRightInd w:val="0"/>
        <w:snapToGrid w:val="0"/>
        <w:spacing w:line="360" w:lineRule="auto"/>
        <w:ind w:firstLine="422" w:firstLineChars="200"/>
        <w:outlineLvl w:val="1"/>
        <w:rPr>
          <w:rFonts w:ascii="宋体" w:hAnsi="宋体"/>
          <w:b/>
          <w:color w:val="auto"/>
          <w:szCs w:val="21"/>
          <w:highlight w:val="none"/>
        </w:rPr>
      </w:pPr>
      <w:bookmarkStart w:id="13" w:name="_Toc1426536098"/>
      <w:r>
        <w:rPr>
          <w:rFonts w:hint="eastAsia" w:ascii="宋体" w:hAnsi="宋体"/>
          <w:b/>
          <w:color w:val="auto"/>
          <w:szCs w:val="21"/>
          <w:highlight w:val="none"/>
        </w:rPr>
        <w:t>五、获取招标文件的时间、期限、地点及方式</w:t>
      </w:r>
      <w:bookmarkEnd w:id="13"/>
    </w:p>
    <w:p w14:paraId="1A6D17A6">
      <w:pPr>
        <w:adjustRightInd w:val="0"/>
        <w:snapToGrid w:val="0"/>
        <w:spacing w:line="360" w:lineRule="auto"/>
        <w:ind w:firstLine="630" w:firstLineChars="300"/>
        <w:rPr>
          <w:rFonts w:hint="eastAsia" w:ascii="宋体" w:hAnsi="宋体" w:eastAsia="宋体" w:cs="Times New Roman"/>
          <w:color w:val="auto"/>
          <w:sz w:val="21"/>
          <w:szCs w:val="21"/>
          <w:highlight w:val="none"/>
          <w:lang w:eastAsia="zh-CN"/>
        </w:rPr>
      </w:pPr>
      <w:bookmarkStart w:id="14" w:name="_Toc1152897048"/>
      <w:r>
        <w:rPr>
          <w:rFonts w:hint="eastAsia" w:ascii="宋体" w:hAnsi="宋体" w:eastAsia="宋体" w:cs="Times New Roman"/>
          <w:color w:val="auto"/>
          <w:sz w:val="21"/>
          <w:szCs w:val="21"/>
          <w:highlight w:val="none"/>
          <w:lang w:eastAsia="zh-CN"/>
        </w:rPr>
        <w:t>有意参加投标者，于本项目公告之日起</w:t>
      </w:r>
      <w:r>
        <w:rPr>
          <w:rFonts w:hint="eastAsia" w:ascii="宋体" w:hAnsi="宋体" w:eastAsia="宋体" w:cs="Times New Roman"/>
          <w:color w:val="0000FF"/>
          <w:sz w:val="21"/>
          <w:szCs w:val="21"/>
          <w:highlight w:val="none"/>
          <w:lang w:val="en-US" w:eastAsia="zh-CN"/>
        </w:rPr>
        <w:t>5</w:t>
      </w:r>
      <w:r>
        <w:rPr>
          <w:rFonts w:hint="eastAsia" w:ascii="宋体" w:hAnsi="宋体" w:eastAsia="宋体" w:cs="Times New Roman"/>
          <w:color w:val="auto"/>
          <w:sz w:val="21"/>
          <w:szCs w:val="21"/>
          <w:highlight w:val="none"/>
          <w:lang w:val="en-US" w:eastAsia="zh-CN"/>
        </w:rPr>
        <w:t>个工作日内</w:t>
      </w:r>
      <w:r>
        <w:rPr>
          <w:rFonts w:hint="eastAsia" w:ascii="宋体" w:hAnsi="宋体" w:eastAsia="宋体" w:cs="Times New Roman"/>
          <w:color w:val="auto"/>
          <w:sz w:val="21"/>
          <w:szCs w:val="21"/>
          <w:highlight w:val="none"/>
          <w:lang w:eastAsia="zh-CN"/>
        </w:rPr>
        <w:t>，在娄底市公共资源交易网</w:t>
      </w:r>
      <w:r>
        <w:rPr>
          <w:rFonts w:hint="eastAsia" w:ascii="宋体" w:hAnsi="宋体" w:eastAsia="宋体" w:cs="Times New Roman"/>
          <w:color w:val="auto"/>
          <w:sz w:val="21"/>
          <w:szCs w:val="21"/>
          <w:highlight w:val="none"/>
          <w:lang w:val="en-US" w:eastAsia="zh-CN"/>
        </w:rPr>
        <w:t>或</w:t>
      </w:r>
      <w:r>
        <w:rPr>
          <w:rFonts w:hint="eastAsia" w:ascii="宋体" w:hAnsi="宋体" w:eastAsia="宋体" w:cs="Times New Roman"/>
          <w:color w:val="auto"/>
          <w:sz w:val="21"/>
          <w:szCs w:val="21"/>
          <w:highlight w:val="none"/>
          <w:lang w:eastAsia="zh-CN"/>
        </w:rPr>
        <w:t>湖南省政府采购网（</w:t>
      </w:r>
      <w:r>
        <w:rPr>
          <w:rFonts w:hint="eastAsia" w:ascii="宋体" w:hAnsi="宋体" w:eastAsia="宋体" w:cs="Times New Roman"/>
          <w:color w:val="auto"/>
          <w:sz w:val="21"/>
          <w:szCs w:val="21"/>
          <w:highlight w:val="none"/>
          <w:lang w:eastAsia="zh-CN"/>
        </w:rPr>
        <w:fldChar w:fldCharType="begin"/>
      </w:r>
      <w:r>
        <w:rPr>
          <w:rFonts w:hint="eastAsia" w:ascii="宋体" w:hAnsi="宋体" w:eastAsia="宋体" w:cs="Times New Roman"/>
          <w:color w:val="auto"/>
          <w:sz w:val="21"/>
          <w:szCs w:val="21"/>
          <w:highlight w:val="none"/>
          <w:lang w:eastAsia="zh-CN"/>
        </w:rPr>
        <w:instrText xml:space="preserve"> HYPERLINK "http://ldggzy.hnloudi.gov.cn/、http://www.ccgp-hunan.gov.cn/" </w:instrText>
      </w:r>
      <w:r>
        <w:rPr>
          <w:rFonts w:hint="eastAsia" w:ascii="宋体" w:hAnsi="宋体" w:eastAsia="宋体" w:cs="Times New Roman"/>
          <w:color w:val="auto"/>
          <w:sz w:val="21"/>
          <w:szCs w:val="21"/>
          <w:highlight w:val="none"/>
          <w:lang w:eastAsia="zh-CN"/>
        </w:rPr>
        <w:fldChar w:fldCharType="separate"/>
      </w:r>
      <w:r>
        <w:rPr>
          <w:rFonts w:hint="eastAsia" w:ascii="宋体" w:hAnsi="宋体" w:eastAsia="宋体" w:cs="Times New Roman"/>
          <w:color w:val="auto"/>
          <w:sz w:val="21"/>
          <w:szCs w:val="21"/>
          <w:highlight w:val="none"/>
          <w:lang w:eastAsia="zh-CN"/>
        </w:rPr>
        <w:t>http://ldggzy.hnloudi.gov.cn/、http://www.ccgp-hunan.gov.cn/</w:t>
      </w:r>
      <w:r>
        <w:rPr>
          <w:rFonts w:hint="eastAsia" w:ascii="宋体" w:hAnsi="宋体" w:eastAsia="宋体" w:cs="Times New Roman"/>
          <w:color w:val="auto"/>
          <w:sz w:val="21"/>
          <w:szCs w:val="21"/>
          <w:highlight w:val="none"/>
          <w:lang w:eastAsia="zh-CN"/>
        </w:rPr>
        <w:fldChar w:fldCharType="end"/>
      </w:r>
      <w:r>
        <w:rPr>
          <w:rFonts w:hint="eastAsia" w:ascii="宋体" w:hAnsi="宋体" w:eastAsia="宋体" w:cs="Times New Roman"/>
          <w:color w:val="auto"/>
          <w:sz w:val="21"/>
          <w:szCs w:val="21"/>
          <w:highlight w:val="none"/>
          <w:lang w:eastAsia="zh-CN"/>
        </w:rPr>
        <w:t>）获取招标文件。</w:t>
      </w:r>
    </w:p>
    <w:p w14:paraId="1F772050">
      <w:pPr>
        <w:adjustRightInd w:val="0"/>
        <w:snapToGrid w:val="0"/>
        <w:spacing w:line="360" w:lineRule="auto"/>
        <w:ind w:firstLine="630" w:firstLineChars="300"/>
        <w:rPr>
          <w:rFonts w:hint="eastAsia" w:ascii="宋体" w:hAnsi="宋体" w:eastAsia="宋体" w:cs="Times New Roman"/>
          <w:color w:val="auto"/>
          <w:sz w:val="21"/>
          <w:szCs w:val="21"/>
          <w:highlight w:val="none"/>
          <w:lang w:eastAsia="zh-CN"/>
        </w:rPr>
      </w:pPr>
      <w:r>
        <w:rPr>
          <w:rFonts w:hint="eastAsia" w:ascii="宋体" w:hAnsi="宋体" w:eastAsia="宋体" w:cs="Times New Roman"/>
          <w:color w:val="auto"/>
          <w:sz w:val="21"/>
          <w:szCs w:val="21"/>
          <w:highlight w:val="none"/>
          <w:lang w:eastAsia="zh-CN"/>
        </w:rPr>
        <w:t>本项目实行电子交易，有意参加投标者，请用湖南CA证书登陆娄底市公共资源交易网</w:t>
      </w:r>
      <w:r>
        <w:rPr>
          <w:rFonts w:hint="eastAsia" w:ascii="宋体" w:hAnsi="宋体" w:eastAsia="宋体" w:cs="Times New Roman"/>
          <w:color w:val="auto"/>
          <w:sz w:val="21"/>
          <w:szCs w:val="21"/>
          <w:highlight w:val="none"/>
          <w:lang w:eastAsia="zh-CN"/>
        </w:rPr>
        <w:fldChar w:fldCharType="begin"/>
      </w:r>
      <w:r>
        <w:rPr>
          <w:rFonts w:hint="eastAsia" w:ascii="宋体" w:hAnsi="宋体" w:eastAsia="宋体" w:cs="Times New Roman"/>
          <w:color w:val="auto"/>
          <w:sz w:val="21"/>
          <w:szCs w:val="21"/>
          <w:highlight w:val="none"/>
          <w:lang w:eastAsia="zh-CN"/>
        </w:rPr>
        <w:instrText xml:space="preserve"> HYPERLINK "http://ldggzy.hnloudi.gov.cn/" </w:instrText>
      </w:r>
      <w:r>
        <w:rPr>
          <w:rFonts w:hint="eastAsia" w:ascii="宋体" w:hAnsi="宋体" w:eastAsia="宋体" w:cs="Times New Roman"/>
          <w:color w:val="auto"/>
          <w:sz w:val="21"/>
          <w:szCs w:val="21"/>
          <w:highlight w:val="none"/>
          <w:lang w:eastAsia="zh-CN"/>
        </w:rPr>
        <w:fldChar w:fldCharType="separate"/>
      </w:r>
      <w:r>
        <w:rPr>
          <w:rFonts w:hint="eastAsia" w:ascii="宋体" w:hAnsi="宋体" w:eastAsia="宋体" w:cs="Times New Roman"/>
          <w:color w:val="auto"/>
          <w:sz w:val="21"/>
          <w:szCs w:val="21"/>
          <w:highlight w:val="none"/>
          <w:lang w:eastAsia="zh-CN"/>
        </w:rPr>
        <w:t>http://ldggzy.hnloudi.gov.cn/</w:t>
      </w:r>
      <w:r>
        <w:rPr>
          <w:rFonts w:hint="eastAsia" w:ascii="宋体" w:hAnsi="宋体" w:eastAsia="宋体" w:cs="Times New Roman"/>
          <w:color w:val="auto"/>
          <w:sz w:val="21"/>
          <w:szCs w:val="21"/>
          <w:highlight w:val="none"/>
          <w:lang w:eastAsia="zh-CN"/>
        </w:rPr>
        <w:fldChar w:fldCharType="end"/>
      </w:r>
      <w:r>
        <w:rPr>
          <w:rFonts w:hint="eastAsia" w:ascii="宋体" w:hAnsi="宋体" w:eastAsia="宋体" w:cs="Times New Roman"/>
          <w:color w:val="auto"/>
          <w:sz w:val="21"/>
          <w:szCs w:val="21"/>
          <w:highlight w:val="none"/>
          <w:lang w:eastAsia="zh-CN"/>
        </w:rPr>
        <w:t>选择进入“公共资源交易平台”，获取招标文件获取电子版招标文件。</w:t>
      </w:r>
    </w:p>
    <w:p w14:paraId="392BDAFB">
      <w:pPr>
        <w:adjustRightInd w:val="0"/>
        <w:snapToGrid w:val="0"/>
        <w:spacing w:line="360" w:lineRule="auto"/>
        <w:ind w:firstLine="630" w:firstLineChars="300"/>
        <w:rPr>
          <w:rFonts w:hint="eastAsia" w:ascii="宋体" w:hAnsi="宋体" w:eastAsia="宋体" w:cs="Times New Roman"/>
          <w:color w:val="auto"/>
          <w:sz w:val="21"/>
          <w:szCs w:val="21"/>
          <w:highlight w:val="none"/>
          <w:lang w:eastAsia="zh-CN"/>
        </w:rPr>
      </w:pPr>
      <w:r>
        <w:rPr>
          <w:rFonts w:hint="eastAsia" w:ascii="宋体" w:hAnsi="宋体" w:eastAsia="宋体" w:cs="Times New Roman"/>
          <w:color w:val="auto"/>
          <w:sz w:val="21"/>
          <w:szCs w:val="21"/>
          <w:highlight w:val="none"/>
          <w:lang w:eastAsia="zh-CN"/>
        </w:rPr>
        <w:t>资格审查：开标后资格审查。</w:t>
      </w:r>
    </w:p>
    <w:p w14:paraId="1743AFD4">
      <w:pPr>
        <w:adjustRightInd w:val="0"/>
        <w:snapToGrid w:val="0"/>
        <w:spacing w:line="360" w:lineRule="auto"/>
        <w:ind w:firstLine="420" w:firstLineChars="200"/>
        <w:rPr>
          <w:rFonts w:hint="eastAsia" w:ascii="宋体" w:hAnsi="宋体" w:eastAsia="宋体" w:cs="Times New Roman"/>
          <w:color w:val="auto"/>
          <w:sz w:val="21"/>
          <w:szCs w:val="21"/>
          <w:highlight w:val="none"/>
          <w:lang w:eastAsia="zh-CN"/>
        </w:rPr>
      </w:pPr>
      <w:r>
        <w:rPr>
          <w:rFonts w:hint="eastAsia" w:ascii="宋体" w:hAnsi="宋体" w:eastAsia="宋体" w:cs="Times New Roman"/>
          <w:color w:val="auto"/>
          <w:sz w:val="21"/>
          <w:szCs w:val="21"/>
          <w:highlight w:val="none"/>
          <w:lang w:val="en-US" w:eastAsia="zh-CN"/>
        </w:rPr>
        <w:t>供应商</w:t>
      </w:r>
      <w:r>
        <w:rPr>
          <w:rFonts w:hint="eastAsia" w:ascii="宋体" w:hAnsi="宋体" w:eastAsia="宋体" w:cs="Times New Roman"/>
          <w:color w:val="auto"/>
          <w:sz w:val="21"/>
          <w:szCs w:val="21"/>
          <w:highlight w:val="none"/>
          <w:lang w:eastAsia="zh-CN"/>
        </w:rPr>
        <w:t>自行在以上网站下载或查阅</w:t>
      </w:r>
      <w:r>
        <w:rPr>
          <w:rFonts w:hint="eastAsia" w:ascii="宋体" w:hAnsi="宋体" w:eastAsia="宋体" w:cs="Times New Roman"/>
          <w:color w:val="auto"/>
          <w:sz w:val="21"/>
          <w:szCs w:val="21"/>
          <w:highlight w:val="none"/>
          <w:lang w:val="en-US" w:eastAsia="zh-CN"/>
        </w:rPr>
        <w:t>采购</w:t>
      </w:r>
      <w:r>
        <w:rPr>
          <w:rFonts w:hint="eastAsia" w:ascii="宋体" w:hAnsi="宋体" w:eastAsia="宋体" w:cs="Times New Roman"/>
          <w:color w:val="auto"/>
          <w:sz w:val="21"/>
          <w:szCs w:val="21"/>
          <w:highlight w:val="none"/>
          <w:lang w:eastAsia="zh-CN"/>
        </w:rPr>
        <w:t>相关文件和资料等，恕不另行通知，如有遗漏</w:t>
      </w:r>
      <w:r>
        <w:rPr>
          <w:rFonts w:hint="eastAsia" w:ascii="宋体" w:hAnsi="宋体" w:eastAsia="宋体" w:cs="Times New Roman"/>
          <w:color w:val="auto"/>
          <w:sz w:val="21"/>
          <w:szCs w:val="21"/>
          <w:highlight w:val="none"/>
          <w:lang w:val="en-US" w:eastAsia="zh-CN"/>
        </w:rPr>
        <w:t>采购人或采购代理机构</w:t>
      </w:r>
      <w:r>
        <w:rPr>
          <w:rFonts w:hint="eastAsia" w:ascii="宋体" w:hAnsi="宋体" w:eastAsia="宋体" w:cs="Times New Roman"/>
          <w:color w:val="auto"/>
          <w:sz w:val="21"/>
          <w:szCs w:val="21"/>
          <w:highlight w:val="none"/>
          <w:lang w:eastAsia="zh-CN"/>
        </w:rPr>
        <w:t>概不负责。</w:t>
      </w:r>
    </w:p>
    <w:p w14:paraId="1B419459">
      <w:pPr>
        <w:adjustRightInd w:val="0"/>
        <w:snapToGrid w:val="0"/>
        <w:spacing w:line="360" w:lineRule="auto"/>
        <w:ind w:firstLine="422" w:firstLineChars="200"/>
        <w:outlineLvl w:val="1"/>
        <w:rPr>
          <w:rFonts w:ascii="宋体" w:hAnsi="宋体"/>
          <w:b/>
          <w:color w:val="auto"/>
          <w:szCs w:val="21"/>
          <w:highlight w:val="none"/>
        </w:rPr>
      </w:pPr>
      <w:r>
        <w:rPr>
          <w:rFonts w:hint="eastAsia" w:ascii="宋体" w:hAnsi="宋体"/>
          <w:b/>
          <w:color w:val="auto"/>
          <w:szCs w:val="21"/>
          <w:highlight w:val="none"/>
        </w:rPr>
        <w:t>六、投标截止时间、开标时间及地点</w:t>
      </w:r>
      <w:bookmarkEnd w:id="14"/>
    </w:p>
    <w:p w14:paraId="4982258B">
      <w:pPr>
        <w:adjustRightInd w:val="0"/>
        <w:snapToGrid w:val="0"/>
        <w:spacing w:line="360" w:lineRule="auto"/>
        <w:ind w:firstLine="420" w:firstLineChars="200"/>
        <w:rPr>
          <w:rFonts w:ascii="宋体" w:hAnsi="宋体"/>
          <w:b/>
          <w:color w:val="auto"/>
          <w:szCs w:val="21"/>
          <w:highlight w:val="none"/>
        </w:rPr>
      </w:pPr>
      <w:r>
        <w:rPr>
          <w:rFonts w:hint="eastAsia"/>
          <w:color w:val="auto"/>
          <w:szCs w:val="21"/>
          <w:highlight w:val="none"/>
          <w:shd w:val="clear" w:color="auto" w:fill="FFFFFF"/>
        </w:rPr>
        <w:t>1、提交投标文件的截止时间及开标时间：202</w:t>
      </w:r>
      <w:r>
        <w:rPr>
          <w:rFonts w:hint="eastAsia"/>
          <w:color w:val="auto"/>
          <w:szCs w:val="21"/>
          <w:highlight w:val="none"/>
          <w:shd w:val="clear" w:color="auto" w:fill="FFFFFF"/>
          <w:lang w:val="en-US" w:eastAsia="zh-CN"/>
        </w:rPr>
        <w:t>6</w:t>
      </w:r>
      <w:r>
        <w:rPr>
          <w:rFonts w:hint="eastAsia"/>
          <w:color w:val="auto"/>
          <w:szCs w:val="21"/>
          <w:highlight w:val="none"/>
          <w:shd w:val="clear" w:color="auto" w:fill="FFFFFF"/>
        </w:rPr>
        <w:t>年</w:t>
      </w:r>
      <w:r>
        <w:rPr>
          <w:rFonts w:hint="eastAsia"/>
          <w:color w:val="auto"/>
          <w:szCs w:val="21"/>
          <w:highlight w:val="none"/>
          <w:u w:val="single"/>
          <w:shd w:val="clear" w:color="auto" w:fill="FFFFFF"/>
          <w:lang w:val="en-US" w:eastAsia="zh-CN"/>
        </w:rPr>
        <w:t xml:space="preserve"> 8 </w:t>
      </w:r>
      <w:r>
        <w:rPr>
          <w:rFonts w:hint="eastAsia"/>
          <w:color w:val="auto"/>
          <w:szCs w:val="21"/>
          <w:highlight w:val="none"/>
          <w:shd w:val="clear" w:color="auto" w:fill="FFFFFF"/>
        </w:rPr>
        <w:t>月</w:t>
      </w:r>
      <w:r>
        <w:rPr>
          <w:rFonts w:hint="eastAsia"/>
          <w:color w:val="auto"/>
          <w:szCs w:val="21"/>
          <w:highlight w:val="none"/>
          <w:u w:val="single"/>
          <w:shd w:val="clear" w:color="auto" w:fill="FFFFFF"/>
        </w:rPr>
        <w:t xml:space="preserve"> </w:t>
      </w:r>
      <w:r>
        <w:rPr>
          <w:rFonts w:hint="eastAsia"/>
          <w:color w:val="auto"/>
          <w:szCs w:val="21"/>
          <w:highlight w:val="none"/>
          <w:u w:val="single"/>
          <w:shd w:val="clear" w:color="auto" w:fill="FFFFFF"/>
          <w:lang w:val="en-US" w:eastAsia="zh-CN"/>
        </w:rPr>
        <w:t xml:space="preserve">11 </w:t>
      </w:r>
      <w:r>
        <w:rPr>
          <w:rFonts w:hint="eastAsia"/>
          <w:color w:val="auto"/>
          <w:szCs w:val="21"/>
          <w:highlight w:val="none"/>
          <w:shd w:val="clear" w:color="auto" w:fill="FFFFFF"/>
        </w:rPr>
        <w:t>日</w:t>
      </w:r>
      <w:r>
        <w:rPr>
          <w:rFonts w:hint="eastAsia"/>
          <w:color w:val="auto"/>
          <w:szCs w:val="21"/>
          <w:highlight w:val="none"/>
          <w:u w:val="single"/>
          <w:shd w:val="clear" w:color="auto" w:fill="FFFFFF"/>
          <w:lang w:val="en-US" w:eastAsia="zh-CN"/>
        </w:rPr>
        <w:t xml:space="preserve"> 09:00 </w:t>
      </w:r>
      <w:r>
        <w:rPr>
          <w:rFonts w:hint="eastAsia"/>
          <w:color w:val="auto"/>
          <w:szCs w:val="21"/>
          <w:highlight w:val="none"/>
          <w:shd w:val="clear" w:color="auto" w:fill="FFFFFF"/>
        </w:rPr>
        <w:t>（北京时间）</w:t>
      </w:r>
    </w:p>
    <w:p w14:paraId="0586FF75">
      <w:pPr>
        <w:adjustRightInd w:val="0"/>
        <w:snapToGrid w:val="0"/>
        <w:spacing w:line="360" w:lineRule="auto"/>
        <w:ind w:firstLine="420" w:firstLineChars="200"/>
        <w:rPr>
          <w:rFonts w:ascii="宋体" w:hAnsi="宋体"/>
          <w:b/>
          <w:color w:val="auto"/>
          <w:szCs w:val="21"/>
          <w:highlight w:val="none"/>
        </w:rPr>
      </w:pPr>
      <w:r>
        <w:rPr>
          <w:rFonts w:hint="eastAsia"/>
          <w:color w:val="auto"/>
          <w:szCs w:val="21"/>
          <w:highlight w:val="none"/>
          <w:shd w:val="clear" w:color="auto" w:fill="FFFFFF"/>
        </w:rPr>
        <w:t>2、提交投标文件地点：娄底市公共资源交易中心（http://ldggzy.hnloudi.gov.cn/）。</w:t>
      </w:r>
    </w:p>
    <w:p w14:paraId="61D2BDAB">
      <w:pPr>
        <w:adjustRightInd w:val="0"/>
        <w:snapToGrid w:val="0"/>
        <w:spacing w:line="360" w:lineRule="auto"/>
        <w:ind w:firstLine="420" w:firstLineChars="200"/>
        <w:rPr>
          <w:rFonts w:ascii="宋体" w:hAnsi="宋体"/>
          <w:b/>
          <w:color w:val="auto"/>
          <w:szCs w:val="21"/>
          <w:highlight w:val="none"/>
        </w:rPr>
      </w:pPr>
      <w:r>
        <w:rPr>
          <w:rFonts w:hint="eastAsia"/>
          <w:color w:val="auto"/>
          <w:szCs w:val="21"/>
          <w:highlight w:val="none"/>
          <w:shd w:val="clear" w:color="auto" w:fill="FFFFFF"/>
        </w:rPr>
        <w:t>3、解密截止时间：202</w:t>
      </w:r>
      <w:r>
        <w:rPr>
          <w:rFonts w:hint="eastAsia"/>
          <w:color w:val="auto"/>
          <w:szCs w:val="21"/>
          <w:highlight w:val="none"/>
          <w:shd w:val="clear" w:color="auto" w:fill="FFFFFF"/>
          <w:lang w:val="en-US" w:eastAsia="zh-CN"/>
        </w:rPr>
        <w:t>6</w:t>
      </w:r>
      <w:r>
        <w:rPr>
          <w:rFonts w:hint="eastAsia"/>
          <w:color w:val="auto"/>
          <w:szCs w:val="21"/>
          <w:highlight w:val="none"/>
          <w:shd w:val="clear" w:color="auto" w:fill="FFFFFF"/>
        </w:rPr>
        <w:t>年</w:t>
      </w:r>
      <w:r>
        <w:rPr>
          <w:rFonts w:hint="eastAsia"/>
          <w:color w:val="auto"/>
          <w:szCs w:val="21"/>
          <w:highlight w:val="none"/>
          <w:u w:val="single"/>
          <w:shd w:val="clear" w:color="auto" w:fill="FFFFFF"/>
          <w:lang w:val="en-US" w:eastAsia="zh-CN"/>
        </w:rPr>
        <w:t>8</w:t>
      </w:r>
      <w:r>
        <w:rPr>
          <w:rFonts w:hint="eastAsia"/>
          <w:color w:val="auto"/>
          <w:szCs w:val="21"/>
          <w:highlight w:val="none"/>
          <w:shd w:val="clear" w:color="auto" w:fill="FFFFFF"/>
        </w:rPr>
        <w:t>月</w:t>
      </w:r>
      <w:r>
        <w:rPr>
          <w:rFonts w:hint="eastAsia"/>
          <w:color w:val="auto"/>
          <w:szCs w:val="21"/>
          <w:highlight w:val="none"/>
          <w:u w:val="single"/>
          <w:shd w:val="clear" w:color="auto" w:fill="FFFFFF"/>
          <w:lang w:val="en-US" w:eastAsia="zh-CN"/>
        </w:rPr>
        <w:t xml:space="preserve">11 </w:t>
      </w:r>
      <w:r>
        <w:rPr>
          <w:rFonts w:hint="eastAsia"/>
          <w:color w:val="auto"/>
          <w:szCs w:val="21"/>
          <w:highlight w:val="none"/>
          <w:shd w:val="clear" w:color="auto" w:fill="FFFFFF"/>
        </w:rPr>
        <w:t>日</w:t>
      </w:r>
      <w:r>
        <w:rPr>
          <w:rFonts w:hint="eastAsia"/>
          <w:color w:val="auto"/>
          <w:szCs w:val="21"/>
          <w:highlight w:val="none"/>
          <w:u w:val="single"/>
          <w:shd w:val="clear" w:color="auto" w:fill="FFFFFF"/>
        </w:rPr>
        <w:t xml:space="preserve"> </w:t>
      </w:r>
      <w:r>
        <w:rPr>
          <w:rFonts w:hint="eastAsia"/>
          <w:color w:val="auto"/>
          <w:szCs w:val="21"/>
          <w:highlight w:val="none"/>
          <w:u w:val="single"/>
          <w:shd w:val="clear" w:color="auto" w:fill="FFFFFF"/>
          <w:lang w:val="en-US" w:eastAsia="zh-CN"/>
        </w:rPr>
        <w:t xml:space="preserve">09 </w:t>
      </w:r>
      <w:r>
        <w:rPr>
          <w:rFonts w:hint="eastAsia"/>
          <w:color w:val="auto"/>
          <w:szCs w:val="21"/>
          <w:highlight w:val="none"/>
          <w:shd w:val="clear" w:color="auto" w:fill="FFFFFF"/>
        </w:rPr>
        <w:t>时</w:t>
      </w:r>
      <w:r>
        <w:rPr>
          <w:rFonts w:hint="eastAsia"/>
          <w:color w:val="auto"/>
          <w:szCs w:val="21"/>
          <w:highlight w:val="none"/>
          <w:u w:val="single"/>
          <w:shd w:val="clear" w:color="auto" w:fill="FFFFFF"/>
          <w:lang w:val="en-US" w:eastAsia="zh-CN"/>
        </w:rPr>
        <w:t xml:space="preserve">30 </w:t>
      </w:r>
      <w:r>
        <w:rPr>
          <w:rFonts w:hint="eastAsia"/>
          <w:color w:val="auto"/>
          <w:szCs w:val="21"/>
          <w:highlight w:val="none"/>
          <w:shd w:val="clear" w:color="auto" w:fill="FFFFFF"/>
        </w:rPr>
        <w:t>分（投标截止时间后30分钟）,请投标人确保投标文件如期解密。</w:t>
      </w:r>
    </w:p>
    <w:p w14:paraId="6B71F2A4">
      <w:pPr>
        <w:adjustRightInd w:val="0"/>
        <w:snapToGrid w:val="0"/>
        <w:spacing w:line="360" w:lineRule="auto"/>
        <w:ind w:firstLine="420" w:firstLineChars="200"/>
        <w:rPr>
          <w:rFonts w:ascii="宋体" w:hAnsi="宋体"/>
          <w:b/>
          <w:color w:val="auto"/>
          <w:szCs w:val="21"/>
          <w:highlight w:val="none"/>
        </w:rPr>
      </w:pPr>
      <w:r>
        <w:rPr>
          <w:rFonts w:hint="eastAsia"/>
          <w:color w:val="auto"/>
          <w:szCs w:val="21"/>
          <w:highlight w:val="none"/>
          <w:shd w:val="clear" w:color="auto" w:fill="FFFFFF"/>
        </w:rPr>
        <w:t>4、开标地点：娄底市公共资源交易中心四楼（详见当天电子显示屏的安排）</w:t>
      </w:r>
      <w:r>
        <w:rPr>
          <w:rStyle w:val="112"/>
          <w:color w:val="auto"/>
          <w:szCs w:val="21"/>
          <w:highlight w:val="none"/>
        </w:rPr>
        <w:t>。</w:t>
      </w:r>
    </w:p>
    <w:p w14:paraId="5AAD2B5F">
      <w:pPr>
        <w:adjustRightInd w:val="0"/>
        <w:snapToGrid w:val="0"/>
        <w:spacing w:line="360" w:lineRule="auto"/>
        <w:ind w:firstLine="422" w:firstLineChars="200"/>
        <w:outlineLvl w:val="1"/>
        <w:rPr>
          <w:rFonts w:ascii="宋体" w:hAnsi="宋体"/>
          <w:b/>
          <w:color w:val="auto"/>
          <w:szCs w:val="21"/>
          <w:highlight w:val="none"/>
        </w:rPr>
      </w:pPr>
      <w:bookmarkStart w:id="15" w:name="_Toc501370040"/>
      <w:r>
        <w:rPr>
          <w:rFonts w:hint="eastAsia" w:ascii="宋体" w:hAnsi="宋体"/>
          <w:b/>
          <w:color w:val="auto"/>
          <w:szCs w:val="21"/>
          <w:highlight w:val="none"/>
        </w:rPr>
        <w:t>七、公告期限</w:t>
      </w:r>
      <w:r>
        <w:rPr>
          <w:rFonts w:hint="eastAsia" w:ascii="宋体" w:hAnsi="宋体"/>
          <w:color w:val="auto"/>
          <w:szCs w:val="21"/>
          <w:highlight w:val="none"/>
        </w:rPr>
        <w:t>：</w:t>
      </w:r>
      <w:bookmarkEnd w:id="15"/>
    </w:p>
    <w:p w14:paraId="67C7F96D">
      <w:pPr>
        <w:adjustRightInd w:val="0"/>
        <w:snapToGrid w:val="0"/>
        <w:spacing w:line="360" w:lineRule="auto"/>
        <w:ind w:firstLine="420" w:firstLineChars="200"/>
        <w:rPr>
          <w:rFonts w:ascii="宋体" w:hAnsi="宋体"/>
          <w:b/>
          <w:color w:val="auto"/>
          <w:szCs w:val="21"/>
          <w:highlight w:val="none"/>
        </w:rPr>
      </w:pPr>
      <w:r>
        <w:rPr>
          <w:rFonts w:hint="eastAsia" w:ascii="宋体" w:hAnsi="宋体"/>
          <w:color w:val="auto"/>
          <w:szCs w:val="21"/>
          <w:highlight w:val="none"/>
        </w:rPr>
        <w:t>1、本招标公告在中国湖南政府采购网（www.ccgp-hunan.gov.cn）和娄底市公共资源交易网（http://ldggzy.hnloudi.gov.cn/）发布。公告期限从本招标公告发布之日起5个工作日。</w:t>
      </w:r>
    </w:p>
    <w:p w14:paraId="4DA86CB0">
      <w:pPr>
        <w:adjustRightInd w:val="0"/>
        <w:snapToGrid w:val="0"/>
        <w:spacing w:line="360" w:lineRule="auto"/>
        <w:ind w:firstLine="420" w:firstLineChars="200"/>
        <w:rPr>
          <w:rFonts w:ascii="宋体" w:hAnsi="宋体"/>
          <w:b/>
          <w:color w:val="auto"/>
          <w:szCs w:val="21"/>
          <w:highlight w:val="none"/>
        </w:rPr>
      </w:pPr>
      <w:r>
        <w:rPr>
          <w:rFonts w:hint="eastAsia" w:ascii="宋体" w:hAnsi="宋体"/>
          <w:color w:val="auto"/>
          <w:szCs w:val="21"/>
          <w:highlight w:val="none"/>
        </w:rPr>
        <w:t>2、在其他媒体发布的招标公告，公告内容以本招标公告指定媒体发布的公告为准；公告期限自本招标公告指定媒体最先发布公告之日起算。</w:t>
      </w:r>
    </w:p>
    <w:p w14:paraId="5F466DED">
      <w:pPr>
        <w:adjustRightInd w:val="0"/>
        <w:snapToGrid w:val="0"/>
        <w:spacing w:line="360" w:lineRule="auto"/>
        <w:ind w:firstLine="422" w:firstLineChars="200"/>
        <w:outlineLvl w:val="1"/>
        <w:rPr>
          <w:rFonts w:ascii="宋体" w:hAnsi="宋体"/>
          <w:color w:val="auto"/>
          <w:szCs w:val="21"/>
          <w:highlight w:val="none"/>
        </w:rPr>
      </w:pPr>
      <w:bookmarkStart w:id="16" w:name="_Toc525551541"/>
      <w:r>
        <w:rPr>
          <w:rFonts w:hint="eastAsia" w:ascii="宋体" w:hAnsi="宋体"/>
          <w:b/>
          <w:color w:val="auto"/>
          <w:szCs w:val="21"/>
          <w:highlight w:val="none"/>
        </w:rPr>
        <w:t>八、询问及质疑</w:t>
      </w:r>
      <w:r>
        <w:rPr>
          <w:rFonts w:hint="eastAsia" w:ascii="宋体" w:hAnsi="宋体"/>
          <w:color w:val="auto"/>
          <w:szCs w:val="21"/>
          <w:highlight w:val="none"/>
        </w:rPr>
        <w:t>：</w:t>
      </w:r>
      <w:bookmarkEnd w:id="16"/>
    </w:p>
    <w:p w14:paraId="01E2B022">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1、投标人对政府采购活动事项如有疑问的，可以向采购人、采购代理机构提出询问。采购人、采购代理机构将在3个工作日内作出答复。</w:t>
      </w:r>
    </w:p>
    <w:p w14:paraId="61B138F9">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2投标人对电子交易平台办理CA证书、操作等如有疑问，请咨询电子交易平台服务机构。</w:t>
      </w:r>
    </w:p>
    <w:p w14:paraId="6161AFC0">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3、潜在投标人认为招标文件或招标公告使自己的合法权益受到损害的，可以在收到招标文件之日或招标公告期限届满之日起7个工作日内，按《湖南省财政厅关于印发＜政府采购质疑答复和投诉处理操作规程＞的通知》(湘财购〔2024〕67号)规定，以纸质书面形式向采购人、采购代理机构提出质疑。</w:t>
      </w:r>
    </w:p>
    <w:p w14:paraId="524EAD30">
      <w:pPr>
        <w:adjustRightInd w:val="0"/>
        <w:snapToGrid w:val="0"/>
        <w:spacing w:line="360" w:lineRule="auto"/>
        <w:ind w:firstLine="422" w:firstLineChars="200"/>
        <w:outlineLvl w:val="1"/>
        <w:rPr>
          <w:rFonts w:ascii="宋体" w:hAnsi="宋体"/>
          <w:b/>
          <w:color w:val="auto"/>
          <w:szCs w:val="21"/>
          <w:highlight w:val="none"/>
        </w:rPr>
      </w:pPr>
      <w:bookmarkStart w:id="17" w:name="_Toc192868947"/>
      <w:r>
        <w:rPr>
          <w:rFonts w:hint="eastAsia" w:ascii="宋体" w:hAnsi="宋体"/>
          <w:b/>
          <w:bCs/>
          <w:color w:val="auto"/>
          <w:szCs w:val="21"/>
          <w:highlight w:val="none"/>
        </w:rPr>
        <w:t>九、</w:t>
      </w:r>
      <w:r>
        <w:rPr>
          <w:rFonts w:hint="eastAsia" w:ascii="宋体" w:hAnsi="宋体"/>
          <w:b/>
          <w:color w:val="auto"/>
          <w:szCs w:val="21"/>
          <w:highlight w:val="none"/>
        </w:rPr>
        <w:t>投标说明</w:t>
      </w:r>
      <w:r>
        <w:rPr>
          <w:rFonts w:hint="eastAsia" w:ascii="宋体" w:hAnsi="宋体"/>
          <w:color w:val="auto"/>
          <w:szCs w:val="21"/>
          <w:highlight w:val="none"/>
        </w:rPr>
        <w:t>：</w:t>
      </w:r>
      <w:bookmarkEnd w:id="17"/>
    </w:p>
    <w:p w14:paraId="11308BD9">
      <w:pPr>
        <w:tabs>
          <w:tab w:val="left" w:pos="4700"/>
          <w:tab w:val="left" w:pos="6000"/>
          <w:tab w:val="left" w:pos="7160"/>
          <w:tab w:val="left" w:pos="8520"/>
        </w:tabs>
        <w:autoSpaceDE w:val="0"/>
        <w:autoSpaceDN w:val="0"/>
        <w:adjustRightInd w:val="0"/>
        <w:snapToGrid w:val="0"/>
        <w:spacing w:line="360" w:lineRule="auto"/>
        <w:ind w:right="-23" w:firstLine="420" w:firstLineChars="200"/>
        <w:jc w:val="left"/>
        <w:rPr>
          <w:rFonts w:ascii="宋体" w:hAnsi="宋体"/>
          <w:color w:val="auto"/>
          <w:szCs w:val="21"/>
          <w:highlight w:val="none"/>
        </w:rPr>
      </w:pPr>
      <w:r>
        <w:rPr>
          <w:rFonts w:hint="eastAsia" w:ascii="宋体" w:hAnsi="宋体"/>
          <w:color w:val="auto"/>
          <w:szCs w:val="21"/>
          <w:highlight w:val="none"/>
        </w:rPr>
        <w:t>1、本公告选项：</w:t>
      </w:r>
      <w:r>
        <w:rPr>
          <w:rFonts w:hint="eastAsia" w:ascii="宋体" w:hAnsi="宋体"/>
          <w:color w:val="auto"/>
          <w:szCs w:val="21"/>
          <w:highlight w:val="none"/>
        </w:rPr>
        <w:sym w:font="Wingdings" w:char="00FE"/>
      </w:r>
      <w:r>
        <w:rPr>
          <w:rFonts w:hint="eastAsia" w:ascii="宋体" w:hAnsi="宋体"/>
          <w:color w:val="auto"/>
          <w:szCs w:val="21"/>
          <w:highlight w:val="none"/>
        </w:rPr>
        <w:t>表示选择，</w:t>
      </w:r>
      <w:r>
        <w:rPr>
          <w:rFonts w:hint="eastAsia" w:ascii="宋体" w:hAnsi="宋体"/>
          <w:color w:val="auto"/>
          <w:szCs w:val="21"/>
          <w:highlight w:val="none"/>
        </w:rPr>
        <w:sym w:font="Wingdings" w:char="00A8"/>
      </w:r>
      <w:r>
        <w:rPr>
          <w:rFonts w:hint="eastAsia" w:ascii="宋体" w:hAnsi="宋体"/>
          <w:color w:val="auto"/>
          <w:szCs w:val="21"/>
          <w:highlight w:val="none"/>
        </w:rPr>
        <w:t>表示未选择。</w:t>
      </w:r>
    </w:p>
    <w:p w14:paraId="578374C2">
      <w:pPr>
        <w:adjustRightInd w:val="0"/>
        <w:snapToGrid w:val="0"/>
        <w:spacing w:line="360" w:lineRule="auto"/>
        <w:ind w:firstLine="420" w:firstLineChars="200"/>
        <w:rPr>
          <w:rFonts w:ascii="宋体" w:hAnsi="宋体"/>
          <w:b/>
          <w:bCs/>
          <w:color w:val="auto"/>
          <w:szCs w:val="21"/>
          <w:highlight w:val="none"/>
        </w:rPr>
      </w:pPr>
      <w:r>
        <w:rPr>
          <w:rFonts w:hint="eastAsia" w:ascii="宋体" w:hAnsi="宋体"/>
          <w:color w:val="auto"/>
          <w:szCs w:val="21"/>
          <w:highlight w:val="none"/>
        </w:rPr>
        <w:t>2、投标人参与政府采购活动，无需向采购人、代理机构、交易平台缴纳任何费用。</w:t>
      </w:r>
    </w:p>
    <w:p w14:paraId="7E4372CC">
      <w:pPr>
        <w:adjustRightInd w:val="0"/>
        <w:snapToGrid w:val="0"/>
        <w:spacing w:line="360" w:lineRule="auto"/>
        <w:ind w:firstLine="422" w:firstLineChars="200"/>
        <w:outlineLvl w:val="1"/>
        <w:rPr>
          <w:rFonts w:ascii="宋体" w:hAnsi="宋体"/>
          <w:b/>
          <w:bCs/>
          <w:color w:val="auto"/>
          <w:szCs w:val="21"/>
          <w:highlight w:val="none"/>
        </w:rPr>
      </w:pPr>
      <w:bookmarkStart w:id="18" w:name="_Toc2046581701"/>
      <w:r>
        <w:rPr>
          <w:rFonts w:hint="eastAsia" w:ascii="宋体" w:hAnsi="宋体"/>
          <w:b/>
          <w:bCs/>
          <w:color w:val="auto"/>
          <w:szCs w:val="21"/>
          <w:highlight w:val="none"/>
        </w:rPr>
        <w:t>十、其他补充事宜</w:t>
      </w:r>
      <w:bookmarkEnd w:id="18"/>
    </w:p>
    <w:p w14:paraId="1084B5FB">
      <w:pPr>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color w:val="auto"/>
          <w:szCs w:val="21"/>
          <w:highlight w:val="none"/>
        </w:rPr>
        <w:t>1、</w:t>
      </w:r>
      <w:r>
        <w:rPr>
          <w:rFonts w:hint="eastAsia" w:ascii="宋体" w:hAnsi="宋体" w:eastAsia="宋体" w:cs="宋体"/>
          <w:color w:val="auto"/>
          <w:highlight w:val="none"/>
        </w:rPr>
        <w:t>项目采用电子网上投标</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凡有意参加采购活动者，请使用企业数字证书（key）登录娄底市公共资源交易中心网站（http://ldggzy.hnloudi.gov.cn/）登陆后选择项目按照页面提示网上投标，下载采购资料（电子采购文件为gef格式）、项目投标的壳文件和加密程序，网上递交电子投标文件。电子响应（投标）文件制作工具（新版本的投标人工具箱V</w:t>
      </w:r>
      <w:r>
        <w:rPr>
          <w:rFonts w:hint="eastAsia" w:ascii="宋体" w:hAnsi="宋体" w:eastAsia="宋体" w:cs="宋体"/>
          <w:color w:val="auto"/>
          <w:highlight w:val="none"/>
          <w:lang w:eastAsia="zh-CN"/>
        </w:rPr>
        <w:t>6.7.0</w:t>
      </w:r>
      <w:r>
        <w:rPr>
          <w:rFonts w:hint="eastAsia" w:ascii="宋体" w:hAnsi="宋体" w:eastAsia="宋体" w:cs="宋体"/>
          <w:color w:val="auto"/>
          <w:highlight w:val="none"/>
        </w:rPr>
        <w:t>）和操作说明书请在该项目资料中下载。请各投标人一定要提前熟悉系统操作和软件操作，电子投标文件为gef格式。投标过程中如遇问题可联系金润技术客服：客服电话：</w:t>
      </w:r>
      <w:r>
        <w:rPr>
          <w:rFonts w:hint="eastAsia" w:ascii="宋体" w:hAnsi="宋体" w:cs="宋体"/>
          <w:color w:val="auto"/>
          <w:highlight w:val="none"/>
          <w:lang w:eastAsia="zh-CN"/>
        </w:rPr>
        <w:t xml:space="preserve"> 400-926-9966</w:t>
      </w:r>
      <w:r>
        <w:rPr>
          <w:rFonts w:hint="eastAsia" w:ascii="宋体" w:hAnsi="宋体" w:eastAsia="宋体" w:cs="宋体"/>
          <w:color w:val="auto"/>
          <w:highlight w:val="none"/>
        </w:rPr>
        <w:t>，客服QQ：2159511823，如因不会操作所造成的投标失败或损失由投标人自行负责。由于对网上招投标操作不熟悉或自身电脑、个人网络等原因导致不能在提交响应文件截止时间之前完成</w:t>
      </w:r>
      <w:r>
        <w:rPr>
          <w:rFonts w:hint="eastAsia" w:ascii="宋体" w:hAnsi="宋体" w:eastAsia="宋体" w:cs="宋体"/>
          <w:color w:val="auto"/>
          <w:highlight w:val="none"/>
          <w:lang w:val="en-US" w:eastAsia="zh-CN"/>
        </w:rPr>
        <w:t>投标</w:t>
      </w:r>
      <w:r>
        <w:rPr>
          <w:rFonts w:hint="eastAsia" w:ascii="宋体" w:hAnsi="宋体" w:eastAsia="宋体" w:cs="宋体"/>
          <w:color w:val="auto"/>
          <w:highlight w:val="none"/>
        </w:rPr>
        <w:t>文件上传的，相应责任由投标人自行承担。在使用系统过程中有疑问或困难请及时进行咨询。</w:t>
      </w:r>
    </w:p>
    <w:p w14:paraId="627BA454">
      <w:pPr>
        <w:spacing w:line="360" w:lineRule="auto"/>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2、电子投标文件解密注意事项：请投标人自行完成投标文件解密，因投标人自身原因未在规定时间内完成解密或无法解密的投标文件视为撤销其投标文件，相应责任由投标人自行承担。</w:t>
      </w:r>
    </w:p>
    <w:p w14:paraId="71B96985">
      <w:pPr>
        <w:spacing w:line="360" w:lineRule="auto"/>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本项目采取全过程电子标，不要求投标人参与现场开标。评标委员会在评标室对需要进行答疑的单位进行提问，投标单位收到短信后在规定时间内在交易平台进行澄清（快捷导航-澄清答疑-选择进行答疑的项目）查看问题并上传答疑附件（答疑附件以PDF格式上传）。</w:t>
      </w:r>
    </w:p>
    <w:p w14:paraId="3F64E12D">
      <w:pPr>
        <w:spacing w:line="360" w:lineRule="auto"/>
        <w:ind w:firstLine="420" w:firstLineChars="200"/>
      </w:pPr>
      <w:r>
        <w:rPr>
          <w:rFonts w:hint="eastAsia" w:ascii="宋体" w:hAnsi="宋体" w:eastAsia="宋体" w:cs="宋体"/>
          <w:color w:val="auto"/>
          <w:sz w:val="21"/>
          <w:szCs w:val="21"/>
          <w:highlight w:val="none"/>
          <w:lang w:val="en-US" w:eastAsia="zh-CN"/>
        </w:rPr>
        <w:t xml:space="preserve"> 4、请各潜在投标人在投标函中提供真实有效的联系人及联系电话，以便联系。评标委员会按投标人</w:t>
      </w:r>
      <w:r>
        <w:rPr>
          <w:rFonts w:hint="eastAsia" w:ascii="宋体" w:hAnsi="宋体" w:cs="宋体"/>
          <w:color w:val="auto"/>
          <w:szCs w:val="21"/>
          <w:highlight w:val="none"/>
          <w:shd w:val="clear" w:color="auto" w:fill="FFFFFF"/>
        </w:rPr>
        <w:t>提交的电子投标文件进行评审，资料的真实性、合法性由投标人负责，如有虚假，已中标的将取消中标资格，并依法追究相应责任</w:t>
      </w:r>
      <w:r>
        <w:rPr>
          <w:rFonts w:hint="eastAsia" w:ascii="宋体" w:hAnsi="宋体"/>
          <w:color w:val="auto"/>
          <w:szCs w:val="21"/>
          <w:highlight w:val="none"/>
        </w:rPr>
        <w:t>。</w:t>
      </w:r>
    </w:p>
    <w:p w14:paraId="44DD70BE">
      <w:pPr>
        <w:adjustRightInd w:val="0"/>
        <w:snapToGrid w:val="0"/>
        <w:spacing w:line="360" w:lineRule="auto"/>
        <w:ind w:firstLine="422" w:firstLineChars="200"/>
        <w:outlineLvl w:val="1"/>
        <w:rPr>
          <w:rFonts w:ascii="宋体" w:hAnsi="宋体"/>
          <w:b/>
          <w:color w:val="auto"/>
          <w:szCs w:val="21"/>
          <w:highlight w:val="none"/>
        </w:rPr>
      </w:pPr>
      <w:bookmarkStart w:id="19" w:name="_Toc1479446612"/>
      <w:r>
        <w:rPr>
          <w:rFonts w:hint="eastAsia" w:ascii="宋体" w:hAnsi="宋体"/>
          <w:b/>
          <w:bCs/>
          <w:color w:val="auto"/>
          <w:szCs w:val="21"/>
          <w:highlight w:val="none"/>
        </w:rPr>
        <w:t>十一</w:t>
      </w:r>
      <w:r>
        <w:rPr>
          <w:rFonts w:hint="eastAsia" w:ascii="宋体" w:hAnsi="宋体"/>
          <w:color w:val="auto"/>
          <w:szCs w:val="21"/>
          <w:highlight w:val="none"/>
        </w:rPr>
        <w:t>、</w:t>
      </w:r>
      <w:r>
        <w:rPr>
          <w:rFonts w:hint="eastAsia" w:ascii="宋体" w:hAnsi="宋体"/>
          <w:b/>
          <w:color w:val="auto"/>
          <w:szCs w:val="21"/>
          <w:highlight w:val="none"/>
        </w:rPr>
        <w:t>采购项目联系人姓名和电话</w:t>
      </w:r>
      <w:bookmarkEnd w:id="19"/>
    </w:p>
    <w:p w14:paraId="71E3E74A">
      <w:pPr>
        <w:adjustRightInd w:val="0"/>
        <w:snapToGrid w:val="0"/>
        <w:spacing w:line="360" w:lineRule="auto"/>
        <w:ind w:firstLine="420" w:firstLineChars="200"/>
        <w:rPr>
          <w:rFonts w:hint="default" w:ascii="宋体" w:hAnsi="宋体" w:eastAsia="宋体"/>
          <w:color w:val="auto"/>
          <w:szCs w:val="21"/>
          <w:highlight w:val="none"/>
          <w:lang w:val="en-US" w:eastAsia="zh-CN"/>
        </w:rPr>
      </w:pPr>
      <w:r>
        <w:rPr>
          <w:rFonts w:hint="eastAsia" w:ascii="宋体" w:hAnsi="宋体"/>
          <w:color w:val="auto"/>
          <w:szCs w:val="21"/>
          <w:highlight w:val="none"/>
        </w:rPr>
        <w:t>1、联系人姓名：</w:t>
      </w:r>
      <w:r>
        <w:rPr>
          <w:rFonts w:hint="eastAsia" w:ascii="宋体" w:hAnsi="宋体"/>
          <w:color w:val="auto"/>
          <w:szCs w:val="21"/>
          <w:highlight w:val="none"/>
          <w:lang w:val="en-US" w:eastAsia="zh-CN"/>
        </w:rPr>
        <w:t>孙女士</w:t>
      </w:r>
    </w:p>
    <w:p w14:paraId="2A3C5B0B">
      <w:pPr>
        <w:adjustRightInd w:val="0"/>
        <w:snapToGrid w:val="0"/>
        <w:spacing w:line="360" w:lineRule="auto"/>
        <w:ind w:firstLine="420" w:firstLineChars="200"/>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rPr>
        <w:t>2、电话：16673869902</w:t>
      </w:r>
    </w:p>
    <w:p w14:paraId="0E222C36">
      <w:pPr>
        <w:adjustRightInd w:val="0"/>
        <w:snapToGrid w:val="0"/>
        <w:spacing w:line="360" w:lineRule="auto"/>
        <w:ind w:firstLine="413" w:firstLineChars="196"/>
        <w:outlineLvl w:val="1"/>
        <w:rPr>
          <w:rFonts w:ascii="宋体" w:hAnsi="宋体"/>
          <w:b/>
          <w:bCs/>
          <w:color w:val="auto"/>
          <w:szCs w:val="21"/>
          <w:highlight w:val="none"/>
        </w:rPr>
      </w:pPr>
      <w:bookmarkStart w:id="20" w:name="_Toc193394877"/>
      <w:r>
        <w:rPr>
          <w:rFonts w:hint="eastAsia" w:ascii="宋体" w:hAnsi="宋体"/>
          <w:b/>
          <w:bCs/>
          <w:color w:val="auto"/>
          <w:szCs w:val="21"/>
          <w:highlight w:val="none"/>
        </w:rPr>
        <w:t>十二、采购人、采购代理机构的名称、地址和联系方法</w:t>
      </w:r>
      <w:bookmarkEnd w:id="20"/>
    </w:p>
    <w:p w14:paraId="63CA0EED">
      <w:pPr>
        <w:adjustRightInd w:val="0"/>
        <w:snapToGrid w:val="0"/>
        <w:spacing w:line="360" w:lineRule="auto"/>
        <w:ind w:firstLine="413" w:firstLineChars="196"/>
        <w:outlineLvl w:val="2"/>
        <w:rPr>
          <w:rFonts w:ascii="宋体" w:hAnsi="宋体"/>
          <w:b/>
          <w:bCs/>
          <w:color w:val="auto"/>
          <w:szCs w:val="21"/>
          <w:highlight w:val="none"/>
        </w:rPr>
      </w:pPr>
      <w:r>
        <w:rPr>
          <w:rFonts w:hint="eastAsia" w:ascii="宋体" w:hAnsi="宋体"/>
          <w:b/>
          <w:bCs/>
          <w:color w:val="auto"/>
          <w:szCs w:val="21"/>
          <w:highlight w:val="none"/>
        </w:rPr>
        <w:t>1</w:t>
      </w:r>
      <w:r>
        <w:rPr>
          <w:rFonts w:hint="eastAsia" w:ascii="宋体" w:hAnsi="宋体"/>
          <w:color w:val="auto"/>
          <w:szCs w:val="21"/>
          <w:highlight w:val="none"/>
        </w:rPr>
        <w:t>、</w:t>
      </w:r>
      <w:r>
        <w:rPr>
          <w:rFonts w:hint="eastAsia" w:ascii="宋体" w:hAnsi="宋体"/>
          <w:b/>
          <w:bCs/>
          <w:color w:val="auto"/>
          <w:szCs w:val="21"/>
          <w:highlight w:val="none"/>
        </w:rPr>
        <w:t>采购人信息</w:t>
      </w:r>
    </w:p>
    <w:p w14:paraId="3BED93EF">
      <w:pPr>
        <w:adjustRightInd w:val="0"/>
        <w:snapToGrid w:val="0"/>
        <w:spacing w:line="360" w:lineRule="auto"/>
        <w:ind w:firstLine="420" w:firstLineChars="200"/>
        <w:rPr>
          <w:rFonts w:hint="eastAsia" w:ascii="宋体" w:hAnsi="宋体"/>
          <w:color w:val="auto"/>
          <w:szCs w:val="21"/>
          <w:highlight w:val="none"/>
          <w:lang w:eastAsia="zh-CN"/>
        </w:rPr>
      </w:pPr>
      <w:r>
        <w:rPr>
          <w:rFonts w:hint="eastAsia" w:ascii="宋体" w:hAnsi="宋体"/>
          <w:color w:val="auto"/>
          <w:szCs w:val="21"/>
          <w:highlight w:val="none"/>
        </w:rPr>
        <w:t>（1）名 称：</w:t>
      </w:r>
      <w:r>
        <w:rPr>
          <w:rFonts w:hint="eastAsia" w:ascii="宋体" w:hAnsi="宋体"/>
          <w:color w:val="auto"/>
          <w:szCs w:val="21"/>
          <w:highlight w:val="none"/>
          <w:lang w:eastAsia="zh-CN"/>
        </w:rPr>
        <w:t>娄底市中心医院</w:t>
      </w:r>
    </w:p>
    <w:p w14:paraId="0BCC63C7">
      <w:pPr>
        <w:adjustRightInd w:val="0"/>
        <w:snapToGrid w:val="0"/>
        <w:spacing w:line="360" w:lineRule="auto"/>
        <w:ind w:firstLine="420" w:firstLineChars="200"/>
        <w:rPr>
          <w:rFonts w:hint="eastAsia" w:ascii="宋体" w:hAnsi="宋体" w:eastAsia="宋体"/>
          <w:color w:val="auto"/>
          <w:szCs w:val="21"/>
          <w:highlight w:val="none"/>
          <w:u w:val="single"/>
          <w:lang w:eastAsia="zh-CN"/>
        </w:rPr>
      </w:pPr>
      <w:r>
        <w:rPr>
          <w:rFonts w:hint="eastAsia" w:ascii="宋体" w:hAnsi="宋体"/>
          <w:color w:val="auto"/>
          <w:szCs w:val="21"/>
          <w:highlight w:val="none"/>
        </w:rPr>
        <w:t>（2）地  址：湖南省娄底市长青中街51号</w:t>
      </w:r>
      <w:r>
        <w:rPr>
          <w:rFonts w:hint="eastAsia" w:ascii="宋体" w:hAnsi="宋体"/>
          <w:color w:val="auto"/>
          <w:szCs w:val="21"/>
          <w:highlight w:val="none"/>
          <w:lang w:val="en-US" w:eastAsia="zh-CN"/>
        </w:rPr>
        <w:t xml:space="preserve"> </w:t>
      </w:r>
    </w:p>
    <w:p w14:paraId="499B57E3">
      <w:pPr>
        <w:adjustRightInd w:val="0"/>
        <w:snapToGrid w:val="0"/>
        <w:spacing w:line="360" w:lineRule="auto"/>
        <w:ind w:firstLine="411" w:firstLineChars="196"/>
        <w:rPr>
          <w:rFonts w:hint="eastAsia" w:ascii="宋体" w:hAnsi="宋体" w:eastAsia="宋体"/>
          <w:color w:val="auto"/>
          <w:szCs w:val="21"/>
          <w:highlight w:val="none"/>
          <w:lang w:eastAsia="zh-CN"/>
        </w:rPr>
      </w:pPr>
      <w:r>
        <w:rPr>
          <w:rFonts w:hint="eastAsia" w:ascii="宋体" w:hAnsi="宋体"/>
          <w:color w:val="auto"/>
          <w:szCs w:val="21"/>
          <w:highlight w:val="none"/>
        </w:rPr>
        <w:t>（3）联系人：</w:t>
      </w:r>
      <w:r>
        <w:rPr>
          <w:rFonts w:hint="eastAsia" w:ascii="宋体" w:hAnsi="宋体"/>
          <w:color w:val="auto"/>
          <w:szCs w:val="21"/>
          <w:highlight w:val="none"/>
          <w:lang w:val="en-US" w:eastAsia="zh-CN"/>
        </w:rPr>
        <w:t>孙女士</w:t>
      </w:r>
    </w:p>
    <w:p w14:paraId="38DE0626">
      <w:pPr>
        <w:adjustRightInd w:val="0"/>
        <w:snapToGrid w:val="0"/>
        <w:spacing w:line="360" w:lineRule="auto"/>
        <w:ind w:firstLine="420" w:firstLineChars="200"/>
        <w:rPr>
          <w:rFonts w:hint="eastAsia" w:ascii="宋体" w:hAnsi="宋体" w:cs="宋体"/>
          <w:color w:val="auto"/>
          <w:szCs w:val="21"/>
          <w:highlight w:val="none"/>
          <w:shd w:val="clear" w:color="auto" w:fill="FFFFFF"/>
          <w:lang w:val="en-US" w:eastAsia="zh-CN"/>
        </w:rPr>
      </w:pPr>
      <w:r>
        <w:rPr>
          <w:rFonts w:hint="eastAsia" w:ascii="宋体" w:hAnsi="宋体"/>
          <w:color w:val="auto"/>
          <w:szCs w:val="21"/>
          <w:highlight w:val="none"/>
        </w:rPr>
        <w:t>（4）</w:t>
      </w:r>
      <w:r>
        <w:rPr>
          <w:rFonts w:hint="eastAsia" w:ascii="宋体" w:hAnsi="宋体" w:cs="宋体"/>
          <w:color w:val="auto"/>
          <w:szCs w:val="21"/>
          <w:highlight w:val="none"/>
          <w:shd w:val="clear" w:color="auto" w:fill="FFFFFF"/>
        </w:rPr>
        <w:t>邮编：</w:t>
      </w:r>
      <w:r>
        <w:rPr>
          <w:rFonts w:hint="eastAsia" w:ascii="宋体" w:hAnsi="宋体" w:cs="宋体"/>
          <w:color w:val="auto"/>
          <w:szCs w:val="21"/>
          <w:highlight w:val="none"/>
          <w:shd w:val="clear" w:color="auto" w:fill="FFFFFF"/>
          <w:lang w:val="en-US" w:eastAsia="zh-CN"/>
        </w:rPr>
        <w:t xml:space="preserve">417000 </w:t>
      </w:r>
    </w:p>
    <w:p w14:paraId="5D5FC6ED">
      <w:pPr>
        <w:adjustRightInd w:val="0"/>
        <w:snapToGrid w:val="0"/>
        <w:spacing w:line="360" w:lineRule="auto"/>
        <w:ind w:firstLine="420" w:firstLineChars="200"/>
        <w:rPr>
          <w:rFonts w:hint="default" w:ascii="宋体" w:hAnsi="宋体" w:eastAsia="宋体" w:cs="宋体"/>
          <w:color w:val="auto"/>
          <w:szCs w:val="21"/>
          <w:highlight w:val="none"/>
          <w:lang w:val="en-US" w:eastAsia="zh-CN"/>
        </w:rPr>
      </w:pPr>
      <w:r>
        <w:rPr>
          <w:rFonts w:hint="eastAsia" w:ascii="宋体" w:hAnsi="宋体"/>
          <w:color w:val="auto"/>
          <w:szCs w:val="21"/>
          <w:highlight w:val="none"/>
        </w:rPr>
        <w:t>（5）电话：</w:t>
      </w:r>
      <w:r>
        <w:rPr>
          <w:rFonts w:hint="eastAsia" w:ascii="宋体" w:hAnsi="宋体" w:cs="宋体"/>
          <w:color w:val="auto"/>
          <w:szCs w:val="21"/>
          <w:highlight w:val="none"/>
          <w:lang w:val="en-US" w:eastAsia="zh-CN"/>
        </w:rPr>
        <w:t>16673869902</w:t>
      </w:r>
    </w:p>
    <w:p w14:paraId="0D309DBB">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shd w:val="clear" w:color="auto" w:fill="FFFFFF"/>
        </w:rPr>
        <w:t>（6）电子邮箱：/</w:t>
      </w:r>
    </w:p>
    <w:p w14:paraId="45B7164C">
      <w:pPr>
        <w:adjustRightInd w:val="0"/>
        <w:snapToGrid w:val="0"/>
        <w:spacing w:line="360" w:lineRule="auto"/>
        <w:ind w:firstLine="422" w:firstLineChars="200"/>
        <w:outlineLvl w:val="2"/>
        <w:rPr>
          <w:rFonts w:ascii="宋体" w:hAnsi="宋体"/>
          <w:b/>
          <w:bCs/>
          <w:color w:val="auto"/>
          <w:szCs w:val="21"/>
          <w:highlight w:val="none"/>
        </w:rPr>
      </w:pPr>
      <w:r>
        <w:rPr>
          <w:rFonts w:hint="eastAsia" w:ascii="宋体" w:hAnsi="宋体"/>
          <w:b/>
          <w:bCs/>
          <w:color w:val="auto"/>
          <w:szCs w:val="21"/>
          <w:highlight w:val="none"/>
        </w:rPr>
        <w:t>2</w:t>
      </w:r>
      <w:r>
        <w:rPr>
          <w:rFonts w:hint="eastAsia" w:ascii="宋体" w:hAnsi="宋体"/>
          <w:color w:val="auto"/>
          <w:szCs w:val="21"/>
          <w:highlight w:val="none"/>
        </w:rPr>
        <w:t>、</w:t>
      </w:r>
      <w:r>
        <w:rPr>
          <w:rFonts w:hint="eastAsia" w:ascii="宋体" w:hAnsi="宋体"/>
          <w:b/>
          <w:bCs/>
          <w:color w:val="auto"/>
          <w:szCs w:val="21"/>
          <w:highlight w:val="none"/>
        </w:rPr>
        <w:t>采购代理机构信息</w:t>
      </w:r>
    </w:p>
    <w:p w14:paraId="458ABA66">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（1）名称：娄底市政府采购中心</w:t>
      </w:r>
    </w:p>
    <w:p w14:paraId="547EF84A">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olor w:val="auto"/>
          <w:szCs w:val="21"/>
          <w:highlight w:val="none"/>
        </w:rPr>
        <w:t>（</w:t>
      </w:r>
      <w:r>
        <w:rPr>
          <w:rFonts w:hint="eastAsia" w:ascii="宋体" w:hAnsi="宋体" w:cs="宋体"/>
          <w:color w:val="auto"/>
          <w:szCs w:val="21"/>
          <w:highlight w:val="none"/>
        </w:rPr>
        <w:t>2）地址：娄底市娄星区勤政街36号</w:t>
      </w:r>
    </w:p>
    <w:p w14:paraId="44C46373">
      <w:pPr>
        <w:adjustRightInd w:val="0"/>
        <w:snapToGrid w:val="0"/>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rPr>
        <w:t>（3）联系人：</w:t>
      </w:r>
      <w:r>
        <w:rPr>
          <w:rFonts w:hint="eastAsia" w:ascii="宋体" w:hAnsi="宋体" w:cs="宋体"/>
          <w:color w:val="auto"/>
          <w:szCs w:val="21"/>
          <w:highlight w:val="none"/>
          <w:lang w:eastAsia="zh-CN"/>
        </w:rPr>
        <w:t>易先生</w:t>
      </w:r>
    </w:p>
    <w:p w14:paraId="137753CE">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（4）邮编：417000</w:t>
      </w:r>
    </w:p>
    <w:p w14:paraId="57C2F8F5">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（5）电话：0738-6371181</w:t>
      </w:r>
    </w:p>
    <w:p w14:paraId="6E9871F3">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（6）电子邮箱：/</w:t>
      </w:r>
    </w:p>
    <w:p w14:paraId="7045181B">
      <w:pPr>
        <w:adjustRightInd w:val="0"/>
        <w:snapToGrid w:val="0"/>
        <w:spacing w:line="360" w:lineRule="auto"/>
        <w:ind w:firstLine="422" w:firstLineChars="200"/>
        <w:outlineLvl w:val="2"/>
        <w:rPr>
          <w:rFonts w:ascii="宋体" w:hAnsi="宋体"/>
          <w:color w:val="auto"/>
          <w:szCs w:val="21"/>
          <w:highlight w:val="none"/>
        </w:rPr>
      </w:pPr>
      <w:r>
        <w:rPr>
          <w:rFonts w:hint="eastAsia" w:ascii="宋体" w:hAnsi="宋体"/>
          <w:b/>
          <w:bCs/>
          <w:color w:val="auto"/>
          <w:szCs w:val="21"/>
          <w:highlight w:val="none"/>
        </w:rPr>
        <w:t>3、电子交易平台服务机构信息</w:t>
      </w:r>
    </w:p>
    <w:p w14:paraId="01C185F7">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1</w:t>
      </w:r>
      <w:r>
        <w:rPr>
          <w:rFonts w:hint="eastAsia" w:ascii="宋体" w:hAnsi="宋体"/>
          <w:color w:val="auto"/>
          <w:szCs w:val="21"/>
          <w:highlight w:val="none"/>
        </w:rPr>
        <w:t>）联系人：金润软件 </w:t>
      </w:r>
    </w:p>
    <w:p w14:paraId="259C83E6">
      <w:pPr>
        <w:adjustRightInd w:val="0"/>
        <w:snapToGrid w:val="0"/>
        <w:spacing w:line="360" w:lineRule="auto"/>
        <w:ind w:firstLine="420" w:firstLineChars="200"/>
        <w:rPr>
          <w:rFonts w:hint="eastAsia" w:ascii="宋体" w:hAnsi="宋体" w:eastAsia="宋体"/>
          <w:color w:val="auto"/>
          <w:szCs w:val="21"/>
          <w:highlight w:val="none"/>
          <w:lang w:eastAsia="zh-CN"/>
        </w:rPr>
      </w:pPr>
      <w:r>
        <w:rPr>
          <w:rFonts w:hint="eastAsia" w:ascii="宋体" w:hAnsi="宋体"/>
          <w:color w:val="auto"/>
          <w:szCs w:val="21"/>
          <w:highlight w:val="none"/>
        </w:rPr>
        <w:t>（</w:t>
      </w:r>
      <w:r>
        <w:rPr>
          <w:rFonts w:hint="eastAsia" w:ascii="宋体" w:hAnsi="宋体"/>
          <w:color w:val="auto"/>
          <w:szCs w:val="21"/>
          <w:highlight w:val="none"/>
          <w:lang w:val="en-US" w:eastAsia="zh-CN"/>
        </w:rPr>
        <w:t>2</w:t>
      </w:r>
      <w:r>
        <w:rPr>
          <w:rFonts w:hint="eastAsia" w:ascii="宋体" w:hAnsi="宋体"/>
          <w:color w:val="auto"/>
          <w:szCs w:val="21"/>
          <w:highlight w:val="none"/>
        </w:rPr>
        <w:t>）电 话：</w:t>
      </w:r>
      <w:r>
        <w:rPr>
          <w:rFonts w:hint="eastAsia" w:ascii="宋体" w:hAnsi="宋体"/>
          <w:color w:val="auto"/>
          <w:szCs w:val="21"/>
          <w:highlight w:val="none"/>
          <w:lang w:eastAsia="zh-CN"/>
        </w:rPr>
        <w:t xml:space="preserve"> 400-926-9966</w:t>
      </w:r>
    </w:p>
    <w:p w14:paraId="14DB96DF">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）电子邮箱：2159511823@qq.com</w:t>
      </w:r>
    </w:p>
    <w:p w14:paraId="0E33D13A">
      <w:pPr>
        <w:adjustRightInd w:val="0"/>
        <w:snapToGrid w:val="0"/>
        <w:spacing w:line="360" w:lineRule="auto"/>
        <w:ind w:firstLine="411" w:firstLineChars="196"/>
        <w:rPr>
          <w:rFonts w:ascii="宋体" w:hAnsi="宋体"/>
          <w:color w:val="auto"/>
          <w:szCs w:val="21"/>
          <w:highlight w:val="none"/>
        </w:rPr>
      </w:pPr>
    </w:p>
    <w:p w14:paraId="75A41649">
      <w:pPr>
        <w:pStyle w:val="3"/>
        <w:rPr>
          <w:rFonts w:ascii="黑体" w:hAnsi="华文中宋" w:eastAsia="黑体"/>
          <w:b w:val="0"/>
          <w:color w:val="auto"/>
          <w:spacing w:val="100"/>
          <w:sz w:val="32"/>
          <w:szCs w:val="32"/>
          <w:highlight w:val="none"/>
        </w:rPr>
      </w:pPr>
      <w:r>
        <w:rPr>
          <w:color w:val="auto"/>
          <w:highlight w:val="none"/>
        </w:rPr>
        <w:br w:type="page"/>
      </w:r>
      <w:bookmarkStart w:id="21" w:name="_Toc75289547"/>
      <w:bookmarkStart w:id="22" w:name="_Toc78449954"/>
      <w:bookmarkStart w:id="23" w:name="_Toc78314261"/>
      <w:bookmarkStart w:id="24" w:name="_Toc100670667"/>
      <w:bookmarkStart w:id="25" w:name="_Toc117192447"/>
      <w:bookmarkStart w:id="26" w:name="_Toc9187"/>
      <w:bookmarkStart w:id="27" w:name="_Toc15746"/>
      <w:bookmarkStart w:id="28" w:name="_Toc26481"/>
      <w:bookmarkStart w:id="29" w:name="_Toc15888484"/>
      <w:bookmarkStart w:id="30" w:name="_Toc75289225"/>
      <w:bookmarkStart w:id="31" w:name="_Toc154428389"/>
      <w:bookmarkStart w:id="32" w:name="_Toc21674"/>
      <w:bookmarkStart w:id="33" w:name="_Toc12115"/>
      <w:bookmarkStart w:id="34" w:name="_Toc192949701"/>
      <w:bookmarkStart w:id="35" w:name="_Toc192949602"/>
      <w:bookmarkStart w:id="36" w:name="_Toc22038"/>
      <w:bookmarkStart w:id="37" w:name="_Toc761925084"/>
      <w:bookmarkStart w:id="38" w:name="_Toc77199398"/>
      <w:bookmarkStart w:id="39" w:name="_Toc94367879"/>
      <w:bookmarkStart w:id="40" w:name="_Toc95601364"/>
      <w:bookmarkStart w:id="41" w:name="_Toc7263"/>
      <w:bookmarkStart w:id="42" w:name="_Toc114036711"/>
      <w:bookmarkStart w:id="43" w:name="_Toc171273670"/>
      <w:bookmarkStart w:id="44" w:name="_Toc85972929"/>
      <w:bookmarkStart w:id="45" w:name="_Toc77676465"/>
      <w:bookmarkStart w:id="46" w:name="_Toc100670420"/>
      <w:bookmarkStart w:id="47" w:name="_Toc112704932"/>
      <w:bookmarkStart w:id="48" w:name="_Toc23473"/>
      <w:bookmarkStart w:id="49" w:name="_Toc25857"/>
      <w:bookmarkStart w:id="50" w:name="_Toc108341936"/>
      <w:bookmarkStart w:id="51" w:name="_Toc192951212"/>
      <w:r>
        <w:rPr>
          <w:rFonts w:hint="eastAsia" w:ascii="黑体" w:hAnsi="华文中宋" w:eastAsia="黑体"/>
          <w:b w:val="0"/>
          <w:color w:val="auto"/>
          <w:sz w:val="32"/>
          <w:szCs w:val="32"/>
          <w:highlight w:val="none"/>
        </w:rPr>
        <w:t>第二章 投标须知</w:t>
      </w:r>
      <w:bookmarkEnd w:id="0"/>
      <w:bookmarkEnd w:id="1"/>
      <w:bookmarkEnd w:id="2"/>
      <w:bookmarkEnd w:id="3"/>
      <w:bookmarkEnd w:id="4"/>
      <w:bookmarkEnd w:id="5"/>
      <w:bookmarkEnd w:id="6"/>
      <w:bookmarkEnd w:id="7"/>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6F62C715">
      <w:pPr>
        <w:pStyle w:val="2"/>
        <w:adjustRightInd w:val="0"/>
        <w:snapToGrid w:val="0"/>
        <w:spacing w:line="240" w:lineRule="auto"/>
        <w:jc w:val="center"/>
        <w:rPr>
          <w:rFonts w:ascii="黑体" w:hAnsi="华文中宋" w:eastAsia="黑体"/>
          <w:color w:val="auto"/>
          <w:spacing w:val="100"/>
          <w:sz w:val="28"/>
          <w:szCs w:val="28"/>
          <w:highlight w:val="none"/>
        </w:rPr>
      </w:pPr>
      <w:bookmarkStart w:id="52" w:name="_Toc77676466"/>
      <w:bookmarkStart w:id="53" w:name="_Toc20609"/>
      <w:bookmarkStart w:id="54" w:name="_Toc171273671"/>
      <w:bookmarkStart w:id="55" w:name="_Toc94367880"/>
      <w:bookmarkStart w:id="56" w:name="_Toc78314262"/>
      <w:bookmarkStart w:id="57" w:name="_Toc15888485"/>
      <w:bookmarkStart w:id="58" w:name="_Toc24209"/>
      <w:bookmarkStart w:id="59" w:name="_Toc192949702"/>
      <w:bookmarkStart w:id="60" w:name="_Toc100670421"/>
      <w:bookmarkStart w:id="61" w:name="_Toc1532"/>
      <w:bookmarkStart w:id="62" w:name="_Toc108341937"/>
      <w:bookmarkStart w:id="63" w:name="_Toc366084066"/>
      <w:bookmarkStart w:id="64" w:name="_Toc10549"/>
      <w:bookmarkStart w:id="65" w:name="_Toc75289226"/>
      <w:bookmarkStart w:id="66" w:name="_Toc78449955"/>
      <w:bookmarkStart w:id="67" w:name="_Toc114036712"/>
      <w:bookmarkStart w:id="68" w:name="_Toc192951213"/>
      <w:bookmarkStart w:id="69" w:name="_Toc112704933"/>
      <w:bookmarkStart w:id="70" w:name="_Toc18363"/>
      <w:bookmarkStart w:id="71" w:name="_Toc11230"/>
      <w:bookmarkStart w:id="72" w:name="_Toc77199399"/>
      <w:bookmarkStart w:id="73" w:name="_Toc192949603"/>
      <w:bookmarkStart w:id="74" w:name="_Toc100670668"/>
      <w:bookmarkStart w:id="75" w:name="_Toc3731"/>
      <w:bookmarkStart w:id="76" w:name="_Toc85972930"/>
      <w:bookmarkStart w:id="77" w:name="_Toc24994"/>
      <w:bookmarkStart w:id="78" w:name="_Toc4205"/>
      <w:bookmarkStart w:id="79" w:name="_Toc154428390"/>
      <w:bookmarkStart w:id="80" w:name="_Toc117192448"/>
      <w:bookmarkStart w:id="81" w:name="_Toc95601365"/>
      <w:bookmarkStart w:id="82" w:name="_Toc75289548"/>
      <w:r>
        <w:rPr>
          <w:rFonts w:hint="eastAsia" w:ascii="黑体" w:hAnsi="华文中宋" w:eastAsia="黑体"/>
          <w:color w:val="auto"/>
          <w:sz w:val="28"/>
          <w:szCs w:val="28"/>
          <w:highlight w:val="none"/>
        </w:rPr>
        <w:t>第一节  投标须知前附表</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5220615A">
      <w:pPr>
        <w:adjustRightInd w:val="0"/>
        <w:snapToGrid w:val="0"/>
        <w:jc w:val="left"/>
        <w:rPr>
          <w:rFonts w:ascii="宋体" w:hAnsi="宋体"/>
          <w:color w:val="auto"/>
          <w:szCs w:val="21"/>
          <w:highlight w:val="none"/>
        </w:rPr>
      </w:pPr>
      <w:r>
        <w:rPr>
          <w:rFonts w:hint="eastAsia" w:ascii="宋体" w:hAnsi="宋体"/>
          <w:color w:val="auto"/>
          <w:szCs w:val="21"/>
          <w:highlight w:val="none"/>
        </w:rPr>
        <w:t>注：本项目启用的条款在“编列内容规定”栏内以“</w:t>
      </w:r>
      <w:r>
        <w:rPr>
          <w:rFonts w:hint="eastAsia" w:ascii="宋体" w:hAnsi="宋体"/>
          <w:color w:val="auto"/>
          <w:szCs w:val="21"/>
          <w:highlight w:val="none"/>
        </w:rPr>
        <w:sym w:font="Wingdings" w:char="00FE"/>
      </w:r>
      <w:r>
        <w:rPr>
          <w:rFonts w:hint="eastAsia" w:ascii="宋体" w:hAnsi="宋体"/>
          <w:color w:val="auto"/>
          <w:szCs w:val="21"/>
          <w:highlight w:val="none"/>
        </w:rPr>
        <w:t>”标注。</w:t>
      </w:r>
    </w:p>
    <w:tbl>
      <w:tblPr>
        <w:tblStyle w:val="47"/>
        <w:tblW w:w="8677"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242"/>
        <w:gridCol w:w="2148"/>
        <w:gridCol w:w="5287"/>
      </w:tblGrid>
      <w:tr w14:paraId="4AD3052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14" w:hRule="atLeast"/>
          <w:tblHeader/>
          <w:jc w:val="center"/>
        </w:trPr>
        <w:tc>
          <w:tcPr>
            <w:tcW w:w="1242" w:type="dxa"/>
            <w:vAlign w:val="center"/>
          </w:tcPr>
          <w:p w14:paraId="28404AD9">
            <w:pPr>
              <w:adjustRightInd w:val="0"/>
              <w:snapToGrid w:val="0"/>
              <w:spacing w:line="360" w:lineRule="exact"/>
              <w:jc w:val="center"/>
              <w:rPr>
                <w:rFonts w:ascii="宋体" w:hAnsi="宋体"/>
                <w:b/>
                <w:color w:val="auto"/>
                <w:szCs w:val="21"/>
                <w:highlight w:val="none"/>
              </w:rPr>
            </w:pPr>
            <w:r>
              <w:rPr>
                <w:rFonts w:hint="eastAsia" w:ascii="宋体" w:hAnsi="宋体"/>
                <w:b/>
                <w:color w:val="auto"/>
                <w:szCs w:val="21"/>
                <w:highlight w:val="none"/>
              </w:rPr>
              <w:t>条款号</w:t>
            </w:r>
          </w:p>
        </w:tc>
        <w:tc>
          <w:tcPr>
            <w:tcW w:w="2148" w:type="dxa"/>
            <w:vAlign w:val="center"/>
          </w:tcPr>
          <w:p w14:paraId="0B1BC784">
            <w:pPr>
              <w:adjustRightInd w:val="0"/>
              <w:snapToGrid w:val="0"/>
              <w:spacing w:line="360" w:lineRule="exact"/>
              <w:jc w:val="center"/>
              <w:rPr>
                <w:rFonts w:ascii="宋体" w:hAnsi="宋体"/>
                <w:b/>
                <w:color w:val="auto"/>
                <w:szCs w:val="21"/>
                <w:highlight w:val="none"/>
              </w:rPr>
            </w:pPr>
            <w:r>
              <w:rPr>
                <w:rFonts w:hint="eastAsia" w:ascii="宋体" w:hAnsi="宋体"/>
                <w:b/>
                <w:color w:val="auto"/>
                <w:szCs w:val="21"/>
                <w:highlight w:val="none"/>
              </w:rPr>
              <w:t>条款名称</w:t>
            </w:r>
          </w:p>
        </w:tc>
        <w:tc>
          <w:tcPr>
            <w:tcW w:w="5287" w:type="dxa"/>
            <w:vAlign w:val="center"/>
          </w:tcPr>
          <w:p w14:paraId="2DEE3AA1">
            <w:pPr>
              <w:adjustRightInd w:val="0"/>
              <w:snapToGrid w:val="0"/>
              <w:spacing w:line="360" w:lineRule="exact"/>
              <w:jc w:val="center"/>
              <w:rPr>
                <w:rFonts w:ascii="宋体" w:hAnsi="宋体"/>
                <w:b/>
                <w:color w:val="auto"/>
                <w:szCs w:val="21"/>
                <w:highlight w:val="none"/>
              </w:rPr>
            </w:pPr>
            <w:r>
              <w:rPr>
                <w:rFonts w:hint="eastAsia" w:ascii="宋体" w:hAnsi="宋体"/>
                <w:b/>
                <w:color w:val="auto"/>
                <w:szCs w:val="21"/>
                <w:highlight w:val="none"/>
              </w:rPr>
              <w:t>编列内容规定</w:t>
            </w:r>
          </w:p>
        </w:tc>
      </w:tr>
      <w:tr w14:paraId="3578562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06" w:hRule="atLeast"/>
          <w:jc w:val="center"/>
        </w:trPr>
        <w:tc>
          <w:tcPr>
            <w:tcW w:w="8677" w:type="dxa"/>
            <w:gridSpan w:val="3"/>
            <w:vAlign w:val="center"/>
          </w:tcPr>
          <w:p w14:paraId="20BD5413">
            <w:pPr>
              <w:adjustRightInd w:val="0"/>
              <w:snapToGrid w:val="0"/>
              <w:spacing w:line="360" w:lineRule="exact"/>
              <w:rPr>
                <w:rFonts w:ascii="宋体" w:hAnsi="宋体"/>
                <w:color w:val="auto"/>
                <w:szCs w:val="21"/>
                <w:highlight w:val="none"/>
              </w:rPr>
            </w:pPr>
            <w:r>
              <w:rPr>
                <w:rFonts w:hint="eastAsia" w:ascii="宋体" w:hAnsi="宋体"/>
                <w:b/>
                <w:color w:val="auto"/>
                <w:szCs w:val="21"/>
                <w:highlight w:val="none"/>
              </w:rPr>
              <w:t>一、说明</w:t>
            </w:r>
          </w:p>
        </w:tc>
      </w:tr>
      <w:tr w14:paraId="5D0D04B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42" w:hRule="atLeast"/>
          <w:jc w:val="center"/>
        </w:trPr>
        <w:tc>
          <w:tcPr>
            <w:tcW w:w="1242" w:type="dxa"/>
            <w:vAlign w:val="center"/>
          </w:tcPr>
          <w:p w14:paraId="18E528F0">
            <w:pPr>
              <w:adjustRightInd w:val="0"/>
              <w:snapToGrid w:val="0"/>
              <w:spacing w:line="360" w:lineRule="exact"/>
              <w:jc w:val="center"/>
              <w:rPr>
                <w:rFonts w:ascii="宋体" w:hAnsi="宋体"/>
                <w:color w:val="auto"/>
                <w:szCs w:val="21"/>
                <w:highlight w:val="none"/>
              </w:rPr>
            </w:pPr>
            <w:r>
              <w:rPr>
                <w:rFonts w:hint="eastAsia" w:ascii="宋体" w:hAnsi="宋体"/>
                <w:color w:val="auto"/>
                <w:szCs w:val="21"/>
                <w:highlight w:val="none"/>
              </w:rPr>
              <w:t>第1.1款</w:t>
            </w:r>
          </w:p>
        </w:tc>
        <w:tc>
          <w:tcPr>
            <w:tcW w:w="2148" w:type="dxa"/>
            <w:vAlign w:val="center"/>
          </w:tcPr>
          <w:p w14:paraId="442C5111">
            <w:pPr>
              <w:adjustRightInd w:val="0"/>
              <w:snapToGrid w:val="0"/>
              <w:spacing w:line="360" w:lineRule="exact"/>
              <w:jc w:val="center"/>
              <w:rPr>
                <w:rFonts w:ascii="宋体" w:hAnsi="宋体"/>
                <w:color w:val="auto"/>
                <w:szCs w:val="21"/>
                <w:highlight w:val="none"/>
              </w:rPr>
            </w:pPr>
            <w:r>
              <w:rPr>
                <w:rFonts w:hint="eastAsia" w:ascii="宋体" w:hAnsi="宋体"/>
                <w:color w:val="auto"/>
                <w:szCs w:val="21"/>
                <w:highlight w:val="none"/>
              </w:rPr>
              <w:t>采购项目</w:t>
            </w:r>
          </w:p>
        </w:tc>
        <w:tc>
          <w:tcPr>
            <w:tcW w:w="5287" w:type="dxa"/>
            <w:vAlign w:val="center"/>
          </w:tcPr>
          <w:p w14:paraId="5A5805E9">
            <w:pPr>
              <w:adjustRightInd w:val="0"/>
              <w:snapToGrid w:val="0"/>
              <w:spacing w:line="360" w:lineRule="exact"/>
              <w:rPr>
                <w:rFonts w:hint="eastAsia" w:ascii="宋体" w:hAnsi="宋体" w:eastAsia="宋体"/>
                <w:color w:val="auto"/>
                <w:szCs w:val="21"/>
                <w:highlight w:val="none"/>
                <w:lang w:eastAsia="zh-CN"/>
              </w:rPr>
            </w:pPr>
            <w:r>
              <w:rPr>
                <w:rFonts w:hint="eastAsia" w:ascii="宋体" w:hAnsi="宋体"/>
                <w:color w:val="auto"/>
                <w:szCs w:val="21"/>
                <w:highlight w:val="none"/>
                <w:lang w:eastAsia="zh-CN"/>
              </w:rPr>
              <w:t>娄底市中心医院彩色超声多普勒诊断仪一批采购项目（第二次）</w:t>
            </w:r>
          </w:p>
        </w:tc>
      </w:tr>
      <w:tr w14:paraId="1924E71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42" w:hRule="atLeast"/>
          <w:jc w:val="center"/>
        </w:trPr>
        <w:tc>
          <w:tcPr>
            <w:tcW w:w="1242" w:type="dxa"/>
            <w:vAlign w:val="center"/>
          </w:tcPr>
          <w:p w14:paraId="4D466639">
            <w:pPr>
              <w:adjustRightInd w:val="0"/>
              <w:snapToGrid w:val="0"/>
              <w:spacing w:line="360" w:lineRule="exact"/>
              <w:jc w:val="center"/>
              <w:rPr>
                <w:rFonts w:ascii="宋体" w:hAnsi="宋体"/>
                <w:color w:val="auto"/>
                <w:szCs w:val="21"/>
                <w:highlight w:val="none"/>
              </w:rPr>
            </w:pPr>
            <w:r>
              <w:rPr>
                <w:rFonts w:hint="eastAsia" w:ascii="宋体" w:hAnsi="宋体"/>
                <w:color w:val="auto"/>
                <w:szCs w:val="21"/>
                <w:highlight w:val="none"/>
              </w:rPr>
              <w:t>第1.2款</w:t>
            </w:r>
          </w:p>
        </w:tc>
        <w:tc>
          <w:tcPr>
            <w:tcW w:w="2148" w:type="dxa"/>
            <w:vAlign w:val="center"/>
          </w:tcPr>
          <w:p w14:paraId="448DAE6F">
            <w:pPr>
              <w:adjustRightInd w:val="0"/>
              <w:snapToGrid w:val="0"/>
              <w:spacing w:line="360" w:lineRule="exact"/>
              <w:jc w:val="center"/>
              <w:rPr>
                <w:rFonts w:ascii="宋体" w:hAnsi="宋体"/>
                <w:color w:val="auto"/>
                <w:szCs w:val="21"/>
                <w:highlight w:val="none"/>
              </w:rPr>
            </w:pPr>
            <w:r>
              <w:rPr>
                <w:rFonts w:hint="eastAsia" w:ascii="宋体" w:hAnsi="宋体"/>
                <w:color w:val="auto"/>
                <w:szCs w:val="21"/>
                <w:highlight w:val="none"/>
              </w:rPr>
              <w:t>是否预留采购份额</w:t>
            </w:r>
          </w:p>
        </w:tc>
        <w:tc>
          <w:tcPr>
            <w:tcW w:w="5287" w:type="dxa"/>
            <w:vAlign w:val="center"/>
          </w:tcPr>
          <w:p w14:paraId="045F2358">
            <w:pPr>
              <w:adjustRightInd w:val="0"/>
              <w:snapToGrid w:val="0"/>
              <w:spacing w:line="360" w:lineRule="exact"/>
              <w:rPr>
                <w:rFonts w:ascii="宋体" w:hAnsi="宋体"/>
                <w:color w:val="auto"/>
                <w:szCs w:val="21"/>
                <w:highlight w:val="none"/>
              </w:rPr>
            </w:pPr>
            <w:r>
              <w:rPr>
                <w:rFonts w:hint="eastAsia" w:ascii="宋体" w:hAnsi="宋体"/>
                <w:color w:val="auto"/>
                <w:szCs w:val="21"/>
                <w:highlight w:val="none"/>
              </w:rPr>
              <w:t>否</w:t>
            </w:r>
          </w:p>
        </w:tc>
      </w:tr>
      <w:tr w14:paraId="5FC466A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55" w:hRule="atLeast"/>
          <w:jc w:val="center"/>
        </w:trPr>
        <w:tc>
          <w:tcPr>
            <w:tcW w:w="1242" w:type="dxa"/>
            <w:vAlign w:val="center"/>
          </w:tcPr>
          <w:p w14:paraId="2525B71A">
            <w:pPr>
              <w:adjustRightInd w:val="0"/>
              <w:snapToGrid w:val="0"/>
              <w:spacing w:line="360" w:lineRule="exact"/>
              <w:jc w:val="center"/>
              <w:rPr>
                <w:rFonts w:ascii="宋体" w:hAnsi="宋体"/>
                <w:color w:val="auto"/>
                <w:szCs w:val="21"/>
                <w:highlight w:val="none"/>
              </w:rPr>
            </w:pPr>
            <w:r>
              <w:rPr>
                <w:rFonts w:hint="eastAsia" w:ascii="宋体" w:hAnsi="宋体"/>
                <w:color w:val="auto"/>
                <w:szCs w:val="21"/>
                <w:highlight w:val="none"/>
              </w:rPr>
              <w:t>第2.1款</w:t>
            </w:r>
          </w:p>
        </w:tc>
        <w:tc>
          <w:tcPr>
            <w:tcW w:w="2148" w:type="dxa"/>
            <w:vAlign w:val="center"/>
          </w:tcPr>
          <w:p w14:paraId="584A3279">
            <w:pPr>
              <w:adjustRightInd w:val="0"/>
              <w:snapToGrid w:val="0"/>
              <w:spacing w:line="360" w:lineRule="exact"/>
              <w:jc w:val="center"/>
              <w:rPr>
                <w:rFonts w:hAnsi="宋体"/>
                <w:color w:val="auto"/>
                <w:szCs w:val="21"/>
                <w:highlight w:val="none"/>
              </w:rPr>
            </w:pPr>
            <w:r>
              <w:rPr>
                <w:rFonts w:hint="eastAsia" w:hAnsi="宋体"/>
                <w:color w:val="auto"/>
                <w:szCs w:val="21"/>
                <w:highlight w:val="none"/>
              </w:rPr>
              <w:t>采购项目联系人</w:t>
            </w:r>
          </w:p>
          <w:p w14:paraId="5F7EAC66">
            <w:pPr>
              <w:adjustRightInd w:val="0"/>
              <w:snapToGrid w:val="0"/>
              <w:spacing w:line="360" w:lineRule="exact"/>
              <w:jc w:val="center"/>
              <w:rPr>
                <w:rFonts w:ascii="宋体" w:hAnsi="宋体"/>
                <w:color w:val="auto"/>
                <w:szCs w:val="21"/>
                <w:highlight w:val="none"/>
              </w:rPr>
            </w:pPr>
            <w:r>
              <w:rPr>
                <w:rFonts w:hint="eastAsia" w:hAnsi="宋体"/>
                <w:color w:val="auto"/>
                <w:szCs w:val="21"/>
                <w:highlight w:val="none"/>
              </w:rPr>
              <w:t>姓名和电话</w:t>
            </w:r>
          </w:p>
        </w:tc>
        <w:tc>
          <w:tcPr>
            <w:tcW w:w="5287" w:type="dxa"/>
            <w:vAlign w:val="center"/>
          </w:tcPr>
          <w:p w14:paraId="181AE794">
            <w:pPr>
              <w:adjustRightInd w:val="0"/>
              <w:snapToGrid w:val="0"/>
              <w:spacing w:line="360" w:lineRule="exact"/>
              <w:rPr>
                <w:rFonts w:hint="eastAsia" w:ascii="宋体" w:hAnsi="宋体" w:eastAsia="宋体"/>
                <w:color w:val="auto"/>
                <w:szCs w:val="21"/>
                <w:highlight w:val="none"/>
                <w:lang w:eastAsia="zh-CN"/>
              </w:rPr>
            </w:pPr>
            <w:r>
              <w:rPr>
                <w:rFonts w:hint="eastAsia" w:ascii="宋体" w:hAnsi="宋体"/>
                <w:color w:val="auto"/>
                <w:szCs w:val="21"/>
                <w:highlight w:val="none"/>
              </w:rPr>
              <w:t>联系人姓名：</w:t>
            </w:r>
            <w:r>
              <w:rPr>
                <w:rFonts w:hint="eastAsia" w:ascii="宋体" w:hAnsi="宋体"/>
                <w:color w:val="auto"/>
                <w:szCs w:val="21"/>
                <w:highlight w:val="none"/>
                <w:lang w:val="en-US" w:eastAsia="zh-CN"/>
              </w:rPr>
              <w:t>孙女士</w:t>
            </w:r>
          </w:p>
          <w:p w14:paraId="5A9B0AD0">
            <w:pPr>
              <w:adjustRightInd w:val="0"/>
              <w:snapToGrid w:val="0"/>
              <w:spacing w:line="360" w:lineRule="exact"/>
              <w:rPr>
                <w:rFonts w:hint="eastAsia" w:ascii="宋体" w:hAnsi="宋体" w:eastAsia="宋体"/>
                <w:color w:val="auto"/>
                <w:szCs w:val="21"/>
                <w:highlight w:val="none"/>
                <w:lang w:eastAsia="zh-CN"/>
              </w:rPr>
            </w:pPr>
            <w:r>
              <w:rPr>
                <w:rFonts w:hint="eastAsia" w:ascii="宋体" w:hAnsi="宋体"/>
                <w:color w:val="auto"/>
                <w:szCs w:val="21"/>
                <w:highlight w:val="none"/>
              </w:rPr>
              <w:t>电话：</w:t>
            </w:r>
            <w:r>
              <w:rPr>
                <w:rFonts w:hint="eastAsia" w:ascii="宋体" w:hAnsi="宋体" w:cs="宋体"/>
                <w:color w:val="auto"/>
                <w:szCs w:val="21"/>
                <w:highlight w:val="none"/>
                <w:lang w:val="en-US" w:eastAsia="zh-CN"/>
              </w:rPr>
              <w:t>16673869902</w:t>
            </w:r>
          </w:p>
        </w:tc>
      </w:tr>
      <w:tr w14:paraId="3B8001A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70" w:hRule="atLeast"/>
          <w:jc w:val="center"/>
        </w:trPr>
        <w:tc>
          <w:tcPr>
            <w:tcW w:w="1242" w:type="dxa"/>
            <w:vAlign w:val="center"/>
          </w:tcPr>
          <w:p w14:paraId="173C2C2B">
            <w:pPr>
              <w:adjustRightInd w:val="0"/>
              <w:snapToGrid w:val="0"/>
              <w:spacing w:line="360" w:lineRule="exact"/>
              <w:jc w:val="center"/>
              <w:rPr>
                <w:rFonts w:ascii="宋体" w:hAnsi="宋体"/>
                <w:color w:val="auto"/>
                <w:szCs w:val="21"/>
                <w:highlight w:val="none"/>
              </w:rPr>
            </w:pPr>
            <w:r>
              <w:rPr>
                <w:rFonts w:hint="eastAsia" w:ascii="宋体" w:hAnsi="宋体"/>
                <w:color w:val="auto"/>
                <w:szCs w:val="21"/>
                <w:highlight w:val="none"/>
              </w:rPr>
              <w:t>第2.2款</w:t>
            </w:r>
          </w:p>
        </w:tc>
        <w:tc>
          <w:tcPr>
            <w:tcW w:w="2148" w:type="dxa"/>
            <w:vAlign w:val="center"/>
          </w:tcPr>
          <w:p w14:paraId="70524FAE">
            <w:pPr>
              <w:adjustRightInd w:val="0"/>
              <w:snapToGrid w:val="0"/>
              <w:spacing w:line="360" w:lineRule="exact"/>
              <w:jc w:val="center"/>
              <w:rPr>
                <w:rFonts w:hAnsi="宋体"/>
                <w:color w:val="auto"/>
                <w:szCs w:val="21"/>
                <w:highlight w:val="none"/>
              </w:rPr>
            </w:pPr>
            <w:r>
              <w:rPr>
                <w:rFonts w:hint="eastAsia" w:hAnsi="宋体"/>
                <w:color w:val="auto"/>
                <w:szCs w:val="21"/>
                <w:highlight w:val="none"/>
              </w:rPr>
              <w:t xml:space="preserve">采购人名称、地址、 </w:t>
            </w:r>
          </w:p>
          <w:p w14:paraId="0A49A980">
            <w:pPr>
              <w:adjustRightInd w:val="0"/>
              <w:snapToGrid w:val="0"/>
              <w:spacing w:line="360" w:lineRule="exact"/>
              <w:jc w:val="center"/>
              <w:rPr>
                <w:rFonts w:hAnsi="宋体"/>
                <w:color w:val="auto"/>
                <w:szCs w:val="21"/>
                <w:highlight w:val="none"/>
              </w:rPr>
            </w:pPr>
            <w:r>
              <w:rPr>
                <w:rFonts w:hint="eastAsia" w:hAnsi="宋体"/>
                <w:color w:val="auto"/>
                <w:szCs w:val="21"/>
                <w:highlight w:val="none"/>
              </w:rPr>
              <w:t>电话、联系人</w:t>
            </w:r>
          </w:p>
        </w:tc>
        <w:tc>
          <w:tcPr>
            <w:tcW w:w="5287" w:type="dxa"/>
            <w:vAlign w:val="center"/>
          </w:tcPr>
          <w:p w14:paraId="660040EB">
            <w:pPr>
              <w:numPr>
                <w:ilvl w:val="0"/>
                <w:numId w:val="5"/>
              </w:numPr>
              <w:adjustRightInd w:val="0"/>
              <w:snapToGrid w:val="0"/>
              <w:spacing w:line="360" w:lineRule="auto"/>
              <w:rPr>
                <w:rFonts w:hint="eastAsia" w:ascii="宋体" w:hAnsi="宋体"/>
                <w:color w:val="auto"/>
                <w:szCs w:val="21"/>
                <w:highlight w:val="none"/>
                <w:lang w:eastAsia="zh-CN"/>
              </w:rPr>
            </w:pPr>
            <w:r>
              <w:rPr>
                <w:rFonts w:hint="eastAsia" w:ascii="宋体" w:hAnsi="宋体"/>
                <w:color w:val="auto"/>
                <w:szCs w:val="21"/>
                <w:highlight w:val="none"/>
              </w:rPr>
              <w:t>名 称：</w:t>
            </w:r>
            <w:r>
              <w:rPr>
                <w:rFonts w:hint="eastAsia" w:ascii="宋体" w:hAnsi="宋体"/>
                <w:color w:val="auto"/>
                <w:szCs w:val="21"/>
                <w:highlight w:val="none"/>
                <w:lang w:eastAsia="zh-CN"/>
              </w:rPr>
              <w:t>娄底市中心医院</w:t>
            </w:r>
          </w:p>
          <w:p w14:paraId="42836EDA">
            <w:pPr>
              <w:numPr>
                <w:ilvl w:val="0"/>
                <w:numId w:val="0"/>
              </w:numPr>
              <w:adjustRightInd w:val="0"/>
              <w:snapToGrid w:val="0"/>
              <w:spacing w:line="360" w:lineRule="auto"/>
              <w:ind w:leftChars="0"/>
              <w:rPr>
                <w:rFonts w:hint="default" w:ascii="宋体" w:hAnsi="宋体"/>
                <w:color w:val="auto"/>
                <w:szCs w:val="21"/>
                <w:highlight w:val="none"/>
                <w:lang w:val="en-US" w:eastAsia="zh-CN"/>
              </w:rPr>
            </w:pP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2）</w:t>
            </w:r>
            <w:r>
              <w:rPr>
                <w:rFonts w:hint="eastAsia" w:ascii="宋体" w:hAnsi="宋体"/>
                <w:color w:val="auto"/>
                <w:szCs w:val="21"/>
                <w:highlight w:val="none"/>
              </w:rPr>
              <w:t>地  址：湖南省娄底市长青中街51号</w:t>
            </w:r>
          </w:p>
          <w:p w14:paraId="7C260787">
            <w:pPr>
              <w:numPr>
                <w:ilvl w:val="0"/>
                <w:numId w:val="0"/>
              </w:numPr>
              <w:adjustRightInd w:val="0"/>
              <w:snapToGrid w:val="0"/>
              <w:spacing w:line="360" w:lineRule="auto"/>
              <w:ind w:leftChars="0"/>
              <w:rPr>
                <w:rFonts w:hint="eastAsia" w:ascii="宋体" w:hAnsi="宋体" w:eastAsia="宋体"/>
                <w:color w:val="auto"/>
                <w:szCs w:val="21"/>
                <w:highlight w:val="none"/>
                <w:lang w:eastAsia="zh-CN"/>
              </w:rPr>
            </w:pPr>
            <w:r>
              <w:rPr>
                <w:rFonts w:hint="eastAsia" w:ascii="宋体" w:hAnsi="宋体"/>
                <w:color w:val="auto"/>
                <w:szCs w:val="21"/>
                <w:highlight w:val="none"/>
              </w:rPr>
              <w:t>（3）联系人：</w:t>
            </w:r>
            <w:r>
              <w:rPr>
                <w:rFonts w:hint="eastAsia" w:ascii="宋体" w:hAnsi="宋体"/>
                <w:color w:val="auto"/>
                <w:szCs w:val="21"/>
                <w:highlight w:val="none"/>
                <w:lang w:val="en-US" w:eastAsia="zh-CN"/>
              </w:rPr>
              <w:t xml:space="preserve"> 孙女士</w:t>
            </w:r>
          </w:p>
          <w:p w14:paraId="458490DA">
            <w:pPr>
              <w:adjustRightInd w:val="0"/>
              <w:snapToGrid w:val="0"/>
              <w:spacing w:line="360" w:lineRule="auto"/>
              <w:rPr>
                <w:rFonts w:hint="eastAsia" w:ascii="宋体" w:hAnsi="宋体" w:eastAsia="宋体"/>
                <w:color w:val="auto"/>
                <w:szCs w:val="21"/>
                <w:highlight w:val="none"/>
                <w:lang w:eastAsia="zh-CN"/>
              </w:rPr>
            </w:pPr>
            <w:r>
              <w:rPr>
                <w:rFonts w:hint="eastAsia" w:ascii="宋体" w:hAnsi="宋体"/>
                <w:color w:val="auto"/>
                <w:szCs w:val="21"/>
                <w:highlight w:val="none"/>
              </w:rPr>
              <w:t>（4）电  话：</w:t>
            </w:r>
            <w:r>
              <w:rPr>
                <w:rFonts w:hint="eastAsia" w:ascii="宋体" w:hAnsi="宋体"/>
                <w:color w:val="auto"/>
                <w:szCs w:val="21"/>
                <w:highlight w:val="none"/>
                <w:lang w:val="en-US" w:eastAsia="zh-CN"/>
              </w:rPr>
              <w:t xml:space="preserve"> </w:t>
            </w:r>
            <w:r>
              <w:rPr>
                <w:rFonts w:hint="eastAsia" w:ascii="宋体" w:hAnsi="宋体" w:cs="宋体"/>
                <w:color w:val="auto"/>
                <w:szCs w:val="21"/>
                <w:highlight w:val="none"/>
                <w:lang w:val="en-US" w:eastAsia="zh-CN"/>
              </w:rPr>
              <w:t>16673869902</w:t>
            </w:r>
          </w:p>
        </w:tc>
      </w:tr>
      <w:tr w14:paraId="344E1D6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679" w:hRule="atLeast"/>
          <w:jc w:val="center"/>
        </w:trPr>
        <w:tc>
          <w:tcPr>
            <w:tcW w:w="1242" w:type="dxa"/>
            <w:vAlign w:val="center"/>
          </w:tcPr>
          <w:p w14:paraId="3A344FE2">
            <w:pPr>
              <w:adjustRightInd w:val="0"/>
              <w:snapToGrid w:val="0"/>
              <w:spacing w:line="360" w:lineRule="exact"/>
              <w:jc w:val="center"/>
              <w:rPr>
                <w:rFonts w:ascii="宋体" w:hAnsi="宋体"/>
                <w:color w:val="auto"/>
                <w:szCs w:val="21"/>
                <w:highlight w:val="none"/>
              </w:rPr>
            </w:pPr>
            <w:r>
              <w:rPr>
                <w:rFonts w:hint="eastAsia" w:ascii="宋体" w:hAnsi="宋体"/>
                <w:color w:val="auto"/>
                <w:szCs w:val="21"/>
                <w:highlight w:val="none"/>
              </w:rPr>
              <w:t>第2.3款</w:t>
            </w:r>
          </w:p>
        </w:tc>
        <w:tc>
          <w:tcPr>
            <w:tcW w:w="2148" w:type="dxa"/>
            <w:vAlign w:val="center"/>
          </w:tcPr>
          <w:p w14:paraId="5A7022AA">
            <w:pPr>
              <w:adjustRightInd w:val="0"/>
              <w:snapToGrid w:val="0"/>
              <w:spacing w:line="360" w:lineRule="exact"/>
              <w:jc w:val="center"/>
              <w:rPr>
                <w:rFonts w:hAnsi="宋体"/>
                <w:color w:val="auto"/>
                <w:szCs w:val="21"/>
                <w:highlight w:val="none"/>
              </w:rPr>
            </w:pPr>
            <w:r>
              <w:rPr>
                <w:rFonts w:hint="eastAsia" w:hAnsi="宋体"/>
                <w:color w:val="auto"/>
                <w:szCs w:val="21"/>
                <w:highlight w:val="none"/>
              </w:rPr>
              <w:t xml:space="preserve">采购代理机构名 </w:t>
            </w:r>
          </w:p>
          <w:p w14:paraId="448B42BF">
            <w:pPr>
              <w:adjustRightInd w:val="0"/>
              <w:snapToGrid w:val="0"/>
              <w:spacing w:line="360" w:lineRule="exact"/>
              <w:jc w:val="center"/>
              <w:rPr>
                <w:rFonts w:hAnsi="宋体"/>
                <w:color w:val="auto"/>
                <w:szCs w:val="21"/>
                <w:highlight w:val="none"/>
              </w:rPr>
            </w:pPr>
            <w:r>
              <w:rPr>
                <w:rFonts w:hint="eastAsia" w:hAnsi="宋体"/>
                <w:color w:val="auto"/>
                <w:szCs w:val="21"/>
                <w:highlight w:val="none"/>
              </w:rPr>
              <w:t xml:space="preserve">称、地址、电话、 </w:t>
            </w:r>
          </w:p>
          <w:p w14:paraId="6E03D9EE">
            <w:pPr>
              <w:adjustRightInd w:val="0"/>
              <w:snapToGrid w:val="0"/>
              <w:spacing w:line="360" w:lineRule="exact"/>
              <w:jc w:val="center"/>
              <w:rPr>
                <w:rFonts w:hAnsi="宋体"/>
                <w:color w:val="auto"/>
                <w:szCs w:val="21"/>
                <w:highlight w:val="none"/>
              </w:rPr>
            </w:pPr>
            <w:r>
              <w:rPr>
                <w:rFonts w:hint="eastAsia" w:hAnsi="宋体"/>
                <w:color w:val="auto"/>
                <w:szCs w:val="21"/>
                <w:highlight w:val="none"/>
              </w:rPr>
              <w:t>联系人</w:t>
            </w:r>
          </w:p>
          <w:p w14:paraId="452F18DC">
            <w:pPr>
              <w:adjustRightInd w:val="0"/>
              <w:snapToGrid w:val="0"/>
              <w:spacing w:line="360" w:lineRule="exact"/>
              <w:jc w:val="center"/>
              <w:rPr>
                <w:rFonts w:hAnsi="宋体"/>
                <w:color w:val="auto"/>
                <w:szCs w:val="21"/>
                <w:highlight w:val="none"/>
              </w:rPr>
            </w:pPr>
          </w:p>
        </w:tc>
        <w:tc>
          <w:tcPr>
            <w:tcW w:w="5287" w:type="dxa"/>
            <w:vAlign w:val="center"/>
          </w:tcPr>
          <w:p w14:paraId="71CF6790">
            <w:pPr>
              <w:adjustRightInd w:val="0"/>
              <w:snapToGrid w:val="0"/>
              <w:spacing w:line="360" w:lineRule="auto"/>
              <w:rPr>
                <w:rFonts w:ascii="宋体" w:hAnsi="宋体"/>
                <w:color w:val="auto"/>
                <w:szCs w:val="21"/>
                <w:highlight w:val="none"/>
              </w:rPr>
            </w:pPr>
            <w:r>
              <w:rPr>
                <w:rFonts w:hint="eastAsia" w:ascii="宋体" w:hAnsi="宋体"/>
                <w:color w:val="auto"/>
                <w:szCs w:val="21"/>
                <w:highlight w:val="none"/>
              </w:rPr>
              <w:t>（1）名称：娄底市政府采购中心</w:t>
            </w:r>
          </w:p>
          <w:p w14:paraId="453A5480">
            <w:pPr>
              <w:adjustRightInd w:val="0"/>
              <w:snapToGrid w:val="0"/>
              <w:spacing w:line="360" w:lineRule="auto"/>
              <w:rPr>
                <w:rFonts w:ascii="宋体" w:hAnsi="宋体" w:cs="宋体"/>
                <w:color w:val="auto"/>
                <w:szCs w:val="21"/>
                <w:highlight w:val="none"/>
              </w:rPr>
            </w:pPr>
            <w:r>
              <w:rPr>
                <w:rFonts w:hint="eastAsia" w:ascii="宋体" w:hAnsi="宋体"/>
                <w:color w:val="auto"/>
                <w:szCs w:val="21"/>
                <w:highlight w:val="none"/>
              </w:rPr>
              <w:t>（</w:t>
            </w:r>
            <w:r>
              <w:rPr>
                <w:rFonts w:hint="eastAsia" w:ascii="宋体" w:hAnsi="宋体" w:cs="宋体"/>
                <w:color w:val="auto"/>
                <w:szCs w:val="21"/>
                <w:highlight w:val="none"/>
              </w:rPr>
              <w:t>2）地址：娄底市娄星区勤政街36号</w:t>
            </w:r>
          </w:p>
          <w:p w14:paraId="0954FE3A">
            <w:pPr>
              <w:adjustRightInd w:val="0"/>
              <w:snapToGrid w:val="0"/>
              <w:spacing w:line="360" w:lineRule="auto"/>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（3）联系人：</w:t>
            </w:r>
            <w:r>
              <w:rPr>
                <w:rFonts w:hint="eastAsia" w:ascii="宋体" w:hAnsi="宋体" w:cs="宋体"/>
                <w:color w:val="auto"/>
                <w:szCs w:val="21"/>
                <w:highlight w:val="none"/>
                <w:lang w:eastAsia="zh-CN"/>
              </w:rPr>
              <w:t>易先生</w:t>
            </w:r>
          </w:p>
          <w:p w14:paraId="75DBE5B0">
            <w:pPr>
              <w:adjustRightInd w:val="0"/>
              <w:snapToGrid w:val="0"/>
              <w:spacing w:line="360" w:lineRule="auto"/>
              <w:rPr>
                <w:rFonts w:ascii="宋体" w:hAnsi="宋体"/>
                <w:color w:val="auto"/>
                <w:szCs w:val="21"/>
                <w:highlight w:val="none"/>
              </w:rPr>
            </w:pPr>
            <w:r>
              <w:rPr>
                <w:rFonts w:hint="eastAsia" w:ascii="宋体" w:hAnsi="宋体" w:cs="宋体"/>
                <w:color w:val="auto"/>
                <w:szCs w:val="21"/>
                <w:highlight w:val="none"/>
              </w:rPr>
              <w:t>（4）电话：0738-6371181</w:t>
            </w:r>
          </w:p>
        </w:tc>
      </w:tr>
      <w:tr w14:paraId="2260BA2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242" w:type="dxa"/>
            <w:vAlign w:val="center"/>
          </w:tcPr>
          <w:p w14:paraId="78A0332D">
            <w:pPr>
              <w:adjustRightInd w:val="0"/>
              <w:snapToGrid w:val="0"/>
              <w:spacing w:line="360" w:lineRule="exact"/>
              <w:jc w:val="center"/>
              <w:rPr>
                <w:rFonts w:ascii="宋体" w:hAnsi="宋体"/>
                <w:color w:val="auto"/>
                <w:szCs w:val="21"/>
                <w:highlight w:val="none"/>
              </w:rPr>
            </w:pPr>
            <w:r>
              <w:rPr>
                <w:rFonts w:hint="eastAsia" w:ascii="宋体" w:hAnsi="宋体"/>
                <w:color w:val="auto"/>
                <w:szCs w:val="21"/>
                <w:highlight w:val="none"/>
              </w:rPr>
              <w:t>第3.1款</w:t>
            </w:r>
          </w:p>
        </w:tc>
        <w:tc>
          <w:tcPr>
            <w:tcW w:w="2148" w:type="dxa"/>
            <w:vAlign w:val="center"/>
          </w:tcPr>
          <w:p w14:paraId="60540169">
            <w:pPr>
              <w:adjustRightInd w:val="0"/>
              <w:snapToGrid w:val="0"/>
              <w:spacing w:line="360" w:lineRule="exact"/>
              <w:jc w:val="center"/>
              <w:rPr>
                <w:rFonts w:ascii="宋体" w:hAnsi="宋体"/>
                <w:color w:val="auto"/>
                <w:szCs w:val="21"/>
                <w:highlight w:val="none"/>
              </w:rPr>
            </w:pPr>
            <w:r>
              <w:rPr>
                <w:rFonts w:hint="eastAsia" w:ascii="宋体" w:hAnsi="宋体"/>
                <w:color w:val="auto"/>
                <w:szCs w:val="21"/>
                <w:highlight w:val="none"/>
              </w:rPr>
              <w:t>投标人资格条件</w:t>
            </w:r>
          </w:p>
        </w:tc>
        <w:tc>
          <w:tcPr>
            <w:tcW w:w="5287" w:type="dxa"/>
            <w:vAlign w:val="center"/>
          </w:tcPr>
          <w:p w14:paraId="6E4BE894">
            <w:pPr>
              <w:numPr>
                <w:ilvl w:val="0"/>
                <w:numId w:val="6"/>
              </w:numPr>
              <w:adjustRightInd w:val="0"/>
              <w:snapToGrid w:val="0"/>
              <w:spacing w:line="360" w:lineRule="exact"/>
              <w:jc w:val="left"/>
              <w:rPr>
                <w:rFonts w:ascii="宋体" w:hAnsi="宋体"/>
                <w:color w:val="auto"/>
                <w:szCs w:val="21"/>
                <w:highlight w:val="none"/>
              </w:rPr>
            </w:pPr>
            <w:r>
              <w:rPr>
                <w:rFonts w:hint="eastAsia" w:ascii="宋体" w:hAnsi="宋体"/>
                <w:color w:val="auto"/>
                <w:szCs w:val="21"/>
                <w:highlight w:val="none"/>
              </w:rPr>
              <w:t>投标人基本资格条件：投标人必须是在中华人民共和国境内注册登记的法人、其他组织或者自然人，且应当符合《政府采购法》第二十二条第一款的规定：</w:t>
            </w:r>
          </w:p>
          <w:p w14:paraId="323C52F7">
            <w:pPr>
              <w:adjustRightInd w:val="0"/>
              <w:snapToGrid w:val="0"/>
              <w:spacing w:line="360" w:lineRule="exact"/>
              <w:jc w:val="left"/>
              <w:rPr>
                <w:rFonts w:ascii="宋体" w:hAnsi="宋体"/>
                <w:color w:val="auto"/>
                <w:szCs w:val="21"/>
                <w:highlight w:val="none"/>
              </w:rPr>
            </w:pPr>
            <w:r>
              <w:rPr>
                <w:rFonts w:hint="eastAsia" w:ascii="宋体" w:hAnsi="宋体"/>
                <w:color w:val="auto"/>
                <w:szCs w:val="21"/>
                <w:highlight w:val="none"/>
              </w:rPr>
              <w:t xml:space="preserve">（1）具有独立承担民事责任的能力； </w:t>
            </w:r>
          </w:p>
          <w:p w14:paraId="7E53FBD6">
            <w:pPr>
              <w:adjustRightInd w:val="0"/>
              <w:snapToGrid w:val="0"/>
              <w:spacing w:line="360" w:lineRule="exact"/>
              <w:jc w:val="left"/>
              <w:rPr>
                <w:rFonts w:ascii="宋体" w:hAnsi="宋体"/>
                <w:color w:val="auto"/>
                <w:szCs w:val="21"/>
                <w:highlight w:val="none"/>
              </w:rPr>
            </w:pPr>
            <w:r>
              <w:rPr>
                <w:rFonts w:hint="eastAsia" w:ascii="宋体" w:hAnsi="宋体"/>
                <w:color w:val="auto"/>
                <w:szCs w:val="21"/>
                <w:highlight w:val="none"/>
              </w:rPr>
              <w:t xml:space="preserve">（2）具有良好的商业信誉和健全的财务会计制度； </w:t>
            </w:r>
          </w:p>
          <w:p w14:paraId="14739EE2">
            <w:pPr>
              <w:adjustRightInd w:val="0"/>
              <w:snapToGrid w:val="0"/>
              <w:spacing w:line="360" w:lineRule="exact"/>
              <w:jc w:val="left"/>
              <w:rPr>
                <w:rFonts w:ascii="宋体" w:hAnsi="宋体"/>
                <w:color w:val="auto"/>
                <w:szCs w:val="21"/>
                <w:highlight w:val="none"/>
              </w:rPr>
            </w:pPr>
            <w:r>
              <w:rPr>
                <w:rFonts w:hint="eastAsia" w:ascii="宋体" w:hAnsi="宋体"/>
                <w:color w:val="auto"/>
                <w:szCs w:val="21"/>
                <w:highlight w:val="none"/>
              </w:rPr>
              <w:t xml:space="preserve">（3）具有履行合同所必需的设备和专业技术能力； </w:t>
            </w:r>
          </w:p>
          <w:p w14:paraId="6121B154">
            <w:pPr>
              <w:adjustRightInd w:val="0"/>
              <w:snapToGrid w:val="0"/>
              <w:spacing w:line="360" w:lineRule="exact"/>
              <w:jc w:val="left"/>
              <w:rPr>
                <w:rFonts w:ascii="宋体" w:hAnsi="宋体"/>
                <w:color w:val="auto"/>
                <w:szCs w:val="21"/>
                <w:highlight w:val="none"/>
              </w:rPr>
            </w:pPr>
            <w:r>
              <w:rPr>
                <w:rFonts w:hint="eastAsia" w:ascii="宋体" w:hAnsi="宋体"/>
                <w:color w:val="auto"/>
                <w:szCs w:val="21"/>
                <w:highlight w:val="none"/>
              </w:rPr>
              <w:t xml:space="preserve">（4）有依法缴纳税收和社会保障资金的良好记录； </w:t>
            </w:r>
          </w:p>
          <w:p w14:paraId="02E0766B">
            <w:pPr>
              <w:adjustRightInd w:val="0"/>
              <w:snapToGrid w:val="0"/>
              <w:spacing w:line="360" w:lineRule="exact"/>
              <w:jc w:val="left"/>
              <w:rPr>
                <w:rFonts w:ascii="宋体" w:hAnsi="宋体"/>
                <w:color w:val="auto"/>
                <w:szCs w:val="21"/>
                <w:highlight w:val="none"/>
              </w:rPr>
            </w:pPr>
            <w:r>
              <w:rPr>
                <w:rFonts w:hint="eastAsia" w:ascii="宋体" w:hAnsi="宋体"/>
                <w:color w:val="auto"/>
                <w:szCs w:val="21"/>
                <w:highlight w:val="none"/>
              </w:rPr>
              <w:t xml:space="preserve">（5）参加政府采购活动前三年内，在经营活动中没有重大违法记录； </w:t>
            </w:r>
          </w:p>
          <w:p w14:paraId="676DBE35">
            <w:pPr>
              <w:adjustRightInd w:val="0"/>
              <w:snapToGrid w:val="0"/>
              <w:spacing w:line="360" w:lineRule="exact"/>
              <w:jc w:val="left"/>
              <w:rPr>
                <w:rFonts w:ascii="宋体" w:hAnsi="宋体"/>
                <w:color w:val="auto"/>
                <w:szCs w:val="21"/>
                <w:highlight w:val="none"/>
              </w:rPr>
            </w:pPr>
            <w:r>
              <w:rPr>
                <w:rFonts w:hint="eastAsia" w:ascii="宋体" w:hAnsi="宋体"/>
                <w:color w:val="auto"/>
                <w:szCs w:val="21"/>
                <w:highlight w:val="none"/>
              </w:rPr>
              <w:t>（6）法律、行政法规规定的其他条件。</w:t>
            </w:r>
          </w:p>
          <w:p w14:paraId="0B6C0554">
            <w:pPr>
              <w:adjustRightInd w:val="0"/>
              <w:snapToGrid w:val="0"/>
              <w:spacing w:line="360" w:lineRule="exact"/>
              <w:jc w:val="left"/>
              <w:rPr>
                <w:rFonts w:ascii="宋体" w:hAnsi="宋体"/>
                <w:color w:val="auto"/>
                <w:szCs w:val="21"/>
                <w:highlight w:val="none"/>
              </w:rPr>
            </w:pPr>
            <w:r>
              <w:rPr>
                <w:rFonts w:hint="eastAsia" w:ascii="宋体" w:hAnsi="宋体"/>
                <w:color w:val="auto"/>
                <w:szCs w:val="21"/>
                <w:highlight w:val="none"/>
              </w:rPr>
              <w:t>2、落实政府采购政策需满足的资格要求：</w:t>
            </w:r>
          </w:p>
          <w:p w14:paraId="1F1CD568">
            <w:pPr>
              <w:adjustRightInd w:val="0"/>
              <w:snapToGrid w:val="0"/>
              <w:spacing w:line="360" w:lineRule="exact"/>
              <w:jc w:val="left"/>
              <w:rPr>
                <w:rFonts w:ascii="宋体" w:hAnsi="宋体"/>
                <w:color w:val="auto"/>
                <w:szCs w:val="21"/>
                <w:highlight w:val="none"/>
              </w:rPr>
            </w:pPr>
            <w:r>
              <w:rPr>
                <w:rFonts w:hint="eastAsia" w:ascii="宋体" w:hAnsi="宋体"/>
                <w:color w:val="auto"/>
                <w:szCs w:val="21"/>
                <w:highlight w:val="none"/>
              </w:rPr>
              <w:sym w:font="Wingdings" w:char="00A8"/>
            </w:r>
            <w:r>
              <w:rPr>
                <w:rFonts w:hint="eastAsia" w:ascii="宋体" w:hAnsi="宋体"/>
                <w:iCs/>
                <w:color w:val="auto"/>
                <w:szCs w:val="21"/>
                <w:highlight w:val="none"/>
              </w:rPr>
              <w:t>专门面向</w:t>
            </w:r>
            <w:r>
              <w:rPr>
                <w:rFonts w:hint="eastAsia" w:ascii="宋体" w:hAnsi="宋体"/>
                <w:bCs/>
                <w:color w:val="auto"/>
                <w:szCs w:val="21"/>
                <w:highlight w:val="none"/>
              </w:rPr>
              <w:t>：</w:t>
            </w:r>
            <w:r>
              <w:rPr>
                <w:rFonts w:hint="eastAsia" w:ascii="宋体" w:hAnsi="宋体"/>
                <w:color w:val="auto"/>
                <w:szCs w:val="21"/>
                <w:highlight w:val="none"/>
              </w:rPr>
              <w:sym w:font="Wingdings" w:char="00A8"/>
            </w:r>
            <w:r>
              <w:rPr>
                <w:rFonts w:hint="eastAsia" w:ascii="宋体" w:hAnsi="宋体"/>
                <w:iCs/>
                <w:color w:val="auto"/>
                <w:szCs w:val="21"/>
                <w:highlight w:val="none"/>
              </w:rPr>
              <w:t xml:space="preserve">中小企业  </w:t>
            </w:r>
            <w:r>
              <w:rPr>
                <w:rFonts w:hint="eastAsia" w:ascii="宋体" w:hAnsi="宋体"/>
                <w:color w:val="auto"/>
                <w:szCs w:val="21"/>
                <w:highlight w:val="none"/>
              </w:rPr>
              <w:sym w:font="Wingdings" w:char="00A8"/>
            </w:r>
            <w:r>
              <w:rPr>
                <w:rFonts w:hint="eastAsia" w:ascii="宋体" w:hAnsi="宋体"/>
                <w:iCs/>
                <w:color w:val="auto"/>
                <w:szCs w:val="21"/>
                <w:highlight w:val="none"/>
              </w:rPr>
              <w:t xml:space="preserve">小微企业  </w:t>
            </w:r>
            <w:r>
              <w:rPr>
                <w:rFonts w:hint="eastAsia" w:ascii="宋体" w:hAnsi="宋体"/>
                <w:color w:val="auto"/>
                <w:szCs w:val="21"/>
                <w:highlight w:val="none"/>
              </w:rPr>
              <w:sym w:font="Wingdings" w:char="00A8"/>
            </w:r>
            <w:r>
              <w:rPr>
                <w:rFonts w:hint="eastAsia" w:ascii="宋体" w:hAnsi="宋体"/>
                <w:iCs/>
                <w:color w:val="auto"/>
                <w:szCs w:val="21"/>
                <w:highlight w:val="none"/>
              </w:rPr>
              <w:t xml:space="preserve">监狱企业  </w:t>
            </w:r>
            <w:r>
              <w:rPr>
                <w:rFonts w:hint="eastAsia" w:ascii="宋体" w:hAnsi="宋体"/>
                <w:color w:val="auto"/>
                <w:szCs w:val="21"/>
                <w:highlight w:val="none"/>
              </w:rPr>
              <w:sym w:font="Wingdings" w:char="00A8"/>
            </w:r>
            <w:r>
              <w:rPr>
                <w:rFonts w:hint="eastAsia" w:ascii="宋体" w:hAnsi="宋体"/>
                <w:iCs/>
                <w:color w:val="auto"/>
                <w:szCs w:val="21"/>
                <w:highlight w:val="none"/>
              </w:rPr>
              <w:t>福利性单位。</w:t>
            </w:r>
          </w:p>
          <w:p w14:paraId="35074213">
            <w:pPr>
              <w:adjustRightInd w:val="0"/>
              <w:snapToGrid w:val="0"/>
              <w:spacing w:line="360" w:lineRule="exact"/>
              <w:jc w:val="left"/>
              <w:rPr>
                <w:rFonts w:ascii="宋体" w:hAnsi="宋体"/>
                <w:color w:val="auto"/>
                <w:szCs w:val="21"/>
                <w:highlight w:val="none"/>
              </w:rPr>
            </w:pPr>
            <w:r>
              <w:rPr>
                <w:rFonts w:hint="eastAsia" w:ascii="宋体" w:hAnsi="宋体"/>
                <w:iCs/>
                <w:color w:val="auto"/>
                <w:szCs w:val="21"/>
                <w:highlight w:val="none"/>
              </w:rPr>
              <w:sym w:font="Wingdings" w:char="00A8"/>
            </w:r>
            <w:r>
              <w:rPr>
                <w:rFonts w:hint="eastAsia" w:ascii="宋体" w:hAnsi="宋体"/>
                <w:iCs/>
                <w:color w:val="auto"/>
                <w:szCs w:val="21"/>
                <w:highlight w:val="none"/>
              </w:rPr>
              <w:t>强制</w:t>
            </w:r>
            <w:r>
              <w:rPr>
                <w:rFonts w:hint="eastAsia" w:ascii="宋体" w:hAnsi="宋体"/>
                <w:bCs/>
                <w:color w:val="auto"/>
                <w:szCs w:val="21"/>
                <w:highlight w:val="none"/>
              </w:rPr>
              <w:t>分包：大型企业应将采购份额的</w:t>
            </w:r>
            <w:r>
              <w:rPr>
                <w:rFonts w:hint="eastAsia" w:ascii="宋体" w:hAnsi="宋体"/>
                <w:bCs/>
                <w:color w:val="auto"/>
                <w:szCs w:val="21"/>
                <w:highlight w:val="none"/>
                <w:u w:val="single"/>
              </w:rPr>
              <w:t xml:space="preserve">   /   </w:t>
            </w:r>
            <w:r>
              <w:rPr>
                <w:rFonts w:hint="eastAsia" w:ascii="宋体" w:hAnsi="宋体"/>
                <w:bCs/>
                <w:color w:val="auto"/>
                <w:szCs w:val="21"/>
                <w:highlight w:val="none"/>
              </w:rPr>
              <w:t>%分包给中小企业。</w:t>
            </w:r>
          </w:p>
          <w:p w14:paraId="5EA962D6">
            <w:pPr>
              <w:adjustRightInd w:val="0"/>
              <w:snapToGrid w:val="0"/>
              <w:spacing w:line="360" w:lineRule="exact"/>
              <w:jc w:val="left"/>
              <w:rPr>
                <w:rFonts w:hint="eastAsia" w:ascii="宋体" w:hAnsi="宋体" w:eastAsia="宋体"/>
                <w:color w:val="auto"/>
                <w:szCs w:val="21"/>
                <w:highlight w:val="none"/>
              </w:rPr>
            </w:pPr>
            <w:r>
              <w:rPr>
                <w:rFonts w:hint="eastAsia" w:ascii="宋体" w:hAnsi="宋体" w:eastAsia="宋体"/>
                <w:color w:val="auto"/>
                <w:szCs w:val="21"/>
                <w:highlight w:val="none"/>
                <w:lang w:val="en-US" w:eastAsia="zh-CN"/>
              </w:rPr>
              <w:t>3、</w:t>
            </w:r>
            <w:r>
              <w:rPr>
                <w:rFonts w:hint="eastAsia" w:ascii="宋体" w:hAnsi="宋体" w:eastAsia="宋体"/>
                <w:color w:val="auto"/>
                <w:szCs w:val="21"/>
                <w:highlight w:val="none"/>
              </w:rPr>
              <w:t>采购项目的特定资格条件：</w:t>
            </w:r>
            <w:r>
              <w:rPr>
                <w:rFonts w:hint="eastAsia" w:ascii="宋体" w:hAnsi="宋体"/>
                <w:color w:val="auto"/>
                <w:szCs w:val="21"/>
                <w:highlight w:val="none"/>
                <w:lang w:eastAsia="zh-CN"/>
              </w:rPr>
              <w:t>包</w:t>
            </w:r>
            <w:r>
              <w:rPr>
                <w:rFonts w:hint="eastAsia" w:ascii="宋体" w:hAnsi="宋体"/>
                <w:color w:val="auto"/>
                <w:szCs w:val="21"/>
                <w:highlight w:val="none"/>
                <w:lang w:val="en-US" w:eastAsia="zh-CN"/>
              </w:rPr>
              <w:t>1：</w:t>
            </w:r>
            <w:r>
              <w:rPr>
                <w:rFonts w:hint="eastAsia" w:ascii="宋体" w:hAnsi="宋体" w:eastAsia="宋体"/>
                <w:color w:val="auto"/>
                <w:szCs w:val="21"/>
                <w:highlight w:val="none"/>
              </w:rPr>
              <w:t>（1）所投货物若纳入医疗器械管理的，投标人须具有有效的医疗器械生产或经营许可证（或相应的备案凭证）。</w:t>
            </w:r>
          </w:p>
          <w:p w14:paraId="76C516E2">
            <w:pPr>
              <w:adjustRightInd w:val="0"/>
              <w:snapToGrid w:val="0"/>
              <w:spacing w:line="360" w:lineRule="exact"/>
              <w:jc w:val="left"/>
              <w:rPr>
                <w:rFonts w:hint="eastAsia" w:ascii="宋体" w:hAnsi="宋体" w:eastAsia="宋体"/>
                <w:color w:val="auto"/>
                <w:szCs w:val="21"/>
                <w:highlight w:val="none"/>
              </w:rPr>
            </w:pPr>
            <w:r>
              <w:rPr>
                <w:rFonts w:hint="eastAsia" w:ascii="宋体" w:hAnsi="宋体" w:eastAsia="宋体"/>
                <w:color w:val="auto"/>
                <w:szCs w:val="21"/>
                <w:highlight w:val="none"/>
              </w:rPr>
              <w:t>（2）所投货物纳入医疗器械管理的，货物须具有有效的医疗器械注册证（或备案凭证）。</w:t>
            </w:r>
          </w:p>
          <w:p w14:paraId="23FDD0F0">
            <w:pPr>
              <w:numPr>
                <w:ilvl w:val="0"/>
                <w:numId w:val="0"/>
              </w:numPr>
              <w:adjustRightInd w:val="0"/>
              <w:snapToGrid w:val="0"/>
              <w:spacing w:line="360" w:lineRule="exact"/>
              <w:ind w:leftChars="0"/>
              <w:jc w:val="left"/>
              <w:rPr>
                <w:rFonts w:ascii="宋体" w:hAnsi="宋体"/>
                <w:color w:val="auto"/>
                <w:szCs w:val="21"/>
                <w:highlight w:val="none"/>
              </w:rPr>
            </w:pPr>
            <w:r>
              <w:rPr>
                <w:rFonts w:hint="eastAsia" w:ascii="宋体" w:hAnsi="宋体"/>
                <w:color w:val="auto"/>
                <w:szCs w:val="21"/>
                <w:highlight w:val="none"/>
              </w:rPr>
              <w:t>4、单位负责人为同一人或者存在直接控股、管理关系的不同投标人，不得参加同一合同项下的政府采购活动。</w:t>
            </w:r>
          </w:p>
          <w:p w14:paraId="5DE0C2CF">
            <w:pPr>
              <w:adjustRightInd w:val="0"/>
              <w:snapToGrid w:val="0"/>
              <w:spacing w:line="360" w:lineRule="exact"/>
              <w:jc w:val="left"/>
              <w:rPr>
                <w:rFonts w:ascii="宋体" w:hAnsi="宋体"/>
                <w:color w:val="auto"/>
                <w:szCs w:val="21"/>
                <w:highlight w:val="none"/>
              </w:rPr>
            </w:pPr>
            <w:r>
              <w:rPr>
                <w:rFonts w:hint="eastAsia" w:ascii="宋体" w:hAnsi="宋体"/>
                <w:color w:val="auto"/>
                <w:szCs w:val="21"/>
                <w:highlight w:val="none"/>
              </w:rPr>
              <w:t>5、为本采购项目提供整体设计、规范编制或者项目管理、监理、检测等服务的，不得再参加此项目的其他采购活动。</w:t>
            </w:r>
          </w:p>
          <w:p w14:paraId="6F563C7D">
            <w:pPr>
              <w:adjustRightInd w:val="0"/>
              <w:snapToGrid w:val="0"/>
              <w:spacing w:line="360" w:lineRule="exact"/>
              <w:jc w:val="left"/>
              <w:rPr>
                <w:rFonts w:ascii="宋体" w:hAnsi="宋体" w:cs="宋体"/>
                <w:color w:val="auto"/>
                <w:szCs w:val="21"/>
                <w:highlight w:val="none"/>
              </w:rPr>
            </w:pPr>
            <w:r>
              <w:rPr>
                <w:rFonts w:hint="eastAsia" w:ascii="宋体" w:hAnsi="宋体"/>
                <w:color w:val="auto"/>
                <w:szCs w:val="21"/>
                <w:highlight w:val="none"/>
              </w:rPr>
              <w:t>6、列入失信被执行人、重大税收违法失信主体名单，列入政府采购严重违法失信行为记录名单的，拒绝其参与政府采购活动。</w:t>
            </w:r>
          </w:p>
        </w:tc>
      </w:tr>
      <w:tr w14:paraId="7482759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17" w:hRule="atLeast"/>
          <w:jc w:val="center"/>
        </w:trPr>
        <w:tc>
          <w:tcPr>
            <w:tcW w:w="1242" w:type="dxa"/>
            <w:vAlign w:val="center"/>
          </w:tcPr>
          <w:p w14:paraId="7E36AD0A">
            <w:pPr>
              <w:adjustRightInd w:val="0"/>
              <w:snapToGrid w:val="0"/>
              <w:spacing w:line="360" w:lineRule="exact"/>
              <w:jc w:val="center"/>
              <w:rPr>
                <w:rFonts w:ascii="宋体" w:hAnsi="宋体"/>
                <w:color w:val="auto"/>
                <w:szCs w:val="21"/>
                <w:highlight w:val="none"/>
              </w:rPr>
            </w:pPr>
            <w:r>
              <w:rPr>
                <w:rFonts w:hint="eastAsia" w:ascii="宋体" w:hAnsi="宋体"/>
                <w:color w:val="auto"/>
                <w:szCs w:val="21"/>
                <w:highlight w:val="none"/>
              </w:rPr>
              <w:t>第3.2款</w:t>
            </w:r>
          </w:p>
        </w:tc>
        <w:tc>
          <w:tcPr>
            <w:tcW w:w="2148" w:type="dxa"/>
            <w:vAlign w:val="center"/>
          </w:tcPr>
          <w:p w14:paraId="3E33DE8D">
            <w:pPr>
              <w:adjustRightInd w:val="0"/>
              <w:snapToGrid w:val="0"/>
              <w:spacing w:line="360" w:lineRule="exact"/>
              <w:jc w:val="center"/>
              <w:rPr>
                <w:rFonts w:ascii="宋体" w:hAnsi="宋体"/>
                <w:color w:val="auto"/>
                <w:szCs w:val="21"/>
                <w:highlight w:val="none"/>
              </w:rPr>
            </w:pPr>
            <w:r>
              <w:rPr>
                <w:rFonts w:hint="eastAsia" w:ascii="宋体" w:hAnsi="宋体"/>
                <w:color w:val="auto"/>
                <w:szCs w:val="21"/>
                <w:highlight w:val="none"/>
              </w:rPr>
              <w:t>接受联合体形式投标</w:t>
            </w:r>
          </w:p>
        </w:tc>
        <w:tc>
          <w:tcPr>
            <w:tcW w:w="5287" w:type="dxa"/>
            <w:vAlign w:val="center"/>
          </w:tcPr>
          <w:p w14:paraId="79217B92">
            <w:pPr>
              <w:adjustRightInd w:val="0"/>
              <w:snapToGrid w:val="0"/>
              <w:spacing w:line="360" w:lineRule="exact"/>
              <w:rPr>
                <w:rFonts w:ascii="宋体" w:hAnsi="宋体" w:cs="宋体"/>
                <w:color w:val="auto"/>
                <w:szCs w:val="21"/>
                <w:highlight w:val="none"/>
              </w:rPr>
            </w:pPr>
            <w:r>
              <w:rPr>
                <w:rFonts w:hint="eastAsia" w:ascii="宋体" w:hAnsi="宋体" w:cs="宋体"/>
                <w:color w:val="auto"/>
                <w:szCs w:val="21"/>
                <w:highlight w:val="none"/>
              </w:rPr>
              <w:t>不接受</w:t>
            </w:r>
          </w:p>
        </w:tc>
      </w:tr>
      <w:tr w14:paraId="2C092E3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99" w:hRule="atLeast"/>
          <w:jc w:val="center"/>
        </w:trPr>
        <w:tc>
          <w:tcPr>
            <w:tcW w:w="1242" w:type="dxa"/>
            <w:vAlign w:val="center"/>
          </w:tcPr>
          <w:p w14:paraId="08979802">
            <w:pPr>
              <w:adjustRightInd w:val="0"/>
              <w:snapToGrid w:val="0"/>
              <w:spacing w:line="360" w:lineRule="exact"/>
              <w:jc w:val="center"/>
              <w:rPr>
                <w:rFonts w:ascii="宋体" w:hAnsi="宋体"/>
                <w:color w:val="auto"/>
                <w:szCs w:val="21"/>
                <w:highlight w:val="none"/>
              </w:rPr>
            </w:pPr>
            <w:r>
              <w:rPr>
                <w:rFonts w:hint="eastAsia" w:ascii="宋体" w:hAnsi="宋体"/>
                <w:color w:val="auto"/>
                <w:szCs w:val="21"/>
                <w:highlight w:val="none"/>
              </w:rPr>
              <w:t>第5.1</w:t>
            </w:r>
            <w:r>
              <w:rPr>
                <w:rFonts w:hint="eastAsia" w:ascii="宋体" w:hAnsi="宋体" w:cs="宋体"/>
                <w:color w:val="auto"/>
                <w:kern w:val="0"/>
                <w:szCs w:val="21"/>
                <w:highlight w:val="none"/>
                <w:lang w:val="zh-CN"/>
              </w:rPr>
              <w:t>款</w:t>
            </w:r>
          </w:p>
        </w:tc>
        <w:tc>
          <w:tcPr>
            <w:tcW w:w="2148" w:type="dxa"/>
            <w:vAlign w:val="center"/>
          </w:tcPr>
          <w:p w14:paraId="5C832DA1">
            <w:pPr>
              <w:adjustRightInd w:val="0"/>
              <w:snapToGrid w:val="0"/>
              <w:spacing w:line="360" w:lineRule="exact"/>
              <w:jc w:val="center"/>
              <w:rPr>
                <w:rFonts w:hAnsi="宋体"/>
                <w:color w:val="auto"/>
                <w:szCs w:val="21"/>
                <w:highlight w:val="none"/>
              </w:rPr>
            </w:pPr>
            <w:r>
              <w:rPr>
                <w:rFonts w:hint="eastAsia" w:ascii="宋体" w:hAnsi="宋体"/>
                <w:color w:val="auto"/>
                <w:szCs w:val="21"/>
                <w:highlight w:val="none"/>
              </w:rPr>
              <w:t>招标文件提供期限</w:t>
            </w:r>
          </w:p>
        </w:tc>
        <w:tc>
          <w:tcPr>
            <w:tcW w:w="5287" w:type="dxa"/>
            <w:vAlign w:val="center"/>
          </w:tcPr>
          <w:p w14:paraId="13A36647">
            <w:pPr>
              <w:adjustRightInd w:val="0"/>
              <w:snapToGrid w:val="0"/>
              <w:spacing w:line="360" w:lineRule="exact"/>
              <w:rPr>
                <w:rFonts w:ascii="宋体" w:hAnsi="宋体" w:cs="宋体"/>
                <w:color w:val="auto"/>
                <w:szCs w:val="21"/>
                <w:highlight w:val="none"/>
              </w:rPr>
            </w:pPr>
            <w:r>
              <w:rPr>
                <w:rFonts w:hint="eastAsia" w:ascii="宋体" w:hAnsi="宋体" w:cs="微软雅黑"/>
                <w:color w:val="auto"/>
                <w:kern w:val="0"/>
                <w:szCs w:val="21"/>
                <w:highlight w:val="none"/>
              </w:rPr>
              <w:t>公告之日起5个工作日。</w:t>
            </w:r>
          </w:p>
        </w:tc>
      </w:tr>
      <w:tr w14:paraId="40E52CC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242" w:type="dxa"/>
            <w:vAlign w:val="center"/>
          </w:tcPr>
          <w:p w14:paraId="1CD95C2A">
            <w:pPr>
              <w:adjustRightInd w:val="0"/>
              <w:snapToGrid w:val="0"/>
              <w:spacing w:line="360" w:lineRule="exact"/>
              <w:jc w:val="center"/>
              <w:rPr>
                <w:rFonts w:ascii="宋体" w:hAnsi="宋体"/>
                <w:color w:val="auto"/>
                <w:szCs w:val="21"/>
                <w:highlight w:val="none"/>
              </w:rPr>
            </w:pPr>
            <w:r>
              <w:rPr>
                <w:rFonts w:hint="eastAsia" w:ascii="宋体" w:hAnsi="宋体"/>
                <w:color w:val="auto"/>
                <w:szCs w:val="21"/>
                <w:highlight w:val="none"/>
              </w:rPr>
              <w:t>第5.2</w:t>
            </w:r>
            <w:r>
              <w:rPr>
                <w:rFonts w:hint="eastAsia" w:ascii="宋体" w:hAnsi="宋体" w:cs="宋体"/>
                <w:color w:val="auto"/>
                <w:kern w:val="0"/>
                <w:szCs w:val="21"/>
                <w:highlight w:val="none"/>
                <w:lang w:val="zh-CN"/>
              </w:rPr>
              <w:t>款</w:t>
            </w:r>
          </w:p>
        </w:tc>
        <w:tc>
          <w:tcPr>
            <w:tcW w:w="2148" w:type="dxa"/>
            <w:vAlign w:val="center"/>
          </w:tcPr>
          <w:p w14:paraId="7D0A6FFB">
            <w:pPr>
              <w:adjustRightInd w:val="0"/>
              <w:snapToGrid w:val="0"/>
              <w:spacing w:line="360" w:lineRule="exact"/>
              <w:jc w:val="center"/>
              <w:rPr>
                <w:rFonts w:ascii="宋体" w:hAnsi="宋体"/>
                <w:color w:val="auto"/>
                <w:szCs w:val="21"/>
                <w:highlight w:val="none"/>
              </w:rPr>
            </w:pPr>
            <w:r>
              <w:rPr>
                <w:rFonts w:hint="eastAsia" w:ascii="宋体" w:hAnsi="宋体"/>
                <w:color w:val="auto"/>
                <w:szCs w:val="21"/>
                <w:highlight w:val="none"/>
              </w:rPr>
              <w:t>组织现场考察或者召开答疑会</w:t>
            </w:r>
          </w:p>
        </w:tc>
        <w:tc>
          <w:tcPr>
            <w:tcW w:w="5287" w:type="dxa"/>
            <w:vAlign w:val="center"/>
          </w:tcPr>
          <w:p w14:paraId="12EB464B">
            <w:pPr>
              <w:adjustRightInd w:val="0"/>
              <w:snapToGrid w:val="0"/>
              <w:spacing w:line="360" w:lineRule="exact"/>
              <w:rPr>
                <w:rFonts w:ascii="宋体" w:hAnsi="宋体"/>
                <w:color w:val="auto"/>
                <w:szCs w:val="21"/>
                <w:highlight w:val="none"/>
              </w:rPr>
            </w:pPr>
            <w:r>
              <w:rPr>
                <w:rFonts w:hint="eastAsia" w:ascii="宋体" w:hAnsi="宋体"/>
                <w:color w:val="auto"/>
                <w:szCs w:val="21"/>
                <w:highlight w:val="none"/>
              </w:rPr>
              <w:t>不组织/不召开</w:t>
            </w:r>
          </w:p>
        </w:tc>
      </w:tr>
      <w:tr w14:paraId="190D63D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8677" w:type="dxa"/>
            <w:gridSpan w:val="3"/>
            <w:vAlign w:val="center"/>
          </w:tcPr>
          <w:p w14:paraId="309FA61B">
            <w:pPr>
              <w:adjustRightInd w:val="0"/>
              <w:snapToGrid w:val="0"/>
              <w:spacing w:line="360" w:lineRule="exact"/>
              <w:rPr>
                <w:rFonts w:ascii="宋体" w:hAnsi="宋体"/>
                <w:b/>
                <w:color w:val="auto"/>
                <w:szCs w:val="21"/>
                <w:highlight w:val="none"/>
              </w:rPr>
            </w:pPr>
            <w:r>
              <w:rPr>
                <w:rFonts w:hint="eastAsia" w:ascii="宋体" w:hAnsi="宋体"/>
                <w:b/>
                <w:color w:val="auto"/>
                <w:szCs w:val="21"/>
                <w:highlight w:val="none"/>
              </w:rPr>
              <w:t>二、招标文件</w:t>
            </w:r>
          </w:p>
        </w:tc>
      </w:tr>
      <w:tr w14:paraId="62E79AC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242" w:type="dxa"/>
            <w:vAlign w:val="center"/>
          </w:tcPr>
          <w:p w14:paraId="1038E69C">
            <w:pPr>
              <w:adjustRightInd w:val="0"/>
              <w:snapToGrid w:val="0"/>
              <w:spacing w:line="360" w:lineRule="exact"/>
              <w:jc w:val="center"/>
              <w:rPr>
                <w:rFonts w:ascii="宋体" w:hAnsi="宋体"/>
                <w:color w:val="auto"/>
                <w:szCs w:val="21"/>
                <w:highlight w:val="none"/>
              </w:rPr>
            </w:pPr>
            <w:r>
              <w:rPr>
                <w:rFonts w:hint="eastAsia" w:ascii="宋体" w:hAnsi="宋体"/>
                <w:color w:val="auto"/>
                <w:szCs w:val="21"/>
                <w:highlight w:val="none"/>
              </w:rPr>
              <w:t>第7.4</w:t>
            </w:r>
            <w:r>
              <w:rPr>
                <w:rFonts w:hint="eastAsia" w:ascii="宋体" w:hAnsi="宋体" w:cs="宋体"/>
                <w:color w:val="auto"/>
                <w:kern w:val="0"/>
                <w:szCs w:val="21"/>
                <w:highlight w:val="none"/>
                <w:lang w:val="zh-CN"/>
              </w:rPr>
              <w:t>款</w:t>
            </w:r>
          </w:p>
        </w:tc>
        <w:tc>
          <w:tcPr>
            <w:tcW w:w="2148" w:type="dxa"/>
            <w:vAlign w:val="center"/>
          </w:tcPr>
          <w:p w14:paraId="15C0DB93">
            <w:pPr>
              <w:adjustRightInd w:val="0"/>
              <w:snapToGrid w:val="0"/>
              <w:spacing w:line="360" w:lineRule="exact"/>
              <w:jc w:val="center"/>
              <w:rPr>
                <w:rFonts w:ascii="宋体" w:hAnsi="宋体"/>
                <w:color w:val="auto"/>
                <w:szCs w:val="21"/>
                <w:highlight w:val="none"/>
              </w:rPr>
            </w:pPr>
            <w:r>
              <w:rPr>
                <w:rFonts w:hint="eastAsia" w:ascii="宋体" w:hAnsi="宋体"/>
                <w:color w:val="auto"/>
                <w:szCs w:val="21"/>
                <w:highlight w:val="none"/>
              </w:rPr>
              <w:t>非实质性偏离的范围和幅度</w:t>
            </w:r>
          </w:p>
        </w:tc>
        <w:tc>
          <w:tcPr>
            <w:tcW w:w="5287" w:type="dxa"/>
            <w:vAlign w:val="center"/>
          </w:tcPr>
          <w:p w14:paraId="434826F4">
            <w:pPr>
              <w:adjustRightInd w:val="0"/>
              <w:snapToGrid w:val="0"/>
              <w:spacing w:line="360" w:lineRule="exact"/>
              <w:rPr>
                <w:rFonts w:hint="eastAsia" w:ascii="宋体" w:hAnsi="宋体"/>
                <w:color w:val="auto"/>
                <w:szCs w:val="21"/>
                <w:highlight w:val="none"/>
              </w:rPr>
            </w:pPr>
            <w:r>
              <w:rPr>
                <w:rFonts w:hint="eastAsia" w:ascii="宋体" w:hAnsi="宋体"/>
                <w:color w:val="auto"/>
                <w:szCs w:val="21"/>
                <w:highlight w:val="none"/>
              </w:rPr>
              <w:t>一般技术和商务条款偏离≥</w:t>
            </w:r>
            <w:r>
              <w:rPr>
                <w:rFonts w:hint="eastAsia" w:ascii="宋体" w:hAnsi="宋体"/>
                <w:color w:val="auto"/>
                <w:szCs w:val="21"/>
                <w:highlight w:val="none"/>
                <w:u w:val="single"/>
                <w:lang w:val="en-US" w:eastAsia="zh-CN"/>
              </w:rPr>
              <w:t>11</w:t>
            </w:r>
            <w:r>
              <w:rPr>
                <w:rFonts w:hint="eastAsia" w:ascii="宋体" w:hAnsi="宋体"/>
                <w:color w:val="auto"/>
                <w:szCs w:val="21"/>
                <w:highlight w:val="none"/>
              </w:rPr>
              <w:t>项目将导致投标无效，凡标有最低一级序号的条款即为一项，内容不重复计算。</w:t>
            </w:r>
          </w:p>
        </w:tc>
      </w:tr>
      <w:tr w14:paraId="73C0B0D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0" w:hRule="atLeast"/>
          <w:jc w:val="center"/>
        </w:trPr>
        <w:tc>
          <w:tcPr>
            <w:tcW w:w="1242" w:type="dxa"/>
            <w:vAlign w:val="center"/>
          </w:tcPr>
          <w:p w14:paraId="4147E596">
            <w:pPr>
              <w:adjustRightInd w:val="0"/>
              <w:snapToGrid w:val="0"/>
              <w:spacing w:line="360" w:lineRule="exact"/>
              <w:jc w:val="center"/>
              <w:rPr>
                <w:rFonts w:ascii="宋体" w:hAnsi="宋体"/>
                <w:color w:val="auto"/>
                <w:szCs w:val="21"/>
                <w:highlight w:val="none"/>
              </w:rPr>
            </w:pPr>
            <w:r>
              <w:rPr>
                <w:rFonts w:hint="eastAsia" w:ascii="宋体" w:hAnsi="宋体"/>
                <w:color w:val="auto"/>
                <w:szCs w:val="21"/>
                <w:highlight w:val="none"/>
              </w:rPr>
              <w:t>第9.1款</w:t>
            </w:r>
          </w:p>
        </w:tc>
        <w:tc>
          <w:tcPr>
            <w:tcW w:w="2148" w:type="dxa"/>
            <w:vAlign w:val="center"/>
          </w:tcPr>
          <w:p w14:paraId="56537C59">
            <w:pPr>
              <w:adjustRightInd w:val="0"/>
              <w:snapToGrid w:val="0"/>
              <w:spacing w:line="360" w:lineRule="exact"/>
              <w:jc w:val="center"/>
              <w:rPr>
                <w:rFonts w:ascii="宋体" w:hAnsi="宋体"/>
                <w:color w:val="auto"/>
                <w:szCs w:val="21"/>
                <w:highlight w:val="none"/>
              </w:rPr>
            </w:pPr>
            <w:r>
              <w:rPr>
                <w:rFonts w:hint="eastAsia" w:ascii="宋体" w:hAnsi="宋体" w:cs="宋体"/>
                <w:color w:val="auto"/>
                <w:szCs w:val="21"/>
                <w:highlight w:val="none"/>
              </w:rPr>
              <w:t>招标公告指定媒体</w:t>
            </w:r>
          </w:p>
        </w:tc>
        <w:tc>
          <w:tcPr>
            <w:tcW w:w="5287" w:type="dxa"/>
            <w:vAlign w:val="center"/>
          </w:tcPr>
          <w:p w14:paraId="02457AA0">
            <w:pPr>
              <w:adjustRightInd w:val="0"/>
              <w:snapToGrid w:val="0"/>
              <w:spacing w:line="360" w:lineRule="exact"/>
              <w:jc w:val="left"/>
              <w:rPr>
                <w:rFonts w:ascii="宋体" w:hAnsi="宋体"/>
                <w:color w:val="auto"/>
                <w:szCs w:val="21"/>
                <w:highlight w:val="none"/>
              </w:rPr>
            </w:pPr>
            <w:r>
              <w:rPr>
                <w:rFonts w:hint="eastAsia" w:ascii="宋体" w:hAnsi="宋体"/>
                <w:color w:val="auto"/>
                <w:szCs w:val="21"/>
                <w:highlight w:val="none"/>
              </w:rPr>
              <w:t>中国湖南政府采购网（www.ccgp-hunan.gov.cn）和娄底市公共资源交易网（http://ldggzy.hnloudi.gov.cn/）</w:t>
            </w:r>
          </w:p>
        </w:tc>
      </w:tr>
      <w:tr w14:paraId="518938B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40" w:hRule="atLeast"/>
          <w:jc w:val="center"/>
        </w:trPr>
        <w:tc>
          <w:tcPr>
            <w:tcW w:w="8677" w:type="dxa"/>
            <w:gridSpan w:val="3"/>
            <w:vAlign w:val="center"/>
          </w:tcPr>
          <w:p w14:paraId="38C0E3D7">
            <w:pPr>
              <w:adjustRightInd w:val="0"/>
              <w:snapToGrid w:val="0"/>
              <w:spacing w:line="360" w:lineRule="exact"/>
              <w:rPr>
                <w:rFonts w:ascii="宋体" w:hAnsi="宋体"/>
                <w:color w:val="auto"/>
                <w:szCs w:val="21"/>
                <w:highlight w:val="none"/>
              </w:rPr>
            </w:pPr>
            <w:r>
              <w:rPr>
                <w:rFonts w:hint="eastAsia" w:ascii="宋体" w:hAnsi="宋体"/>
                <w:b/>
                <w:color w:val="auto"/>
                <w:szCs w:val="21"/>
                <w:highlight w:val="none"/>
              </w:rPr>
              <w:t>三、投标文件</w:t>
            </w:r>
          </w:p>
        </w:tc>
      </w:tr>
      <w:tr w14:paraId="1F1DC65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15" w:hRule="atLeast"/>
          <w:jc w:val="center"/>
        </w:trPr>
        <w:tc>
          <w:tcPr>
            <w:tcW w:w="1242" w:type="dxa"/>
            <w:vAlign w:val="center"/>
          </w:tcPr>
          <w:p w14:paraId="7E5776C7">
            <w:pPr>
              <w:adjustRightInd w:val="0"/>
              <w:snapToGrid w:val="0"/>
              <w:spacing w:line="360" w:lineRule="exact"/>
              <w:jc w:val="center"/>
              <w:rPr>
                <w:rFonts w:ascii="宋体" w:hAnsi="宋体"/>
                <w:color w:val="auto"/>
                <w:szCs w:val="21"/>
                <w:highlight w:val="none"/>
              </w:rPr>
            </w:pPr>
            <w:r>
              <w:rPr>
                <w:rFonts w:hint="eastAsia" w:ascii="宋体" w:hAnsi="宋体"/>
                <w:color w:val="auto"/>
                <w:szCs w:val="21"/>
                <w:highlight w:val="none"/>
              </w:rPr>
              <w:t>第13.2</w:t>
            </w:r>
            <w:r>
              <w:rPr>
                <w:rFonts w:hint="eastAsia" w:ascii="宋体" w:hAnsi="宋体" w:cs="宋体"/>
                <w:color w:val="auto"/>
                <w:kern w:val="0"/>
                <w:szCs w:val="21"/>
                <w:highlight w:val="none"/>
                <w:lang w:val="zh-CN"/>
              </w:rPr>
              <w:t>款</w:t>
            </w:r>
          </w:p>
        </w:tc>
        <w:tc>
          <w:tcPr>
            <w:tcW w:w="2148" w:type="dxa"/>
            <w:vAlign w:val="center"/>
          </w:tcPr>
          <w:p w14:paraId="1F596222">
            <w:pPr>
              <w:adjustRightInd w:val="0"/>
              <w:snapToGrid w:val="0"/>
              <w:spacing w:line="360" w:lineRule="exact"/>
              <w:jc w:val="center"/>
              <w:rPr>
                <w:rFonts w:ascii="宋体" w:hAnsi="宋体"/>
                <w:color w:val="auto"/>
                <w:szCs w:val="21"/>
                <w:highlight w:val="none"/>
              </w:rPr>
            </w:pPr>
            <w:r>
              <w:rPr>
                <w:rFonts w:hint="eastAsia" w:ascii="宋体" w:hAnsi="宋体"/>
                <w:color w:val="auto"/>
                <w:szCs w:val="21"/>
                <w:highlight w:val="none"/>
              </w:rPr>
              <w:t>采购预算、最高限价</w:t>
            </w:r>
          </w:p>
        </w:tc>
        <w:tc>
          <w:tcPr>
            <w:tcW w:w="5287" w:type="dxa"/>
            <w:vAlign w:val="center"/>
          </w:tcPr>
          <w:p w14:paraId="77A822DF">
            <w:pPr>
              <w:pStyle w:val="102"/>
              <w:spacing w:line="360" w:lineRule="exact"/>
              <w:ind w:firstLine="0" w:firstLineChars="0"/>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采购预算、最高限价：</w:t>
            </w:r>
          </w:p>
          <w:p w14:paraId="704ACB68">
            <w:pPr>
              <w:pStyle w:val="102"/>
              <w:spacing w:line="360" w:lineRule="exact"/>
              <w:ind w:firstLine="0" w:firstLineChars="0"/>
              <w:rPr>
                <w:rFonts w:hint="default"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采购预算：1667000.00元</w:t>
            </w:r>
          </w:p>
          <w:p w14:paraId="6379C36F">
            <w:pPr>
              <w:pStyle w:val="102"/>
              <w:spacing w:line="360" w:lineRule="exact"/>
              <w:ind w:firstLine="0" w:firstLineChars="0"/>
              <w:rPr>
                <w:rFonts w:hint="eastAsia" w:ascii="宋体" w:hAnsi="宋体"/>
                <w:b/>
                <w:bCs/>
                <w:color w:val="auto"/>
                <w:kern w:val="2"/>
                <w:sz w:val="21"/>
                <w:szCs w:val="21"/>
                <w:highlight w:val="none"/>
              </w:rPr>
            </w:pPr>
            <w:r>
              <w:rPr>
                <w:rFonts w:hint="eastAsia" w:ascii="宋体" w:hAnsi="宋体" w:eastAsia="宋体" w:cs="Times New Roman"/>
                <w:color w:val="auto"/>
                <w:kern w:val="2"/>
                <w:sz w:val="21"/>
                <w:szCs w:val="21"/>
                <w:highlight w:val="none"/>
                <w:lang w:val="en-US" w:eastAsia="zh-CN" w:bidi="ar-SA"/>
              </w:rPr>
              <w:t>最高限价：1</w:t>
            </w:r>
            <w:r>
              <w:rPr>
                <w:rFonts w:hint="eastAsia" w:ascii="宋体" w:hAnsi="宋体" w:cs="Times New Roman"/>
                <w:color w:val="auto"/>
                <w:kern w:val="2"/>
                <w:sz w:val="21"/>
                <w:szCs w:val="21"/>
                <w:highlight w:val="none"/>
                <w:lang w:val="en-US" w:eastAsia="zh-CN" w:bidi="ar-SA"/>
              </w:rPr>
              <w:t>45</w:t>
            </w:r>
            <w:r>
              <w:rPr>
                <w:rFonts w:hint="eastAsia" w:ascii="宋体" w:hAnsi="宋体" w:eastAsia="宋体" w:cs="Times New Roman"/>
                <w:color w:val="auto"/>
                <w:kern w:val="2"/>
                <w:sz w:val="21"/>
                <w:szCs w:val="21"/>
                <w:highlight w:val="none"/>
                <w:lang w:val="en-US" w:eastAsia="zh-CN" w:bidi="ar-SA"/>
              </w:rPr>
              <w:t>7000.00元</w:t>
            </w:r>
          </w:p>
        </w:tc>
      </w:tr>
      <w:tr w14:paraId="56F95FB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24" w:hRule="atLeast"/>
          <w:jc w:val="center"/>
        </w:trPr>
        <w:tc>
          <w:tcPr>
            <w:tcW w:w="1242" w:type="dxa"/>
            <w:vAlign w:val="center"/>
          </w:tcPr>
          <w:p w14:paraId="2B286BA7">
            <w:pPr>
              <w:adjustRightInd w:val="0"/>
              <w:snapToGrid w:val="0"/>
              <w:spacing w:line="360" w:lineRule="exact"/>
              <w:jc w:val="center"/>
              <w:rPr>
                <w:rFonts w:ascii="宋体" w:hAnsi="宋体"/>
                <w:color w:val="auto"/>
                <w:szCs w:val="21"/>
                <w:highlight w:val="none"/>
              </w:rPr>
            </w:pPr>
            <w:r>
              <w:rPr>
                <w:rFonts w:hint="eastAsia" w:ascii="宋体" w:hAnsi="宋体"/>
                <w:color w:val="auto"/>
                <w:szCs w:val="21"/>
                <w:highlight w:val="none"/>
              </w:rPr>
              <w:t>第13.8</w:t>
            </w:r>
            <w:r>
              <w:rPr>
                <w:rFonts w:hint="eastAsia" w:ascii="宋体" w:hAnsi="宋体" w:cs="宋体"/>
                <w:color w:val="auto"/>
                <w:kern w:val="0"/>
                <w:szCs w:val="21"/>
                <w:highlight w:val="none"/>
                <w:lang w:val="zh-CN"/>
              </w:rPr>
              <w:t>款</w:t>
            </w:r>
          </w:p>
        </w:tc>
        <w:tc>
          <w:tcPr>
            <w:tcW w:w="2148" w:type="dxa"/>
            <w:vAlign w:val="center"/>
          </w:tcPr>
          <w:p w14:paraId="5C30F485">
            <w:pPr>
              <w:adjustRightInd w:val="0"/>
              <w:snapToGrid w:val="0"/>
              <w:spacing w:line="360" w:lineRule="exact"/>
              <w:jc w:val="center"/>
              <w:rPr>
                <w:rFonts w:ascii="宋体" w:hAnsi="宋体"/>
                <w:color w:val="auto"/>
                <w:szCs w:val="21"/>
                <w:highlight w:val="none"/>
              </w:rPr>
            </w:pPr>
            <w:r>
              <w:rPr>
                <w:rFonts w:hint="eastAsia" w:ascii="宋体" w:hAnsi="宋体"/>
                <w:color w:val="auto"/>
                <w:szCs w:val="21"/>
                <w:highlight w:val="none"/>
              </w:rPr>
              <w:t>投标报价的其他要求</w:t>
            </w:r>
          </w:p>
        </w:tc>
        <w:tc>
          <w:tcPr>
            <w:tcW w:w="5287" w:type="dxa"/>
            <w:vAlign w:val="center"/>
          </w:tcPr>
          <w:p w14:paraId="32E7E069">
            <w:pPr>
              <w:adjustRightInd w:val="0"/>
              <w:snapToGrid w:val="0"/>
              <w:spacing w:line="360" w:lineRule="auto"/>
              <w:rPr>
                <w:rFonts w:ascii="宋体" w:cs="宋体"/>
                <w:color w:val="auto"/>
                <w:szCs w:val="21"/>
                <w:highlight w:val="none"/>
              </w:rPr>
            </w:pPr>
            <w:r>
              <w:rPr>
                <w:rFonts w:hint="eastAsia" w:ascii="宋体" w:cs="宋体"/>
                <w:color w:val="auto"/>
                <w:szCs w:val="21"/>
                <w:highlight w:val="none"/>
              </w:rPr>
              <w:t>1、以人民币进行报价。</w:t>
            </w:r>
          </w:p>
          <w:p w14:paraId="04774120">
            <w:pPr>
              <w:adjustRightInd w:val="0"/>
              <w:snapToGrid w:val="0"/>
              <w:spacing w:line="360" w:lineRule="auto"/>
              <w:rPr>
                <w:rFonts w:ascii="宋体" w:cs="宋体"/>
                <w:color w:val="auto"/>
                <w:szCs w:val="21"/>
                <w:highlight w:val="none"/>
              </w:rPr>
            </w:pPr>
            <w:r>
              <w:rPr>
                <w:rFonts w:hint="eastAsia" w:ascii="宋体" w:cs="宋体"/>
                <w:color w:val="auto"/>
                <w:szCs w:val="21"/>
                <w:highlight w:val="none"/>
              </w:rPr>
              <w:t>2、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7878BA23">
            <w:pPr>
              <w:adjustRightInd w:val="0"/>
              <w:snapToGrid w:val="0"/>
              <w:spacing w:line="360" w:lineRule="exact"/>
              <w:rPr>
                <w:rFonts w:ascii="宋体" w:hAnsi="宋体"/>
                <w:color w:val="auto"/>
                <w:szCs w:val="21"/>
                <w:highlight w:val="none"/>
              </w:rPr>
            </w:pPr>
            <w:r>
              <w:rPr>
                <w:rFonts w:hint="eastAsia" w:ascii="宋体" w:cs="宋体"/>
                <w:color w:val="auto"/>
                <w:szCs w:val="21"/>
                <w:highlight w:val="none"/>
              </w:rPr>
              <w:t>3、投标报价不得超过采购预算，也不得超过最高限价，否则其投标无效。</w:t>
            </w:r>
          </w:p>
        </w:tc>
      </w:tr>
      <w:tr w14:paraId="0BFC552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28" w:hRule="atLeast"/>
          <w:jc w:val="center"/>
        </w:trPr>
        <w:tc>
          <w:tcPr>
            <w:tcW w:w="1242" w:type="dxa"/>
            <w:vAlign w:val="center"/>
          </w:tcPr>
          <w:p w14:paraId="0EBD8D60">
            <w:pPr>
              <w:adjustRightInd w:val="0"/>
              <w:snapToGrid w:val="0"/>
              <w:spacing w:line="360" w:lineRule="exact"/>
              <w:jc w:val="center"/>
              <w:rPr>
                <w:rFonts w:ascii="宋体" w:hAnsi="宋体"/>
                <w:color w:val="auto"/>
                <w:szCs w:val="21"/>
                <w:highlight w:val="none"/>
              </w:rPr>
            </w:pPr>
            <w:r>
              <w:rPr>
                <w:rFonts w:hint="eastAsia" w:ascii="宋体" w:hAnsi="宋体"/>
                <w:color w:val="auto"/>
                <w:szCs w:val="21"/>
                <w:highlight w:val="none"/>
              </w:rPr>
              <w:t>第14.1款</w:t>
            </w:r>
          </w:p>
        </w:tc>
        <w:tc>
          <w:tcPr>
            <w:tcW w:w="2148" w:type="dxa"/>
            <w:vAlign w:val="center"/>
          </w:tcPr>
          <w:p w14:paraId="4BA3C0E1">
            <w:pPr>
              <w:adjustRightInd w:val="0"/>
              <w:snapToGrid w:val="0"/>
              <w:spacing w:line="360" w:lineRule="exact"/>
              <w:jc w:val="center"/>
              <w:rPr>
                <w:rFonts w:ascii="宋体" w:hAnsi="宋体"/>
                <w:bCs/>
                <w:color w:val="auto"/>
                <w:szCs w:val="21"/>
                <w:highlight w:val="none"/>
              </w:rPr>
            </w:pPr>
            <w:r>
              <w:rPr>
                <w:rFonts w:hint="eastAsia" w:ascii="宋体" w:hAnsi="宋体"/>
                <w:color w:val="auto"/>
                <w:szCs w:val="21"/>
                <w:highlight w:val="none"/>
              </w:rPr>
              <w:t>投标人应提供资格审查资料</w:t>
            </w:r>
          </w:p>
        </w:tc>
        <w:tc>
          <w:tcPr>
            <w:tcW w:w="5287" w:type="dxa"/>
            <w:vAlign w:val="center"/>
          </w:tcPr>
          <w:p w14:paraId="018C5578">
            <w:pPr>
              <w:adjustRightInd w:val="0"/>
              <w:snapToGrid w:val="0"/>
              <w:spacing w:line="360" w:lineRule="exact"/>
              <w:rPr>
                <w:rFonts w:ascii="宋体" w:hAnsi="宋体"/>
                <w:color w:val="auto"/>
                <w:szCs w:val="21"/>
                <w:highlight w:val="none"/>
              </w:rPr>
            </w:pPr>
            <w:r>
              <w:rPr>
                <w:rFonts w:hint="eastAsia" w:ascii="宋体" w:hAnsi="宋体"/>
                <w:color w:val="auto"/>
                <w:szCs w:val="21"/>
                <w:highlight w:val="none"/>
              </w:rPr>
              <w:t>详见资格审查表</w:t>
            </w:r>
          </w:p>
        </w:tc>
      </w:tr>
      <w:tr w14:paraId="4F9A253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92" w:hRule="atLeast"/>
          <w:jc w:val="center"/>
        </w:trPr>
        <w:tc>
          <w:tcPr>
            <w:tcW w:w="1242" w:type="dxa"/>
            <w:vAlign w:val="center"/>
          </w:tcPr>
          <w:p w14:paraId="612FD90A">
            <w:pPr>
              <w:adjustRightInd w:val="0"/>
              <w:snapToGrid w:val="0"/>
              <w:spacing w:line="360" w:lineRule="exact"/>
              <w:jc w:val="center"/>
              <w:rPr>
                <w:rFonts w:ascii="宋体" w:hAnsi="宋体"/>
                <w:color w:val="auto"/>
                <w:szCs w:val="21"/>
                <w:highlight w:val="none"/>
              </w:rPr>
            </w:pPr>
            <w:r>
              <w:rPr>
                <w:rFonts w:hint="eastAsia" w:ascii="宋体" w:hAnsi="宋体"/>
                <w:color w:val="auto"/>
                <w:szCs w:val="21"/>
                <w:highlight w:val="none"/>
              </w:rPr>
              <w:t>第16.1</w:t>
            </w:r>
            <w:r>
              <w:rPr>
                <w:rFonts w:hint="eastAsia" w:ascii="宋体" w:hAnsi="宋体" w:cs="宋体"/>
                <w:color w:val="auto"/>
                <w:kern w:val="0"/>
                <w:szCs w:val="21"/>
                <w:highlight w:val="none"/>
                <w:lang w:val="zh-CN"/>
              </w:rPr>
              <w:t>款</w:t>
            </w:r>
          </w:p>
        </w:tc>
        <w:tc>
          <w:tcPr>
            <w:tcW w:w="2148" w:type="dxa"/>
            <w:vAlign w:val="center"/>
          </w:tcPr>
          <w:p w14:paraId="18BFD0C9">
            <w:pPr>
              <w:adjustRightInd w:val="0"/>
              <w:snapToGrid w:val="0"/>
              <w:spacing w:line="360" w:lineRule="exact"/>
              <w:jc w:val="center"/>
              <w:rPr>
                <w:rFonts w:ascii="宋体" w:hAnsi="宋体"/>
                <w:bCs/>
                <w:color w:val="auto"/>
                <w:szCs w:val="21"/>
                <w:highlight w:val="none"/>
              </w:rPr>
            </w:pPr>
            <w:r>
              <w:rPr>
                <w:rFonts w:hint="eastAsia" w:ascii="宋体" w:hAnsi="宋体"/>
                <w:color w:val="auto"/>
                <w:szCs w:val="21"/>
                <w:highlight w:val="none"/>
              </w:rPr>
              <w:t xml:space="preserve"> </w:t>
            </w:r>
            <w:r>
              <w:rPr>
                <w:rFonts w:hint="eastAsia" w:ascii="宋体" w:hAnsi="宋体"/>
                <w:bCs/>
                <w:color w:val="auto"/>
                <w:szCs w:val="21"/>
                <w:highlight w:val="none"/>
              </w:rPr>
              <w:t>投标有效期</w:t>
            </w:r>
          </w:p>
        </w:tc>
        <w:tc>
          <w:tcPr>
            <w:tcW w:w="5287" w:type="dxa"/>
            <w:vAlign w:val="center"/>
          </w:tcPr>
          <w:p w14:paraId="05C94F51">
            <w:pPr>
              <w:adjustRightInd w:val="0"/>
              <w:snapToGrid w:val="0"/>
              <w:spacing w:line="360" w:lineRule="exact"/>
              <w:rPr>
                <w:rFonts w:ascii="宋体" w:hAnsi="宋体"/>
                <w:bCs/>
                <w:color w:val="auto"/>
                <w:szCs w:val="21"/>
                <w:highlight w:val="none"/>
              </w:rPr>
            </w:pPr>
            <w:r>
              <w:rPr>
                <w:rFonts w:hint="eastAsia" w:ascii="宋体" w:hAnsi="宋体"/>
                <w:bCs/>
                <w:color w:val="auto"/>
                <w:szCs w:val="21"/>
                <w:highlight w:val="none"/>
              </w:rPr>
              <w:t>90日（日历日）</w:t>
            </w:r>
          </w:p>
        </w:tc>
      </w:tr>
      <w:tr w14:paraId="4A04F3D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242" w:type="dxa"/>
            <w:vAlign w:val="center"/>
          </w:tcPr>
          <w:p w14:paraId="2C5E70DA">
            <w:pPr>
              <w:adjustRightInd w:val="0"/>
              <w:snapToGrid w:val="0"/>
              <w:spacing w:line="360" w:lineRule="exact"/>
              <w:jc w:val="center"/>
              <w:rPr>
                <w:rFonts w:ascii="宋体" w:hAnsi="宋体"/>
                <w:color w:val="auto"/>
                <w:szCs w:val="21"/>
                <w:highlight w:val="none"/>
              </w:rPr>
            </w:pPr>
            <w:r>
              <w:rPr>
                <w:rFonts w:hint="eastAsia" w:ascii="宋体" w:hAnsi="宋体"/>
                <w:color w:val="auto"/>
                <w:szCs w:val="21"/>
                <w:highlight w:val="none"/>
              </w:rPr>
              <w:t>第17.1</w:t>
            </w:r>
            <w:r>
              <w:rPr>
                <w:rFonts w:hint="eastAsia" w:ascii="宋体" w:hAnsi="宋体" w:cs="宋体"/>
                <w:color w:val="auto"/>
                <w:kern w:val="0"/>
                <w:szCs w:val="21"/>
                <w:highlight w:val="none"/>
                <w:lang w:val="zh-CN"/>
              </w:rPr>
              <w:t>款</w:t>
            </w:r>
          </w:p>
        </w:tc>
        <w:tc>
          <w:tcPr>
            <w:tcW w:w="2148" w:type="dxa"/>
            <w:vAlign w:val="center"/>
          </w:tcPr>
          <w:p w14:paraId="48DE5C4D">
            <w:pPr>
              <w:adjustRightInd w:val="0"/>
              <w:snapToGrid w:val="0"/>
              <w:spacing w:line="360" w:lineRule="exact"/>
              <w:ind w:firstLine="533" w:firstLineChars="254"/>
              <w:rPr>
                <w:rFonts w:ascii="宋体" w:hAnsi="宋体"/>
                <w:color w:val="auto"/>
                <w:szCs w:val="21"/>
                <w:highlight w:val="none"/>
              </w:rPr>
            </w:pPr>
            <w:r>
              <w:rPr>
                <w:rFonts w:hint="eastAsia" w:ascii="宋体" w:hAnsi="宋体"/>
                <w:color w:val="auto"/>
                <w:szCs w:val="21"/>
                <w:highlight w:val="none"/>
              </w:rPr>
              <w:t>投标保证金</w:t>
            </w:r>
          </w:p>
        </w:tc>
        <w:tc>
          <w:tcPr>
            <w:tcW w:w="5287" w:type="dxa"/>
            <w:vAlign w:val="center"/>
          </w:tcPr>
          <w:p w14:paraId="54BE946C">
            <w:pPr>
              <w:adjustRightInd w:val="0"/>
              <w:snapToGrid w:val="0"/>
              <w:spacing w:line="360" w:lineRule="exact"/>
              <w:rPr>
                <w:rFonts w:ascii="宋体" w:hAnsi="宋体"/>
                <w:color w:val="auto"/>
                <w:szCs w:val="21"/>
                <w:highlight w:val="none"/>
              </w:rPr>
            </w:pPr>
            <w:r>
              <w:rPr>
                <w:rFonts w:hint="eastAsia" w:ascii="宋体" w:hAnsi="宋体"/>
                <w:color w:val="auto"/>
                <w:szCs w:val="21"/>
                <w:highlight w:val="none"/>
              </w:rPr>
              <w:sym w:font="Wingdings" w:char="00FE"/>
            </w:r>
            <w:r>
              <w:rPr>
                <w:rFonts w:hint="eastAsia" w:ascii="宋体" w:hAnsi="宋体"/>
                <w:color w:val="auto"/>
                <w:szCs w:val="21"/>
                <w:highlight w:val="none"/>
              </w:rPr>
              <w:t>不要求提供</w:t>
            </w:r>
          </w:p>
          <w:p w14:paraId="486290F5">
            <w:pPr>
              <w:adjustRightInd w:val="0"/>
              <w:snapToGrid w:val="0"/>
              <w:spacing w:line="360" w:lineRule="exact"/>
              <w:rPr>
                <w:rFonts w:ascii="宋体" w:hAnsi="宋体"/>
                <w:color w:val="auto"/>
                <w:szCs w:val="21"/>
                <w:highlight w:val="none"/>
              </w:rPr>
            </w:pPr>
            <w:r>
              <w:rPr>
                <w:rFonts w:hint="eastAsia" w:ascii="宋体" w:hAnsi="宋体"/>
                <w:color w:val="auto"/>
                <w:szCs w:val="21"/>
                <w:highlight w:val="none"/>
              </w:rPr>
              <w:t>□要求提供</w:t>
            </w:r>
          </w:p>
        </w:tc>
      </w:tr>
      <w:tr w14:paraId="4A73301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87" w:hRule="atLeast"/>
          <w:jc w:val="center"/>
        </w:trPr>
        <w:tc>
          <w:tcPr>
            <w:tcW w:w="1242" w:type="dxa"/>
            <w:vAlign w:val="center"/>
          </w:tcPr>
          <w:p w14:paraId="7FB660DB">
            <w:pPr>
              <w:adjustRightInd w:val="0"/>
              <w:snapToGrid w:val="0"/>
              <w:spacing w:line="360" w:lineRule="exact"/>
              <w:jc w:val="center"/>
              <w:rPr>
                <w:rFonts w:ascii="宋体" w:hAnsi="宋体"/>
                <w:color w:val="auto"/>
                <w:szCs w:val="21"/>
                <w:highlight w:val="none"/>
              </w:rPr>
            </w:pPr>
            <w:r>
              <w:rPr>
                <w:rFonts w:hint="eastAsia" w:ascii="宋体" w:hAnsi="宋体"/>
                <w:color w:val="auto"/>
                <w:szCs w:val="21"/>
                <w:highlight w:val="none"/>
              </w:rPr>
              <w:t>第18.1</w:t>
            </w:r>
            <w:r>
              <w:rPr>
                <w:rFonts w:hint="eastAsia" w:ascii="宋体" w:hAnsi="宋体" w:cs="宋体"/>
                <w:color w:val="auto"/>
                <w:kern w:val="0"/>
                <w:szCs w:val="21"/>
                <w:highlight w:val="none"/>
                <w:lang w:val="zh-CN"/>
              </w:rPr>
              <w:t>款</w:t>
            </w:r>
          </w:p>
        </w:tc>
        <w:tc>
          <w:tcPr>
            <w:tcW w:w="2148" w:type="dxa"/>
            <w:vAlign w:val="center"/>
          </w:tcPr>
          <w:p w14:paraId="4D7F8144">
            <w:pPr>
              <w:adjustRightInd w:val="0"/>
              <w:snapToGrid w:val="0"/>
              <w:spacing w:line="360" w:lineRule="exact"/>
              <w:jc w:val="center"/>
              <w:rPr>
                <w:rFonts w:ascii="宋体" w:hAnsi="宋体"/>
                <w:color w:val="auto"/>
                <w:szCs w:val="21"/>
                <w:highlight w:val="none"/>
              </w:rPr>
            </w:pPr>
            <w:r>
              <w:rPr>
                <w:rFonts w:hint="eastAsia" w:ascii="宋体" w:hAnsi="宋体"/>
                <w:bCs/>
                <w:color w:val="auto"/>
                <w:szCs w:val="21"/>
                <w:highlight w:val="none"/>
              </w:rPr>
              <w:t>分包</w:t>
            </w:r>
          </w:p>
        </w:tc>
        <w:tc>
          <w:tcPr>
            <w:tcW w:w="5287" w:type="dxa"/>
            <w:vAlign w:val="center"/>
          </w:tcPr>
          <w:p w14:paraId="1A741495">
            <w:pPr>
              <w:adjustRightInd w:val="0"/>
              <w:snapToGrid w:val="0"/>
              <w:spacing w:line="360" w:lineRule="exact"/>
              <w:rPr>
                <w:rFonts w:ascii="宋体" w:hAnsi="宋体"/>
                <w:color w:val="auto"/>
                <w:szCs w:val="21"/>
                <w:highlight w:val="none"/>
              </w:rPr>
            </w:pPr>
            <w:r>
              <w:rPr>
                <w:rFonts w:hint="eastAsia" w:ascii="宋体" w:hAnsi="宋体"/>
                <w:color w:val="auto"/>
                <w:szCs w:val="21"/>
                <w:highlight w:val="none"/>
              </w:rPr>
              <w:t>不允许分包</w:t>
            </w:r>
          </w:p>
        </w:tc>
      </w:tr>
      <w:tr w14:paraId="53F7560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87" w:hRule="atLeast"/>
          <w:jc w:val="center"/>
        </w:trPr>
        <w:tc>
          <w:tcPr>
            <w:tcW w:w="1242" w:type="dxa"/>
            <w:vAlign w:val="center"/>
          </w:tcPr>
          <w:p w14:paraId="4734F1E5">
            <w:pPr>
              <w:adjustRightInd w:val="0"/>
              <w:snapToGrid w:val="0"/>
              <w:spacing w:line="360" w:lineRule="exact"/>
              <w:jc w:val="center"/>
              <w:rPr>
                <w:rFonts w:ascii="宋体" w:hAnsi="宋体"/>
                <w:color w:val="auto"/>
                <w:szCs w:val="21"/>
                <w:highlight w:val="none"/>
              </w:rPr>
            </w:pPr>
            <w:r>
              <w:rPr>
                <w:rFonts w:hint="eastAsia" w:ascii="宋体" w:hAnsi="宋体"/>
                <w:color w:val="auto"/>
                <w:szCs w:val="21"/>
                <w:highlight w:val="none"/>
              </w:rPr>
              <w:t>第19.1款</w:t>
            </w:r>
          </w:p>
        </w:tc>
        <w:tc>
          <w:tcPr>
            <w:tcW w:w="2148" w:type="dxa"/>
            <w:vAlign w:val="center"/>
          </w:tcPr>
          <w:p w14:paraId="43890594">
            <w:pPr>
              <w:adjustRightInd w:val="0"/>
              <w:snapToGrid w:val="0"/>
              <w:spacing w:line="360" w:lineRule="exact"/>
              <w:jc w:val="center"/>
              <w:rPr>
                <w:rFonts w:ascii="宋体" w:hAnsi="宋体"/>
                <w:color w:val="auto"/>
                <w:szCs w:val="21"/>
                <w:highlight w:val="none"/>
              </w:rPr>
            </w:pPr>
            <w:r>
              <w:rPr>
                <w:rFonts w:hint="eastAsia" w:ascii="宋体" w:hAnsi="宋体"/>
                <w:color w:val="auto"/>
                <w:szCs w:val="21"/>
                <w:highlight w:val="none"/>
              </w:rPr>
              <w:t>投标文件份数</w:t>
            </w:r>
          </w:p>
        </w:tc>
        <w:tc>
          <w:tcPr>
            <w:tcW w:w="5287" w:type="dxa"/>
            <w:vAlign w:val="center"/>
          </w:tcPr>
          <w:p w14:paraId="3575F90C">
            <w:pPr>
              <w:adjustRightInd w:val="0"/>
              <w:snapToGrid w:val="0"/>
              <w:spacing w:line="360" w:lineRule="auto"/>
              <w:jc w:val="left"/>
              <w:rPr>
                <w:rFonts w:hint="eastAsia" w:ascii="宋体" w:hAnsi="宋体" w:eastAsia="宋体"/>
                <w:color w:val="000000"/>
                <w:szCs w:val="21"/>
                <w:lang w:eastAsia="zh-CN"/>
              </w:rPr>
            </w:pPr>
            <w:r>
              <w:rPr>
                <w:rFonts w:hint="eastAsia" w:ascii="宋体" w:hAnsi="宋体"/>
                <w:color w:val="000000"/>
                <w:szCs w:val="21"/>
              </w:rPr>
              <w:t>资格证明文件：电子标书递交</w:t>
            </w:r>
            <w:r>
              <w:rPr>
                <w:rFonts w:hint="eastAsia" w:ascii="宋体" w:hAnsi="宋体"/>
                <w:color w:val="000000"/>
                <w:szCs w:val="21"/>
                <w:lang w:eastAsia="zh-CN"/>
              </w:rPr>
              <w:t>；</w:t>
            </w:r>
          </w:p>
          <w:p w14:paraId="6BDBBC70">
            <w:pPr>
              <w:adjustRightInd w:val="0"/>
              <w:snapToGrid w:val="0"/>
              <w:spacing w:line="360" w:lineRule="auto"/>
              <w:jc w:val="left"/>
              <w:rPr>
                <w:rFonts w:hint="eastAsia" w:ascii="宋体" w:hAnsi="宋体"/>
                <w:color w:val="000000"/>
                <w:szCs w:val="21"/>
              </w:rPr>
            </w:pPr>
            <w:r>
              <w:rPr>
                <w:rFonts w:hint="eastAsia" w:ascii="宋体" w:hAnsi="宋体"/>
                <w:color w:val="000000"/>
                <w:szCs w:val="21"/>
              </w:rPr>
              <w:t>投标文件第二部分商务和技术文件份数：电子标书递交；</w:t>
            </w:r>
          </w:p>
          <w:p w14:paraId="6BE89FFA">
            <w:pPr>
              <w:adjustRightInd w:val="0"/>
              <w:snapToGrid w:val="0"/>
              <w:spacing w:line="360" w:lineRule="exact"/>
              <w:rPr>
                <w:rFonts w:ascii="宋体" w:hAnsi="宋体"/>
                <w:color w:val="auto"/>
                <w:szCs w:val="21"/>
                <w:highlight w:val="none"/>
              </w:rPr>
            </w:pPr>
            <w:r>
              <w:rPr>
                <w:rFonts w:hint="eastAsia" w:ascii="宋体" w:hAnsi="宋体"/>
                <w:color w:val="000000"/>
                <w:szCs w:val="21"/>
                <w:lang w:eastAsia="zh-CN"/>
              </w:rPr>
              <w:t>中标人领取中标通知书时同时递交与电子投标文件一致的纸质响应文件</w:t>
            </w:r>
            <w:r>
              <w:rPr>
                <w:rFonts w:hint="eastAsia" w:ascii="宋体" w:hAnsi="宋体"/>
                <w:color w:val="000000"/>
                <w:szCs w:val="21"/>
                <w:lang w:val="en-US" w:eastAsia="zh-CN"/>
              </w:rPr>
              <w:t>(一式两份）。</w:t>
            </w:r>
          </w:p>
        </w:tc>
      </w:tr>
      <w:tr w14:paraId="48A58AE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8677" w:type="dxa"/>
            <w:gridSpan w:val="3"/>
            <w:vAlign w:val="center"/>
          </w:tcPr>
          <w:p w14:paraId="6C066CE5">
            <w:pPr>
              <w:adjustRightInd w:val="0"/>
              <w:snapToGrid w:val="0"/>
              <w:spacing w:line="360" w:lineRule="exact"/>
              <w:rPr>
                <w:rFonts w:ascii="宋体" w:hAnsi="宋体"/>
                <w:b/>
                <w:bCs/>
                <w:color w:val="auto"/>
                <w:szCs w:val="21"/>
                <w:highlight w:val="none"/>
              </w:rPr>
            </w:pPr>
            <w:r>
              <w:rPr>
                <w:rFonts w:hint="eastAsia" w:ascii="宋体" w:hAnsi="宋体"/>
                <w:b/>
                <w:color w:val="auto"/>
                <w:szCs w:val="21"/>
                <w:highlight w:val="none"/>
              </w:rPr>
              <w:t>四、投标</w:t>
            </w:r>
          </w:p>
        </w:tc>
      </w:tr>
      <w:tr w14:paraId="40D69F7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242" w:type="dxa"/>
            <w:vAlign w:val="center"/>
          </w:tcPr>
          <w:p w14:paraId="178E6E27">
            <w:pPr>
              <w:adjustRightInd w:val="0"/>
              <w:snapToGrid w:val="0"/>
              <w:spacing w:line="360" w:lineRule="exact"/>
              <w:jc w:val="center"/>
              <w:rPr>
                <w:rFonts w:ascii="宋体" w:hAnsi="宋体"/>
                <w:color w:val="auto"/>
                <w:szCs w:val="21"/>
                <w:highlight w:val="none"/>
              </w:rPr>
            </w:pPr>
            <w:r>
              <w:rPr>
                <w:rFonts w:hint="eastAsia" w:ascii="宋体" w:hAnsi="宋体"/>
                <w:color w:val="auto"/>
                <w:szCs w:val="21"/>
                <w:highlight w:val="none"/>
              </w:rPr>
              <w:t>第20.1</w:t>
            </w:r>
            <w:r>
              <w:rPr>
                <w:rFonts w:hint="eastAsia" w:ascii="宋体" w:hAnsi="宋体" w:cs="宋体"/>
                <w:color w:val="auto"/>
                <w:kern w:val="0"/>
                <w:szCs w:val="21"/>
                <w:highlight w:val="none"/>
                <w:lang w:val="zh-CN"/>
              </w:rPr>
              <w:t>款</w:t>
            </w:r>
          </w:p>
        </w:tc>
        <w:tc>
          <w:tcPr>
            <w:tcW w:w="2148" w:type="dxa"/>
            <w:vAlign w:val="center"/>
          </w:tcPr>
          <w:p w14:paraId="2DCBA8ED">
            <w:pPr>
              <w:adjustRightInd w:val="0"/>
              <w:snapToGrid w:val="0"/>
              <w:spacing w:line="360" w:lineRule="exact"/>
              <w:jc w:val="center"/>
              <w:rPr>
                <w:rFonts w:ascii="宋体" w:hAnsi="宋体"/>
                <w:color w:val="auto"/>
                <w:szCs w:val="21"/>
                <w:highlight w:val="none"/>
              </w:rPr>
            </w:pPr>
            <w:r>
              <w:rPr>
                <w:rFonts w:hint="eastAsia" w:ascii="宋体" w:hAnsi="宋体"/>
                <w:color w:val="auto"/>
                <w:szCs w:val="21"/>
                <w:highlight w:val="none"/>
              </w:rPr>
              <w:t xml:space="preserve"> 投标文件的加密</w:t>
            </w:r>
          </w:p>
        </w:tc>
        <w:tc>
          <w:tcPr>
            <w:tcW w:w="5287" w:type="dxa"/>
            <w:vAlign w:val="center"/>
          </w:tcPr>
          <w:p w14:paraId="4FB49ADE">
            <w:pPr>
              <w:adjustRightInd w:val="0"/>
              <w:snapToGrid w:val="0"/>
              <w:spacing w:line="360" w:lineRule="exact"/>
              <w:rPr>
                <w:rFonts w:hint="eastAsia" w:ascii="宋体" w:hAnsi="宋体" w:eastAsia="宋体"/>
                <w:color w:val="auto"/>
                <w:szCs w:val="21"/>
                <w:highlight w:val="none"/>
                <w:lang w:eastAsia="zh-CN"/>
              </w:rPr>
            </w:pPr>
            <w:r>
              <w:rPr>
                <w:rFonts w:hint="eastAsia" w:ascii="宋体" w:hAnsi="宋体"/>
                <w:color w:val="auto"/>
                <w:szCs w:val="21"/>
                <w:highlight w:val="none"/>
              </w:rPr>
              <w:t>按娄底市公共资源交易电子服务平台发布的“电子投标文件制作工具（</w:t>
            </w:r>
            <w:r>
              <w:rPr>
                <w:rStyle w:val="112"/>
                <w:rFonts w:ascii="宋体" w:hAnsi="宋体"/>
                <w:color w:val="auto"/>
                <w:szCs w:val="21"/>
                <w:highlight w:val="none"/>
              </w:rPr>
              <w:t>金润投标人工具箱）</w:t>
            </w:r>
            <w:r>
              <w:rPr>
                <w:rFonts w:hint="eastAsia" w:ascii="宋体" w:hAnsi="宋体"/>
                <w:color w:val="auto"/>
                <w:szCs w:val="21"/>
                <w:highlight w:val="none"/>
              </w:rPr>
              <w:t>”的程序进行固化、加密</w:t>
            </w:r>
            <w:r>
              <w:rPr>
                <w:rFonts w:hint="eastAsia" w:ascii="宋体" w:hAnsi="宋体"/>
                <w:color w:val="auto"/>
                <w:szCs w:val="21"/>
                <w:highlight w:val="none"/>
                <w:lang w:eastAsia="zh-CN"/>
              </w:rPr>
              <w:t>。</w:t>
            </w:r>
          </w:p>
        </w:tc>
      </w:tr>
      <w:tr w14:paraId="4439BC7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30" w:hRule="atLeast"/>
          <w:jc w:val="center"/>
        </w:trPr>
        <w:tc>
          <w:tcPr>
            <w:tcW w:w="1242" w:type="dxa"/>
            <w:vAlign w:val="center"/>
          </w:tcPr>
          <w:p w14:paraId="03B01ED1">
            <w:pPr>
              <w:adjustRightInd w:val="0"/>
              <w:snapToGrid w:val="0"/>
              <w:spacing w:line="360" w:lineRule="exact"/>
              <w:jc w:val="center"/>
              <w:rPr>
                <w:rFonts w:ascii="宋体" w:hAnsi="宋体"/>
                <w:color w:val="auto"/>
                <w:szCs w:val="21"/>
                <w:highlight w:val="none"/>
              </w:rPr>
            </w:pPr>
            <w:r>
              <w:rPr>
                <w:rFonts w:hint="eastAsia" w:ascii="宋体" w:hAnsi="宋体"/>
                <w:color w:val="auto"/>
                <w:szCs w:val="21"/>
                <w:highlight w:val="none"/>
              </w:rPr>
              <w:t>第21.1</w:t>
            </w:r>
            <w:r>
              <w:rPr>
                <w:rFonts w:hint="eastAsia" w:ascii="宋体" w:hAnsi="宋体" w:cs="宋体"/>
                <w:color w:val="auto"/>
                <w:kern w:val="0"/>
                <w:szCs w:val="21"/>
                <w:highlight w:val="none"/>
                <w:lang w:val="zh-CN"/>
              </w:rPr>
              <w:t>款</w:t>
            </w:r>
          </w:p>
        </w:tc>
        <w:tc>
          <w:tcPr>
            <w:tcW w:w="2148" w:type="dxa"/>
            <w:vAlign w:val="center"/>
          </w:tcPr>
          <w:p w14:paraId="1D2312CD">
            <w:pPr>
              <w:adjustRightInd w:val="0"/>
              <w:snapToGrid w:val="0"/>
              <w:spacing w:line="360" w:lineRule="exact"/>
              <w:jc w:val="center"/>
              <w:rPr>
                <w:rFonts w:ascii="宋体" w:hAnsi="宋体"/>
                <w:color w:val="auto"/>
                <w:szCs w:val="21"/>
                <w:highlight w:val="none"/>
              </w:rPr>
            </w:pPr>
            <w:r>
              <w:rPr>
                <w:rFonts w:hint="eastAsia" w:ascii="宋体" w:hAnsi="宋体"/>
                <w:color w:val="auto"/>
                <w:szCs w:val="21"/>
                <w:highlight w:val="none"/>
              </w:rPr>
              <w:t xml:space="preserve"> 投标文件的递交</w:t>
            </w:r>
          </w:p>
        </w:tc>
        <w:tc>
          <w:tcPr>
            <w:tcW w:w="5287" w:type="dxa"/>
            <w:vAlign w:val="center"/>
          </w:tcPr>
          <w:p w14:paraId="5E8D51AB">
            <w:pPr>
              <w:adjustRightInd w:val="0"/>
              <w:snapToGrid w:val="0"/>
              <w:spacing w:line="360" w:lineRule="exact"/>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实行网上投标，投标人必须在采购文件规定的投标截止时间前完成，具体详见采购公告</w:t>
            </w:r>
            <w:r>
              <w:rPr>
                <w:rFonts w:hint="eastAsia" w:ascii="宋体" w:hAnsi="宋体" w:cs="宋体"/>
                <w:color w:val="auto"/>
                <w:szCs w:val="21"/>
                <w:highlight w:val="none"/>
                <w:lang w:eastAsia="zh-CN"/>
              </w:rPr>
              <w:t>。</w:t>
            </w:r>
          </w:p>
        </w:tc>
      </w:tr>
      <w:tr w14:paraId="169ED26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8677" w:type="dxa"/>
            <w:gridSpan w:val="3"/>
            <w:vAlign w:val="center"/>
          </w:tcPr>
          <w:p w14:paraId="5325E2D3">
            <w:pPr>
              <w:adjustRightInd w:val="0"/>
              <w:snapToGrid w:val="0"/>
              <w:spacing w:line="360" w:lineRule="exact"/>
              <w:rPr>
                <w:rFonts w:ascii="宋体" w:hAnsi="宋体"/>
                <w:color w:val="auto"/>
                <w:szCs w:val="21"/>
                <w:highlight w:val="none"/>
              </w:rPr>
            </w:pPr>
            <w:r>
              <w:rPr>
                <w:rFonts w:hint="eastAsia" w:ascii="宋体" w:hAnsi="宋体"/>
                <w:b/>
                <w:bCs/>
                <w:color w:val="auto"/>
                <w:szCs w:val="21"/>
                <w:highlight w:val="none"/>
              </w:rPr>
              <w:t>五、开标、资格审查和评标</w:t>
            </w:r>
          </w:p>
        </w:tc>
      </w:tr>
      <w:tr w14:paraId="7783BCA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77" w:hRule="atLeast"/>
          <w:jc w:val="center"/>
        </w:trPr>
        <w:tc>
          <w:tcPr>
            <w:tcW w:w="1242" w:type="dxa"/>
            <w:vAlign w:val="center"/>
          </w:tcPr>
          <w:p w14:paraId="006F5385">
            <w:pPr>
              <w:adjustRightInd w:val="0"/>
              <w:snapToGrid w:val="0"/>
              <w:spacing w:line="360" w:lineRule="exact"/>
              <w:jc w:val="center"/>
              <w:rPr>
                <w:rFonts w:ascii="宋体" w:hAnsi="宋体"/>
                <w:color w:val="auto"/>
                <w:szCs w:val="21"/>
                <w:highlight w:val="none"/>
              </w:rPr>
            </w:pPr>
            <w:r>
              <w:rPr>
                <w:rFonts w:hint="eastAsia" w:ascii="宋体" w:hAnsi="宋体"/>
                <w:color w:val="auto"/>
                <w:szCs w:val="21"/>
                <w:highlight w:val="none"/>
              </w:rPr>
              <w:t>第24.1款</w:t>
            </w:r>
          </w:p>
        </w:tc>
        <w:tc>
          <w:tcPr>
            <w:tcW w:w="2148" w:type="dxa"/>
            <w:vAlign w:val="center"/>
          </w:tcPr>
          <w:p w14:paraId="62B363A6">
            <w:pPr>
              <w:adjustRightInd w:val="0"/>
              <w:snapToGrid w:val="0"/>
              <w:spacing w:line="360" w:lineRule="exact"/>
              <w:jc w:val="center"/>
              <w:rPr>
                <w:rFonts w:ascii="宋体" w:hAnsi="宋体"/>
                <w:color w:val="auto"/>
                <w:szCs w:val="21"/>
                <w:highlight w:val="none"/>
              </w:rPr>
            </w:pPr>
            <w:r>
              <w:rPr>
                <w:rFonts w:hint="eastAsia" w:ascii="宋体" w:hAnsi="宋体"/>
                <w:color w:val="auto"/>
                <w:szCs w:val="21"/>
                <w:highlight w:val="none"/>
              </w:rPr>
              <w:t>开标地点</w:t>
            </w:r>
          </w:p>
        </w:tc>
        <w:tc>
          <w:tcPr>
            <w:tcW w:w="5287" w:type="dxa"/>
            <w:vAlign w:val="center"/>
          </w:tcPr>
          <w:p w14:paraId="5DFE1B1B">
            <w:pPr>
              <w:adjustRightInd w:val="0"/>
              <w:snapToGrid w:val="0"/>
              <w:spacing w:line="360" w:lineRule="exact"/>
              <w:rPr>
                <w:rFonts w:ascii="宋体" w:hAnsi="宋体"/>
                <w:color w:val="auto"/>
                <w:szCs w:val="21"/>
                <w:highlight w:val="none"/>
              </w:rPr>
            </w:pPr>
            <w:r>
              <w:rPr>
                <w:rFonts w:hint="eastAsia" w:ascii="宋体" w:hAnsi="宋体"/>
                <w:color w:val="auto"/>
                <w:szCs w:val="21"/>
                <w:highlight w:val="none"/>
              </w:rPr>
              <w:t>娄底市公共资源交易中心四楼开标大厅（详见当天电子显示屏的安排）</w:t>
            </w:r>
          </w:p>
        </w:tc>
      </w:tr>
      <w:tr w14:paraId="204F884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77" w:hRule="atLeast"/>
          <w:jc w:val="center"/>
        </w:trPr>
        <w:tc>
          <w:tcPr>
            <w:tcW w:w="1242" w:type="dxa"/>
            <w:vAlign w:val="center"/>
          </w:tcPr>
          <w:p w14:paraId="264DD260">
            <w:pPr>
              <w:adjustRightInd w:val="0"/>
              <w:snapToGrid w:val="0"/>
              <w:spacing w:line="360" w:lineRule="exact"/>
              <w:jc w:val="center"/>
              <w:rPr>
                <w:rFonts w:ascii="宋体" w:hAnsi="宋体"/>
                <w:color w:val="auto"/>
                <w:szCs w:val="21"/>
                <w:highlight w:val="none"/>
              </w:rPr>
            </w:pPr>
            <w:r>
              <w:rPr>
                <w:rFonts w:hint="eastAsia" w:ascii="宋体" w:hAnsi="宋体"/>
                <w:color w:val="auto"/>
                <w:szCs w:val="21"/>
                <w:highlight w:val="none"/>
              </w:rPr>
              <w:t>第24.2</w:t>
            </w:r>
            <w:r>
              <w:rPr>
                <w:rFonts w:hint="eastAsia" w:ascii="宋体" w:hAnsi="宋体" w:cs="宋体"/>
                <w:color w:val="auto"/>
                <w:kern w:val="0"/>
                <w:szCs w:val="21"/>
                <w:highlight w:val="none"/>
                <w:lang w:val="zh-CN"/>
              </w:rPr>
              <w:t>款</w:t>
            </w:r>
          </w:p>
        </w:tc>
        <w:tc>
          <w:tcPr>
            <w:tcW w:w="2148" w:type="dxa"/>
            <w:vAlign w:val="center"/>
          </w:tcPr>
          <w:p w14:paraId="2FDA7266">
            <w:pPr>
              <w:adjustRightInd w:val="0"/>
              <w:snapToGrid w:val="0"/>
              <w:spacing w:line="360" w:lineRule="exact"/>
              <w:jc w:val="center"/>
              <w:rPr>
                <w:rFonts w:ascii="宋体" w:hAnsi="宋体"/>
                <w:color w:val="auto"/>
                <w:szCs w:val="21"/>
                <w:highlight w:val="none"/>
              </w:rPr>
            </w:pPr>
            <w:r>
              <w:rPr>
                <w:rFonts w:hint="eastAsia" w:ascii="宋体" w:hAnsi="宋体"/>
                <w:color w:val="auto"/>
                <w:szCs w:val="21"/>
                <w:highlight w:val="none"/>
              </w:rPr>
              <w:t>需要宣布的其他内容</w:t>
            </w:r>
          </w:p>
        </w:tc>
        <w:tc>
          <w:tcPr>
            <w:tcW w:w="5287" w:type="dxa"/>
            <w:vAlign w:val="center"/>
          </w:tcPr>
          <w:p w14:paraId="2A2362BE">
            <w:pPr>
              <w:adjustRightInd w:val="0"/>
              <w:snapToGrid w:val="0"/>
              <w:spacing w:line="360" w:lineRule="exact"/>
              <w:rPr>
                <w:rFonts w:ascii="宋体" w:hAnsi="宋体"/>
                <w:color w:val="auto"/>
                <w:szCs w:val="21"/>
                <w:highlight w:val="none"/>
              </w:rPr>
            </w:pPr>
            <w:r>
              <w:rPr>
                <w:rFonts w:hint="eastAsia" w:ascii="宋体" w:hAnsi="宋体"/>
                <w:color w:val="auto"/>
                <w:szCs w:val="21"/>
                <w:highlight w:val="none"/>
              </w:rPr>
              <w:t>以电子采购交易平台唱标内容为准。</w:t>
            </w:r>
          </w:p>
        </w:tc>
      </w:tr>
      <w:tr w14:paraId="3D33824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8677" w:type="dxa"/>
            <w:gridSpan w:val="3"/>
            <w:vAlign w:val="center"/>
          </w:tcPr>
          <w:p w14:paraId="4AFEB168">
            <w:pPr>
              <w:adjustRightInd w:val="0"/>
              <w:snapToGrid w:val="0"/>
              <w:spacing w:line="360" w:lineRule="exact"/>
              <w:rPr>
                <w:rFonts w:ascii="宋体" w:hAnsi="宋体"/>
                <w:b/>
                <w:color w:val="auto"/>
                <w:szCs w:val="21"/>
                <w:highlight w:val="none"/>
              </w:rPr>
            </w:pPr>
            <w:r>
              <w:rPr>
                <w:rFonts w:hint="eastAsia" w:ascii="宋体" w:hAnsi="宋体"/>
                <w:b/>
                <w:color w:val="auto"/>
                <w:szCs w:val="21"/>
                <w:highlight w:val="none"/>
              </w:rPr>
              <w:t>六、中标信息公布</w:t>
            </w:r>
          </w:p>
        </w:tc>
      </w:tr>
      <w:tr w14:paraId="535C906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242" w:type="dxa"/>
            <w:vAlign w:val="center"/>
          </w:tcPr>
          <w:p w14:paraId="5DD20FAE">
            <w:pPr>
              <w:adjustRightInd w:val="0"/>
              <w:snapToGrid w:val="0"/>
              <w:spacing w:line="360" w:lineRule="exact"/>
              <w:jc w:val="center"/>
              <w:rPr>
                <w:rFonts w:ascii="宋体" w:hAnsi="宋体"/>
                <w:color w:val="auto"/>
                <w:szCs w:val="21"/>
                <w:highlight w:val="none"/>
              </w:rPr>
            </w:pPr>
            <w:r>
              <w:rPr>
                <w:rFonts w:hint="eastAsia" w:ascii="宋体" w:hAnsi="宋体"/>
                <w:color w:val="auto"/>
                <w:szCs w:val="21"/>
                <w:highlight w:val="none"/>
              </w:rPr>
              <w:t>第28.2</w:t>
            </w:r>
            <w:r>
              <w:rPr>
                <w:rFonts w:hint="eastAsia" w:ascii="宋体" w:hAnsi="宋体" w:cs="宋体"/>
                <w:color w:val="auto"/>
                <w:kern w:val="0"/>
                <w:szCs w:val="21"/>
                <w:highlight w:val="none"/>
                <w:lang w:val="zh-CN"/>
              </w:rPr>
              <w:t>款</w:t>
            </w:r>
          </w:p>
        </w:tc>
        <w:tc>
          <w:tcPr>
            <w:tcW w:w="2148" w:type="dxa"/>
            <w:vAlign w:val="center"/>
          </w:tcPr>
          <w:p w14:paraId="6142BD71">
            <w:pPr>
              <w:adjustRightInd w:val="0"/>
              <w:snapToGrid w:val="0"/>
              <w:spacing w:line="360" w:lineRule="exact"/>
              <w:jc w:val="center"/>
              <w:rPr>
                <w:rFonts w:ascii="宋体" w:hAnsi="宋体"/>
                <w:color w:val="auto"/>
                <w:szCs w:val="21"/>
                <w:highlight w:val="none"/>
              </w:rPr>
            </w:pPr>
            <w:r>
              <w:rPr>
                <w:rFonts w:hint="eastAsia" w:ascii="宋体" w:hAnsi="宋体"/>
                <w:color w:val="auto"/>
                <w:szCs w:val="21"/>
                <w:highlight w:val="none"/>
              </w:rPr>
              <w:t>中标候选人并列的确定中标人的方式</w:t>
            </w:r>
          </w:p>
        </w:tc>
        <w:tc>
          <w:tcPr>
            <w:tcW w:w="5287" w:type="dxa"/>
            <w:vAlign w:val="center"/>
          </w:tcPr>
          <w:p w14:paraId="4598402D">
            <w:pPr>
              <w:adjustRightInd w:val="0"/>
              <w:snapToGrid w:val="0"/>
              <w:spacing w:line="360" w:lineRule="exact"/>
              <w:rPr>
                <w:rFonts w:ascii="宋体" w:hAnsi="宋体"/>
                <w:bCs/>
                <w:color w:val="auto"/>
                <w:szCs w:val="21"/>
                <w:highlight w:val="none"/>
              </w:rPr>
            </w:pPr>
            <w:r>
              <w:rPr>
                <w:rFonts w:hint="eastAsia" w:ascii="宋体" w:hAnsi="宋体"/>
                <w:bCs/>
                <w:color w:val="auto"/>
                <w:szCs w:val="21"/>
                <w:highlight w:val="none"/>
              </w:rPr>
              <w:t>完全满足招标文件实质性需求且综合得分最高的单位为中标单位，得分相同的，按投标报价由低到高顺序排列；得分且投标报价相同的并列，按技术指标优劣顺序排列最高的投标人为排名第一的中标候选人。</w:t>
            </w:r>
          </w:p>
        </w:tc>
      </w:tr>
      <w:tr w14:paraId="3D092B8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242" w:type="dxa"/>
            <w:vAlign w:val="center"/>
          </w:tcPr>
          <w:p w14:paraId="3911B87B">
            <w:pPr>
              <w:adjustRightInd w:val="0"/>
              <w:snapToGrid w:val="0"/>
              <w:spacing w:line="360" w:lineRule="exact"/>
              <w:jc w:val="center"/>
              <w:rPr>
                <w:rFonts w:ascii="宋体" w:hAnsi="宋体"/>
                <w:color w:val="auto"/>
                <w:szCs w:val="21"/>
                <w:highlight w:val="none"/>
              </w:rPr>
            </w:pPr>
            <w:r>
              <w:rPr>
                <w:rFonts w:hint="eastAsia" w:ascii="宋体" w:hAnsi="宋体"/>
                <w:color w:val="auto"/>
                <w:szCs w:val="21"/>
                <w:highlight w:val="none"/>
              </w:rPr>
              <w:t>第29.3</w:t>
            </w:r>
            <w:r>
              <w:rPr>
                <w:rFonts w:hint="eastAsia" w:ascii="宋体" w:hAnsi="宋体" w:cs="宋体"/>
                <w:color w:val="auto"/>
                <w:kern w:val="0"/>
                <w:szCs w:val="21"/>
                <w:highlight w:val="none"/>
                <w:lang w:val="zh-CN"/>
              </w:rPr>
              <w:t>款</w:t>
            </w:r>
          </w:p>
        </w:tc>
        <w:tc>
          <w:tcPr>
            <w:tcW w:w="2148" w:type="dxa"/>
            <w:vAlign w:val="center"/>
          </w:tcPr>
          <w:p w14:paraId="7EC46AD1">
            <w:pPr>
              <w:adjustRightInd w:val="0"/>
              <w:snapToGrid w:val="0"/>
              <w:spacing w:line="360" w:lineRule="exact"/>
              <w:jc w:val="center"/>
              <w:rPr>
                <w:rFonts w:ascii="宋体" w:hAnsi="宋体"/>
                <w:color w:val="auto"/>
                <w:szCs w:val="21"/>
                <w:highlight w:val="none"/>
              </w:rPr>
            </w:pPr>
            <w:r>
              <w:rPr>
                <w:rFonts w:hint="eastAsia" w:ascii="宋体" w:hAnsi="宋体"/>
                <w:color w:val="auto"/>
                <w:szCs w:val="21"/>
                <w:highlight w:val="none"/>
              </w:rPr>
              <w:t>接收质疑函的联系部门、联系电话和通讯地址</w:t>
            </w:r>
          </w:p>
        </w:tc>
        <w:tc>
          <w:tcPr>
            <w:tcW w:w="5287" w:type="dxa"/>
            <w:vAlign w:val="center"/>
          </w:tcPr>
          <w:p w14:paraId="1DFE4282">
            <w:pPr>
              <w:adjustRightInd w:val="0"/>
              <w:snapToGrid w:val="0"/>
              <w:spacing w:line="360" w:lineRule="auto"/>
              <w:ind w:firstLine="210" w:firstLineChars="100"/>
              <w:rPr>
                <w:rFonts w:hint="eastAsia" w:ascii="宋体" w:hAnsi="宋体"/>
                <w:color w:val="auto"/>
                <w:szCs w:val="21"/>
                <w:highlight w:val="none"/>
                <w:lang w:eastAsia="zh-CN"/>
              </w:rPr>
            </w:pPr>
            <w:r>
              <w:rPr>
                <w:rFonts w:hint="eastAsia" w:ascii="宋体" w:hAnsi="宋体"/>
                <w:color w:val="auto"/>
                <w:szCs w:val="21"/>
                <w:highlight w:val="none"/>
              </w:rPr>
              <w:t>1.名 称：</w:t>
            </w:r>
            <w:r>
              <w:rPr>
                <w:rFonts w:hint="eastAsia" w:ascii="宋体" w:hAnsi="宋体"/>
                <w:color w:val="auto"/>
                <w:szCs w:val="21"/>
                <w:highlight w:val="none"/>
                <w:lang w:eastAsia="zh-CN"/>
              </w:rPr>
              <w:t>娄底市中心医院</w:t>
            </w:r>
          </w:p>
          <w:p w14:paraId="32F5D87C">
            <w:pPr>
              <w:numPr>
                <w:ilvl w:val="0"/>
                <w:numId w:val="0"/>
              </w:numPr>
              <w:adjustRightInd w:val="0"/>
              <w:snapToGrid w:val="0"/>
              <w:spacing w:line="360" w:lineRule="auto"/>
              <w:ind w:leftChars="0" w:firstLine="210" w:firstLineChars="100"/>
              <w:rPr>
                <w:rFonts w:hint="eastAsia" w:ascii="宋体" w:hAnsi="宋体"/>
                <w:color w:val="auto"/>
                <w:szCs w:val="21"/>
                <w:highlight w:val="none"/>
              </w:rPr>
            </w:pPr>
            <w:r>
              <w:rPr>
                <w:rFonts w:hint="eastAsia" w:ascii="宋体" w:hAnsi="宋体"/>
                <w:color w:val="auto"/>
                <w:szCs w:val="21"/>
                <w:highlight w:val="none"/>
              </w:rPr>
              <w:t>地  址：湖南省娄底市长青中街51号</w:t>
            </w:r>
          </w:p>
          <w:p w14:paraId="43689371">
            <w:pPr>
              <w:numPr>
                <w:ilvl w:val="0"/>
                <w:numId w:val="0"/>
              </w:numPr>
              <w:adjustRightInd w:val="0"/>
              <w:snapToGrid w:val="0"/>
              <w:spacing w:line="360" w:lineRule="auto"/>
              <w:ind w:leftChars="0" w:firstLine="210" w:firstLineChars="100"/>
              <w:rPr>
                <w:rFonts w:hint="eastAsia" w:ascii="宋体" w:hAnsi="宋体" w:eastAsia="宋体"/>
                <w:color w:val="auto"/>
                <w:szCs w:val="21"/>
                <w:highlight w:val="none"/>
                <w:lang w:eastAsia="zh-CN"/>
              </w:rPr>
            </w:pPr>
            <w:r>
              <w:rPr>
                <w:rFonts w:hint="eastAsia" w:ascii="宋体" w:hAnsi="宋体"/>
                <w:color w:val="auto"/>
                <w:szCs w:val="21"/>
                <w:highlight w:val="none"/>
              </w:rPr>
              <w:t xml:space="preserve">联系人： </w:t>
            </w:r>
            <w:r>
              <w:rPr>
                <w:rFonts w:hint="eastAsia" w:ascii="宋体" w:hAnsi="宋体"/>
                <w:color w:val="auto"/>
                <w:szCs w:val="21"/>
                <w:highlight w:val="none"/>
                <w:lang w:eastAsia="zh-CN"/>
              </w:rPr>
              <w:t>孙女士</w:t>
            </w:r>
          </w:p>
          <w:p w14:paraId="72149AB3">
            <w:pPr>
              <w:numPr>
                <w:ilvl w:val="0"/>
                <w:numId w:val="0"/>
              </w:numPr>
              <w:adjustRightInd w:val="0"/>
              <w:snapToGrid w:val="0"/>
              <w:spacing w:line="360" w:lineRule="auto"/>
              <w:ind w:leftChars="0" w:firstLine="210" w:firstLineChars="100"/>
              <w:rPr>
                <w:rFonts w:hint="eastAsia" w:ascii="宋体" w:hAnsi="宋体" w:eastAsia="宋体"/>
                <w:color w:val="auto"/>
                <w:szCs w:val="21"/>
                <w:highlight w:val="none"/>
                <w:lang w:val="en-US" w:eastAsia="zh-CN"/>
              </w:rPr>
            </w:pPr>
            <w:r>
              <w:rPr>
                <w:rFonts w:hint="eastAsia" w:ascii="宋体" w:hAnsi="宋体"/>
                <w:color w:val="auto"/>
                <w:szCs w:val="21"/>
                <w:highlight w:val="none"/>
              </w:rPr>
              <w:t xml:space="preserve">电  话： </w:t>
            </w:r>
            <w:r>
              <w:rPr>
                <w:rFonts w:hint="eastAsia" w:ascii="宋体" w:hAnsi="宋体"/>
                <w:color w:val="auto"/>
                <w:szCs w:val="21"/>
                <w:highlight w:val="none"/>
                <w:lang w:eastAsia="zh-CN"/>
              </w:rPr>
              <w:t>16673869902</w:t>
            </w:r>
          </w:p>
          <w:p w14:paraId="67144818">
            <w:pPr>
              <w:adjustRightInd w:val="0"/>
              <w:snapToGrid w:val="0"/>
              <w:spacing w:line="360" w:lineRule="auto"/>
              <w:rPr>
                <w:rFonts w:ascii="宋体" w:hAnsi="宋体"/>
                <w:color w:val="auto"/>
                <w:szCs w:val="21"/>
                <w:highlight w:val="none"/>
              </w:rPr>
            </w:pPr>
            <w:r>
              <w:rPr>
                <w:rFonts w:hint="eastAsia" w:ascii="宋体" w:hAnsi="宋体"/>
                <w:b/>
                <w:bCs/>
                <w:color w:val="auto"/>
                <w:szCs w:val="21"/>
                <w:highlight w:val="none"/>
              </w:rPr>
              <w:t>2.</w:t>
            </w:r>
            <w:r>
              <w:rPr>
                <w:rFonts w:hint="eastAsia" w:ascii="宋体" w:hAnsi="宋体"/>
                <w:color w:val="auto"/>
                <w:szCs w:val="21"/>
                <w:highlight w:val="none"/>
              </w:rPr>
              <w:t>名称：娄底市政府采购中心</w:t>
            </w:r>
          </w:p>
          <w:p w14:paraId="04D769BA">
            <w:pPr>
              <w:adjustRightInd w:val="0"/>
              <w:snapToGrid w:val="0"/>
              <w:spacing w:line="360" w:lineRule="auto"/>
              <w:ind w:firstLine="210" w:firstLineChars="100"/>
              <w:rPr>
                <w:rFonts w:ascii="宋体" w:hAnsi="宋体" w:cs="宋体"/>
                <w:color w:val="auto"/>
                <w:szCs w:val="21"/>
                <w:highlight w:val="none"/>
              </w:rPr>
            </w:pPr>
            <w:r>
              <w:rPr>
                <w:rFonts w:hint="eastAsia" w:ascii="宋体" w:hAnsi="宋体" w:cs="宋体"/>
                <w:color w:val="auto"/>
                <w:szCs w:val="21"/>
                <w:highlight w:val="none"/>
              </w:rPr>
              <w:t>地址：娄底市娄星区勤政街36号</w:t>
            </w:r>
          </w:p>
          <w:p w14:paraId="3762718E">
            <w:pPr>
              <w:adjustRightInd w:val="0"/>
              <w:snapToGrid w:val="0"/>
              <w:spacing w:line="360" w:lineRule="auto"/>
              <w:ind w:firstLine="210" w:firstLineChars="100"/>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联系人：</w:t>
            </w:r>
            <w:r>
              <w:rPr>
                <w:rFonts w:hint="eastAsia" w:ascii="宋体" w:hAnsi="宋体" w:cs="宋体"/>
                <w:color w:val="auto"/>
                <w:szCs w:val="21"/>
                <w:highlight w:val="none"/>
                <w:lang w:eastAsia="zh-CN"/>
              </w:rPr>
              <w:t>易先生</w:t>
            </w:r>
          </w:p>
          <w:p w14:paraId="22F515E2">
            <w:pPr>
              <w:adjustRightInd w:val="0"/>
              <w:snapToGrid w:val="0"/>
              <w:spacing w:line="360" w:lineRule="auto"/>
              <w:ind w:firstLine="210" w:firstLineChars="100"/>
              <w:rPr>
                <w:rFonts w:ascii="宋体" w:hAnsi="宋体"/>
                <w:color w:val="auto"/>
                <w:szCs w:val="21"/>
                <w:highlight w:val="none"/>
              </w:rPr>
            </w:pPr>
            <w:r>
              <w:rPr>
                <w:rFonts w:hint="eastAsia" w:ascii="宋体" w:hAnsi="宋体" w:cs="宋体"/>
                <w:color w:val="auto"/>
                <w:szCs w:val="21"/>
                <w:highlight w:val="none"/>
              </w:rPr>
              <w:t>电话：0738-6371181</w:t>
            </w:r>
          </w:p>
        </w:tc>
      </w:tr>
      <w:tr w14:paraId="07A5192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8677" w:type="dxa"/>
            <w:gridSpan w:val="3"/>
            <w:vAlign w:val="center"/>
          </w:tcPr>
          <w:p w14:paraId="25FE3742">
            <w:pPr>
              <w:adjustRightInd w:val="0"/>
              <w:snapToGrid w:val="0"/>
              <w:spacing w:line="360" w:lineRule="exact"/>
              <w:rPr>
                <w:rFonts w:ascii="宋体" w:hAnsi="宋体"/>
                <w:color w:val="auto"/>
                <w:szCs w:val="21"/>
                <w:highlight w:val="none"/>
              </w:rPr>
            </w:pPr>
            <w:r>
              <w:rPr>
                <w:rFonts w:hint="eastAsia" w:ascii="宋体" w:hAnsi="宋体"/>
                <w:b/>
                <w:color w:val="auto"/>
                <w:szCs w:val="21"/>
                <w:highlight w:val="none"/>
              </w:rPr>
              <w:t>七、合同签订</w:t>
            </w:r>
          </w:p>
        </w:tc>
      </w:tr>
      <w:tr w14:paraId="15C7F3E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242" w:type="dxa"/>
            <w:vAlign w:val="center"/>
          </w:tcPr>
          <w:p w14:paraId="4A03E162">
            <w:pPr>
              <w:adjustRightInd w:val="0"/>
              <w:snapToGrid w:val="0"/>
              <w:spacing w:line="360" w:lineRule="exact"/>
              <w:jc w:val="center"/>
              <w:rPr>
                <w:rFonts w:ascii="宋体" w:hAnsi="宋体"/>
                <w:color w:val="auto"/>
                <w:szCs w:val="21"/>
                <w:highlight w:val="none"/>
              </w:rPr>
            </w:pPr>
            <w:r>
              <w:rPr>
                <w:rFonts w:hint="eastAsia" w:ascii="宋体" w:hAnsi="宋体"/>
                <w:color w:val="auto"/>
                <w:szCs w:val="21"/>
                <w:highlight w:val="none"/>
              </w:rPr>
              <w:t>第31.1</w:t>
            </w:r>
            <w:r>
              <w:rPr>
                <w:rFonts w:hint="eastAsia" w:ascii="宋体" w:hAnsi="宋体" w:cs="宋体"/>
                <w:color w:val="auto"/>
                <w:kern w:val="0"/>
                <w:szCs w:val="21"/>
                <w:highlight w:val="none"/>
                <w:lang w:val="zh-CN"/>
              </w:rPr>
              <w:t>款</w:t>
            </w:r>
          </w:p>
        </w:tc>
        <w:tc>
          <w:tcPr>
            <w:tcW w:w="2148" w:type="dxa"/>
            <w:vAlign w:val="center"/>
          </w:tcPr>
          <w:p w14:paraId="57ED943F">
            <w:pPr>
              <w:adjustRightInd w:val="0"/>
              <w:snapToGrid w:val="0"/>
              <w:spacing w:line="360" w:lineRule="exact"/>
              <w:jc w:val="center"/>
              <w:rPr>
                <w:rFonts w:ascii="宋体" w:hAnsi="宋体"/>
                <w:color w:val="auto"/>
                <w:szCs w:val="21"/>
                <w:highlight w:val="none"/>
              </w:rPr>
            </w:pPr>
            <w:r>
              <w:rPr>
                <w:rFonts w:hint="eastAsia" w:ascii="宋体" w:hAnsi="宋体"/>
                <w:color w:val="auto"/>
                <w:szCs w:val="21"/>
                <w:highlight w:val="none"/>
              </w:rPr>
              <w:t>履约担保</w:t>
            </w:r>
          </w:p>
        </w:tc>
        <w:tc>
          <w:tcPr>
            <w:tcW w:w="5287" w:type="dxa"/>
            <w:vAlign w:val="center"/>
          </w:tcPr>
          <w:p w14:paraId="6CCE8F11">
            <w:pPr>
              <w:adjustRightInd w:val="0"/>
              <w:spacing w:line="360" w:lineRule="exact"/>
              <w:rPr>
                <w:rFonts w:ascii="宋体" w:hAnsi="宋体"/>
                <w:color w:val="auto"/>
                <w:szCs w:val="21"/>
                <w:highlight w:val="none"/>
              </w:rPr>
            </w:pPr>
            <w:r>
              <w:rPr>
                <w:rFonts w:hint="eastAsia" w:ascii="宋体" w:hAnsi="宋体"/>
                <w:color w:val="auto"/>
                <w:szCs w:val="21"/>
                <w:highlight w:val="none"/>
              </w:rPr>
              <w:sym w:font="Wingdings" w:char="00FE"/>
            </w:r>
            <w:r>
              <w:rPr>
                <w:rFonts w:hint="eastAsia" w:ascii="宋体" w:hAnsi="宋体"/>
                <w:color w:val="auto"/>
                <w:szCs w:val="21"/>
                <w:highlight w:val="none"/>
              </w:rPr>
              <w:t>不要求提供</w:t>
            </w:r>
          </w:p>
          <w:p w14:paraId="19A1252C">
            <w:pPr>
              <w:pStyle w:val="102"/>
              <w:spacing w:line="360" w:lineRule="exact"/>
              <w:ind w:firstLine="210" w:firstLineChars="100"/>
              <w:rPr>
                <w:rFonts w:ascii="宋体" w:hAnsi="宋体"/>
                <w:color w:val="auto"/>
                <w:sz w:val="21"/>
                <w:szCs w:val="21"/>
                <w:highlight w:val="none"/>
              </w:rPr>
            </w:pPr>
            <w:r>
              <w:rPr>
                <w:rFonts w:hint="eastAsia" w:ascii="宋体" w:hAnsi="宋体"/>
                <w:color w:val="auto"/>
                <w:sz w:val="21"/>
                <w:szCs w:val="21"/>
                <w:highlight w:val="none"/>
              </w:rPr>
              <w:t>要求提供，履约担保的金额为：</w:t>
            </w:r>
          </w:p>
        </w:tc>
      </w:tr>
      <w:tr w14:paraId="757CC1B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36" w:hRule="atLeast"/>
          <w:jc w:val="center"/>
        </w:trPr>
        <w:tc>
          <w:tcPr>
            <w:tcW w:w="8677" w:type="dxa"/>
            <w:gridSpan w:val="3"/>
            <w:vAlign w:val="center"/>
          </w:tcPr>
          <w:p w14:paraId="51F2DC50">
            <w:pPr>
              <w:adjustRightInd w:val="0"/>
              <w:spacing w:line="360" w:lineRule="exact"/>
              <w:rPr>
                <w:rFonts w:ascii="宋体" w:hAnsi="宋体"/>
                <w:color w:val="auto"/>
                <w:szCs w:val="21"/>
                <w:highlight w:val="none"/>
              </w:rPr>
            </w:pPr>
            <w:r>
              <w:rPr>
                <w:rFonts w:hint="eastAsia" w:ascii="宋体" w:hAnsi="宋体"/>
                <w:b/>
                <w:bCs/>
                <w:color w:val="auto"/>
                <w:szCs w:val="21"/>
                <w:highlight w:val="none"/>
              </w:rPr>
              <w:t>八、政府采购政策</w:t>
            </w:r>
          </w:p>
        </w:tc>
      </w:tr>
      <w:tr w14:paraId="4DB361E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41" w:hRule="atLeast"/>
          <w:jc w:val="center"/>
        </w:trPr>
        <w:tc>
          <w:tcPr>
            <w:tcW w:w="1242" w:type="dxa"/>
            <w:vAlign w:val="center"/>
          </w:tcPr>
          <w:p w14:paraId="4DECFC0D">
            <w:pPr>
              <w:adjustRightInd w:val="0"/>
              <w:snapToGrid w:val="0"/>
              <w:spacing w:line="360" w:lineRule="exact"/>
              <w:jc w:val="center"/>
              <w:rPr>
                <w:rFonts w:ascii="宋体" w:hAnsi="宋体"/>
                <w:color w:val="auto"/>
                <w:szCs w:val="21"/>
                <w:highlight w:val="none"/>
              </w:rPr>
            </w:pPr>
            <w:r>
              <w:rPr>
                <w:rFonts w:hint="eastAsia" w:ascii="宋体" w:hAnsi="宋体"/>
                <w:color w:val="auto"/>
                <w:szCs w:val="21"/>
                <w:highlight w:val="none"/>
              </w:rPr>
              <w:t>第33.8款</w:t>
            </w:r>
          </w:p>
        </w:tc>
        <w:tc>
          <w:tcPr>
            <w:tcW w:w="2148" w:type="dxa"/>
            <w:vAlign w:val="center"/>
          </w:tcPr>
          <w:p w14:paraId="6885C4FA">
            <w:pPr>
              <w:adjustRightInd w:val="0"/>
              <w:snapToGrid w:val="0"/>
              <w:spacing w:line="360" w:lineRule="exact"/>
              <w:jc w:val="center"/>
              <w:rPr>
                <w:rFonts w:ascii="宋体" w:hAnsi="宋体"/>
                <w:color w:val="auto"/>
                <w:szCs w:val="21"/>
                <w:highlight w:val="none"/>
              </w:rPr>
            </w:pPr>
            <w:r>
              <w:rPr>
                <w:rFonts w:hint="eastAsia" w:ascii="宋体" w:hAnsi="宋体"/>
                <w:color w:val="auto"/>
                <w:szCs w:val="21"/>
                <w:highlight w:val="none"/>
              </w:rPr>
              <w:t>采购进口产品</w:t>
            </w:r>
          </w:p>
        </w:tc>
        <w:tc>
          <w:tcPr>
            <w:tcW w:w="5287" w:type="dxa"/>
            <w:vAlign w:val="center"/>
          </w:tcPr>
          <w:p w14:paraId="1FC4FCFA">
            <w:pPr>
              <w:adjustRightInd w:val="0"/>
              <w:spacing w:line="360" w:lineRule="exact"/>
              <w:rPr>
                <w:rFonts w:hint="default" w:eastAsia="宋体"/>
                <w:color w:val="auto"/>
                <w:highlight w:val="none"/>
                <w:lang w:val="en-US" w:eastAsia="zh-CN"/>
              </w:rPr>
            </w:pPr>
            <w:r>
              <w:rPr>
                <w:rFonts w:hint="eastAsia"/>
                <w:color w:val="auto"/>
                <w:highlight w:val="none"/>
                <w:lang w:val="en-US" w:eastAsia="zh-CN"/>
              </w:rPr>
              <w:t>/</w:t>
            </w:r>
          </w:p>
        </w:tc>
      </w:tr>
      <w:tr w14:paraId="562790A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8677" w:type="dxa"/>
            <w:gridSpan w:val="3"/>
            <w:vAlign w:val="center"/>
          </w:tcPr>
          <w:p w14:paraId="23831FEA">
            <w:pPr>
              <w:adjustRightInd w:val="0"/>
              <w:snapToGrid w:val="0"/>
              <w:spacing w:line="360" w:lineRule="exact"/>
              <w:rPr>
                <w:rFonts w:ascii="宋体" w:hAnsi="宋体"/>
                <w:b/>
                <w:color w:val="auto"/>
                <w:szCs w:val="21"/>
                <w:highlight w:val="none"/>
              </w:rPr>
            </w:pPr>
            <w:r>
              <w:rPr>
                <w:rFonts w:hint="eastAsia" w:ascii="宋体" w:hAnsi="宋体"/>
                <w:b/>
                <w:color w:val="auto"/>
                <w:szCs w:val="21"/>
                <w:highlight w:val="none"/>
              </w:rPr>
              <w:t>九、其他规定</w:t>
            </w:r>
          </w:p>
        </w:tc>
      </w:tr>
      <w:tr w14:paraId="669209E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242" w:type="dxa"/>
            <w:vAlign w:val="center"/>
          </w:tcPr>
          <w:p w14:paraId="71B973ED">
            <w:pPr>
              <w:adjustRightInd w:val="0"/>
              <w:snapToGrid w:val="0"/>
              <w:spacing w:line="360" w:lineRule="exact"/>
              <w:jc w:val="center"/>
              <w:rPr>
                <w:rFonts w:ascii="宋体" w:hAnsi="宋体"/>
                <w:color w:val="auto"/>
                <w:szCs w:val="21"/>
                <w:highlight w:val="none"/>
              </w:rPr>
            </w:pPr>
            <w:r>
              <w:rPr>
                <w:rFonts w:hint="eastAsia" w:ascii="宋体" w:hAnsi="宋体"/>
                <w:color w:val="auto"/>
                <w:szCs w:val="21"/>
                <w:highlight w:val="none"/>
              </w:rPr>
              <w:t>第35.1(1)</w:t>
            </w:r>
            <w:r>
              <w:rPr>
                <w:rFonts w:hint="eastAsia" w:ascii="宋体" w:hAnsi="宋体" w:cs="宋体"/>
                <w:color w:val="auto"/>
                <w:kern w:val="0"/>
                <w:szCs w:val="21"/>
                <w:highlight w:val="none"/>
                <w:lang w:val="zh-CN"/>
              </w:rPr>
              <w:t>款</w:t>
            </w:r>
          </w:p>
        </w:tc>
        <w:tc>
          <w:tcPr>
            <w:tcW w:w="2148" w:type="dxa"/>
            <w:vAlign w:val="center"/>
          </w:tcPr>
          <w:p w14:paraId="04EA2C09">
            <w:pPr>
              <w:adjustRightInd w:val="0"/>
              <w:snapToGrid w:val="0"/>
              <w:spacing w:line="360" w:lineRule="exact"/>
              <w:jc w:val="center"/>
              <w:rPr>
                <w:rFonts w:ascii="宋体" w:hAnsi="宋体"/>
                <w:color w:val="auto"/>
                <w:szCs w:val="21"/>
                <w:highlight w:val="none"/>
              </w:rPr>
            </w:pPr>
            <w:r>
              <w:rPr>
                <w:rFonts w:hint="eastAsia" w:ascii="宋体" w:hAnsi="宋体"/>
                <w:color w:val="auto"/>
                <w:szCs w:val="21"/>
                <w:highlight w:val="none"/>
              </w:rPr>
              <w:t>合同预付款的支付比例和支付条件</w:t>
            </w:r>
          </w:p>
        </w:tc>
        <w:tc>
          <w:tcPr>
            <w:tcW w:w="5287" w:type="dxa"/>
            <w:vAlign w:val="center"/>
          </w:tcPr>
          <w:p w14:paraId="45C8264A">
            <w:pPr>
              <w:spacing w:line="360" w:lineRule="exact"/>
              <w:rPr>
                <w:rFonts w:hint="eastAsia" w:ascii="宋体" w:hAnsi="宋体" w:eastAsia="宋体"/>
                <w:color w:val="auto"/>
                <w:szCs w:val="21"/>
                <w:highlight w:val="none"/>
                <w:lang w:eastAsia="zh-CN"/>
              </w:rPr>
            </w:pPr>
            <w:r>
              <w:rPr>
                <w:rFonts w:hint="eastAsia" w:ascii="宋体" w:hAnsi="宋体"/>
                <w:color w:val="auto"/>
                <w:szCs w:val="21"/>
                <w:highlight w:val="none"/>
                <w:lang w:val="en-US" w:eastAsia="zh-CN"/>
              </w:rPr>
              <w:t>/</w:t>
            </w:r>
          </w:p>
        </w:tc>
      </w:tr>
      <w:tr w14:paraId="58FB1A8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242" w:type="dxa"/>
            <w:vAlign w:val="center"/>
          </w:tcPr>
          <w:p w14:paraId="33E0084E">
            <w:pPr>
              <w:adjustRightInd w:val="0"/>
              <w:snapToGrid w:val="0"/>
              <w:spacing w:line="360" w:lineRule="exact"/>
              <w:jc w:val="center"/>
              <w:rPr>
                <w:rFonts w:ascii="宋体" w:hAnsi="宋体"/>
                <w:color w:val="auto"/>
                <w:szCs w:val="21"/>
                <w:highlight w:val="none"/>
              </w:rPr>
            </w:pPr>
            <w:r>
              <w:rPr>
                <w:rFonts w:hint="eastAsia" w:ascii="宋体" w:hAnsi="宋体"/>
                <w:color w:val="auto"/>
                <w:szCs w:val="21"/>
                <w:highlight w:val="none"/>
              </w:rPr>
              <w:t>第35.1</w:t>
            </w:r>
            <w:r>
              <w:rPr>
                <w:rFonts w:hint="eastAsia" w:ascii="宋体" w:hAnsi="宋体" w:cs="宋体"/>
                <w:color w:val="auto"/>
                <w:kern w:val="0"/>
                <w:szCs w:val="21"/>
                <w:highlight w:val="none"/>
                <w:lang w:val="zh-CN"/>
              </w:rPr>
              <w:t>（</w:t>
            </w:r>
            <w:r>
              <w:rPr>
                <w:rFonts w:hint="eastAsia" w:ascii="宋体" w:hAnsi="宋体" w:cs="宋体"/>
                <w:color w:val="auto"/>
                <w:kern w:val="0"/>
                <w:szCs w:val="21"/>
                <w:highlight w:val="none"/>
              </w:rPr>
              <w:t>2</w:t>
            </w:r>
            <w:r>
              <w:rPr>
                <w:rFonts w:hint="eastAsia" w:ascii="宋体" w:hAnsi="宋体" w:cs="宋体"/>
                <w:color w:val="auto"/>
                <w:kern w:val="0"/>
                <w:szCs w:val="21"/>
                <w:highlight w:val="none"/>
                <w:lang w:val="zh-CN"/>
              </w:rPr>
              <w:t>）</w:t>
            </w:r>
            <w:r>
              <w:rPr>
                <w:rFonts w:hint="eastAsia" w:ascii="宋体" w:hAnsi="宋体" w:cs="宋体"/>
                <w:color w:val="auto"/>
                <w:kern w:val="0"/>
                <w:szCs w:val="21"/>
                <w:highlight w:val="none"/>
              </w:rPr>
              <w:t>项</w:t>
            </w:r>
          </w:p>
        </w:tc>
        <w:tc>
          <w:tcPr>
            <w:tcW w:w="2148" w:type="dxa"/>
            <w:vAlign w:val="center"/>
          </w:tcPr>
          <w:p w14:paraId="655D06C4">
            <w:pPr>
              <w:adjustRightInd w:val="0"/>
              <w:snapToGrid w:val="0"/>
              <w:spacing w:line="360" w:lineRule="exact"/>
              <w:jc w:val="center"/>
              <w:rPr>
                <w:rFonts w:ascii="宋体" w:hAnsi="宋体"/>
                <w:color w:val="auto"/>
                <w:szCs w:val="21"/>
                <w:highlight w:val="none"/>
              </w:rPr>
            </w:pPr>
            <w:r>
              <w:rPr>
                <w:rFonts w:hint="eastAsia" w:ascii="宋体" w:hAnsi="宋体"/>
                <w:color w:val="auto"/>
                <w:szCs w:val="21"/>
                <w:highlight w:val="none"/>
              </w:rPr>
              <w:t>质量保证金</w:t>
            </w:r>
          </w:p>
        </w:tc>
        <w:tc>
          <w:tcPr>
            <w:tcW w:w="5287" w:type="dxa"/>
            <w:vAlign w:val="center"/>
          </w:tcPr>
          <w:p w14:paraId="6CB9CB2B">
            <w:pPr>
              <w:spacing w:line="360" w:lineRule="exact"/>
              <w:rPr>
                <w:rFonts w:hint="eastAsia" w:ascii="宋体" w:hAnsi="宋体" w:eastAsia="宋体"/>
                <w:color w:val="auto"/>
                <w:szCs w:val="21"/>
                <w:highlight w:val="none"/>
                <w:lang w:eastAsia="zh-CN"/>
              </w:rPr>
            </w:pPr>
            <w:r>
              <w:rPr>
                <w:rFonts w:hint="eastAsia" w:ascii="宋体" w:hAnsi="宋体"/>
                <w:color w:val="auto"/>
                <w:szCs w:val="21"/>
                <w:highlight w:val="none"/>
                <w:lang w:val="en-US" w:eastAsia="zh-CN"/>
              </w:rPr>
              <w:t>/</w:t>
            </w:r>
          </w:p>
        </w:tc>
      </w:tr>
      <w:tr w14:paraId="190F811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10" w:hRule="atLeast"/>
          <w:jc w:val="center"/>
        </w:trPr>
        <w:tc>
          <w:tcPr>
            <w:tcW w:w="1242" w:type="dxa"/>
            <w:vAlign w:val="center"/>
          </w:tcPr>
          <w:p w14:paraId="0F68DAEC">
            <w:pPr>
              <w:adjustRightInd w:val="0"/>
              <w:snapToGrid w:val="0"/>
              <w:spacing w:line="360" w:lineRule="exact"/>
              <w:jc w:val="center"/>
              <w:rPr>
                <w:rFonts w:ascii="宋体" w:hAnsi="宋体"/>
                <w:color w:val="auto"/>
                <w:szCs w:val="21"/>
                <w:highlight w:val="none"/>
              </w:rPr>
            </w:pPr>
            <w:r>
              <w:rPr>
                <w:rFonts w:hint="eastAsia" w:ascii="宋体" w:hAnsi="宋体"/>
                <w:color w:val="auto"/>
                <w:szCs w:val="21"/>
                <w:highlight w:val="none"/>
              </w:rPr>
              <w:t>第35.2</w:t>
            </w:r>
            <w:r>
              <w:rPr>
                <w:rFonts w:hint="eastAsia" w:ascii="宋体" w:hAnsi="宋体" w:cs="宋体"/>
                <w:color w:val="auto"/>
                <w:kern w:val="0"/>
                <w:szCs w:val="21"/>
                <w:highlight w:val="none"/>
              </w:rPr>
              <w:t>项</w:t>
            </w:r>
          </w:p>
        </w:tc>
        <w:tc>
          <w:tcPr>
            <w:tcW w:w="2148" w:type="dxa"/>
            <w:vAlign w:val="center"/>
          </w:tcPr>
          <w:p w14:paraId="2C0D8193">
            <w:pPr>
              <w:adjustRightInd w:val="0"/>
              <w:snapToGrid w:val="0"/>
              <w:spacing w:line="360" w:lineRule="exact"/>
              <w:jc w:val="center"/>
              <w:rPr>
                <w:rFonts w:ascii="宋体" w:hAnsi="宋体"/>
                <w:color w:val="auto"/>
                <w:szCs w:val="21"/>
                <w:highlight w:val="none"/>
              </w:rPr>
            </w:pPr>
            <w:r>
              <w:rPr>
                <w:rFonts w:hint="eastAsia" w:ascii="宋体" w:hAnsi="宋体"/>
                <w:color w:val="auto"/>
                <w:szCs w:val="21"/>
                <w:highlight w:val="none"/>
              </w:rPr>
              <w:t>其他规定</w:t>
            </w:r>
          </w:p>
        </w:tc>
        <w:tc>
          <w:tcPr>
            <w:tcW w:w="5287" w:type="dxa"/>
            <w:tcBorders>
              <w:bottom w:val="single" w:color="auto" w:sz="4" w:space="0"/>
            </w:tcBorders>
            <w:vAlign w:val="center"/>
          </w:tcPr>
          <w:p w14:paraId="661E9D1D">
            <w:pPr>
              <w:spacing w:line="360" w:lineRule="exact"/>
              <w:rPr>
                <w:rFonts w:ascii="宋体" w:hAnsi="宋体"/>
                <w:color w:val="auto"/>
                <w:szCs w:val="21"/>
                <w:highlight w:val="none"/>
              </w:rPr>
            </w:pPr>
            <w:r>
              <w:rPr>
                <w:rFonts w:hint="eastAsia" w:ascii="宋体" w:hAnsi="宋体"/>
                <w:color w:val="auto"/>
                <w:szCs w:val="21"/>
                <w:highlight w:val="none"/>
              </w:rPr>
              <w:t>/</w:t>
            </w:r>
          </w:p>
        </w:tc>
      </w:tr>
    </w:tbl>
    <w:p w14:paraId="40FBCE05">
      <w:pPr>
        <w:pStyle w:val="2"/>
        <w:jc w:val="center"/>
        <w:rPr>
          <w:rFonts w:ascii="黑体" w:hAnsi="黑体" w:eastAsia="黑体"/>
          <w:b w:val="0"/>
          <w:color w:val="auto"/>
          <w:sz w:val="28"/>
          <w:szCs w:val="28"/>
          <w:highlight w:val="none"/>
        </w:rPr>
      </w:pPr>
      <w:r>
        <w:rPr>
          <w:rFonts w:ascii="宋体" w:hAnsi="宋体"/>
          <w:b w:val="0"/>
          <w:color w:val="auto"/>
          <w:szCs w:val="21"/>
          <w:highlight w:val="none"/>
        </w:rPr>
        <w:br w:type="page"/>
      </w:r>
      <w:bookmarkStart w:id="83" w:name="_Toc171273672"/>
      <w:bookmarkStart w:id="84" w:name="_Toc10856"/>
      <w:bookmarkStart w:id="85" w:name="_Toc100670669"/>
      <w:bookmarkStart w:id="86" w:name="_Toc78314263"/>
      <w:bookmarkStart w:id="87" w:name="_Toc114036713"/>
      <w:bookmarkStart w:id="88" w:name="_Toc15888486"/>
      <w:bookmarkStart w:id="89" w:name="_Toc19390"/>
      <w:bookmarkStart w:id="90" w:name="_Toc78449956"/>
      <w:bookmarkStart w:id="91" w:name="_Toc31436"/>
      <w:bookmarkStart w:id="92" w:name="_Toc377"/>
      <w:bookmarkStart w:id="93" w:name="_Toc75289227"/>
      <w:bookmarkStart w:id="94" w:name="_Toc117192449"/>
      <w:bookmarkStart w:id="95" w:name="_Toc94367881"/>
      <w:bookmarkStart w:id="96" w:name="_Toc1146446784"/>
      <w:bookmarkStart w:id="97" w:name="_Toc24535"/>
      <w:bookmarkStart w:id="98" w:name="_Toc108341938"/>
      <w:bookmarkStart w:id="99" w:name="_Toc112704934"/>
      <w:bookmarkStart w:id="100" w:name="_Toc192949604"/>
      <w:bookmarkStart w:id="101" w:name="_Toc95601366"/>
      <w:bookmarkStart w:id="102" w:name="_Toc4779"/>
      <w:bookmarkStart w:id="103" w:name="_Toc77199400"/>
      <w:bookmarkStart w:id="104" w:name="_Toc75289549"/>
      <w:bookmarkStart w:id="105" w:name="_Toc3696"/>
      <w:bookmarkStart w:id="106" w:name="_Toc100670422"/>
      <w:bookmarkStart w:id="107" w:name="_Toc4847"/>
      <w:bookmarkStart w:id="108" w:name="_Toc77676467"/>
      <w:bookmarkStart w:id="109" w:name="_Toc192951214"/>
      <w:bookmarkStart w:id="110" w:name="_Toc12780"/>
      <w:bookmarkStart w:id="111" w:name="_Toc85972931"/>
      <w:bookmarkStart w:id="112" w:name="_Toc154428391"/>
      <w:bookmarkStart w:id="113" w:name="_Toc192949703"/>
      <w:r>
        <w:rPr>
          <w:rFonts w:hint="eastAsia" w:ascii="黑体" w:hAnsi="黑体" w:eastAsia="黑体"/>
          <w:b w:val="0"/>
          <w:color w:val="auto"/>
          <w:sz w:val="28"/>
          <w:szCs w:val="28"/>
          <w:highlight w:val="none"/>
        </w:rPr>
        <w:t>第二节投标须知正文</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0F0E8716">
      <w:pPr>
        <w:pStyle w:val="4"/>
        <w:adjustRightInd w:val="0"/>
        <w:snapToGrid w:val="0"/>
        <w:spacing w:before="120" w:beforeLines="50" w:after="0" w:line="360" w:lineRule="auto"/>
        <w:jc w:val="center"/>
        <w:rPr>
          <w:rFonts w:ascii="黑体" w:hAnsi="黑体" w:eastAsia="黑体"/>
          <w:b w:val="0"/>
          <w:color w:val="auto"/>
          <w:sz w:val="28"/>
          <w:szCs w:val="28"/>
          <w:highlight w:val="none"/>
        </w:rPr>
      </w:pPr>
      <w:bookmarkStart w:id="114" w:name="_Toc154428392"/>
      <w:bookmarkStart w:id="115" w:name="_Toc95601367"/>
      <w:bookmarkStart w:id="116" w:name="_Toc3976"/>
      <w:bookmarkStart w:id="117" w:name="_Toc117192450"/>
      <w:bookmarkStart w:id="118" w:name="_Toc192951215"/>
      <w:bookmarkStart w:id="119" w:name="_Toc192949605"/>
      <w:bookmarkStart w:id="120" w:name="_Toc17656"/>
      <w:bookmarkStart w:id="121" w:name="_Toc78449957"/>
      <w:bookmarkStart w:id="122" w:name="_Toc18614"/>
      <w:bookmarkStart w:id="123" w:name="_Toc100670423"/>
      <w:bookmarkStart w:id="124" w:name="_Toc77199401"/>
      <w:bookmarkStart w:id="125" w:name="_Toc192949704"/>
      <w:bookmarkStart w:id="126" w:name="_Toc100670670"/>
      <w:bookmarkStart w:id="127" w:name="_Toc77676468"/>
      <w:bookmarkStart w:id="128" w:name="_Toc15888487"/>
      <w:bookmarkStart w:id="129" w:name="_Toc171273673"/>
      <w:bookmarkStart w:id="130" w:name="_Toc94367882"/>
      <w:bookmarkStart w:id="131" w:name="_Toc13845"/>
      <w:bookmarkStart w:id="132" w:name="_Toc14791"/>
      <w:bookmarkStart w:id="133" w:name="_Toc112704935"/>
      <w:bookmarkStart w:id="134" w:name="_Toc75289228"/>
      <w:bookmarkStart w:id="135" w:name="_Toc108341939"/>
      <w:bookmarkStart w:id="136" w:name="_Toc75289550"/>
      <w:bookmarkStart w:id="137" w:name="_Toc78314264"/>
      <w:bookmarkStart w:id="138" w:name="_Toc1631"/>
      <w:bookmarkStart w:id="139" w:name="_Toc85972932"/>
      <w:bookmarkStart w:id="140" w:name="_Toc1045"/>
      <w:bookmarkStart w:id="141" w:name="_Toc24047"/>
      <w:bookmarkStart w:id="142" w:name="_Toc23991"/>
      <w:bookmarkStart w:id="143" w:name="_Toc114036714"/>
      <w:r>
        <w:rPr>
          <w:rFonts w:hint="eastAsia" w:ascii="黑体" w:hAnsi="黑体" w:eastAsia="黑体"/>
          <w:color w:val="auto"/>
          <w:sz w:val="28"/>
          <w:szCs w:val="28"/>
          <w:highlight w:val="none"/>
        </w:rPr>
        <w:t>一、总则</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0CC9381E">
      <w:pPr>
        <w:adjustRightInd w:val="0"/>
        <w:snapToGrid w:val="0"/>
        <w:spacing w:line="360" w:lineRule="auto"/>
        <w:rPr>
          <w:rFonts w:ascii="宋体" w:hAnsi="宋体"/>
          <w:b/>
          <w:bCs/>
          <w:color w:val="auto"/>
          <w:sz w:val="24"/>
          <w:highlight w:val="none"/>
        </w:rPr>
      </w:pPr>
      <w:r>
        <w:rPr>
          <w:rFonts w:hint="eastAsia" w:ascii="宋体" w:hAnsi="宋体"/>
          <w:b/>
          <w:bCs/>
          <w:color w:val="auto"/>
          <w:sz w:val="24"/>
          <w:highlight w:val="none"/>
        </w:rPr>
        <w:t>1. 适用范围</w:t>
      </w:r>
    </w:p>
    <w:p w14:paraId="58F376DF">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1.1本招标文件仅适用于本章第一节</w:t>
      </w:r>
      <w:r>
        <w:rPr>
          <w:rFonts w:hint="eastAsia" w:ascii="宋体" w:hAnsi="宋体"/>
          <w:b/>
          <w:bCs/>
          <w:color w:val="auto"/>
          <w:szCs w:val="21"/>
          <w:highlight w:val="none"/>
        </w:rPr>
        <w:t>【投标须知前附表】</w:t>
      </w:r>
      <w:r>
        <w:rPr>
          <w:rFonts w:hint="eastAsia" w:ascii="宋体" w:hAnsi="宋体"/>
          <w:color w:val="auto"/>
          <w:szCs w:val="21"/>
          <w:highlight w:val="none"/>
        </w:rPr>
        <w:t>中所叙述的采购项目。</w:t>
      </w:r>
    </w:p>
    <w:p w14:paraId="5BD70CE8">
      <w:pPr>
        <w:adjustRightInd w:val="0"/>
        <w:snapToGrid w:val="0"/>
        <w:spacing w:line="360" w:lineRule="auto"/>
        <w:ind w:firstLine="420" w:firstLineChars="200"/>
        <w:rPr>
          <w:rFonts w:ascii="宋体" w:hAnsi="宋体"/>
          <w:color w:val="auto"/>
          <w:szCs w:val="21"/>
          <w:highlight w:val="none"/>
        </w:rPr>
      </w:pPr>
      <w:r>
        <w:rPr>
          <w:rFonts w:ascii="宋体" w:hAnsi="宋体"/>
          <w:color w:val="auto"/>
          <w:szCs w:val="21"/>
          <w:highlight w:val="none"/>
        </w:rPr>
        <w:t>1.2</w:t>
      </w:r>
      <w:r>
        <w:rPr>
          <w:rFonts w:hint="eastAsia" w:ascii="宋体" w:hAnsi="宋体"/>
          <w:b/>
          <w:color w:val="auto"/>
          <w:szCs w:val="21"/>
          <w:highlight w:val="none"/>
        </w:rPr>
        <w:t>【投标须知前附表】</w:t>
      </w:r>
      <w:r>
        <w:rPr>
          <w:rFonts w:hint="eastAsia" w:ascii="宋体" w:hAnsi="宋体"/>
          <w:color w:val="auto"/>
          <w:szCs w:val="21"/>
          <w:highlight w:val="none"/>
        </w:rPr>
        <w:t>规定采购项目或者采购包属于“预留采购份额”的，投标人应当符合本章第33.7款规定，否则，其</w:t>
      </w:r>
      <w:r>
        <w:rPr>
          <w:rFonts w:hint="eastAsia" w:ascii="宋体" w:hAnsi="宋体"/>
          <w:b/>
          <w:color w:val="auto"/>
          <w:szCs w:val="21"/>
          <w:highlight w:val="none"/>
        </w:rPr>
        <w:t>投标无效</w:t>
      </w:r>
      <w:r>
        <w:rPr>
          <w:rFonts w:hint="eastAsia" w:ascii="宋体" w:hAnsi="宋体"/>
          <w:color w:val="auto"/>
          <w:szCs w:val="21"/>
          <w:highlight w:val="none"/>
        </w:rPr>
        <w:t>。</w:t>
      </w:r>
    </w:p>
    <w:p w14:paraId="3079D84C">
      <w:pPr>
        <w:adjustRightInd w:val="0"/>
        <w:snapToGrid w:val="0"/>
        <w:spacing w:line="360" w:lineRule="auto"/>
        <w:rPr>
          <w:rFonts w:ascii="宋体" w:hAnsi="宋体"/>
          <w:b/>
          <w:bCs/>
          <w:color w:val="auto"/>
          <w:sz w:val="24"/>
          <w:highlight w:val="none"/>
        </w:rPr>
      </w:pPr>
      <w:r>
        <w:rPr>
          <w:rFonts w:hint="eastAsia" w:ascii="宋体" w:hAnsi="宋体"/>
          <w:b/>
          <w:bCs/>
          <w:color w:val="auto"/>
          <w:sz w:val="24"/>
          <w:highlight w:val="none"/>
        </w:rPr>
        <w:t>2. 定义</w:t>
      </w:r>
    </w:p>
    <w:p w14:paraId="7638B2E0">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2.1采购项目联系人姓名和电话见</w:t>
      </w:r>
      <w:r>
        <w:rPr>
          <w:rFonts w:hint="eastAsia" w:ascii="宋体" w:hAnsi="宋体"/>
          <w:b/>
          <w:color w:val="auto"/>
          <w:szCs w:val="21"/>
          <w:highlight w:val="none"/>
        </w:rPr>
        <w:t>【投标须知前附表】</w:t>
      </w:r>
      <w:r>
        <w:rPr>
          <w:rFonts w:hint="eastAsia" w:ascii="宋体" w:hAnsi="宋体"/>
          <w:color w:val="auto"/>
          <w:szCs w:val="21"/>
          <w:highlight w:val="none"/>
        </w:rPr>
        <w:t>。</w:t>
      </w:r>
    </w:p>
    <w:p w14:paraId="3421F60C">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2.2采购人名称、地址、电话、联系人见</w:t>
      </w:r>
      <w:r>
        <w:rPr>
          <w:rFonts w:hint="eastAsia" w:ascii="宋体" w:hAnsi="宋体"/>
          <w:b/>
          <w:color w:val="auto"/>
          <w:szCs w:val="21"/>
          <w:highlight w:val="none"/>
        </w:rPr>
        <w:t>【投标须知前附表】</w:t>
      </w:r>
      <w:r>
        <w:rPr>
          <w:rFonts w:hint="eastAsia" w:ascii="宋体" w:hAnsi="宋体"/>
          <w:color w:val="auto"/>
          <w:szCs w:val="21"/>
          <w:highlight w:val="none"/>
        </w:rPr>
        <w:t>。</w:t>
      </w:r>
    </w:p>
    <w:p w14:paraId="494A072F">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2.3采购代理机构名称、地址、电话、联系人见</w:t>
      </w:r>
      <w:r>
        <w:rPr>
          <w:rFonts w:hint="eastAsia" w:ascii="宋体" w:hAnsi="宋体"/>
          <w:b/>
          <w:color w:val="auto"/>
          <w:szCs w:val="21"/>
          <w:highlight w:val="none"/>
        </w:rPr>
        <w:t>【投标须知前附表】。</w:t>
      </w:r>
    </w:p>
    <w:p w14:paraId="7E630C60">
      <w:pPr>
        <w:adjustRightInd w:val="0"/>
        <w:snapToGrid w:val="0"/>
        <w:spacing w:line="360" w:lineRule="auto"/>
        <w:ind w:firstLine="420" w:firstLineChars="200"/>
        <w:rPr>
          <w:rFonts w:ascii="宋体" w:hAnsi="宋体"/>
          <w:b/>
          <w:color w:val="auto"/>
          <w:szCs w:val="21"/>
          <w:highlight w:val="none"/>
        </w:rPr>
      </w:pPr>
      <w:r>
        <w:rPr>
          <w:rFonts w:hint="eastAsia" w:ascii="宋体" w:hAnsi="宋体"/>
          <w:color w:val="auto"/>
          <w:szCs w:val="21"/>
          <w:highlight w:val="none"/>
        </w:rPr>
        <w:t>2.4投标人系指响应招标、参加投标竞争的法人、其他组织或自然人。</w:t>
      </w:r>
    </w:p>
    <w:p w14:paraId="5DA96774">
      <w:pPr>
        <w:adjustRightInd w:val="0"/>
        <w:snapToGrid w:val="0"/>
        <w:spacing w:line="360" w:lineRule="auto"/>
        <w:rPr>
          <w:rFonts w:ascii="宋体" w:hAnsi="宋体"/>
          <w:b/>
          <w:bCs/>
          <w:color w:val="auto"/>
          <w:sz w:val="24"/>
          <w:highlight w:val="none"/>
        </w:rPr>
      </w:pPr>
      <w:r>
        <w:rPr>
          <w:rFonts w:hint="eastAsia" w:ascii="宋体" w:hAnsi="宋体"/>
          <w:b/>
          <w:bCs/>
          <w:color w:val="auto"/>
          <w:sz w:val="24"/>
          <w:highlight w:val="none"/>
        </w:rPr>
        <w:t>3. 投标人的资格要求</w:t>
      </w:r>
    </w:p>
    <w:p w14:paraId="6ECF47AB">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3.1投标人应当符合</w:t>
      </w:r>
      <w:r>
        <w:rPr>
          <w:rFonts w:hint="eastAsia" w:ascii="宋体" w:hAnsi="宋体"/>
          <w:b/>
          <w:color w:val="auto"/>
          <w:szCs w:val="21"/>
          <w:highlight w:val="none"/>
        </w:rPr>
        <w:t>【投标须知前附表】</w:t>
      </w:r>
      <w:r>
        <w:rPr>
          <w:rFonts w:hint="eastAsia" w:ascii="宋体" w:hAnsi="宋体"/>
          <w:color w:val="auto"/>
          <w:szCs w:val="21"/>
          <w:highlight w:val="none"/>
        </w:rPr>
        <w:t>规定的投标人资格条件。</w:t>
      </w:r>
    </w:p>
    <w:p w14:paraId="2D264A40">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3.2</w:t>
      </w:r>
      <w:r>
        <w:rPr>
          <w:rFonts w:hint="eastAsia" w:ascii="宋体" w:hAnsi="宋体"/>
          <w:b/>
          <w:color w:val="auto"/>
          <w:szCs w:val="21"/>
          <w:highlight w:val="none"/>
        </w:rPr>
        <w:t>【投标须知前附表】</w:t>
      </w:r>
      <w:r>
        <w:rPr>
          <w:rFonts w:hint="eastAsia" w:ascii="宋体" w:hAnsi="宋体"/>
          <w:color w:val="auto"/>
          <w:szCs w:val="21"/>
          <w:highlight w:val="none"/>
        </w:rPr>
        <w:t>规定接受联合体形式投标的，投标人除应符合本章第3.1</w:t>
      </w:r>
      <w:r>
        <w:rPr>
          <w:rFonts w:hint="eastAsia" w:ascii="宋体" w:hAnsi="宋体" w:cs="宋体"/>
          <w:color w:val="auto"/>
          <w:kern w:val="0"/>
          <w:szCs w:val="21"/>
          <w:highlight w:val="none"/>
          <w:lang w:val="zh-CN"/>
        </w:rPr>
        <w:t>款</w:t>
      </w:r>
      <w:r>
        <w:rPr>
          <w:rFonts w:hint="eastAsia" w:ascii="宋体" w:hAnsi="宋体"/>
          <w:color w:val="auto"/>
          <w:szCs w:val="21"/>
          <w:highlight w:val="none"/>
        </w:rPr>
        <w:t xml:space="preserve">规定外，还应遵守以下规定： </w:t>
      </w:r>
    </w:p>
    <w:p w14:paraId="48D34DA8">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（l）联合体中有同类资质的供应商按照联合体分工承担相同工作的，应当按照资质等级较低的供应商确定资质等级。</w:t>
      </w:r>
    </w:p>
    <w:p w14:paraId="7E13CA08">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（2）联合体各方应按招标文件提供的格式签订联合体协议书，明确联合体牵头人和各方的权利义务、合同工作量比例；</w:t>
      </w:r>
    </w:p>
    <w:p w14:paraId="3C03299F">
      <w:pPr>
        <w:adjustRightInd w:val="0"/>
        <w:snapToGrid w:val="0"/>
        <w:spacing w:line="360" w:lineRule="auto"/>
        <w:ind w:firstLine="420" w:firstLineChars="200"/>
        <w:rPr>
          <w:rFonts w:ascii="宋体" w:hAnsi="宋体" w:cs="宋体"/>
          <w:color w:val="auto"/>
          <w:kern w:val="0"/>
          <w:szCs w:val="21"/>
          <w:highlight w:val="none"/>
          <w:lang w:val="zh-CN"/>
        </w:rPr>
      </w:pPr>
      <w:r>
        <w:rPr>
          <w:rFonts w:hint="eastAsia" w:ascii="宋体" w:hAnsi="宋体"/>
          <w:color w:val="auto"/>
          <w:szCs w:val="21"/>
          <w:highlight w:val="none"/>
        </w:rPr>
        <w:t>（3）联合体各方签订联合体协议书后，</w:t>
      </w:r>
      <w:r>
        <w:rPr>
          <w:rFonts w:hint="eastAsia" w:ascii="宋体" w:hAnsi="宋体" w:cs="宋体"/>
          <w:color w:val="auto"/>
          <w:kern w:val="0"/>
          <w:szCs w:val="21"/>
          <w:highlight w:val="none"/>
          <w:lang w:val="zh-CN"/>
        </w:rPr>
        <w:t>不得再单独参加或者与其他投标人组成新的联合体参加</w:t>
      </w:r>
      <w:r>
        <w:rPr>
          <w:rFonts w:hint="eastAsia" w:ascii="宋体" w:hAnsi="宋体" w:cs="宋体"/>
          <w:color w:val="auto"/>
          <w:kern w:val="0"/>
          <w:szCs w:val="21"/>
          <w:highlight w:val="none"/>
        </w:rPr>
        <w:t>本项目</w:t>
      </w:r>
      <w:r>
        <w:rPr>
          <w:rFonts w:hint="eastAsia" w:ascii="宋体" w:hAnsi="宋体" w:cs="宋体"/>
          <w:color w:val="auto"/>
          <w:kern w:val="0"/>
          <w:szCs w:val="21"/>
          <w:highlight w:val="none"/>
          <w:lang w:val="zh-CN"/>
        </w:rPr>
        <w:t>同一合同项下的采购活动。</w:t>
      </w:r>
    </w:p>
    <w:p w14:paraId="5B4AEAC6">
      <w:pPr>
        <w:adjustRightInd w:val="0"/>
        <w:snapToGrid w:val="0"/>
        <w:spacing w:line="360" w:lineRule="auto"/>
        <w:rPr>
          <w:rFonts w:ascii="宋体" w:hAnsi="宋体"/>
          <w:b/>
          <w:bCs/>
          <w:color w:val="auto"/>
          <w:sz w:val="24"/>
          <w:highlight w:val="none"/>
        </w:rPr>
      </w:pPr>
      <w:r>
        <w:rPr>
          <w:rFonts w:hint="eastAsia" w:ascii="宋体" w:hAnsi="宋体"/>
          <w:b/>
          <w:bCs/>
          <w:color w:val="auto"/>
          <w:sz w:val="24"/>
          <w:highlight w:val="none"/>
        </w:rPr>
        <w:t xml:space="preserve">4. 投标费用 </w:t>
      </w:r>
    </w:p>
    <w:p w14:paraId="047FDB1D">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4.1投标人应自行承担所有参与投标的相关费用，不论投标的结果如何，采购人、采购代理机构均无义务和责任承担这些费用。</w:t>
      </w:r>
    </w:p>
    <w:p w14:paraId="44C2816B">
      <w:pPr>
        <w:adjustRightInd w:val="0"/>
        <w:snapToGrid w:val="0"/>
        <w:spacing w:line="360" w:lineRule="auto"/>
        <w:rPr>
          <w:rFonts w:ascii="宋体" w:hAnsi="宋体"/>
          <w:b/>
          <w:color w:val="auto"/>
          <w:sz w:val="24"/>
          <w:highlight w:val="none"/>
        </w:rPr>
      </w:pPr>
      <w:r>
        <w:rPr>
          <w:rFonts w:hint="eastAsia" w:ascii="宋体" w:hAnsi="宋体"/>
          <w:b/>
          <w:color w:val="auto"/>
          <w:sz w:val="24"/>
          <w:highlight w:val="none"/>
        </w:rPr>
        <w:t>5．组织现场考察或者召开答疑会</w:t>
      </w:r>
    </w:p>
    <w:p w14:paraId="5ACDF355">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highlight w:val="none"/>
        </w:rPr>
        <w:t>5.1采购人、采购代理机构可以在</w:t>
      </w:r>
      <w:r>
        <w:rPr>
          <w:rFonts w:hint="eastAsia" w:ascii="宋体" w:hAnsi="宋体"/>
          <w:b/>
          <w:color w:val="auto"/>
          <w:szCs w:val="21"/>
          <w:highlight w:val="none"/>
        </w:rPr>
        <w:t>【投标须知前附表】</w:t>
      </w:r>
      <w:r>
        <w:rPr>
          <w:rFonts w:hint="eastAsia" w:ascii="宋体" w:hAnsi="宋体"/>
          <w:color w:val="auto"/>
          <w:szCs w:val="21"/>
          <w:highlight w:val="none"/>
        </w:rPr>
        <w:t>规定的招标文件提供期限截止后，组织已获取招标文件的潜在投标人现场考察或者召开开标前答疑会。</w:t>
      </w:r>
    </w:p>
    <w:p w14:paraId="6C757CFB">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5.2获取招标文件的潜在投标人应按</w:t>
      </w:r>
      <w:r>
        <w:rPr>
          <w:rFonts w:hint="eastAsia" w:ascii="宋体" w:hAnsi="宋体"/>
          <w:b/>
          <w:color w:val="auto"/>
          <w:szCs w:val="21"/>
          <w:highlight w:val="none"/>
        </w:rPr>
        <w:t>【投标须知前附表】</w:t>
      </w:r>
      <w:r>
        <w:rPr>
          <w:rFonts w:hint="eastAsia" w:ascii="宋体" w:hAnsi="宋体"/>
          <w:color w:val="auto"/>
          <w:szCs w:val="21"/>
          <w:highlight w:val="none"/>
        </w:rPr>
        <w:t>规定参加现场考察或者答疑会；如不参加，其风险由其自行承担。</w:t>
      </w:r>
    </w:p>
    <w:p w14:paraId="043C9F9A">
      <w:pPr>
        <w:adjustRightInd w:val="0"/>
        <w:snapToGrid w:val="0"/>
        <w:spacing w:line="360" w:lineRule="auto"/>
        <w:ind w:firstLine="420" w:firstLineChars="200"/>
        <w:rPr>
          <w:rFonts w:ascii="宋体" w:hAnsi="宋体"/>
          <w:color w:val="auto"/>
          <w:highlight w:val="none"/>
        </w:rPr>
      </w:pPr>
      <w:r>
        <w:rPr>
          <w:rFonts w:hint="eastAsia" w:ascii="宋体" w:hAnsi="宋体"/>
          <w:color w:val="auto"/>
          <w:highlight w:val="none"/>
        </w:rPr>
        <w:t>5.3潜在投标人现场考察或者参加答疑会的费用由自己承担，现场考察期间所发生的人身伤害及财产损失由自己负责。</w:t>
      </w:r>
    </w:p>
    <w:p w14:paraId="755F1BDC">
      <w:pPr>
        <w:adjustRightInd w:val="0"/>
        <w:snapToGrid w:val="0"/>
        <w:spacing w:line="360" w:lineRule="auto"/>
        <w:ind w:firstLine="420" w:firstLineChars="200"/>
        <w:rPr>
          <w:rFonts w:ascii="宋体" w:hAnsi="宋体"/>
          <w:color w:val="auto"/>
          <w:highlight w:val="none"/>
        </w:rPr>
      </w:pPr>
      <w:r>
        <w:rPr>
          <w:rFonts w:hint="eastAsia" w:ascii="宋体" w:hAnsi="宋体"/>
          <w:color w:val="auto"/>
          <w:highlight w:val="none"/>
        </w:rPr>
        <w:t>5.4采购人、采购代理机构不对投标人据此而做出的推论、理解和结论负责。投标人一旦中标，不得以任何借口，提出额外补偿，或延长合同期限的要求。</w:t>
      </w:r>
    </w:p>
    <w:p w14:paraId="34FBA2D6">
      <w:pPr>
        <w:pStyle w:val="4"/>
        <w:adjustRightInd w:val="0"/>
        <w:snapToGrid w:val="0"/>
        <w:spacing w:before="120" w:beforeLines="50" w:after="0" w:line="360" w:lineRule="auto"/>
        <w:jc w:val="center"/>
        <w:rPr>
          <w:rFonts w:ascii="黑体" w:hAnsi="黑体" w:eastAsia="黑体"/>
          <w:color w:val="auto"/>
          <w:sz w:val="28"/>
          <w:szCs w:val="28"/>
          <w:highlight w:val="none"/>
        </w:rPr>
      </w:pPr>
      <w:bookmarkStart w:id="144" w:name="_Toc117192451"/>
      <w:bookmarkStart w:id="145" w:name="_Toc15888488"/>
      <w:bookmarkStart w:id="146" w:name="_Toc10729"/>
      <w:bookmarkStart w:id="147" w:name="_Toc77199402"/>
      <w:bookmarkStart w:id="148" w:name="_Toc13690"/>
      <w:bookmarkStart w:id="149" w:name="_Toc108341940"/>
      <w:bookmarkStart w:id="150" w:name="_Toc10256"/>
      <w:bookmarkStart w:id="151" w:name="_Toc9839"/>
      <w:bookmarkStart w:id="152" w:name="_Toc26819"/>
      <w:bookmarkStart w:id="153" w:name="_Toc114036715"/>
      <w:bookmarkStart w:id="154" w:name="_Toc78314265"/>
      <w:bookmarkStart w:id="155" w:name="_Toc94367883"/>
      <w:bookmarkStart w:id="156" w:name="_Toc112704936"/>
      <w:bookmarkStart w:id="157" w:name="_Toc192949606"/>
      <w:bookmarkStart w:id="158" w:name="_Toc171273674"/>
      <w:bookmarkStart w:id="159" w:name="_Toc14045"/>
      <w:bookmarkStart w:id="160" w:name="_Toc85972933"/>
      <w:bookmarkStart w:id="161" w:name="_Toc75289229"/>
      <w:bookmarkStart w:id="162" w:name="_Toc78449958"/>
      <w:bookmarkStart w:id="163" w:name="_Toc192951216"/>
      <w:bookmarkStart w:id="164" w:name="_Toc154428393"/>
      <w:bookmarkStart w:id="165" w:name="_Toc100670424"/>
      <w:bookmarkStart w:id="166" w:name="_Toc75289551"/>
      <w:bookmarkStart w:id="167" w:name="_Toc10139"/>
      <w:bookmarkStart w:id="168" w:name="_Toc100670671"/>
      <w:bookmarkStart w:id="169" w:name="_Toc854"/>
      <w:bookmarkStart w:id="170" w:name="_Toc192949705"/>
      <w:bookmarkStart w:id="171" w:name="_Toc77676469"/>
      <w:bookmarkStart w:id="172" w:name="_Toc30251"/>
      <w:bookmarkStart w:id="173" w:name="_Toc95601368"/>
      <w:r>
        <w:rPr>
          <w:rFonts w:hint="eastAsia" w:ascii="黑体" w:hAnsi="黑体" w:eastAsia="黑体"/>
          <w:color w:val="auto"/>
          <w:sz w:val="28"/>
          <w:szCs w:val="28"/>
          <w:highlight w:val="none"/>
        </w:rPr>
        <w:t>二、招标文件</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33C43928">
      <w:pPr>
        <w:adjustRightInd w:val="0"/>
        <w:snapToGrid w:val="0"/>
        <w:spacing w:line="360" w:lineRule="auto"/>
        <w:rPr>
          <w:rFonts w:ascii="宋体" w:hAnsi="宋体"/>
          <w:b/>
          <w:bCs/>
          <w:color w:val="auto"/>
          <w:sz w:val="24"/>
          <w:highlight w:val="none"/>
        </w:rPr>
      </w:pPr>
      <w:r>
        <w:rPr>
          <w:rFonts w:hint="eastAsia" w:ascii="宋体" w:hAnsi="宋体"/>
          <w:b/>
          <w:bCs/>
          <w:color w:val="auto"/>
          <w:sz w:val="24"/>
          <w:highlight w:val="none"/>
        </w:rPr>
        <w:t>6. 招标文件的构成</w:t>
      </w:r>
    </w:p>
    <w:p w14:paraId="26D4C824">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6.1 招标文件共七章，各章内容如下：</w:t>
      </w:r>
    </w:p>
    <w:p w14:paraId="2E178D78">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第一章 投标邀请</w:t>
      </w:r>
    </w:p>
    <w:p w14:paraId="13E6108B">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第二章 投标须知</w:t>
      </w:r>
    </w:p>
    <w:p w14:paraId="4D204314">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第三章 资格审查</w:t>
      </w:r>
    </w:p>
    <w:p w14:paraId="1B04A804">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第四章 评标方法及标准</w:t>
      </w:r>
    </w:p>
    <w:p w14:paraId="0DB51C2D">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第五章 采购需求</w:t>
      </w:r>
    </w:p>
    <w:p w14:paraId="69117095">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第六章 政府采购合同</w:t>
      </w:r>
    </w:p>
    <w:p w14:paraId="3ABE51A8">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第七章 投标文件的组成</w:t>
      </w:r>
    </w:p>
    <w:p w14:paraId="20245CBC">
      <w:pPr>
        <w:adjustRightInd w:val="0"/>
        <w:snapToGrid w:val="0"/>
        <w:spacing w:line="360" w:lineRule="auto"/>
        <w:ind w:firstLine="420" w:firstLineChars="200"/>
        <w:rPr>
          <w:rFonts w:ascii="宋体" w:hAnsi="宋体" w:cs="宋体"/>
          <w:b/>
          <w:color w:val="auto"/>
          <w:szCs w:val="21"/>
          <w:highlight w:val="none"/>
        </w:rPr>
      </w:pPr>
      <w:r>
        <w:rPr>
          <w:rFonts w:hint="eastAsia" w:ascii="宋体" w:hAnsi="宋体"/>
          <w:color w:val="auto"/>
          <w:szCs w:val="21"/>
          <w:highlight w:val="none"/>
        </w:rPr>
        <w:t>6.2采购人、采购代理机构在提交投标文件截止时间前</w:t>
      </w:r>
      <w:r>
        <w:rPr>
          <w:rFonts w:hint="eastAsia" w:ascii="宋体" w:hAnsi="宋体" w:cs="宋体"/>
          <w:color w:val="auto"/>
          <w:szCs w:val="21"/>
          <w:highlight w:val="none"/>
        </w:rPr>
        <w:t>对招标文件所作的澄清或者修改，构成招标文件的组成部分。</w:t>
      </w:r>
    </w:p>
    <w:p w14:paraId="674757D6">
      <w:pPr>
        <w:adjustRightInd w:val="0"/>
        <w:snapToGrid w:val="0"/>
        <w:spacing w:line="360" w:lineRule="auto"/>
        <w:rPr>
          <w:rFonts w:ascii="宋体" w:hAnsi="宋体"/>
          <w:b/>
          <w:color w:val="auto"/>
          <w:sz w:val="24"/>
          <w:highlight w:val="none"/>
        </w:rPr>
      </w:pPr>
      <w:r>
        <w:rPr>
          <w:rFonts w:hint="eastAsia" w:ascii="宋体" w:hAnsi="宋体"/>
          <w:b/>
          <w:color w:val="auto"/>
          <w:sz w:val="24"/>
          <w:highlight w:val="none"/>
        </w:rPr>
        <w:t>7．偏离与实质性响应</w:t>
      </w:r>
    </w:p>
    <w:p w14:paraId="163E45CA">
      <w:pPr>
        <w:adjustRightInd w:val="0"/>
        <w:snapToGrid w:val="0"/>
        <w:spacing w:line="360" w:lineRule="auto"/>
        <w:ind w:firstLine="420" w:firstLineChars="200"/>
        <w:rPr>
          <w:rFonts w:ascii="宋体" w:hAnsi="宋体"/>
          <w:color w:val="auto"/>
          <w:highlight w:val="none"/>
        </w:rPr>
      </w:pPr>
      <w:r>
        <w:rPr>
          <w:rFonts w:hint="eastAsia" w:ascii="宋体" w:hAnsi="宋体"/>
          <w:color w:val="auto"/>
          <w:highlight w:val="none"/>
        </w:rPr>
        <w:t>7.1投标人应当按照招标文件的要求编制投标文件。投标文件应当对招标文件提出的要求和条件作出明确响应。</w:t>
      </w:r>
    </w:p>
    <w:p w14:paraId="1142066F">
      <w:pPr>
        <w:adjustRightInd w:val="0"/>
        <w:snapToGrid w:val="0"/>
        <w:spacing w:line="360" w:lineRule="auto"/>
        <w:ind w:firstLine="420" w:firstLineChars="200"/>
        <w:rPr>
          <w:rFonts w:ascii="宋体" w:hAnsi="宋体"/>
          <w:color w:val="auto"/>
          <w:highlight w:val="none"/>
        </w:rPr>
      </w:pPr>
      <w:r>
        <w:rPr>
          <w:rFonts w:hint="eastAsia" w:ascii="宋体" w:hAnsi="宋体"/>
          <w:color w:val="auto"/>
          <w:highlight w:val="none"/>
        </w:rPr>
        <w:t>7.2偏离是指投标文件不响应或者不满足招标文件提出的要求和条件，分为实质性偏离和非实质性偏离。</w:t>
      </w:r>
    </w:p>
    <w:p w14:paraId="47E9DC37">
      <w:pPr>
        <w:adjustRightInd w:val="0"/>
        <w:snapToGrid w:val="0"/>
        <w:spacing w:line="360" w:lineRule="auto"/>
        <w:ind w:firstLine="420" w:firstLineChars="200"/>
        <w:rPr>
          <w:rFonts w:ascii="宋体" w:hAnsi="宋体"/>
          <w:color w:val="auto"/>
          <w:highlight w:val="none"/>
        </w:rPr>
      </w:pPr>
      <w:r>
        <w:rPr>
          <w:rFonts w:hint="eastAsia" w:ascii="宋体" w:hAnsi="宋体"/>
          <w:color w:val="auto"/>
          <w:highlight w:val="none"/>
        </w:rPr>
        <w:t>7.3除法律、法规和招标文件规定的其他投标无效情形外，招标文件中用“★”符号标明的条款为实质性要求和条件，对其中任何一条的偏离，为实质性偏离，其</w:t>
      </w:r>
      <w:r>
        <w:rPr>
          <w:rFonts w:hint="eastAsia" w:ascii="宋体" w:hAnsi="宋体"/>
          <w:b/>
          <w:color w:val="auto"/>
          <w:highlight w:val="none"/>
        </w:rPr>
        <w:t>投标无效</w:t>
      </w:r>
      <w:r>
        <w:rPr>
          <w:rFonts w:hint="eastAsia" w:ascii="宋体" w:hAnsi="宋体"/>
          <w:color w:val="auto"/>
          <w:highlight w:val="none"/>
        </w:rPr>
        <w:t>。</w:t>
      </w:r>
    </w:p>
    <w:p w14:paraId="39CC4995">
      <w:pPr>
        <w:adjustRightInd w:val="0"/>
        <w:snapToGrid w:val="0"/>
        <w:spacing w:line="360" w:lineRule="auto"/>
        <w:ind w:firstLine="420" w:firstLineChars="200"/>
        <w:rPr>
          <w:rFonts w:ascii="宋体" w:hAnsi="宋体"/>
          <w:color w:val="auto"/>
          <w:highlight w:val="none"/>
        </w:rPr>
      </w:pPr>
      <w:r>
        <w:rPr>
          <w:rFonts w:hint="eastAsia" w:ascii="宋体" w:hAnsi="宋体"/>
          <w:color w:val="auto"/>
          <w:highlight w:val="none"/>
        </w:rPr>
        <w:t>7.4投标</w:t>
      </w:r>
      <w:r>
        <w:rPr>
          <w:rFonts w:hint="eastAsia" w:ascii="宋体" w:hAnsi="宋体"/>
          <w:color w:val="auto"/>
          <w:szCs w:val="21"/>
          <w:highlight w:val="none"/>
        </w:rPr>
        <w:t>文件偏离招标文件的非实质性要求和条件，为非实质性偏离。非实质性偏离的范围和幅度应当符合</w:t>
      </w:r>
      <w:r>
        <w:rPr>
          <w:rFonts w:hint="eastAsia" w:ascii="宋体" w:hAnsi="宋体"/>
          <w:b/>
          <w:color w:val="auto"/>
          <w:szCs w:val="21"/>
          <w:highlight w:val="none"/>
        </w:rPr>
        <w:t>【投标须知前附表】</w:t>
      </w:r>
      <w:r>
        <w:rPr>
          <w:rFonts w:hint="eastAsia" w:ascii="宋体" w:hAnsi="宋体"/>
          <w:color w:val="auto"/>
          <w:szCs w:val="21"/>
          <w:highlight w:val="none"/>
        </w:rPr>
        <w:t>的规定，</w:t>
      </w:r>
      <w:r>
        <w:rPr>
          <w:rFonts w:hint="eastAsia" w:ascii="宋体" w:hAnsi="宋体"/>
          <w:b/>
          <w:color w:val="auto"/>
          <w:szCs w:val="21"/>
          <w:highlight w:val="none"/>
        </w:rPr>
        <w:t>否则</w:t>
      </w:r>
      <w:r>
        <w:rPr>
          <w:rFonts w:hint="eastAsia" w:ascii="宋体" w:hAnsi="宋体"/>
          <w:b/>
          <w:color w:val="auto"/>
          <w:highlight w:val="none"/>
        </w:rPr>
        <w:t>投标无效</w:t>
      </w:r>
      <w:r>
        <w:rPr>
          <w:rFonts w:hint="eastAsia" w:ascii="宋体" w:hAnsi="宋体"/>
          <w:color w:val="auto"/>
          <w:highlight w:val="none"/>
        </w:rPr>
        <w:t>。</w:t>
      </w:r>
    </w:p>
    <w:p w14:paraId="241B1D81">
      <w:pPr>
        <w:adjustRightInd w:val="0"/>
        <w:snapToGrid w:val="0"/>
        <w:spacing w:line="360" w:lineRule="auto"/>
        <w:rPr>
          <w:rFonts w:ascii="宋体" w:hAnsi="宋体"/>
          <w:b/>
          <w:bCs/>
          <w:color w:val="auto"/>
          <w:sz w:val="24"/>
          <w:highlight w:val="none"/>
        </w:rPr>
      </w:pPr>
      <w:r>
        <w:rPr>
          <w:rFonts w:hint="eastAsia" w:ascii="宋体" w:hAnsi="宋体"/>
          <w:b/>
          <w:color w:val="auto"/>
          <w:sz w:val="24"/>
          <w:highlight w:val="none"/>
        </w:rPr>
        <w:t>8. 询问</w:t>
      </w:r>
    </w:p>
    <w:p w14:paraId="6E939CB1">
      <w:pPr>
        <w:adjustRightInd w:val="0"/>
        <w:snapToGrid w:val="0"/>
        <w:spacing w:line="360" w:lineRule="auto"/>
        <w:ind w:firstLine="420" w:firstLineChars="200"/>
        <w:rPr>
          <w:rFonts w:ascii="宋体" w:hAnsi="宋体"/>
          <w:color w:val="auto"/>
          <w:highlight w:val="none"/>
        </w:rPr>
      </w:pPr>
      <w:r>
        <w:rPr>
          <w:rFonts w:hint="eastAsia" w:ascii="宋体" w:hAnsi="宋体"/>
          <w:color w:val="auto"/>
          <w:highlight w:val="none"/>
        </w:rPr>
        <w:t>8.1潜在投标人应仔细阅读和检查招标文件的全部内容。如有疑问，可以向采购人或者采购代理机构提出询问。</w:t>
      </w:r>
    </w:p>
    <w:p w14:paraId="08702BC7">
      <w:pPr>
        <w:adjustRightInd w:val="0"/>
        <w:snapToGrid w:val="0"/>
        <w:spacing w:line="360" w:lineRule="auto"/>
        <w:rPr>
          <w:rFonts w:ascii="宋体" w:hAnsi="宋体"/>
          <w:b/>
          <w:bCs/>
          <w:color w:val="auto"/>
          <w:sz w:val="24"/>
          <w:highlight w:val="none"/>
        </w:rPr>
      </w:pPr>
      <w:r>
        <w:rPr>
          <w:rFonts w:hint="eastAsia" w:ascii="宋体" w:hAnsi="宋体"/>
          <w:b/>
          <w:bCs/>
          <w:color w:val="auto"/>
          <w:sz w:val="24"/>
          <w:highlight w:val="none"/>
        </w:rPr>
        <w:t>9. 招标文件的澄清或者修改</w:t>
      </w:r>
    </w:p>
    <w:p w14:paraId="4621C65E">
      <w:pPr>
        <w:adjustRightInd w:val="0"/>
        <w:snapToGrid w:val="0"/>
        <w:spacing w:line="360" w:lineRule="auto"/>
        <w:ind w:firstLine="420" w:firstLineChars="200"/>
        <w:rPr>
          <w:rFonts w:ascii="宋体" w:hAnsi="宋体"/>
          <w:color w:val="auto"/>
          <w:highlight w:val="none"/>
        </w:rPr>
      </w:pPr>
      <w:r>
        <w:rPr>
          <w:rFonts w:hint="eastAsia" w:ascii="宋体" w:hAnsi="宋体"/>
          <w:color w:val="auto"/>
          <w:highlight w:val="none"/>
        </w:rPr>
        <w:t>9.1采购人、采购代理机构对已发出的招标文件进行必要澄清或者修改的，将在</w:t>
      </w:r>
      <w:r>
        <w:rPr>
          <w:rFonts w:hint="eastAsia" w:ascii="宋体" w:hAnsi="宋体"/>
          <w:b/>
          <w:color w:val="auto"/>
          <w:szCs w:val="21"/>
          <w:highlight w:val="none"/>
        </w:rPr>
        <w:t>【投标须知前附表】</w:t>
      </w:r>
      <w:r>
        <w:rPr>
          <w:rFonts w:hint="eastAsia" w:ascii="宋体" w:hAnsi="宋体"/>
          <w:color w:val="auto"/>
          <w:szCs w:val="21"/>
          <w:highlight w:val="none"/>
        </w:rPr>
        <w:t>规定的</w:t>
      </w:r>
      <w:r>
        <w:rPr>
          <w:rFonts w:hint="eastAsia" w:ascii="宋体" w:hAnsi="宋体"/>
          <w:color w:val="auto"/>
          <w:highlight w:val="none"/>
        </w:rPr>
        <w:t>招标公告指定媒体上发布澄清或者修改公告。</w:t>
      </w:r>
    </w:p>
    <w:p w14:paraId="1FFC4777">
      <w:pPr>
        <w:adjustRightInd w:val="0"/>
        <w:snapToGrid w:val="0"/>
        <w:spacing w:line="360" w:lineRule="auto"/>
        <w:ind w:firstLine="420" w:firstLineChars="200"/>
        <w:rPr>
          <w:rFonts w:ascii="宋体" w:hAnsi="宋体"/>
          <w:color w:val="auto"/>
          <w:highlight w:val="none"/>
        </w:rPr>
      </w:pPr>
      <w:r>
        <w:rPr>
          <w:rFonts w:hint="eastAsia" w:ascii="宋体" w:hAnsi="宋体" w:cs="宋体"/>
          <w:color w:val="auto"/>
          <w:kern w:val="0"/>
          <w:szCs w:val="21"/>
          <w:highlight w:val="none"/>
        </w:rPr>
        <w:t>9.2澄清或者修改</w:t>
      </w:r>
      <w:r>
        <w:rPr>
          <w:rFonts w:hint="eastAsia" w:ascii="宋体" w:hAnsi="宋体"/>
          <w:color w:val="auto"/>
          <w:highlight w:val="none"/>
        </w:rPr>
        <w:t>的</w:t>
      </w:r>
      <w:r>
        <w:rPr>
          <w:rFonts w:hint="eastAsia" w:ascii="宋体" w:hAnsi="宋体" w:cs="宋体"/>
          <w:color w:val="auto"/>
          <w:kern w:val="0"/>
          <w:szCs w:val="21"/>
          <w:highlight w:val="none"/>
        </w:rPr>
        <w:t>内容可能影响投标文件编制的，采购人、采购代理机构</w:t>
      </w:r>
      <w:r>
        <w:rPr>
          <w:rFonts w:hint="eastAsia" w:ascii="宋体" w:hAnsi="宋体"/>
          <w:color w:val="auto"/>
          <w:highlight w:val="none"/>
        </w:rPr>
        <w:t>将</w:t>
      </w:r>
      <w:r>
        <w:rPr>
          <w:rFonts w:hint="eastAsia" w:ascii="宋体" w:hAnsi="宋体" w:cs="宋体"/>
          <w:color w:val="auto"/>
          <w:kern w:val="0"/>
          <w:szCs w:val="21"/>
          <w:highlight w:val="none"/>
        </w:rPr>
        <w:t>在提交投标文件截止时间15日前，</w:t>
      </w:r>
      <w:r>
        <w:rPr>
          <w:rFonts w:hint="eastAsia" w:ascii="宋体" w:hAnsi="宋体"/>
          <w:color w:val="auto"/>
          <w:highlight w:val="none"/>
        </w:rPr>
        <w:t>在指定媒体上发布公告通知潜在投标人；不足15日的，将相应延长提交投标文件的截止时间。</w:t>
      </w:r>
    </w:p>
    <w:p w14:paraId="7F3D7A4E">
      <w:pPr>
        <w:adjustRightInd w:val="0"/>
        <w:snapToGrid w:val="0"/>
        <w:spacing w:line="360" w:lineRule="auto"/>
        <w:ind w:firstLine="420" w:firstLineChars="200"/>
        <w:rPr>
          <w:rFonts w:ascii="宋体" w:hAnsi="宋体"/>
          <w:color w:val="auto"/>
          <w:highlight w:val="none"/>
        </w:rPr>
      </w:pPr>
      <w:r>
        <w:rPr>
          <w:rFonts w:ascii="宋体" w:hAnsi="宋体"/>
          <w:color w:val="auto"/>
          <w:highlight w:val="none"/>
        </w:rPr>
        <w:t>9.3</w:t>
      </w:r>
      <w:r>
        <w:rPr>
          <w:rFonts w:hint="eastAsia" w:ascii="宋体" w:hAnsi="宋体"/>
          <w:color w:val="auto"/>
          <w:highlight w:val="none"/>
        </w:rPr>
        <w:t>招标文件的提供期限届满后，获取招标文件的潜在投标人不足3家的，可以顺延提供期限，并在</w:t>
      </w:r>
      <w:r>
        <w:rPr>
          <w:rFonts w:hint="eastAsia" w:ascii="宋体" w:hAnsi="宋体"/>
          <w:bCs/>
          <w:color w:val="auto"/>
          <w:szCs w:val="21"/>
          <w:highlight w:val="none"/>
        </w:rPr>
        <w:t>指定</w:t>
      </w:r>
      <w:r>
        <w:rPr>
          <w:rFonts w:hint="eastAsia" w:ascii="宋体" w:hAnsi="宋体"/>
          <w:color w:val="auto"/>
          <w:highlight w:val="none"/>
        </w:rPr>
        <w:t>媒体上发布修改公告。</w:t>
      </w:r>
    </w:p>
    <w:p w14:paraId="57A23165">
      <w:pPr>
        <w:adjustRightInd w:val="0"/>
        <w:snapToGrid w:val="0"/>
        <w:spacing w:line="360" w:lineRule="auto"/>
        <w:ind w:firstLine="420" w:firstLineChars="200"/>
        <w:rPr>
          <w:rFonts w:ascii="宋体" w:hAnsi="宋体"/>
          <w:color w:val="auto"/>
          <w:highlight w:val="none"/>
        </w:rPr>
      </w:pPr>
      <w:r>
        <w:rPr>
          <w:rFonts w:hint="eastAsia" w:ascii="宋体" w:hAnsi="宋体"/>
          <w:color w:val="auto"/>
          <w:highlight w:val="none"/>
        </w:rPr>
        <w:t>9.4 通过电子招标投标交易平台下载招标文件的，请获取招标文件的潜在投标人及时关注</w:t>
      </w:r>
      <w:r>
        <w:rPr>
          <w:rFonts w:hint="eastAsia" w:ascii="宋体" w:hAnsi="宋体"/>
          <w:color w:val="auto"/>
          <w:szCs w:val="21"/>
          <w:highlight w:val="none"/>
        </w:rPr>
        <w:t>招标公告指定媒体</w:t>
      </w:r>
      <w:r>
        <w:rPr>
          <w:rFonts w:hint="eastAsia" w:ascii="宋体" w:hAnsi="宋体"/>
          <w:color w:val="auto"/>
          <w:highlight w:val="none"/>
        </w:rPr>
        <w:t>发布的澄清或者修改公告，采购人、采购代理机构不再书面通知。</w:t>
      </w:r>
    </w:p>
    <w:p w14:paraId="19A0CD8F">
      <w:pPr>
        <w:pStyle w:val="4"/>
        <w:adjustRightInd w:val="0"/>
        <w:snapToGrid w:val="0"/>
        <w:spacing w:before="120" w:beforeLines="50" w:after="0" w:line="360" w:lineRule="auto"/>
        <w:jc w:val="center"/>
        <w:rPr>
          <w:rFonts w:ascii="黑体" w:hAnsi="黑体" w:eastAsia="黑体"/>
          <w:color w:val="auto"/>
          <w:sz w:val="28"/>
          <w:szCs w:val="28"/>
          <w:highlight w:val="none"/>
        </w:rPr>
      </w:pPr>
      <w:bookmarkStart w:id="174" w:name="_Toc108341941"/>
      <w:bookmarkStart w:id="175" w:name="_Toc19779"/>
      <w:bookmarkStart w:id="176" w:name="_Toc15888489"/>
      <w:bookmarkStart w:id="177" w:name="_Toc94367884"/>
      <w:bookmarkStart w:id="178" w:name="_Toc31700"/>
      <w:bookmarkStart w:id="179" w:name="_Toc95601369"/>
      <w:bookmarkStart w:id="180" w:name="_Toc6840"/>
      <w:bookmarkStart w:id="181" w:name="_Toc192951217"/>
      <w:bookmarkStart w:id="182" w:name="_Toc114036716"/>
      <w:bookmarkStart w:id="183" w:name="_Toc100670425"/>
      <w:bookmarkStart w:id="184" w:name="_Toc75289552"/>
      <w:bookmarkStart w:id="185" w:name="_Toc78449959"/>
      <w:bookmarkStart w:id="186" w:name="_Toc192949706"/>
      <w:bookmarkStart w:id="187" w:name="_Toc112704937"/>
      <w:bookmarkStart w:id="188" w:name="_Toc77676470"/>
      <w:bookmarkStart w:id="189" w:name="_Toc24992"/>
      <w:bookmarkStart w:id="190" w:name="_Toc100670672"/>
      <w:bookmarkStart w:id="191" w:name="_Toc4418"/>
      <w:bookmarkStart w:id="192" w:name="_Toc85972934"/>
      <w:bookmarkStart w:id="193" w:name="_Toc31461"/>
      <w:bookmarkStart w:id="194" w:name="_Toc9872"/>
      <w:bookmarkStart w:id="195" w:name="_Toc18745"/>
      <w:bookmarkStart w:id="196" w:name="_Toc6128"/>
      <w:bookmarkStart w:id="197" w:name="_Toc78314266"/>
      <w:bookmarkStart w:id="198" w:name="_Toc75289230"/>
      <w:bookmarkStart w:id="199" w:name="_Toc192949607"/>
      <w:bookmarkStart w:id="200" w:name="_Toc171273675"/>
      <w:bookmarkStart w:id="201" w:name="_Toc77199403"/>
      <w:bookmarkStart w:id="202" w:name="_Toc117192452"/>
      <w:bookmarkStart w:id="203" w:name="_Toc154428394"/>
      <w:r>
        <w:rPr>
          <w:rFonts w:hint="eastAsia" w:ascii="黑体" w:hAnsi="黑体" w:eastAsia="黑体"/>
          <w:color w:val="auto"/>
          <w:sz w:val="28"/>
          <w:szCs w:val="28"/>
          <w:highlight w:val="none"/>
        </w:rPr>
        <w:t>三、投标文件</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256FC7E6">
      <w:pPr>
        <w:adjustRightInd w:val="0"/>
        <w:snapToGrid w:val="0"/>
        <w:spacing w:line="360" w:lineRule="auto"/>
        <w:rPr>
          <w:rFonts w:ascii="宋体" w:hAnsi="宋体"/>
          <w:b/>
          <w:bCs/>
          <w:color w:val="auto"/>
          <w:sz w:val="24"/>
          <w:highlight w:val="none"/>
        </w:rPr>
      </w:pPr>
      <w:r>
        <w:rPr>
          <w:rFonts w:hint="eastAsia" w:ascii="宋体" w:hAnsi="宋体"/>
          <w:b/>
          <w:bCs/>
          <w:color w:val="auto"/>
          <w:sz w:val="24"/>
          <w:highlight w:val="none"/>
        </w:rPr>
        <w:t>10. 投标语言</w:t>
      </w:r>
    </w:p>
    <w:p w14:paraId="4585A5AA">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10.1除专用术语外，投标人提交的投标文件及投标人与采购人、采购代理机构就有关投标的所有来往函电均使用中文。投标人可以提交其它语言的资料，但应附有中文注释，有差异时以中文为准。</w:t>
      </w:r>
    </w:p>
    <w:p w14:paraId="2A9EE892">
      <w:pPr>
        <w:adjustRightInd w:val="0"/>
        <w:snapToGrid w:val="0"/>
        <w:spacing w:line="360" w:lineRule="auto"/>
        <w:rPr>
          <w:rFonts w:ascii="宋体" w:hAnsi="宋体"/>
          <w:b/>
          <w:color w:val="auto"/>
          <w:sz w:val="24"/>
          <w:highlight w:val="none"/>
        </w:rPr>
      </w:pPr>
      <w:r>
        <w:rPr>
          <w:rFonts w:hint="eastAsia" w:ascii="宋体" w:hAnsi="宋体"/>
          <w:b/>
          <w:bCs/>
          <w:color w:val="auto"/>
          <w:sz w:val="24"/>
          <w:highlight w:val="none"/>
        </w:rPr>
        <w:t xml:space="preserve">11. </w:t>
      </w:r>
      <w:r>
        <w:rPr>
          <w:rFonts w:hint="eastAsia" w:ascii="宋体" w:hAnsi="宋体"/>
          <w:b/>
          <w:color w:val="auto"/>
          <w:sz w:val="24"/>
          <w:highlight w:val="none"/>
        </w:rPr>
        <w:t>计量单位</w:t>
      </w:r>
    </w:p>
    <w:p w14:paraId="04091A00">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11.1所有计量均采用中华人民共和国法定计量单位。</w:t>
      </w:r>
    </w:p>
    <w:p w14:paraId="4854C4E0">
      <w:pPr>
        <w:adjustRightInd w:val="0"/>
        <w:snapToGrid w:val="0"/>
        <w:spacing w:line="360" w:lineRule="auto"/>
        <w:rPr>
          <w:rFonts w:ascii="宋体" w:hAnsi="宋体"/>
          <w:b/>
          <w:bCs/>
          <w:color w:val="auto"/>
          <w:sz w:val="24"/>
          <w:highlight w:val="none"/>
        </w:rPr>
      </w:pPr>
      <w:r>
        <w:rPr>
          <w:rFonts w:hint="eastAsia" w:ascii="宋体" w:hAnsi="宋体"/>
          <w:b/>
          <w:color w:val="auto"/>
          <w:sz w:val="24"/>
          <w:highlight w:val="none"/>
        </w:rPr>
        <w:t xml:space="preserve">12. </w:t>
      </w:r>
      <w:r>
        <w:rPr>
          <w:rFonts w:hint="eastAsia" w:ascii="宋体" w:hAnsi="宋体"/>
          <w:b/>
          <w:bCs/>
          <w:color w:val="auto"/>
          <w:sz w:val="24"/>
          <w:highlight w:val="none"/>
        </w:rPr>
        <w:t>投标文件的组成</w:t>
      </w:r>
    </w:p>
    <w:p w14:paraId="27B85B22">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12.1投标文件由如下内容组成：</w:t>
      </w:r>
    </w:p>
    <w:p w14:paraId="76DAA4F2">
      <w:pPr>
        <w:adjustRightInd w:val="0"/>
        <w:snapToGrid w:val="0"/>
        <w:spacing w:line="360" w:lineRule="auto"/>
        <w:ind w:firstLine="422" w:firstLineChars="200"/>
        <w:rPr>
          <w:rFonts w:ascii="宋体" w:hAnsi="宋体"/>
          <w:b/>
          <w:color w:val="auto"/>
          <w:szCs w:val="21"/>
          <w:highlight w:val="none"/>
        </w:rPr>
      </w:pPr>
      <w:r>
        <w:rPr>
          <w:rFonts w:hint="eastAsia" w:ascii="宋体" w:hAnsi="宋体"/>
          <w:b/>
          <w:color w:val="auto"/>
          <w:szCs w:val="21"/>
          <w:highlight w:val="none"/>
        </w:rPr>
        <w:t>第一部分 资格证明文件</w:t>
      </w:r>
    </w:p>
    <w:p w14:paraId="2E4D4F3C">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（1）开标一览表</w:t>
      </w:r>
    </w:p>
    <w:p w14:paraId="27BE040D">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（2）投标保证金</w:t>
      </w:r>
    </w:p>
    <w:p w14:paraId="07016E6E">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（3）授权委托书</w:t>
      </w:r>
    </w:p>
    <w:p w14:paraId="23D76FB3">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（4）投标人提供的资格证明文件</w:t>
      </w:r>
    </w:p>
    <w:p w14:paraId="42D3F3DC">
      <w:pPr>
        <w:adjustRightInd w:val="0"/>
        <w:snapToGrid w:val="0"/>
        <w:spacing w:line="360" w:lineRule="auto"/>
        <w:ind w:firstLine="422" w:firstLineChars="200"/>
        <w:rPr>
          <w:rFonts w:ascii="宋体" w:hAnsi="宋体"/>
          <w:b/>
          <w:color w:val="auto"/>
          <w:szCs w:val="21"/>
          <w:highlight w:val="none"/>
        </w:rPr>
      </w:pPr>
      <w:r>
        <w:rPr>
          <w:rFonts w:hint="eastAsia" w:ascii="宋体" w:hAnsi="宋体"/>
          <w:b/>
          <w:color w:val="auto"/>
          <w:szCs w:val="21"/>
          <w:highlight w:val="none"/>
        </w:rPr>
        <w:t>第二部分 商务和技术文件</w:t>
      </w:r>
    </w:p>
    <w:p w14:paraId="79D87577">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（5）投标函</w:t>
      </w:r>
    </w:p>
    <w:p w14:paraId="7B383E76">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（6）分项报价</w:t>
      </w:r>
    </w:p>
    <w:p w14:paraId="47BDAD11">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（7）采购需求响应</w:t>
      </w:r>
    </w:p>
    <w:p w14:paraId="5446734C">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（8）合同条款偏离表</w:t>
      </w:r>
    </w:p>
    <w:p w14:paraId="1254E3D4">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（9）采购需求偏离表</w:t>
      </w:r>
    </w:p>
    <w:p w14:paraId="6C07D39A">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（10）享受政府采购政策优惠的证明资料</w:t>
      </w:r>
    </w:p>
    <w:p w14:paraId="79A88F94">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（11）投标货物符合招标文件规定的证明文件</w:t>
      </w:r>
    </w:p>
    <w:p w14:paraId="25A04AD2">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（12）投标人认为需提供的其他资料</w:t>
      </w:r>
    </w:p>
    <w:p w14:paraId="70C18899">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12.2投标人可以编制资格审查索引表、符合性审查索引表、评审索引表，以方便采购人、采购代理机构、评标委员会在资格审查及评审时查阅。</w:t>
      </w:r>
    </w:p>
    <w:p w14:paraId="31B208E1">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12.3根据《政府采购法》第四十二条的规定，投标人无论中标与否，其投标文件不予退还。</w:t>
      </w:r>
    </w:p>
    <w:p w14:paraId="132CA2EB">
      <w:pPr>
        <w:adjustRightInd w:val="0"/>
        <w:snapToGrid w:val="0"/>
        <w:spacing w:line="360" w:lineRule="auto"/>
        <w:rPr>
          <w:rFonts w:ascii="宋体" w:hAnsi="宋体"/>
          <w:b/>
          <w:bCs/>
          <w:color w:val="auto"/>
          <w:sz w:val="24"/>
          <w:highlight w:val="none"/>
        </w:rPr>
      </w:pPr>
      <w:r>
        <w:rPr>
          <w:rFonts w:hint="eastAsia" w:ascii="宋体" w:hAnsi="宋体"/>
          <w:b/>
          <w:bCs/>
          <w:color w:val="auto"/>
          <w:sz w:val="24"/>
          <w:highlight w:val="none"/>
        </w:rPr>
        <w:t>13. 投标报价</w:t>
      </w:r>
    </w:p>
    <w:p w14:paraId="00BD8F5F">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13.1投标人应以招标文件规定的供货及服务要求、责任范围和合同条件为基础，按第七章“投标文件的组成”的有关规定进行报价。投标人的报价应包括为完成本项目所要求的全部内容可能发生的全部费用和税费、规费、保险费（如果有）等，采购人将不再支付报价以外的任何费用。</w:t>
      </w:r>
    </w:p>
    <w:p w14:paraId="7F2483D5">
      <w:pPr>
        <w:adjustRightInd w:val="0"/>
        <w:snapToGrid w:val="0"/>
        <w:spacing w:line="360" w:lineRule="auto"/>
        <w:ind w:firstLine="420" w:firstLineChars="200"/>
        <w:rPr>
          <w:rFonts w:ascii="宋体" w:hAnsi="宋体"/>
          <w:color w:val="auto"/>
          <w:szCs w:val="21"/>
          <w:highlight w:val="none"/>
        </w:rPr>
      </w:pPr>
      <w:r>
        <w:rPr>
          <w:rFonts w:ascii="宋体" w:hAnsi="宋体"/>
          <w:color w:val="auto"/>
          <w:szCs w:val="21"/>
          <w:highlight w:val="none"/>
        </w:rPr>
        <w:t>1</w:t>
      </w:r>
      <w:r>
        <w:rPr>
          <w:rFonts w:hint="eastAsia" w:ascii="宋体" w:hAnsi="宋体"/>
          <w:color w:val="auto"/>
          <w:szCs w:val="21"/>
          <w:highlight w:val="none"/>
        </w:rPr>
        <w:t>3</w:t>
      </w:r>
      <w:r>
        <w:rPr>
          <w:rFonts w:ascii="宋体" w:hAnsi="宋体"/>
          <w:color w:val="auto"/>
          <w:szCs w:val="21"/>
          <w:highlight w:val="none"/>
        </w:rPr>
        <w:t>.</w:t>
      </w:r>
      <w:r>
        <w:rPr>
          <w:rFonts w:hint="eastAsia" w:ascii="宋体" w:hAnsi="宋体"/>
          <w:color w:val="auto"/>
          <w:szCs w:val="21"/>
          <w:highlight w:val="none"/>
        </w:rPr>
        <w:t>2投标人的投标报价不得超过采购预算，也不得超过最高限价(如果设定)，否则其</w:t>
      </w:r>
      <w:r>
        <w:rPr>
          <w:rFonts w:hint="eastAsia" w:ascii="宋体" w:hAnsi="宋体"/>
          <w:b/>
          <w:color w:val="auto"/>
          <w:szCs w:val="21"/>
          <w:highlight w:val="none"/>
        </w:rPr>
        <w:t>投标无效</w:t>
      </w:r>
      <w:r>
        <w:rPr>
          <w:rFonts w:hint="eastAsia" w:ascii="宋体" w:hAnsi="宋体"/>
          <w:color w:val="auto"/>
          <w:szCs w:val="21"/>
          <w:highlight w:val="none"/>
        </w:rPr>
        <w:t>。采购项目预算、最高限价见</w:t>
      </w:r>
      <w:r>
        <w:rPr>
          <w:rFonts w:hint="eastAsia" w:ascii="宋体" w:hAnsi="宋体"/>
          <w:b/>
          <w:color w:val="auto"/>
          <w:szCs w:val="21"/>
          <w:highlight w:val="none"/>
        </w:rPr>
        <w:t>【投标须知前附表】</w:t>
      </w:r>
      <w:r>
        <w:rPr>
          <w:rFonts w:hint="eastAsia" w:ascii="宋体" w:hAnsi="宋体"/>
          <w:color w:val="auto"/>
          <w:szCs w:val="21"/>
          <w:highlight w:val="none"/>
        </w:rPr>
        <w:t>。</w:t>
      </w:r>
    </w:p>
    <w:p w14:paraId="32013369">
      <w:pPr>
        <w:adjustRightInd w:val="0"/>
        <w:snapToGrid w:val="0"/>
        <w:spacing w:line="360" w:lineRule="auto"/>
        <w:ind w:firstLine="420" w:firstLineChars="200"/>
        <w:rPr>
          <w:rFonts w:ascii="宋体" w:hAnsi="宋体"/>
          <w:color w:val="auto"/>
          <w:highlight w:val="none"/>
        </w:rPr>
      </w:pPr>
      <w:r>
        <w:rPr>
          <w:rFonts w:hint="eastAsia" w:ascii="宋体" w:hAnsi="宋体"/>
          <w:color w:val="auto"/>
          <w:szCs w:val="21"/>
          <w:highlight w:val="none"/>
        </w:rPr>
        <w:t>13.3 投标人应在分项报价明细表中对每项内容给予详细分项</w:t>
      </w:r>
      <w:r>
        <w:rPr>
          <w:rFonts w:hint="eastAsia" w:ascii="宋体" w:hAnsi="宋体"/>
          <w:color w:val="auto"/>
          <w:highlight w:val="none"/>
        </w:rPr>
        <w:t>报价。</w:t>
      </w:r>
    </w:p>
    <w:p w14:paraId="19BCD4B9">
      <w:pPr>
        <w:adjustRightInd w:val="0"/>
        <w:snapToGrid w:val="0"/>
        <w:spacing w:line="360" w:lineRule="auto"/>
        <w:ind w:firstLine="420" w:firstLineChars="200"/>
        <w:rPr>
          <w:rFonts w:ascii="宋体" w:hAnsi="宋体"/>
          <w:color w:val="auto"/>
          <w:highlight w:val="none"/>
        </w:rPr>
      </w:pPr>
      <w:r>
        <w:rPr>
          <w:rFonts w:hint="eastAsia" w:ascii="宋体" w:hAnsi="宋体"/>
          <w:color w:val="auto"/>
          <w:highlight w:val="none"/>
        </w:rPr>
        <w:t>13.4投标人对采购项目内容只允许有一个投标报价，否则其</w:t>
      </w:r>
      <w:r>
        <w:rPr>
          <w:rFonts w:hint="eastAsia" w:ascii="宋体" w:hAnsi="宋体"/>
          <w:b/>
          <w:color w:val="auto"/>
          <w:highlight w:val="none"/>
        </w:rPr>
        <w:t>投标无效</w:t>
      </w:r>
      <w:r>
        <w:rPr>
          <w:rFonts w:hint="eastAsia" w:ascii="宋体" w:hAnsi="宋体"/>
          <w:color w:val="auto"/>
          <w:highlight w:val="none"/>
        </w:rPr>
        <w:t>。</w:t>
      </w:r>
    </w:p>
    <w:p w14:paraId="5EB0CFBB">
      <w:pPr>
        <w:adjustRightInd w:val="0"/>
        <w:snapToGrid w:val="0"/>
        <w:spacing w:line="360" w:lineRule="auto"/>
        <w:ind w:firstLine="420" w:firstLineChars="200"/>
        <w:rPr>
          <w:rFonts w:ascii="宋体" w:hAnsi="宋体"/>
          <w:color w:val="auto"/>
          <w:highlight w:val="none"/>
        </w:rPr>
      </w:pPr>
      <w:r>
        <w:rPr>
          <w:rFonts w:hint="eastAsia" w:ascii="宋体" w:hAnsi="宋体"/>
          <w:color w:val="auto"/>
          <w:highlight w:val="none"/>
        </w:rPr>
        <w:t>13.5采购人不接受投标人给予的赠品、回扣或者与采购无关的其他商品、服务。如有赠与行为，其</w:t>
      </w:r>
      <w:r>
        <w:rPr>
          <w:rFonts w:hint="eastAsia" w:ascii="宋体" w:hAnsi="宋体"/>
          <w:b/>
          <w:color w:val="auto"/>
          <w:highlight w:val="none"/>
        </w:rPr>
        <w:t>投标无效</w:t>
      </w:r>
      <w:r>
        <w:rPr>
          <w:rFonts w:hint="eastAsia" w:ascii="宋体" w:hAnsi="宋体"/>
          <w:color w:val="auto"/>
          <w:highlight w:val="none"/>
        </w:rPr>
        <w:t>。</w:t>
      </w:r>
    </w:p>
    <w:p w14:paraId="64B5106A">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13.6采用固定价格定价方式的采购项目，</w:t>
      </w:r>
      <w:r>
        <w:rPr>
          <w:rFonts w:hint="eastAsia" w:ascii="宋体" w:hAnsi="宋体"/>
          <w:color w:val="auto"/>
          <w:highlight w:val="none"/>
        </w:rPr>
        <w:t>投标文件中标明的价格在合同执行过程中是固定不变的，不得以任何理由予以变更。任何包含价格调整要求和条件的投标，其</w:t>
      </w:r>
      <w:r>
        <w:rPr>
          <w:rFonts w:hint="eastAsia" w:ascii="宋体" w:hAnsi="宋体"/>
          <w:b/>
          <w:color w:val="auto"/>
          <w:highlight w:val="none"/>
        </w:rPr>
        <w:t>投标无效</w:t>
      </w:r>
      <w:r>
        <w:rPr>
          <w:rFonts w:hint="eastAsia" w:ascii="宋体" w:hAnsi="宋体"/>
          <w:color w:val="auto"/>
          <w:highlight w:val="none"/>
        </w:rPr>
        <w:t>。</w:t>
      </w:r>
    </w:p>
    <w:p w14:paraId="0A7DAF65">
      <w:pPr>
        <w:adjustRightInd w:val="0"/>
        <w:snapToGrid w:val="0"/>
        <w:spacing w:line="360" w:lineRule="auto"/>
        <w:ind w:firstLine="420" w:firstLineChars="200"/>
        <w:rPr>
          <w:rFonts w:ascii="宋体" w:hAnsi="宋体"/>
          <w:color w:val="auto"/>
          <w:highlight w:val="none"/>
        </w:rPr>
      </w:pPr>
      <w:r>
        <w:rPr>
          <w:rFonts w:hint="eastAsia" w:ascii="宋体" w:hAnsi="宋体"/>
          <w:color w:val="auto"/>
          <w:highlight w:val="none"/>
        </w:rPr>
        <w:t>13.7投标人在投标截止时间前修改“开标一览表”中的投标报价的，应同时修改投标文件“分项报价明细表”“享受政府采购政策优惠的证明资料”以及“联合体协议书”（如果影响）等相关内容。此修改须符合本章第22.1款的有关要求。</w:t>
      </w:r>
    </w:p>
    <w:p w14:paraId="3722D11A">
      <w:pPr>
        <w:adjustRightInd w:val="0"/>
        <w:snapToGrid w:val="0"/>
        <w:spacing w:line="360" w:lineRule="auto"/>
        <w:ind w:firstLine="420" w:firstLineChars="200"/>
        <w:rPr>
          <w:rFonts w:ascii="宋体" w:hAnsi="宋体"/>
          <w:color w:val="auto"/>
          <w:highlight w:val="none"/>
        </w:rPr>
      </w:pPr>
      <w:r>
        <w:rPr>
          <w:rFonts w:hint="eastAsia" w:ascii="宋体" w:hAnsi="宋体"/>
          <w:color w:val="auto"/>
          <w:highlight w:val="none"/>
        </w:rPr>
        <w:t>13.8投标报价的其他要求见</w:t>
      </w:r>
      <w:r>
        <w:rPr>
          <w:rFonts w:hint="eastAsia" w:ascii="宋体" w:hAnsi="宋体"/>
          <w:b/>
          <w:color w:val="auto"/>
          <w:szCs w:val="21"/>
          <w:highlight w:val="none"/>
        </w:rPr>
        <w:t>【投标须知前附表】</w:t>
      </w:r>
      <w:r>
        <w:rPr>
          <w:rFonts w:hint="eastAsia" w:ascii="宋体" w:hAnsi="宋体"/>
          <w:color w:val="auto"/>
          <w:highlight w:val="none"/>
        </w:rPr>
        <w:t>。</w:t>
      </w:r>
    </w:p>
    <w:p w14:paraId="0C5FB621">
      <w:pPr>
        <w:adjustRightInd w:val="0"/>
        <w:snapToGrid w:val="0"/>
        <w:spacing w:line="360" w:lineRule="auto"/>
        <w:rPr>
          <w:rFonts w:ascii="宋体" w:hAnsi="宋体"/>
          <w:b/>
          <w:bCs/>
          <w:color w:val="auto"/>
          <w:sz w:val="24"/>
          <w:highlight w:val="none"/>
        </w:rPr>
      </w:pPr>
      <w:r>
        <w:rPr>
          <w:rFonts w:hint="eastAsia" w:ascii="宋体" w:hAnsi="宋体"/>
          <w:b/>
          <w:color w:val="auto"/>
          <w:sz w:val="24"/>
          <w:highlight w:val="none"/>
        </w:rPr>
        <w:t xml:space="preserve">14. </w:t>
      </w:r>
      <w:r>
        <w:rPr>
          <w:rFonts w:hint="eastAsia" w:ascii="宋体" w:hAnsi="宋体"/>
          <w:b/>
          <w:bCs/>
          <w:color w:val="auto"/>
          <w:sz w:val="24"/>
          <w:highlight w:val="none"/>
        </w:rPr>
        <w:t>投标人的资格证明文件</w:t>
      </w:r>
    </w:p>
    <w:p w14:paraId="079C72B8">
      <w:pPr>
        <w:adjustRightInd w:val="0"/>
        <w:snapToGrid w:val="0"/>
        <w:spacing w:line="360" w:lineRule="auto"/>
        <w:ind w:firstLine="420" w:firstLineChars="200"/>
        <w:rPr>
          <w:rFonts w:ascii="宋体" w:hAnsi="宋体"/>
          <w:color w:val="auto"/>
          <w:highlight w:val="none"/>
        </w:rPr>
      </w:pPr>
      <w:r>
        <w:rPr>
          <w:rFonts w:hint="eastAsia" w:ascii="宋体" w:hAnsi="宋体"/>
          <w:color w:val="auto"/>
          <w:highlight w:val="none"/>
        </w:rPr>
        <w:t>14.1</w:t>
      </w:r>
      <w:r>
        <w:rPr>
          <w:rFonts w:hint="eastAsia" w:ascii="宋体" w:hAnsi="宋体"/>
          <w:color w:val="auto"/>
          <w:szCs w:val="21"/>
          <w:highlight w:val="none"/>
        </w:rPr>
        <w:t>除</w:t>
      </w:r>
      <w:r>
        <w:rPr>
          <w:rFonts w:hint="eastAsia" w:ascii="宋体" w:hAnsi="宋体"/>
          <w:b/>
          <w:color w:val="auto"/>
          <w:szCs w:val="21"/>
          <w:highlight w:val="none"/>
        </w:rPr>
        <w:t>【投标须知前附表】</w:t>
      </w:r>
      <w:r>
        <w:rPr>
          <w:rFonts w:hint="eastAsia" w:ascii="宋体" w:hAnsi="宋体"/>
          <w:color w:val="auto"/>
          <w:szCs w:val="21"/>
          <w:highlight w:val="none"/>
        </w:rPr>
        <w:t>另有规</w:t>
      </w:r>
      <w:r>
        <w:rPr>
          <w:rFonts w:hint="eastAsia" w:ascii="宋体" w:hAnsi="宋体"/>
          <w:color w:val="auto"/>
          <w:highlight w:val="none"/>
        </w:rPr>
        <w:t>定外，投标人应按下列规定提供资格证明文件。</w:t>
      </w:r>
    </w:p>
    <w:p w14:paraId="6BF5638F">
      <w:pPr>
        <w:adjustRightInd w:val="0"/>
        <w:snapToGrid w:val="0"/>
        <w:spacing w:line="360" w:lineRule="auto"/>
        <w:ind w:firstLine="420" w:firstLineChars="200"/>
        <w:rPr>
          <w:rFonts w:ascii="宋体" w:hAnsi="宋体"/>
          <w:color w:val="auto"/>
          <w:highlight w:val="none"/>
        </w:rPr>
      </w:pPr>
      <w:r>
        <w:rPr>
          <w:rFonts w:hint="eastAsia" w:ascii="宋体" w:hAnsi="宋体"/>
          <w:color w:val="auto"/>
          <w:highlight w:val="none"/>
        </w:rPr>
        <w:t>（1）</w:t>
      </w:r>
      <w:r>
        <w:rPr>
          <w:rFonts w:hint="eastAsia" w:ascii="宋体" w:hAnsi="宋体"/>
          <w:b/>
          <w:color w:val="auto"/>
          <w:highlight w:val="none"/>
        </w:rPr>
        <w:t>法人或者其他组织的营业执照等主体资格证明文件，自然人的身份证明</w:t>
      </w:r>
      <w:r>
        <w:rPr>
          <w:rFonts w:hint="eastAsia" w:ascii="宋体" w:hAnsi="宋体"/>
          <w:color w:val="auto"/>
          <w:highlight w:val="none"/>
        </w:rPr>
        <w:t>：投标人为法人的，应提交营业执照或法人登记证书的复印件；投标人为非法人组织的，应提交依法登记证书复印件；投标人为个体工商户的，应提交个体工商户营业执照复印件；投标人为自然人的，应提交自然人的身份证明复印件。</w:t>
      </w:r>
    </w:p>
    <w:p w14:paraId="0F9B12A9">
      <w:pPr>
        <w:adjustRightInd w:val="0"/>
        <w:snapToGrid w:val="0"/>
        <w:spacing w:line="360" w:lineRule="auto"/>
        <w:ind w:firstLine="420" w:firstLineChars="200"/>
        <w:rPr>
          <w:rFonts w:ascii="宋体" w:hAnsi="宋体"/>
          <w:color w:val="auto"/>
          <w:highlight w:val="none"/>
        </w:rPr>
      </w:pPr>
      <w:r>
        <w:rPr>
          <w:rFonts w:hint="eastAsia" w:ascii="宋体" w:hAnsi="宋体"/>
          <w:color w:val="auto"/>
          <w:highlight w:val="none"/>
        </w:rPr>
        <w:t>（2）</w:t>
      </w:r>
      <w:r>
        <w:rPr>
          <w:rFonts w:hint="eastAsia" w:ascii="宋体" w:hAnsi="宋体"/>
          <w:b/>
          <w:color w:val="auto"/>
          <w:highlight w:val="none"/>
        </w:rPr>
        <w:t>湖南省政府采购供应商资格承诺函(格式)</w:t>
      </w:r>
    </w:p>
    <w:p w14:paraId="1B230F29">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highlight w:val="none"/>
        </w:rPr>
        <w:t>（3）</w:t>
      </w:r>
      <w:r>
        <w:rPr>
          <w:rFonts w:hint="eastAsia" w:ascii="宋体" w:hAnsi="宋体"/>
          <w:b/>
          <w:color w:val="auto"/>
          <w:highlight w:val="none"/>
        </w:rPr>
        <w:t>符合特定资格条件证明材料复印件或者情况说明</w:t>
      </w:r>
      <w:r>
        <w:rPr>
          <w:rFonts w:hint="eastAsia" w:ascii="宋体" w:hAnsi="宋体"/>
          <w:color w:val="auto"/>
          <w:szCs w:val="21"/>
          <w:highlight w:val="none"/>
        </w:rPr>
        <w:t>。</w:t>
      </w:r>
    </w:p>
    <w:p w14:paraId="76BBE876">
      <w:pPr>
        <w:adjustRightInd w:val="0"/>
        <w:snapToGrid w:val="0"/>
        <w:spacing w:line="360" w:lineRule="auto"/>
        <w:ind w:firstLine="420" w:firstLineChars="200"/>
        <w:rPr>
          <w:rFonts w:ascii="宋体" w:hAnsi="宋体"/>
          <w:color w:val="auto"/>
          <w:highlight w:val="none"/>
        </w:rPr>
      </w:pPr>
      <w:r>
        <w:rPr>
          <w:rFonts w:hint="eastAsia" w:ascii="宋体" w:hAnsi="宋体"/>
          <w:color w:val="auto"/>
          <w:highlight w:val="none"/>
        </w:rPr>
        <w:t>14.2投标人以联合体形式投标的，除应提交联合协议(格式)外，参加联合体的各方均应提交上款资格证明材料。</w:t>
      </w:r>
    </w:p>
    <w:p w14:paraId="2A214C66">
      <w:pPr>
        <w:adjustRightInd w:val="0"/>
        <w:snapToGrid w:val="0"/>
        <w:spacing w:line="360" w:lineRule="auto"/>
        <w:ind w:firstLine="420" w:firstLineChars="200"/>
        <w:rPr>
          <w:rFonts w:ascii="宋体" w:hAnsi="宋体"/>
          <w:color w:val="auto"/>
          <w:highlight w:val="none"/>
        </w:rPr>
      </w:pPr>
      <w:r>
        <w:rPr>
          <w:rFonts w:hint="eastAsia" w:ascii="宋体" w:hAnsi="宋体"/>
          <w:color w:val="auto"/>
          <w:highlight w:val="none"/>
        </w:rPr>
        <w:t>14.3投标人的资格证明文件均应为有效文件并加盖投标人单位章，并按招标文件规定签署。</w:t>
      </w:r>
    </w:p>
    <w:p w14:paraId="24835B38">
      <w:pPr>
        <w:adjustRightInd w:val="0"/>
        <w:snapToGrid w:val="0"/>
        <w:spacing w:line="360" w:lineRule="auto"/>
        <w:rPr>
          <w:rFonts w:ascii="宋体" w:hAnsi="宋体"/>
          <w:b/>
          <w:bCs/>
          <w:color w:val="auto"/>
          <w:sz w:val="24"/>
          <w:highlight w:val="none"/>
        </w:rPr>
      </w:pPr>
      <w:r>
        <w:rPr>
          <w:rFonts w:hint="eastAsia" w:ascii="宋体" w:hAnsi="宋体"/>
          <w:b/>
          <w:bCs/>
          <w:color w:val="auto"/>
          <w:sz w:val="24"/>
          <w:highlight w:val="none"/>
        </w:rPr>
        <w:t>15. 投标货物及服务符合招标文件规定的证明文件</w:t>
      </w:r>
    </w:p>
    <w:p w14:paraId="427D99A3">
      <w:pPr>
        <w:adjustRightInd w:val="0"/>
        <w:snapToGrid w:val="0"/>
        <w:spacing w:line="360" w:lineRule="auto"/>
        <w:ind w:firstLine="420" w:firstLineChars="200"/>
        <w:rPr>
          <w:rFonts w:hint="eastAsia" w:ascii="宋体" w:hAnsi="宋体" w:eastAsia="宋体"/>
          <w:color w:val="auto"/>
          <w:szCs w:val="21"/>
          <w:highlight w:val="none"/>
          <w:lang w:eastAsia="zh-CN"/>
        </w:rPr>
      </w:pPr>
      <w:r>
        <w:rPr>
          <w:rFonts w:hint="eastAsia" w:ascii="宋体" w:hAnsi="宋体"/>
          <w:color w:val="auto"/>
          <w:szCs w:val="21"/>
          <w:highlight w:val="none"/>
        </w:rPr>
        <w:t>15.1投标人应当提交其拟供的合同项下货物及其服务符合招标文件规定的证明文件,该证明文件作为投标文件的一部分</w:t>
      </w:r>
      <w:r>
        <w:rPr>
          <w:rFonts w:hint="eastAsia" w:ascii="宋体" w:hAnsi="宋体"/>
          <w:color w:val="auto"/>
          <w:szCs w:val="21"/>
          <w:highlight w:val="none"/>
          <w:lang w:eastAsia="zh-CN"/>
        </w:rPr>
        <w:t>。</w:t>
      </w:r>
    </w:p>
    <w:p w14:paraId="6BFC5BA9">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15.2上述证明文件可以是文字资料、图表、数据、证书等资料，包括但不限于：</w:t>
      </w:r>
    </w:p>
    <w:p w14:paraId="0B5314F2">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（1）货物主要技术指标和性能的详细说明。对有具体参数要求的指标，投标人应提供具体参数值；</w:t>
      </w:r>
    </w:p>
    <w:p w14:paraId="706A3C30">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（2）货物的品牌型号、制造商及原产地等说明；</w:t>
      </w:r>
    </w:p>
    <w:p w14:paraId="0C3BEC1E">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（3）招标文件第五章“采购需求”要求的其它文件。</w:t>
      </w:r>
    </w:p>
    <w:p w14:paraId="574DBE75">
      <w:pPr>
        <w:adjustRightInd w:val="0"/>
        <w:snapToGrid w:val="0"/>
        <w:spacing w:line="360" w:lineRule="auto"/>
        <w:rPr>
          <w:rFonts w:ascii="宋体" w:hAnsi="宋体"/>
          <w:b/>
          <w:bCs/>
          <w:color w:val="auto"/>
          <w:sz w:val="24"/>
          <w:highlight w:val="none"/>
        </w:rPr>
      </w:pPr>
      <w:r>
        <w:rPr>
          <w:rFonts w:hint="eastAsia" w:ascii="宋体" w:hAnsi="宋体"/>
          <w:b/>
          <w:bCs/>
          <w:color w:val="auto"/>
          <w:sz w:val="24"/>
          <w:highlight w:val="none"/>
        </w:rPr>
        <w:t>16. 投标有效期</w:t>
      </w:r>
    </w:p>
    <w:p w14:paraId="73EC7BC8">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16.1投标有效期从提交投标文件的截止之日起计算。投标文件中承诺的投标有效期应当不少于</w:t>
      </w:r>
      <w:r>
        <w:rPr>
          <w:rFonts w:hint="eastAsia" w:ascii="宋体" w:hAnsi="宋体"/>
          <w:b/>
          <w:color w:val="auto"/>
          <w:szCs w:val="21"/>
          <w:highlight w:val="none"/>
        </w:rPr>
        <w:t>【投标须知前附表】</w:t>
      </w:r>
      <w:r>
        <w:rPr>
          <w:rFonts w:hint="eastAsia" w:ascii="宋体" w:hAnsi="宋体"/>
          <w:color w:val="auto"/>
          <w:szCs w:val="21"/>
          <w:highlight w:val="none"/>
        </w:rPr>
        <w:t>中载明的投标有效期。投标有效期不满足要求的，其</w:t>
      </w:r>
      <w:r>
        <w:rPr>
          <w:rFonts w:hint="eastAsia" w:ascii="宋体" w:hAnsi="宋体"/>
          <w:b/>
          <w:color w:val="auto"/>
          <w:szCs w:val="21"/>
          <w:highlight w:val="none"/>
        </w:rPr>
        <w:t>投标无效</w:t>
      </w:r>
      <w:r>
        <w:rPr>
          <w:rFonts w:hint="eastAsia" w:ascii="宋体" w:hAnsi="宋体"/>
          <w:color w:val="auto"/>
          <w:szCs w:val="21"/>
          <w:highlight w:val="none"/>
        </w:rPr>
        <w:t>。</w:t>
      </w:r>
    </w:p>
    <w:p w14:paraId="25C5F5EC">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16.2投标有效期内投标人撤销投标文件的，投标人应承担招标文件和法律规定的责任。</w:t>
      </w:r>
    </w:p>
    <w:p w14:paraId="2BBC3A85">
      <w:pPr>
        <w:adjustRightInd w:val="0"/>
        <w:snapToGrid w:val="0"/>
        <w:spacing w:line="360" w:lineRule="auto"/>
        <w:rPr>
          <w:rFonts w:ascii="宋体" w:hAnsi="宋体"/>
          <w:b/>
          <w:bCs/>
          <w:color w:val="auto"/>
          <w:sz w:val="24"/>
          <w:highlight w:val="none"/>
        </w:rPr>
      </w:pPr>
      <w:r>
        <w:rPr>
          <w:rFonts w:hint="eastAsia" w:ascii="宋体" w:hAnsi="宋体"/>
          <w:b/>
          <w:bCs/>
          <w:color w:val="auto"/>
          <w:sz w:val="24"/>
          <w:highlight w:val="none"/>
        </w:rPr>
        <w:t>17. 投标保证金（不要求递交）</w:t>
      </w:r>
    </w:p>
    <w:p w14:paraId="4826AA09">
      <w:pPr>
        <w:adjustRightInd w:val="0"/>
        <w:snapToGrid w:val="0"/>
        <w:spacing w:line="360" w:lineRule="auto"/>
        <w:rPr>
          <w:rFonts w:ascii="宋体" w:hAnsi="宋体"/>
          <w:b/>
          <w:color w:val="auto"/>
          <w:sz w:val="24"/>
          <w:highlight w:val="none"/>
        </w:rPr>
      </w:pPr>
      <w:r>
        <w:rPr>
          <w:rFonts w:hint="eastAsia" w:ascii="宋体" w:hAnsi="宋体"/>
          <w:b/>
          <w:color w:val="auto"/>
          <w:sz w:val="24"/>
          <w:highlight w:val="none"/>
        </w:rPr>
        <w:t>18.分包</w:t>
      </w:r>
    </w:p>
    <w:p w14:paraId="424ECF67">
      <w:pPr>
        <w:adjustRightInd w:val="0"/>
        <w:snapToGrid w:val="0"/>
        <w:spacing w:line="360" w:lineRule="auto"/>
        <w:ind w:firstLine="420" w:firstLineChars="200"/>
        <w:rPr>
          <w:rFonts w:ascii="宋体" w:hAnsi="宋体"/>
          <w:color w:val="auto"/>
          <w:highlight w:val="none"/>
        </w:rPr>
      </w:pPr>
      <w:r>
        <w:rPr>
          <w:rFonts w:hint="eastAsia" w:ascii="宋体" w:hAnsi="宋体"/>
          <w:color w:val="auto"/>
          <w:highlight w:val="none"/>
        </w:rPr>
        <w:t>18.1</w:t>
      </w:r>
      <w:r>
        <w:rPr>
          <w:rFonts w:hint="eastAsia" w:hAnsi="宋体"/>
          <w:b/>
          <w:bCs/>
          <w:color w:val="auto"/>
          <w:highlight w:val="none"/>
        </w:rPr>
        <w:t>【投标须知前附表】</w:t>
      </w:r>
      <w:r>
        <w:rPr>
          <w:rFonts w:hint="eastAsia" w:ascii="宋体" w:hAnsi="宋体"/>
          <w:color w:val="auto"/>
          <w:highlight w:val="none"/>
        </w:rPr>
        <w:t>规定投标人分包的，投标人分包承诺不符合招标文件中有关分包规定的，其</w:t>
      </w:r>
      <w:r>
        <w:rPr>
          <w:rFonts w:hint="eastAsia" w:ascii="宋体" w:hAnsi="宋体"/>
          <w:b/>
          <w:bCs/>
          <w:color w:val="auto"/>
          <w:highlight w:val="none"/>
        </w:rPr>
        <w:t>投标无效</w:t>
      </w:r>
      <w:r>
        <w:rPr>
          <w:rFonts w:hint="eastAsia" w:ascii="宋体" w:hAnsi="宋体"/>
          <w:color w:val="auto"/>
          <w:highlight w:val="none"/>
        </w:rPr>
        <w:t>。</w:t>
      </w:r>
    </w:p>
    <w:p w14:paraId="4060F0D0">
      <w:pPr>
        <w:adjustRightInd w:val="0"/>
        <w:snapToGrid w:val="0"/>
        <w:spacing w:line="360" w:lineRule="auto"/>
        <w:ind w:firstLine="420" w:firstLineChars="200"/>
        <w:rPr>
          <w:rFonts w:ascii="宋体" w:hAnsi="宋体"/>
          <w:color w:val="auto"/>
          <w:highlight w:val="none"/>
        </w:rPr>
      </w:pPr>
      <w:r>
        <w:rPr>
          <w:rFonts w:hint="eastAsia" w:ascii="宋体" w:hAnsi="宋体"/>
          <w:color w:val="auto"/>
          <w:highlight w:val="none"/>
        </w:rPr>
        <w:t>18.2投标人应在签订政府采购合同前向采购人提供分包合同，否则，采购人有权拒绝签订采购合同。</w:t>
      </w:r>
    </w:p>
    <w:p w14:paraId="65982ABA">
      <w:pPr>
        <w:adjustRightInd w:val="0"/>
        <w:snapToGrid w:val="0"/>
        <w:spacing w:line="360" w:lineRule="auto"/>
        <w:ind w:firstLine="420" w:firstLineChars="200"/>
        <w:rPr>
          <w:rFonts w:ascii="宋体" w:hAnsi="宋体"/>
          <w:color w:val="auto"/>
          <w:highlight w:val="none"/>
        </w:rPr>
      </w:pPr>
      <w:r>
        <w:rPr>
          <w:rFonts w:hint="eastAsia" w:ascii="宋体" w:hAnsi="宋体"/>
          <w:color w:val="auto"/>
          <w:highlight w:val="none"/>
        </w:rPr>
        <w:t>18.3享受中小企业扶持政策获得政府采购合同的，小微企业不得将合同分包给大中型企业，中型企业不得将合同分包给大型企业。</w:t>
      </w:r>
    </w:p>
    <w:p w14:paraId="2CBBAC93">
      <w:pPr>
        <w:adjustRightInd w:val="0"/>
        <w:snapToGrid w:val="0"/>
        <w:spacing w:line="360" w:lineRule="auto"/>
        <w:ind w:firstLine="420" w:firstLineChars="200"/>
        <w:rPr>
          <w:rFonts w:ascii="宋体" w:hAnsi="宋体"/>
          <w:color w:val="auto"/>
          <w:highlight w:val="none"/>
        </w:rPr>
      </w:pPr>
      <w:r>
        <w:rPr>
          <w:rFonts w:hint="eastAsia" w:ascii="宋体" w:hAnsi="宋体"/>
          <w:color w:val="auto"/>
          <w:highlight w:val="none"/>
        </w:rPr>
        <w:t>18.4分包供应商不得再次分包。</w:t>
      </w:r>
    </w:p>
    <w:p w14:paraId="325786C6">
      <w:pPr>
        <w:adjustRightInd w:val="0"/>
        <w:snapToGrid w:val="0"/>
        <w:spacing w:line="360" w:lineRule="auto"/>
        <w:rPr>
          <w:rFonts w:ascii="宋体" w:hAnsi="宋体"/>
          <w:b/>
          <w:bCs/>
          <w:color w:val="auto"/>
          <w:sz w:val="24"/>
          <w:highlight w:val="none"/>
        </w:rPr>
      </w:pPr>
      <w:r>
        <w:rPr>
          <w:rFonts w:hint="eastAsia" w:ascii="宋体" w:hAnsi="宋体"/>
          <w:b/>
          <w:bCs/>
          <w:color w:val="auto"/>
          <w:sz w:val="24"/>
          <w:highlight w:val="none"/>
        </w:rPr>
        <w:t>19. 投标文件的签署</w:t>
      </w:r>
    </w:p>
    <w:p w14:paraId="626F4E9F">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19.1投标文件份数，投标人应准备所投项目的电子投标文件一份。</w:t>
      </w:r>
    </w:p>
    <w:p w14:paraId="1D30945B">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19.2电子投标文件：投标人应按照电子招标文件要求制作投标文件，并在</w:t>
      </w:r>
      <w:r>
        <w:rPr>
          <w:rFonts w:hint="eastAsia" w:ascii="宋体" w:hAnsi="宋体"/>
          <w:color w:val="auto"/>
          <w:highlight w:val="none"/>
        </w:rPr>
        <w:t>指定处采用电子平台认可的CA数字证书</w:t>
      </w:r>
      <w:r>
        <w:rPr>
          <w:rFonts w:hint="eastAsia" w:ascii="宋体" w:hAnsi="宋体"/>
          <w:color w:val="auto"/>
          <w:szCs w:val="21"/>
          <w:highlight w:val="none"/>
        </w:rPr>
        <w:t>进行电子签名和盖章。</w:t>
      </w:r>
    </w:p>
    <w:p w14:paraId="567B26E3">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19.3投标人确认投标后，应从交易平台上下载“电子招标文件制作工具（</w:t>
      </w:r>
      <w:r>
        <w:rPr>
          <w:rStyle w:val="112"/>
          <w:rFonts w:ascii="宋体" w:hAnsi="宋体"/>
          <w:color w:val="auto"/>
          <w:szCs w:val="21"/>
          <w:highlight w:val="none"/>
        </w:rPr>
        <w:t>金润投标人工具箱）</w:t>
      </w:r>
      <w:r>
        <w:rPr>
          <w:rFonts w:hint="eastAsia" w:ascii="宋体" w:hAnsi="宋体"/>
          <w:color w:val="auto"/>
          <w:szCs w:val="21"/>
          <w:highlight w:val="none"/>
        </w:rPr>
        <w:t>”，并使用此工具编制电子投标文件，否则将可能影响电子投标文件的上传而导致投标无效。</w:t>
      </w:r>
    </w:p>
    <w:p w14:paraId="0CF8FDD8">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19.4投标人因自身原因导致电子投标文件无法导入电子评标系统的，该投标文件视为无效投标文件。</w:t>
      </w:r>
    </w:p>
    <w:p w14:paraId="66C881D0">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19.5电子招投标文件具有法律效力，若投标文件与招标文件要求不一致，其内容影响中标结果时，责任由投标人自行承担。</w:t>
      </w:r>
    </w:p>
    <w:p w14:paraId="1648030A">
      <w:pPr>
        <w:pStyle w:val="4"/>
        <w:adjustRightInd w:val="0"/>
        <w:snapToGrid w:val="0"/>
        <w:spacing w:before="120" w:beforeLines="50" w:after="0" w:line="360" w:lineRule="auto"/>
        <w:jc w:val="center"/>
        <w:rPr>
          <w:rFonts w:ascii="黑体" w:hAnsi="黑体" w:eastAsia="黑体"/>
          <w:color w:val="auto"/>
          <w:sz w:val="28"/>
          <w:szCs w:val="28"/>
          <w:highlight w:val="none"/>
        </w:rPr>
      </w:pPr>
      <w:bookmarkStart w:id="204" w:name="_Toc94367885"/>
      <w:bookmarkStart w:id="205" w:name="_Toc100670426"/>
      <w:bookmarkStart w:id="206" w:name="_Toc100670673"/>
      <w:bookmarkStart w:id="207" w:name="_Toc27666"/>
      <w:bookmarkStart w:id="208" w:name="_Toc75289553"/>
      <w:bookmarkStart w:id="209" w:name="_Toc112704938"/>
      <w:bookmarkStart w:id="210" w:name="_Toc192949608"/>
      <w:bookmarkStart w:id="211" w:name="_Toc114036717"/>
      <w:bookmarkStart w:id="212" w:name="_Toc117192453"/>
      <w:bookmarkStart w:id="213" w:name="_Toc95601370"/>
      <w:bookmarkStart w:id="214" w:name="_Toc171273676"/>
      <w:bookmarkStart w:id="215" w:name="_Toc77199404"/>
      <w:bookmarkStart w:id="216" w:name="_Toc85972935"/>
      <w:bookmarkStart w:id="217" w:name="_Toc154428395"/>
      <w:bookmarkStart w:id="218" w:name="_Toc108341942"/>
      <w:bookmarkStart w:id="219" w:name="_Toc192951218"/>
      <w:bookmarkStart w:id="220" w:name="_Toc78449960"/>
      <w:bookmarkStart w:id="221" w:name="_Toc77676471"/>
      <w:bookmarkStart w:id="222" w:name="_Toc21984"/>
      <w:bookmarkStart w:id="223" w:name="_Toc19962"/>
      <w:bookmarkStart w:id="224" w:name="_Toc15888490"/>
      <w:bookmarkStart w:id="225" w:name="_Toc192949707"/>
      <w:bookmarkStart w:id="226" w:name="_Toc78314267"/>
      <w:bookmarkStart w:id="227" w:name="_Toc5715"/>
      <w:bookmarkStart w:id="228" w:name="_Toc25125"/>
      <w:bookmarkStart w:id="229" w:name="_Toc26148"/>
      <w:bookmarkStart w:id="230" w:name="_Toc6925"/>
      <w:bookmarkStart w:id="231" w:name="_Toc5247"/>
      <w:bookmarkStart w:id="232" w:name="_Toc26194"/>
      <w:bookmarkStart w:id="233" w:name="_Toc75289231"/>
      <w:r>
        <w:rPr>
          <w:rFonts w:hint="eastAsia" w:ascii="黑体" w:hAnsi="黑体" w:eastAsia="黑体"/>
          <w:color w:val="auto"/>
          <w:sz w:val="28"/>
          <w:szCs w:val="28"/>
          <w:highlight w:val="none"/>
        </w:rPr>
        <w:t>四、投标</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03D87C6D">
      <w:pPr>
        <w:adjustRightInd w:val="0"/>
        <w:snapToGrid w:val="0"/>
        <w:spacing w:line="360" w:lineRule="auto"/>
        <w:rPr>
          <w:rFonts w:ascii="宋体" w:hAnsi="宋体"/>
          <w:b/>
          <w:bCs/>
          <w:color w:val="auto"/>
          <w:sz w:val="24"/>
          <w:highlight w:val="none"/>
        </w:rPr>
      </w:pPr>
      <w:r>
        <w:rPr>
          <w:rFonts w:hint="eastAsia" w:ascii="宋体" w:hAnsi="宋体"/>
          <w:b/>
          <w:color w:val="auto"/>
          <w:sz w:val="24"/>
          <w:highlight w:val="none"/>
        </w:rPr>
        <w:t>20.</w:t>
      </w:r>
      <w:r>
        <w:rPr>
          <w:rFonts w:hint="eastAsia" w:ascii="宋体" w:hAnsi="宋体"/>
          <w:b/>
          <w:bCs/>
          <w:color w:val="auto"/>
          <w:sz w:val="24"/>
          <w:highlight w:val="none"/>
        </w:rPr>
        <w:t xml:space="preserve"> 投标文件的密封和标记</w:t>
      </w:r>
    </w:p>
    <w:p w14:paraId="0790AAF7">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20.1娄底市公共资源交易电子服务平台发布的“电子投标文件制作工具（</w:t>
      </w:r>
      <w:r>
        <w:rPr>
          <w:rStyle w:val="112"/>
          <w:rFonts w:ascii="宋体" w:hAnsi="宋体"/>
          <w:color w:val="auto"/>
          <w:szCs w:val="21"/>
          <w:highlight w:val="none"/>
        </w:rPr>
        <w:t>金润投标人工具箱）</w:t>
      </w:r>
      <w:r>
        <w:rPr>
          <w:rFonts w:hint="eastAsia" w:ascii="宋体" w:hAnsi="宋体"/>
          <w:color w:val="auto"/>
          <w:szCs w:val="21"/>
          <w:highlight w:val="none"/>
        </w:rPr>
        <w:t>”的程序进行固化、加密。</w:t>
      </w:r>
    </w:p>
    <w:p w14:paraId="53493B99">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20</w:t>
      </w:r>
      <w:r>
        <w:rPr>
          <w:rFonts w:ascii="宋体" w:hAnsi="宋体"/>
          <w:color w:val="auto"/>
          <w:szCs w:val="21"/>
          <w:highlight w:val="none"/>
        </w:rPr>
        <w:t>.2</w:t>
      </w:r>
      <w:r>
        <w:rPr>
          <w:rFonts w:hint="eastAsia" w:ascii="宋体" w:hAnsi="宋体"/>
          <w:color w:val="auto"/>
          <w:highlight w:val="none"/>
        </w:rPr>
        <w:t>“电子标书软件加密锁” 具有唯一性，仅限于本单位在电子化招标投标活动中使用，不得转让和出借；</w:t>
      </w:r>
    </w:p>
    <w:p w14:paraId="2E194738">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20</w:t>
      </w:r>
      <w:r>
        <w:rPr>
          <w:rFonts w:ascii="宋体" w:hAnsi="宋体"/>
          <w:color w:val="auto"/>
          <w:szCs w:val="21"/>
          <w:highlight w:val="none"/>
        </w:rPr>
        <w:t>.</w:t>
      </w:r>
      <w:r>
        <w:rPr>
          <w:rFonts w:hint="eastAsia" w:ascii="宋体" w:hAnsi="宋体"/>
          <w:color w:val="auto"/>
          <w:szCs w:val="21"/>
          <w:highlight w:val="none"/>
        </w:rPr>
        <w:t>3</w:t>
      </w:r>
      <w:r>
        <w:rPr>
          <w:rFonts w:hint="eastAsia" w:ascii="宋体" w:hAnsi="宋体"/>
          <w:color w:val="auto"/>
          <w:highlight w:val="none"/>
        </w:rPr>
        <w:t>投标人在编辑投标文件时，在投标文件目录中属于本节点内容的必须上传或填写在本节点的对应位置，未按要求填写或上传的，相应责任由投标人自行承担</w:t>
      </w:r>
      <w:r>
        <w:rPr>
          <w:rFonts w:hint="eastAsia" w:ascii="宋体" w:hAnsi="宋体"/>
          <w:color w:val="auto"/>
          <w:szCs w:val="21"/>
          <w:highlight w:val="none"/>
        </w:rPr>
        <w:t>。</w:t>
      </w:r>
    </w:p>
    <w:p w14:paraId="36B5EA7C">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highlight w:val="none"/>
        </w:rPr>
        <w:t>20.4投标书编写完成后，必须用本系统自带的电子密钥进行加密，如果误选了非本项目的规则文件导致不能在开标时解密投标文件，该投标文件将被电子开标系统拒绝，将导致投标文件无效。</w:t>
      </w:r>
    </w:p>
    <w:p w14:paraId="1FDC3A52">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highlight w:val="none"/>
        </w:rPr>
        <w:t>20.5如果开标时出现网络故障、技术故障，影响了招投标活动，采购人可采取措施如延期、延长上传的投标书和解密时间等，以保障招投标活动的公开、公平和公正，投标人不得对此持有异议</w:t>
      </w:r>
      <w:r>
        <w:rPr>
          <w:rFonts w:ascii="宋体" w:hAnsi="宋体"/>
          <w:color w:val="auto"/>
          <w:highlight w:val="none"/>
        </w:rPr>
        <w:t>。</w:t>
      </w:r>
    </w:p>
    <w:p w14:paraId="758449D5">
      <w:pPr>
        <w:adjustRightInd w:val="0"/>
        <w:snapToGrid w:val="0"/>
        <w:spacing w:line="360" w:lineRule="auto"/>
        <w:rPr>
          <w:rFonts w:ascii="宋体" w:hAnsi="宋体"/>
          <w:b/>
          <w:bCs/>
          <w:color w:val="auto"/>
          <w:sz w:val="24"/>
          <w:highlight w:val="none"/>
        </w:rPr>
      </w:pPr>
      <w:r>
        <w:rPr>
          <w:rFonts w:hint="eastAsia" w:ascii="宋体" w:hAnsi="宋体"/>
          <w:b/>
          <w:bCs/>
          <w:color w:val="auto"/>
          <w:sz w:val="24"/>
          <w:highlight w:val="none"/>
        </w:rPr>
        <w:t>21. 投标文件的递交</w:t>
      </w:r>
    </w:p>
    <w:p w14:paraId="23802647">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21.1</w:t>
      </w:r>
      <w:r>
        <w:rPr>
          <w:rStyle w:val="112"/>
          <w:rFonts w:ascii="宋体" w:hAnsi="宋体"/>
          <w:color w:val="auto"/>
          <w:szCs w:val="21"/>
          <w:highlight w:val="none"/>
        </w:rPr>
        <w:t>实行网上投标，</w:t>
      </w:r>
      <w:r>
        <w:rPr>
          <w:rFonts w:ascii="宋体" w:hAnsi="宋体"/>
          <w:color w:val="auto"/>
          <w:highlight w:val="none"/>
        </w:rPr>
        <w:t>投标人必须</w:t>
      </w:r>
      <w:r>
        <w:rPr>
          <w:rFonts w:hint="eastAsia" w:ascii="宋体" w:hAnsi="宋体"/>
          <w:color w:val="auto"/>
          <w:highlight w:val="none"/>
        </w:rPr>
        <w:t>在</w:t>
      </w:r>
      <w:r>
        <w:rPr>
          <w:rFonts w:ascii="宋体" w:hAnsi="宋体"/>
          <w:color w:val="auto"/>
          <w:highlight w:val="none"/>
        </w:rPr>
        <w:t>采购文件规定的投标截止时间前完成</w:t>
      </w:r>
      <w:r>
        <w:rPr>
          <w:rFonts w:hint="eastAsia" w:ascii="宋体" w:hAnsi="宋体"/>
          <w:color w:val="auto"/>
          <w:szCs w:val="21"/>
          <w:highlight w:val="none"/>
        </w:rPr>
        <w:t>。</w:t>
      </w:r>
    </w:p>
    <w:p w14:paraId="0DBE8A39">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21.2</w:t>
      </w:r>
      <w:r>
        <w:rPr>
          <w:rFonts w:ascii="宋体" w:hAnsi="宋体"/>
          <w:color w:val="auto"/>
          <w:highlight w:val="none"/>
        </w:rPr>
        <w:t>按本</w:t>
      </w:r>
      <w:r>
        <w:rPr>
          <w:rFonts w:hint="eastAsia" w:ascii="宋体" w:hAnsi="宋体"/>
          <w:color w:val="auto"/>
          <w:highlight w:val="none"/>
        </w:rPr>
        <w:t>章</w:t>
      </w:r>
      <w:r>
        <w:rPr>
          <w:rFonts w:ascii="宋体" w:hAnsi="宋体"/>
          <w:color w:val="auto"/>
          <w:highlight w:val="none"/>
        </w:rPr>
        <w:t>第</w:t>
      </w:r>
      <w:r>
        <w:rPr>
          <w:rFonts w:hint="eastAsia" w:ascii="宋体" w:hAnsi="宋体"/>
          <w:color w:val="auto"/>
          <w:highlight w:val="none"/>
        </w:rPr>
        <w:t>9</w:t>
      </w:r>
      <w:r>
        <w:rPr>
          <w:rFonts w:ascii="宋体" w:hAnsi="宋体"/>
          <w:color w:val="auto"/>
          <w:highlight w:val="none"/>
        </w:rPr>
        <w:t>条规定，招标文件发生实质性修改后，投标人须撤回原电子投标文件，根据最新招标文件重新制作投标文件并再次上传。</w:t>
      </w:r>
    </w:p>
    <w:p w14:paraId="5F648C01">
      <w:pPr>
        <w:adjustRightInd w:val="0"/>
        <w:snapToGrid w:val="0"/>
        <w:spacing w:line="360" w:lineRule="auto"/>
        <w:ind w:firstLine="420" w:firstLineChars="200"/>
        <w:rPr>
          <w:rFonts w:ascii="宋体" w:hAnsi="宋体"/>
          <w:bCs/>
          <w:color w:val="auto"/>
          <w:szCs w:val="21"/>
          <w:highlight w:val="none"/>
        </w:rPr>
      </w:pPr>
      <w:r>
        <w:rPr>
          <w:rFonts w:hint="eastAsia" w:ascii="宋体" w:hAnsi="宋体"/>
          <w:color w:val="auto"/>
          <w:szCs w:val="21"/>
          <w:highlight w:val="none"/>
        </w:rPr>
        <w:t>21.3</w:t>
      </w:r>
      <w:r>
        <w:rPr>
          <w:rFonts w:ascii="宋体" w:hAnsi="宋体"/>
          <w:color w:val="auto"/>
          <w:highlight w:val="none"/>
        </w:rPr>
        <w:t>投标截止时间</w:t>
      </w:r>
      <w:r>
        <w:rPr>
          <w:rFonts w:hint="eastAsia" w:ascii="宋体" w:hAnsi="宋体"/>
          <w:color w:val="auto"/>
          <w:highlight w:val="none"/>
        </w:rPr>
        <w:t>到达以后不再接收</w:t>
      </w:r>
      <w:r>
        <w:rPr>
          <w:rFonts w:ascii="宋体" w:hAnsi="宋体"/>
          <w:color w:val="auto"/>
          <w:highlight w:val="none"/>
        </w:rPr>
        <w:t>投标文件。</w:t>
      </w:r>
    </w:p>
    <w:p w14:paraId="53AACBA4">
      <w:pPr>
        <w:adjustRightInd w:val="0"/>
        <w:snapToGrid w:val="0"/>
        <w:spacing w:line="360" w:lineRule="auto"/>
        <w:rPr>
          <w:rFonts w:ascii="宋体" w:hAnsi="宋体"/>
          <w:b/>
          <w:bCs/>
          <w:color w:val="auto"/>
          <w:sz w:val="24"/>
          <w:highlight w:val="none"/>
        </w:rPr>
      </w:pPr>
      <w:r>
        <w:rPr>
          <w:rFonts w:hint="eastAsia" w:ascii="宋体" w:hAnsi="宋体"/>
          <w:b/>
          <w:bCs/>
          <w:color w:val="auto"/>
          <w:sz w:val="24"/>
          <w:highlight w:val="none"/>
        </w:rPr>
        <w:t>22. 投标文件的修改和撤回</w:t>
      </w:r>
    </w:p>
    <w:p w14:paraId="6308632B">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22.1投标人</w:t>
      </w:r>
      <w:r>
        <w:rPr>
          <w:rFonts w:hint="eastAsia" w:ascii="宋体" w:hAnsi="宋体"/>
          <w:color w:val="auto"/>
          <w:highlight w:val="none"/>
        </w:rPr>
        <w:t>在提交电子投标文件后可对其投标文件进行修改并重新上传投标文件或在网上进行撤销投标的操作。</w:t>
      </w:r>
    </w:p>
    <w:p w14:paraId="54336EDA">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22.2</w:t>
      </w:r>
      <w:r>
        <w:rPr>
          <w:rFonts w:hint="eastAsia" w:ascii="宋体" w:hAnsi="宋体"/>
          <w:color w:val="auto"/>
          <w:highlight w:val="none"/>
        </w:rPr>
        <w:t>投标截止时间以后不得修改投标文件。</w:t>
      </w:r>
    </w:p>
    <w:p w14:paraId="7252B167">
      <w:pPr>
        <w:adjustRightInd w:val="0"/>
        <w:snapToGrid w:val="0"/>
        <w:spacing w:line="360" w:lineRule="auto"/>
        <w:rPr>
          <w:rFonts w:ascii="宋体" w:hAnsi="宋体" w:cs="Arial"/>
          <w:b/>
          <w:color w:val="auto"/>
          <w:sz w:val="24"/>
          <w:highlight w:val="none"/>
        </w:rPr>
      </w:pPr>
      <w:r>
        <w:rPr>
          <w:rFonts w:hint="eastAsia" w:ascii="宋体" w:hAnsi="宋体"/>
          <w:b/>
          <w:bCs/>
          <w:color w:val="auto"/>
          <w:sz w:val="24"/>
          <w:highlight w:val="none"/>
        </w:rPr>
        <w:t>23.</w:t>
      </w:r>
      <w:r>
        <w:rPr>
          <w:rFonts w:hint="eastAsia" w:ascii="宋体" w:hAnsi="宋体" w:cs="Arial"/>
          <w:b/>
          <w:color w:val="auto"/>
          <w:sz w:val="24"/>
          <w:highlight w:val="none"/>
        </w:rPr>
        <w:t xml:space="preserve"> 串通</w:t>
      </w:r>
      <w:r>
        <w:rPr>
          <w:rFonts w:hint="eastAsia" w:ascii="宋体" w:hAnsi="宋体"/>
          <w:b/>
          <w:color w:val="auto"/>
          <w:sz w:val="24"/>
          <w:highlight w:val="none"/>
        </w:rPr>
        <w:t>投标行为</w:t>
      </w:r>
    </w:p>
    <w:p w14:paraId="05E1DE03">
      <w:pPr>
        <w:adjustRightInd w:val="0"/>
        <w:snapToGrid w:val="0"/>
        <w:spacing w:line="360" w:lineRule="auto"/>
        <w:ind w:firstLine="396" w:firstLineChars="200"/>
        <w:rPr>
          <w:rFonts w:ascii="宋体" w:hAnsi="宋体"/>
          <w:color w:val="auto"/>
          <w:spacing w:val="-6"/>
          <w:szCs w:val="21"/>
          <w:highlight w:val="none"/>
        </w:rPr>
      </w:pPr>
      <w:r>
        <w:rPr>
          <w:rFonts w:hint="eastAsia" w:ascii="宋体" w:hAnsi="宋体"/>
          <w:color w:val="auto"/>
          <w:spacing w:val="-6"/>
          <w:szCs w:val="21"/>
          <w:highlight w:val="none"/>
        </w:rPr>
        <w:t>23.1有下列情形之一的，属于恶意串通，对投标人依照政府采购法第七十七条第一款的规定追究法律责任：</w:t>
      </w:r>
    </w:p>
    <w:p w14:paraId="0006AEEB">
      <w:pPr>
        <w:adjustRightInd w:val="0"/>
        <w:snapToGrid w:val="0"/>
        <w:spacing w:line="360" w:lineRule="auto"/>
        <w:ind w:firstLine="396" w:firstLineChars="200"/>
        <w:rPr>
          <w:rFonts w:ascii="宋体" w:hAnsi="宋体"/>
          <w:color w:val="auto"/>
          <w:spacing w:val="-6"/>
          <w:szCs w:val="21"/>
          <w:highlight w:val="none"/>
        </w:rPr>
      </w:pPr>
      <w:r>
        <w:rPr>
          <w:rFonts w:hint="eastAsia" w:ascii="宋体" w:hAnsi="宋体"/>
          <w:color w:val="auto"/>
          <w:spacing w:val="-6"/>
          <w:szCs w:val="21"/>
          <w:highlight w:val="none"/>
        </w:rPr>
        <w:t>（1）投标人直接或者间接从采购人或者采购代理机构处获得其他投标人的相关情况并修改其投标文件；</w:t>
      </w:r>
    </w:p>
    <w:p w14:paraId="29590E0E">
      <w:pPr>
        <w:adjustRightInd w:val="0"/>
        <w:snapToGrid w:val="0"/>
        <w:spacing w:line="360" w:lineRule="auto"/>
        <w:ind w:firstLine="396" w:firstLineChars="200"/>
        <w:rPr>
          <w:rFonts w:ascii="宋体" w:hAnsi="宋体"/>
          <w:color w:val="auto"/>
          <w:spacing w:val="-6"/>
          <w:szCs w:val="21"/>
          <w:highlight w:val="none"/>
        </w:rPr>
      </w:pPr>
      <w:r>
        <w:rPr>
          <w:rFonts w:hint="eastAsia" w:ascii="宋体" w:hAnsi="宋体"/>
          <w:color w:val="auto"/>
          <w:spacing w:val="-6"/>
          <w:szCs w:val="21"/>
          <w:highlight w:val="none"/>
        </w:rPr>
        <w:t>（2）投标人按照采购人或者采购代理机构的授意撤换、修改投标文件；</w:t>
      </w:r>
    </w:p>
    <w:p w14:paraId="2B19AF7C">
      <w:pPr>
        <w:adjustRightInd w:val="0"/>
        <w:snapToGrid w:val="0"/>
        <w:spacing w:line="360" w:lineRule="auto"/>
        <w:ind w:firstLine="396" w:firstLineChars="200"/>
        <w:rPr>
          <w:rFonts w:ascii="宋体" w:hAnsi="宋体"/>
          <w:color w:val="auto"/>
          <w:spacing w:val="-6"/>
          <w:szCs w:val="21"/>
          <w:highlight w:val="none"/>
        </w:rPr>
      </w:pPr>
      <w:r>
        <w:rPr>
          <w:rFonts w:hint="eastAsia" w:ascii="宋体" w:hAnsi="宋体"/>
          <w:color w:val="auto"/>
          <w:spacing w:val="-6"/>
          <w:szCs w:val="21"/>
          <w:highlight w:val="none"/>
        </w:rPr>
        <w:t>（3）投标人之间协商报价、技术方案等投标文件的实质性内容；</w:t>
      </w:r>
    </w:p>
    <w:p w14:paraId="30EC7932">
      <w:pPr>
        <w:adjustRightInd w:val="0"/>
        <w:snapToGrid w:val="0"/>
        <w:spacing w:line="360" w:lineRule="auto"/>
        <w:ind w:firstLine="396" w:firstLineChars="200"/>
        <w:rPr>
          <w:rFonts w:ascii="宋体" w:hAnsi="宋体"/>
          <w:color w:val="auto"/>
          <w:spacing w:val="-6"/>
          <w:szCs w:val="21"/>
          <w:highlight w:val="none"/>
        </w:rPr>
      </w:pPr>
      <w:r>
        <w:rPr>
          <w:rFonts w:hint="eastAsia" w:ascii="宋体" w:hAnsi="宋体"/>
          <w:color w:val="auto"/>
          <w:spacing w:val="-6"/>
          <w:szCs w:val="21"/>
          <w:highlight w:val="none"/>
        </w:rPr>
        <w:t>（4）属于同一集团、协会、商会等组织成员的投标人按照该组织要求协同参加政府采购活动；</w:t>
      </w:r>
    </w:p>
    <w:p w14:paraId="3D44EDE6">
      <w:pPr>
        <w:adjustRightInd w:val="0"/>
        <w:snapToGrid w:val="0"/>
        <w:spacing w:line="360" w:lineRule="auto"/>
        <w:ind w:firstLine="396" w:firstLineChars="200"/>
        <w:rPr>
          <w:rFonts w:ascii="宋体" w:hAnsi="宋体"/>
          <w:color w:val="auto"/>
          <w:spacing w:val="-6"/>
          <w:szCs w:val="21"/>
          <w:highlight w:val="none"/>
        </w:rPr>
      </w:pPr>
      <w:r>
        <w:rPr>
          <w:rFonts w:hint="eastAsia" w:ascii="宋体" w:hAnsi="宋体"/>
          <w:color w:val="auto"/>
          <w:spacing w:val="-6"/>
          <w:szCs w:val="21"/>
          <w:highlight w:val="none"/>
        </w:rPr>
        <w:t>（5）投标人之间事先约定由某一特定投标人中标；</w:t>
      </w:r>
    </w:p>
    <w:p w14:paraId="5C595057">
      <w:pPr>
        <w:adjustRightInd w:val="0"/>
        <w:snapToGrid w:val="0"/>
        <w:spacing w:line="360" w:lineRule="auto"/>
        <w:ind w:firstLine="396" w:firstLineChars="200"/>
        <w:rPr>
          <w:rFonts w:ascii="宋体" w:hAnsi="宋体"/>
          <w:color w:val="auto"/>
          <w:spacing w:val="-6"/>
          <w:szCs w:val="21"/>
          <w:highlight w:val="none"/>
        </w:rPr>
      </w:pPr>
      <w:r>
        <w:rPr>
          <w:rFonts w:hint="eastAsia" w:ascii="宋体" w:hAnsi="宋体"/>
          <w:color w:val="auto"/>
          <w:spacing w:val="-6"/>
          <w:szCs w:val="21"/>
          <w:highlight w:val="none"/>
        </w:rPr>
        <w:t>（6）投标人之间商定部分投标人放弃参加政府采购活动或者放弃中标；</w:t>
      </w:r>
    </w:p>
    <w:p w14:paraId="13017523">
      <w:pPr>
        <w:adjustRightInd w:val="0"/>
        <w:snapToGrid w:val="0"/>
        <w:spacing w:line="360" w:lineRule="auto"/>
        <w:ind w:firstLine="396" w:firstLineChars="200"/>
        <w:rPr>
          <w:rFonts w:ascii="宋体" w:hAnsi="宋体"/>
          <w:color w:val="auto"/>
          <w:spacing w:val="-6"/>
          <w:szCs w:val="21"/>
          <w:highlight w:val="none"/>
        </w:rPr>
      </w:pPr>
      <w:r>
        <w:rPr>
          <w:rFonts w:hint="eastAsia" w:ascii="宋体" w:hAnsi="宋体"/>
          <w:color w:val="auto"/>
          <w:spacing w:val="-6"/>
          <w:szCs w:val="21"/>
          <w:highlight w:val="none"/>
        </w:rPr>
        <w:t>（7）投标人与采购人或者采购代理机构之间、投标人相互之间，为谋求特定投标人中标或者排斥其他投标人的其他串通行为。</w:t>
      </w:r>
    </w:p>
    <w:p w14:paraId="09185DE1">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23.2有下列情形之一的，视为投标人串通投标，其</w:t>
      </w:r>
      <w:r>
        <w:rPr>
          <w:rFonts w:hint="eastAsia" w:ascii="宋体" w:hAnsi="宋体"/>
          <w:b/>
          <w:color w:val="auto"/>
          <w:szCs w:val="21"/>
          <w:highlight w:val="none"/>
        </w:rPr>
        <w:t>投标无效</w:t>
      </w:r>
      <w:r>
        <w:rPr>
          <w:rFonts w:hint="eastAsia" w:ascii="宋体" w:hAnsi="宋体"/>
          <w:color w:val="auto"/>
          <w:szCs w:val="21"/>
          <w:highlight w:val="none"/>
        </w:rPr>
        <w:t>：</w:t>
      </w:r>
    </w:p>
    <w:p w14:paraId="441802C6">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（1）不同投标人的投标文件由同一单位或者个人编制；</w:t>
      </w:r>
    </w:p>
    <w:p w14:paraId="0EB46FEA">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（2）不同投标人委托同一单位或者个人办理投标事宜；</w:t>
      </w:r>
    </w:p>
    <w:p w14:paraId="3BF34AD1">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（3）不同投标人的投标文件载明的项目管理成员或者联系人员为同一人；</w:t>
      </w:r>
    </w:p>
    <w:p w14:paraId="2A684B07">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（4）不同投标人的投标文件异常一致或者投标报价呈规律性差异；</w:t>
      </w:r>
    </w:p>
    <w:p w14:paraId="456337F8">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（5）不同投标人的投标文件相互混装。</w:t>
      </w:r>
    </w:p>
    <w:p w14:paraId="740EEB62">
      <w:pPr>
        <w:pStyle w:val="4"/>
        <w:adjustRightInd w:val="0"/>
        <w:snapToGrid w:val="0"/>
        <w:spacing w:before="120" w:beforeLines="50" w:after="0" w:line="360" w:lineRule="auto"/>
        <w:jc w:val="center"/>
        <w:rPr>
          <w:rFonts w:ascii="黑体" w:hAnsi="黑体" w:eastAsia="黑体"/>
          <w:color w:val="auto"/>
          <w:sz w:val="28"/>
          <w:szCs w:val="28"/>
          <w:highlight w:val="none"/>
        </w:rPr>
      </w:pPr>
      <w:bookmarkStart w:id="234" w:name="_Toc154428396"/>
      <w:bookmarkStart w:id="235" w:name="_Toc3691"/>
      <w:bookmarkStart w:id="236" w:name="_Toc85972936"/>
      <w:bookmarkStart w:id="237" w:name="_Toc2710"/>
      <w:bookmarkStart w:id="238" w:name="_Toc77676472"/>
      <w:bookmarkStart w:id="239" w:name="_Toc14793"/>
      <w:bookmarkStart w:id="240" w:name="_Toc192951219"/>
      <w:bookmarkStart w:id="241" w:name="_Toc192949708"/>
      <w:bookmarkStart w:id="242" w:name="_Toc117192454"/>
      <w:bookmarkStart w:id="243" w:name="_Toc112704939"/>
      <w:bookmarkStart w:id="244" w:name="_Toc24268"/>
      <w:bookmarkStart w:id="245" w:name="_Toc114036718"/>
      <w:bookmarkStart w:id="246" w:name="_Toc75289554"/>
      <w:bookmarkStart w:id="247" w:name="_Toc16138"/>
      <w:bookmarkStart w:id="248" w:name="_Toc78314268"/>
      <w:bookmarkStart w:id="249" w:name="_Toc100670427"/>
      <w:bookmarkStart w:id="250" w:name="_Toc632"/>
      <w:bookmarkStart w:id="251" w:name="_Toc15888491"/>
      <w:bookmarkStart w:id="252" w:name="_Toc94367886"/>
      <w:bookmarkStart w:id="253" w:name="_Toc171273677"/>
      <w:bookmarkStart w:id="254" w:name="_Toc95601371"/>
      <w:bookmarkStart w:id="255" w:name="_Toc108341943"/>
      <w:bookmarkStart w:id="256" w:name="_Toc18046"/>
      <w:bookmarkStart w:id="257" w:name="_Toc21272"/>
      <w:bookmarkStart w:id="258" w:name="_Toc77199405"/>
      <w:bookmarkStart w:id="259" w:name="_Toc29944"/>
      <w:bookmarkStart w:id="260" w:name="_Toc78449961"/>
      <w:bookmarkStart w:id="261" w:name="_Toc75289232"/>
      <w:bookmarkStart w:id="262" w:name="_Toc100670674"/>
      <w:bookmarkStart w:id="263" w:name="_Toc192949609"/>
      <w:r>
        <w:rPr>
          <w:rFonts w:hint="eastAsia" w:ascii="黑体" w:hAnsi="黑体" w:eastAsia="黑体"/>
          <w:color w:val="auto"/>
          <w:sz w:val="28"/>
          <w:szCs w:val="28"/>
          <w:highlight w:val="none"/>
        </w:rPr>
        <w:t>五、开标，资格审查和评标</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4F0814A5">
      <w:pPr>
        <w:adjustRightInd w:val="0"/>
        <w:snapToGrid w:val="0"/>
        <w:spacing w:line="360" w:lineRule="auto"/>
        <w:rPr>
          <w:rFonts w:ascii="宋体" w:hAnsi="宋体"/>
          <w:b/>
          <w:bCs/>
          <w:color w:val="auto"/>
          <w:sz w:val="24"/>
          <w:highlight w:val="none"/>
        </w:rPr>
      </w:pPr>
      <w:r>
        <w:rPr>
          <w:rFonts w:hint="eastAsia" w:ascii="宋体" w:hAnsi="宋体"/>
          <w:b/>
          <w:bCs/>
          <w:color w:val="auto"/>
          <w:sz w:val="24"/>
          <w:highlight w:val="none"/>
        </w:rPr>
        <w:t>24. 开标</w:t>
      </w:r>
    </w:p>
    <w:p w14:paraId="6C473DE6">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24.1采购人、采购代理机构按</w:t>
      </w:r>
      <w:r>
        <w:rPr>
          <w:rFonts w:hint="eastAsia" w:ascii="宋体" w:hAnsi="宋体"/>
          <w:b/>
          <w:color w:val="auto"/>
          <w:szCs w:val="21"/>
          <w:highlight w:val="none"/>
        </w:rPr>
        <w:t>【投标须知前附表】</w:t>
      </w:r>
      <w:r>
        <w:rPr>
          <w:rFonts w:hint="eastAsia" w:ascii="宋体" w:hAnsi="宋体"/>
          <w:color w:val="auto"/>
          <w:szCs w:val="21"/>
          <w:highlight w:val="none"/>
        </w:rPr>
        <w:t>的规定组织网上开标，并邀请投标人网上参加。投标人未按时解密的视为自动放弃。</w:t>
      </w:r>
    </w:p>
    <w:p w14:paraId="1F24B110">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24.2开标时，由系统宣读投标人名称、投标价格和</w:t>
      </w:r>
      <w:r>
        <w:rPr>
          <w:rFonts w:hint="eastAsia" w:ascii="宋体" w:hAnsi="宋体"/>
          <w:b/>
          <w:color w:val="auto"/>
          <w:szCs w:val="21"/>
          <w:highlight w:val="none"/>
        </w:rPr>
        <w:t>【投标须知前附表】</w:t>
      </w:r>
      <w:r>
        <w:rPr>
          <w:rFonts w:hint="eastAsia" w:ascii="宋体" w:hAnsi="宋体"/>
          <w:color w:val="auto"/>
          <w:szCs w:val="21"/>
          <w:highlight w:val="none"/>
        </w:rPr>
        <w:t>规定需要宣布的其他内容。投标人不足3家的，不得开标。</w:t>
      </w:r>
    </w:p>
    <w:p w14:paraId="4CD99BBC">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24.3开标过程由系统自动生成，采购人、采购代理机构签字后随采购文件一并存档。</w:t>
      </w:r>
    </w:p>
    <w:p w14:paraId="468C35C6">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24.4投标人对开标过程和开标记录有疑义，以及认为采购人、采购代理机构相关工作人员有《政府采购法实施条例》第九条第一款需要回避的情形的，可以提出询问或者回避申请。</w:t>
      </w:r>
    </w:p>
    <w:p w14:paraId="07F01D4D">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24.5采购人、采购代理机构对投标人提出的询问或者回避申请，按《政府采购法实施条例》有关规定及时处理。</w:t>
      </w:r>
    </w:p>
    <w:p w14:paraId="5FD8232F">
      <w:pPr>
        <w:adjustRightInd w:val="0"/>
        <w:snapToGrid w:val="0"/>
        <w:spacing w:line="360" w:lineRule="auto"/>
        <w:rPr>
          <w:rFonts w:ascii="宋体" w:hAnsi="宋体"/>
          <w:b/>
          <w:color w:val="auto"/>
          <w:sz w:val="24"/>
          <w:highlight w:val="none"/>
        </w:rPr>
      </w:pPr>
      <w:r>
        <w:rPr>
          <w:rStyle w:val="50"/>
          <w:rFonts w:hint="eastAsia" w:ascii="宋体" w:hAnsi="宋体" w:cs="Arial"/>
          <w:color w:val="auto"/>
          <w:sz w:val="24"/>
          <w:highlight w:val="none"/>
        </w:rPr>
        <w:t>25.</w:t>
      </w:r>
      <w:r>
        <w:rPr>
          <w:rFonts w:hint="eastAsia" w:ascii="宋体" w:hAnsi="宋体"/>
          <w:b/>
          <w:color w:val="auto"/>
          <w:sz w:val="24"/>
          <w:highlight w:val="none"/>
        </w:rPr>
        <w:t xml:space="preserve"> 资格审查</w:t>
      </w:r>
    </w:p>
    <w:p w14:paraId="4D0BE9D4">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25.1开标结束后，采购人、采购代理机构依法按照第三章“资格审查”规定组织资格审查。</w:t>
      </w:r>
    </w:p>
    <w:p w14:paraId="5D3E4346">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25.2资格审查结束后，采购人、采购代理机构应将资格审查结果告知评标委员会。资格审查不合格投标人不进入评标；资格审查合格投标人少于3家的，不得评标。</w:t>
      </w:r>
    </w:p>
    <w:p w14:paraId="376283CA">
      <w:pPr>
        <w:adjustRightInd w:val="0"/>
        <w:snapToGrid w:val="0"/>
        <w:spacing w:line="360" w:lineRule="auto"/>
        <w:rPr>
          <w:rFonts w:ascii="宋体" w:hAnsi="宋体"/>
          <w:b/>
          <w:color w:val="auto"/>
          <w:sz w:val="24"/>
          <w:highlight w:val="none"/>
        </w:rPr>
      </w:pPr>
      <w:r>
        <w:rPr>
          <w:rFonts w:hint="eastAsia" w:ascii="宋体" w:hAnsi="宋体"/>
          <w:b/>
          <w:bCs/>
          <w:color w:val="auto"/>
          <w:sz w:val="24"/>
          <w:highlight w:val="none"/>
        </w:rPr>
        <w:t>26.</w:t>
      </w:r>
      <w:r>
        <w:rPr>
          <w:rFonts w:hint="eastAsia" w:ascii="宋体" w:hAnsi="宋体"/>
          <w:b/>
          <w:color w:val="auto"/>
          <w:sz w:val="24"/>
          <w:highlight w:val="none"/>
        </w:rPr>
        <w:t xml:space="preserve"> 评标委员会</w:t>
      </w:r>
    </w:p>
    <w:p w14:paraId="352B543D">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26.1评标由依法组建的评标委员会负责，评标委员会由采购人代表和评审专家</w:t>
      </w:r>
      <w:r>
        <w:rPr>
          <w:rFonts w:hint="eastAsia" w:ascii="宋体" w:hAnsi="宋体" w:cs="宋体"/>
          <w:color w:val="auto"/>
          <w:szCs w:val="21"/>
          <w:highlight w:val="none"/>
        </w:rPr>
        <w:t>组成</w:t>
      </w:r>
      <w:r>
        <w:rPr>
          <w:rFonts w:hint="eastAsia" w:ascii="宋体" w:hAnsi="宋体"/>
          <w:color w:val="auto"/>
          <w:szCs w:val="21"/>
          <w:highlight w:val="none"/>
        </w:rPr>
        <w:t>。</w:t>
      </w:r>
    </w:p>
    <w:p w14:paraId="6422C05E">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26.2评标委员会成员有下列情形之一的，应当回避：</w:t>
      </w:r>
    </w:p>
    <w:p w14:paraId="143C80DA">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（1）参加采购活动前三年内,与投标人存在劳动关系,或者担任过投标人的董事、监事,或者是投标人的控股股东或实际控制人；</w:t>
      </w:r>
    </w:p>
    <w:p w14:paraId="11B6A80F">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（2）与投标人的法定代表人或者负责人有夫妻、直系血亲、三代以内旁系血亲或者近姻亲关系；</w:t>
      </w:r>
    </w:p>
    <w:p w14:paraId="3B5316D9">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（3）与投标人有其他可能影响政府采购活动公平、公正进行的关系。</w:t>
      </w:r>
    </w:p>
    <w:p w14:paraId="0133F835">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26.3评标委员会负责具体评标事务，并独立履行下列职责：</w:t>
      </w:r>
    </w:p>
    <w:p w14:paraId="698E2730">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（1）审查、评价投标文件是否符合招标文件的商务、技术等实质性要求；</w:t>
      </w:r>
    </w:p>
    <w:p w14:paraId="1F0CAE0B">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（2）要求投标人对投标文件有关事项作出澄清或者说明；</w:t>
      </w:r>
    </w:p>
    <w:p w14:paraId="7897B5EB">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（3）对投标文件进行比较和评价；</w:t>
      </w:r>
    </w:p>
    <w:p w14:paraId="1A0C6087">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（4）确定中标候选人名单，以及根据采购人委托直接确定中标人。</w:t>
      </w:r>
    </w:p>
    <w:p w14:paraId="144B0724">
      <w:pPr>
        <w:adjustRightInd w:val="0"/>
        <w:snapToGrid w:val="0"/>
        <w:spacing w:line="360" w:lineRule="auto"/>
        <w:rPr>
          <w:rFonts w:ascii="宋体" w:hAnsi="宋体"/>
          <w:b/>
          <w:bCs/>
          <w:color w:val="auto"/>
          <w:sz w:val="24"/>
          <w:highlight w:val="none"/>
        </w:rPr>
      </w:pPr>
      <w:r>
        <w:rPr>
          <w:rFonts w:hint="eastAsia" w:ascii="宋体" w:hAnsi="宋体"/>
          <w:b/>
          <w:color w:val="auto"/>
          <w:sz w:val="24"/>
          <w:highlight w:val="none"/>
        </w:rPr>
        <w:t>27.</w:t>
      </w:r>
      <w:r>
        <w:rPr>
          <w:rFonts w:hint="eastAsia" w:ascii="宋体" w:hAnsi="宋体"/>
          <w:b/>
          <w:bCs/>
          <w:color w:val="auto"/>
          <w:sz w:val="24"/>
          <w:highlight w:val="none"/>
        </w:rPr>
        <w:t xml:space="preserve"> 评标</w:t>
      </w:r>
    </w:p>
    <w:p w14:paraId="107F2E82">
      <w:pPr>
        <w:adjustRightInd w:val="0"/>
        <w:snapToGrid w:val="0"/>
        <w:spacing w:line="360" w:lineRule="auto"/>
        <w:ind w:firstLine="420" w:firstLineChars="200"/>
        <w:rPr>
          <w:rFonts w:ascii="宋体" w:hAnsi="宋体"/>
          <w:color w:val="auto"/>
          <w:highlight w:val="none"/>
        </w:rPr>
      </w:pPr>
      <w:r>
        <w:rPr>
          <w:rFonts w:hint="eastAsia" w:ascii="宋体" w:hAnsi="宋体"/>
          <w:color w:val="auto"/>
          <w:highlight w:val="none"/>
        </w:rPr>
        <w:t>27.1评标委员会按照</w:t>
      </w:r>
      <w:r>
        <w:rPr>
          <w:rFonts w:hint="eastAsia" w:ascii="宋体" w:hAnsi="宋体"/>
          <w:bCs/>
          <w:color w:val="auto"/>
          <w:highlight w:val="none"/>
        </w:rPr>
        <w:t>第四章“评标方法及标准”</w:t>
      </w:r>
      <w:r>
        <w:rPr>
          <w:rFonts w:hint="eastAsia" w:ascii="宋体" w:hAnsi="宋体"/>
          <w:color w:val="auto"/>
          <w:highlight w:val="none"/>
        </w:rPr>
        <w:t>规定的评标方法、评审因素、标准和程序以及有关法律、法规及规章对投标文件进行评审。</w:t>
      </w:r>
    </w:p>
    <w:p w14:paraId="2001A131">
      <w:pPr>
        <w:pStyle w:val="4"/>
        <w:adjustRightInd w:val="0"/>
        <w:snapToGrid w:val="0"/>
        <w:spacing w:before="120" w:beforeLines="50" w:after="0" w:line="360" w:lineRule="auto"/>
        <w:jc w:val="center"/>
        <w:rPr>
          <w:rFonts w:ascii="黑体" w:hAnsi="黑体" w:eastAsia="黑体"/>
          <w:color w:val="auto"/>
          <w:sz w:val="28"/>
          <w:szCs w:val="28"/>
          <w:highlight w:val="none"/>
        </w:rPr>
      </w:pPr>
      <w:bookmarkStart w:id="264" w:name="_Toc154428397"/>
      <w:bookmarkStart w:id="265" w:name="_Toc21537"/>
      <w:bookmarkStart w:id="266" w:name="_Toc32692"/>
      <w:bookmarkStart w:id="267" w:name="_Toc13364"/>
      <w:bookmarkStart w:id="268" w:name="_Toc100670675"/>
      <w:bookmarkStart w:id="269" w:name="_Toc78314269"/>
      <w:bookmarkStart w:id="270" w:name="_Toc95601372"/>
      <w:bookmarkStart w:id="271" w:name="_Toc192951220"/>
      <w:bookmarkStart w:id="272" w:name="_Toc78449962"/>
      <w:bookmarkStart w:id="273" w:name="_Toc171273678"/>
      <w:bookmarkStart w:id="274" w:name="_Toc7153"/>
      <w:bookmarkStart w:id="275" w:name="_Toc108341944"/>
      <w:bookmarkStart w:id="276" w:name="_Toc117192455"/>
      <w:bookmarkStart w:id="277" w:name="_Toc2789"/>
      <w:bookmarkStart w:id="278" w:name="_Toc15888492"/>
      <w:bookmarkStart w:id="279" w:name="_Toc75289233"/>
      <w:bookmarkStart w:id="280" w:name="_Toc75289555"/>
      <w:bookmarkStart w:id="281" w:name="_Toc100670428"/>
      <w:bookmarkStart w:id="282" w:name="_Toc114036719"/>
      <w:bookmarkStart w:id="283" w:name="_Toc7415"/>
      <w:bookmarkStart w:id="284" w:name="_Toc192949709"/>
      <w:bookmarkStart w:id="285" w:name="_Toc94367887"/>
      <w:bookmarkStart w:id="286" w:name="_Toc77676473"/>
      <w:bookmarkStart w:id="287" w:name="_Toc77199406"/>
      <w:bookmarkStart w:id="288" w:name="_Toc26097"/>
      <w:bookmarkStart w:id="289" w:name="_Toc14452"/>
      <w:bookmarkStart w:id="290" w:name="_Toc28279"/>
      <w:bookmarkStart w:id="291" w:name="_Toc112704940"/>
      <w:bookmarkStart w:id="292" w:name="_Toc192949610"/>
      <w:bookmarkStart w:id="293" w:name="_Toc85972937"/>
      <w:r>
        <w:rPr>
          <w:rFonts w:hint="eastAsia" w:ascii="黑体" w:hAnsi="黑体" w:eastAsia="黑体"/>
          <w:color w:val="auto"/>
          <w:sz w:val="28"/>
          <w:szCs w:val="28"/>
          <w:highlight w:val="none"/>
        </w:rPr>
        <w:t>六、中标信息公布</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58DB6F6F">
      <w:pPr>
        <w:adjustRightInd w:val="0"/>
        <w:snapToGrid w:val="0"/>
        <w:spacing w:line="360" w:lineRule="auto"/>
        <w:rPr>
          <w:rFonts w:ascii="宋体" w:hAnsi="宋体"/>
          <w:b/>
          <w:bCs/>
          <w:color w:val="auto"/>
          <w:sz w:val="24"/>
          <w:highlight w:val="none"/>
        </w:rPr>
      </w:pPr>
      <w:r>
        <w:rPr>
          <w:rFonts w:hint="eastAsia" w:ascii="宋体" w:hAnsi="宋体"/>
          <w:b/>
          <w:color w:val="auto"/>
          <w:sz w:val="24"/>
          <w:highlight w:val="none"/>
        </w:rPr>
        <w:t>28.</w:t>
      </w:r>
      <w:r>
        <w:rPr>
          <w:rFonts w:hint="eastAsia" w:ascii="宋体" w:hAnsi="宋体"/>
          <w:b/>
          <w:bCs/>
          <w:color w:val="auto"/>
          <w:sz w:val="24"/>
          <w:highlight w:val="none"/>
        </w:rPr>
        <w:t>中标通知书与中标信息公布</w:t>
      </w:r>
    </w:p>
    <w:p w14:paraId="15E1F581">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28.1采购代理机构应当在评标结束后2个工作日内将评标报告送采购人。</w:t>
      </w:r>
    </w:p>
    <w:p w14:paraId="56B05552">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28.2采购人应当自收到评标报告之日起5个工作日内，在评标报告确定的中标候选人名单中按顺序确定中标人。中标候选人并列的，按照</w:t>
      </w:r>
      <w:r>
        <w:rPr>
          <w:rFonts w:hint="eastAsia" w:ascii="宋体" w:hAnsi="宋体"/>
          <w:b/>
          <w:color w:val="auto"/>
          <w:szCs w:val="21"/>
          <w:highlight w:val="none"/>
        </w:rPr>
        <w:t>【投标须知前附表】</w:t>
      </w:r>
      <w:r>
        <w:rPr>
          <w:rFonts w:hint="eastAsia" w:ascii="宋体" w:hAnsi="宋体"/>
          <w:color w:val="auto"/>
          <w:szCs w:val="21"/>
          <w:highlight w:val="none"/>
        </w:rPr>
        <w:t>规定的方式确定中标人；招标文件未规定的，采取随机抽取的方式确定。</w:t>
      </w:r>
    </w:p>
    <w:p w14:paraId="52844D72">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28.3采购人、采购代理机构应当自采购人确定中标供应商之日起2个工作日内，发出中标通知书，并在招标公告指定媒体上公告中标结果，招标文件随中标结果同时公告，中标结果公告期限为1个工作日。</w:t>
      </w:r>
    </w:p>
    <w:p w14:paraId="21361D5E">
      <w:pPr>
        <w:adjustRightInd w:val="0"/>
        <w:snapToGrid w:val="0"/>
        <w:spacing w:line="360" w:lineRule="auto"/>
        <w:rPr>
          <w:rFonts w:ascii="宋体" w:hAnsi="宋体"/>
          <w:b/>
          <w:bCs/>
          <w:color w:val="auto"/>
          <w:sz w:val="24"/>
          <w:highlight w:val="none"/>
        </w:rPr>
      </w:pPr>
      <w:r>
        <w:rPr>
          <w:rFonts w:hint="eastAsia" w:ascii="宋体" w:hAnsi="宋体"/>
          <w:b/>
          <w:bCs/>
          <w:color w:val="auto"/>
          <w:sz w:val="24"/>
          <w:highlight w:val="none"/>
        </w:rPr>
        <w:t>29.</w:t>
      </w:r>
      <w:r>
        <w:rPr>
          <w:rFonts w:hint="eastAsia" w:ascii="宋体" w:hAnsi="宋体"/>
          <w:b/>
          <w:color w:val="auto"/>
          <w:sz w:val="24"/>
          <w:highlight w:val="none"/>
        </w:rPr>
        <w:t xml:space="preserve"> 投标人询问及</w:t>
      </w:r>
      <w:r>
        <w:rPr>
          <w:rFonts w:hint="eastAsia" w:ascii="宋体" w:hAnsi="宋体"/>
          <w:b/>
          <w:bCs/>
          <w:color w:val="auto"/>
          <w:sz w:val="24"/>
          <w:highlight w:val="none"/>
        </w:rPr>
        <w:t>质疑</w:t>
      </w:r>
    </w:p>
    <w:p w14:paraId="0884D0BF">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29.1投标人对政府采购活动事项有疑问的，可以向采购人、采购代理机构提出询问。采购人或者采购代理机构将在3个工作日内作出答复。</w:t>
      </w:r>
    </w:p>
    <w:p w14:paraId="03A9E3A5">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29.2投标人认为招标文件、采购过程和中标结果使自己的权益受到损害的，可以在知道或者应知其权益受到损害之日起7个工作日内，按照《湖南省财政厅关于印发＜政府采购质疑答复和投诉处理操作规程＞的通知》(湘财购〔20</w:t>
      </w:r>
      <w:r>
        <w:rPr>
          <w:rFonts w:hint="eastAsia" w:ascii="宋体" w:hAnsi="宋体"/>
          <w:color w:val="auto"/>
          <w:szCs w:val="21"/>
          <w:highlight w:val="none"/>
          <w:lang w:val="en-US" w:eastAsia="zh-CN"/>
        </w:rPr>
        <w:t>24</w:t>
      </w:r>
      <w:r>
        <w:rPr>
          <w:rFonts w:hint="eastAsia" w:ascii="宋体" w:hAnsi="宋体"/>
          <w:color w:val="auto"/>
          <w:szCs w:val="21"/>
          <w:highlight w:val="none"/>
        </w:rPr>
        <w:t>〕</w:t>
      </w:r>
      <w:r>
        <w:rPr>
          <w:rFonts w:hint="eastAsia" w:ascii="宋体" w:hAnsi="宋体"/>
          <w:color w:val="auto"/>
          <w:szCs w:val="21"/>
          <w:highlight w:val="none"/>
          <w:lang w:val="en-US" w:eastAsia="zh-CN"/>
        </w:rPr>
        <w:t>67</w:t>
      </w:r>
      <w:r>
        <w:rPr>
          <w:rFonts w:hint="eastAsia" w:ascii="宋体" w:hAnsi="宋体"/>
          <w:color w:val="auto"/>
          <w:szCs w:val="21"/>
          <w:highlight w:val="none"/>
        </w:rPr>
        <w:t>号)规定，以纸质书面形式向采购人、采购代理机构提出质疑。投标人应当在法定质疑期内一次性提出针对同一采购程序环节的质疑。</w:t>
      </w:r>
    </w:p>
    <w:p w14:paraId="42039999">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29.3投标人提出质疑的，应按照《湖南省财政厅关于印发＜政府采购质疑答复和投诉处理操作规程＞的通知》规定制作、签署、送达。采购人、采购代理机构接收质疑函的联系部门、联系电话和通讯地址见</w:t>
      </w:r>
      <w:r>
        <w:rPr>
          <w:rFonts w:hint="eastAsia" w:ascii="宋体" w:hAnsi="宋体"/>
          <w:b/>
          <w:color w:val="auto"/>
          <w:szCs w:val="21"/>
          <w:highlight w:val="none"/>
        </w:rPr>
        <w:t>【申请人须知前附表】</w:t>
      </w:r>
      <w:r>
        <w:rPr>
          <w:rFonts w:hint="eastAsia" w:ascii="宋体" w:hAnsi="宋体"/>
          <w:color w:val="auto"/>
          <w:szCs w:val="21"/>
          <w:highlight w:val="none"/>
        </w:rPr>
        <w:t xml:space="preserve">。  </w:t>
      </w:r>
    </w:p>
    <w:p w14:paraId="5EAE357A">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29.4采购人、采购代理机构按照《湖南省财政厅关于印发＜政府采购质疑答复和投诉处理操作规程＞的通知》规定进行质疑答复。</w:t>
      </w:r>
    </w:p>
    <w:p w14:paraId="7A82657E">
      <w:pPr>
        <w:adjustRightInd w:val="0"/>
        <w:snapToGrid w:val="0"/>
        <w:spacing w:line="360" w:lineRule="auto"/>
        <w:ind w:firstLine="420" w:firstLineChars="200"/>
        <w:rPr>
          <w:rFonts w:ascii="宋体" w:hAnsi="宋体"/>
          <w:b/>
          <w:bCs/>
          <w:color w:val="auto"/>
          <w:highlight w:val="none"/>
        </w:rPr>
      </w:pPr>
      <w:r>
        <w:rPr>
          <w:rFonts w:hint="eastAsia" w:ascii="宋体" w:hAnsi="宋体"/>
          <w:color w:val="auto"/>
          <w:szCs w:val="21"/>
          <w:highlight w:val="none"/>
        </w:rPr>
        <w:t>29</w:t>
      </w:r>
      <w:r>
        <w:rPr>
          <w:rFonts w:ascii="宋体" w:hAnsi="宋体"/>
          <w:color w:val="auto"/>
          <w:szCs w:val="21"/>
          <w:highlight w:val="none"/>
        </w:rPr>
        <w:t>.</w:t>
      </w:r>
      <w:r>
        <w:rPr>
          <w:rFonts w:hint="eastAsia" w:ascii="宋体" w:hAnsi="宋体"/>
          <w:color w:val="auto"/>
          <w:szCs w:val="21"/>
          <w:highlight w:val="none"/>
        </w:rPr>
        <w:t>5投标人对采购人、采购代理机构的答复不满意，或采购人或采购代理机构未在规定的期限作出答复的，可在答复期满后15个工作日内，按照《湖南省财政厅关于印发＜政府采购质疑答复和投诉处理操作规程＞的通知》规定向采购人同级财政部门提出投诉。</w:t>
      </w:r>
    </w:p>
    <w:p w14:paraId="7BB289B8">
      <w:pPr>
        <w:pStyle w:val="4"/>
        <w:adjustRightInd w:val="0"/>
        <w:snapToGrid w:val="0"/>
        <w:spacing w:before="120" w:beforeLines="50" w:after="0" w:line="360" w:lineRule="auto"/>
        <w:jc w:val="center"/>
        <w:rPr>
          <w:rFonts w:ascii="黑体" w:hAnsi="黑体" w:eastAsia="黑体"/>
          <w:color w:val="auto"/>
          <w:sz w:val="28"/>
          <w:szCs w:val="28"/>
          <w:highlight w:val="none"/>
        </w:rPr>
      </w:pPr>
      <w:bookmarkStart w:id="294" w:name="_Toc26834"/>
      <w:bookmarkStart w:id="295" w:name="_Toc14362"/>
      <w:bookmarkStart w:id="296" w:name="_Toc77676474"/>
      <w:bookmarkStart w:id="297" w:name="_Toc100670676"/>
      <w:bookmarkStart w:id="298" w:name="_Toc75289234"/>
      <w:bookmarkStart w:id="299" w:name="_Toc192949710"/>
      <w:bookmarkStart w:id="300" w:name="_Toc75289556"/>
      <w:bookmarkStart w:id="301" w:name="_Toc192949611"/>
      <w:bookmarkStart w:id="302" w:name="_Toc95601373"/>
      <w:bookmarkStart w:id="303" w:name="_Toc22567"/>
      <w:bookmarkStart w:id="304" w:name="_Toc154428398"/>
      <w:bookmarkStart w:id="305" w:name="_Toc806"/>
      <w:bookmarkStart w:id="306" w:name="_Toc31762"/>
      <w:bookmarkStart w:id="307" w:name="_Toc94367888"/>
      <w:bookmarkStart w:id="308" w:name="_Toc117192456"/>
      <w:bookmarkStart w:id="309" w:name="_Toc114036720"/>
      <w:bookmarkStart w:id="310" w:name="_Toc192951221"/>
      <w:bookmarkStart w:id="311" w:name="_Toc78314270"/>
      <w:bookmarkStart w:id="312" w:name="_Toc15888493"/>
      <w:bookmarkStart w:id="313" w:name="_Toc17782"/>
      <w:bookmarkStart w:id="314" w:name="_Toc954"/>
      <w:bookmarkStart w:id="315" w:name="_Toc85972938"/>
      <w:bookmarkStart w:id="316" w:name="_Toc108341945"/>
      <w:bookmarkStart w:id="317" w:name="_Toc3517"/>
      <w:bookmarkStart w:id="318" w:name="_Toc100670429"/>
      <w:bookmarkStart w:id="319" w:name="_Toc171273679"/>
      <w:bookmarkStart w:id="320" w:name="_Toc15384"/>
      <w:bookmarkStart w:id="321" w:name="_Toc77199407"/>
      <w:bookmarkStart w:id="322" w:name="_Toc78449963"/>
      <w:bookmarkStart w:id="323" w:name="_Toc112704941"/>
      <w:r>
        <w:rPr>
          <w:rFonts w:hint="eastAsia" w:ascii="黑体" w:hAnsi="黑体" w:eastAsia="黑体"/>
          <w:color w:val="auto"/>
          <w:sz w:val="28"/>
          <w:szCs w:val="28"/>
          <w:highlight w:val="none"/>
        </w:rPr>
        <w:t>七、合同签订</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14:paraId="1290AC20">
      <w:pPr>
        <w:adjustRightInd w:val="0"/>
        <w:snapToGrid w:val="0"/>
        <w:spacing w:line="360" w:lineRule="auto"/>
        <w:rPr>
          <w:rFonts w:ascii="宋体" w:hAnsi="宋体"/>
          <w:b/>
          <w:bCs/>
          <w:color w:val="auto"/>
          <w:sz w:val="24"/>
          <w:highlight w:val="none"/>
        </w:rPr>
      </w:pPr>
      <w:r>
        <w:rPr>
          <w:rFonts w:hint="eastAsia" w:ascii="宋体" w:hAnsi="宋体"/>
          <w:b/>
          <w:bCs/>
          <w:color w:val="auto"/>
          <w:sz w:val="24"/>
          <w:highlight w:val="none"/>
        </w:rPr>
        <w:t>30. 签订合同</w:t>
      </w:r>
    </w:p>
    <w:p w14:paraId="0FA37185">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30.1采购人应自中标通知书发出之日起30日内，按中标通知书指定的时间、地点与中标人签订政府采购合同。所签订的合同不得对招标文件确定的事项和中标人投标文件作实质性修改。</w:t>
      </w:r>
    </w:p>
    <w:p w14:paraId="7A807297">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30.2招标文件、中标人的投标文件均为签订合同的依据。</w:t>
      </w:r>
    </w:p>
    <w:p w14:paraId="38A5A184">
      <w:pPr>
        <w:adjustRightInd w:val="0"/>
        <w:snapToGrid w:val="0"/>
        <w:spacing w:line="360" w:lineRule="auto"/>
        <w:ind w:firstLine="420" w:firstLineChars="200"/>
        <w:rPr>
          <w:rFonts w:ascii="宋体" w:hAnsi="宋体" w:cs="微软雅黑"/>
          <w:color w:val="auto"/>
          <w:kern w:val="0"/>
          <w:szCs w:val="21"/>
          <w:highlight w:val="none"/>
        </w:rPr>
      </w:pPr>
      <w:r>
        <w:rPr>
          <w:rFonts w:hint="eastAsia" w:ascii="宋体" w:hAnsi="宋体" w:cs="微软雅黑"/>
          <w:color w:val="auto"/>
          <w:kern w:val="0"/>
          <w:szCs w:val="21"/>
          <w:highlight w:val="none"/>
        </w:rPr>
        <w:t>30.3联</w:t>
      </w:r>
      <w:r>
        <w:rPr>
          <w:rFonts w:hint="eastAsia" w:ascii="宋体" w:hAnsi="宋体" w:cs="微软雅黑"/>
          <w:color w:val="auto"/>
          <w:spacing w:val="-2"/>
          <w:kern w:val="0"/>
          <w:szCs w:val="21"/>
          <w:highlight w:val="none"/>
        </w:rPr>
        <w:t>合</w:t>
      </w:r>
      <w:r>
        <w:rPr>
          <w:rFonts w:hint="eastAsia" w:ascii="宋体" w:hAnsi="宋体" w:cs="微软雅黑"/>
          <w:color w:val="auto"/>
          <w:kern w:val="0"/>
          <w:szCs w:val="21"/>
          <w:highlight w:val="none"/>
        </w:rPr>
        <w:t>体</w:t>
      </w:r>
      <w:r>
        <w:rPr>
          <w:rFonts w:hint="eastAsia" w:ascii="宋体" w:hAnsi="宋体" w:cs="微软雅黑"/>
          <w:color w:val="auto"/>
          <w:spacing w:val="-2"/>
          <w:kern w:val="0"/>
          <w:szCs w:val="21"/>
          <w:highlight w:val="none"/>
        </w:rPr>
        <w:t>中</w:t>
      </w:r>
      <w:r>
        <w:rPr>
          <w:rFonts w:hint="eastAsia" w:ascii="宋体" w:hAnsi="宋体" w:cs="微软雅黑"/>
          <w:color w:val="auto"/>
          <w:kern w:val="0"/>
          <w:szCs w:val="21"/>
          <w:highlight w:val="none"/>
        </w:rPr>
        <w:t>标的</w:t>
      </w:r>
      <w:r>
        <w:rPr>
          <w:rFonts w:hint="eastAsia" w:ascii="宋体" w:hAnsi="宋体" w:cs="微软雅黑"/>
          <w:color w:val="auto"/>
          <w:spacing w:val="-14"/>
          <w:kern w:val="0"/>
          <w:szCs w:val="21"/>
          <w:highlight w:val="none"/>
        </w:rPr>
        <w:t>，</w:t>
      </w:r>
      <w:r>
        <w:rPr>
          <w:rFonts w:hint="eastAsia" w:ascii="宋体" w:hAnsi="宋体" w:cs="微软雅黑"/>
          <w:color w:val="auto"/>
          <w:kern w:val="0"/>
          <w:szCs w:val="21"/>
          <w:highlight w:val="none"/>
        </w:rPr>
        <w:t>联</w:t>
      </w:r>
      <w:r>
        <w:rPr>
          <w:rFonts w:hint="eastAsia" w:ascii="宋体" w:hAnsi="宋体" w:cs="微软雅黑"/>
          <w:color w:val="auto"/>
          <w:spacing w:val="-2"/>
          <w:kern w:val="0"/>
          <w:szCs w:val="21"/>
          <w:highlight w:val="none"/>
        </w:rPr>
        <w:t>合</w:t>
      </w:r>
      <w:r>
        <w:rPr>
          <w:rFonts w:hint="eastAsia" w:ascii="宋体" w:hAnsi="宋体" w:cs="微软雅黑"/>
          <w:color w:val="auto"/>
          <w:kern w:val="0"/>
          <w:szCs w:val="21"/>
          <w:highlight w:val="none"/>
        </w:rPr>
        <w:t>体各</w:t>
      </w:r>
      <w:r>
        <w:rPr>
          <w:rFonts w:hint="eastAsia" w:ascii="宋体" w:hAnsi="宋体" w:cs="微软雅黑"/>
          <w:color w:val="auto"/>
          <w:spacing w:val="-2"/>
          <w:kern w:val="0"/>
          <w:szCs w:val="21"/>
          <w:highlight w:val="none"/>
        </w:rPr>
        <w:t>方</w:t>
      </w:r>
      <w:r>
        <w:rPr>
          <w:rFonts w:hint="eastAsia" w:ascii="宋体" w:hAnsi="宋体" w:cs="微软雅黑"/>
          <w:color w:val="auto"/>
          <w:kern w:val="0"/>
          <w:szCs w:val="21"/>
          <w:highlight w:val="none"/>
        </w:rPr>
        <w:t>应</w:t>
      </w:r>
      <w:r>
        <w:rPr>
          <w:rFonts w:hint="eastAsia" w:ascii="宋体" w:hAnsi="宋体" w:cs="微软雅黑"/>
          <w:color w:val="auto"/>
          <w:spacing w:val="-2"/>
          <w:kern w:val="0"/>
          <w:szCs w:val="21"/>
          <w:highlight w:val="none"/>
        </w:rPr>
        <w:t>当</w:t>
      </w:r>
      <w:r>
        <w:rPr>
          <w:rFonts w:hint="eastAsia" w:ascii="宋体" w:hAnsi="宋体" w:cs="微软雅黑"/>
          <w:color w:val="auto"/>
          <w:kern w:val="0"/>
          <w:szCs w:val="21"/>
          <w:highlight w:val="none"/>
        </w:rPr>
        <w:t>共</w:t>
      </w:r>
      <w:r>
        <w:rPr>
          <w:rFonts w:hint="eastAsia" w:ascii="宋体" w:hAnsi="宋体" w:cs="微软雅黑"/>
          <w:color w:val="auto"/>
          <w:spacing w:val="-2"/>
          <w:kern w:val="0"/>
          <w:szCs w:val="21"/>
          <w:highlight w:val="none"/>
        </w:rPr>
        <w:t>同</w:t>
      </w:r>
      <w:r>
        <w:rPr>
          <w:rFonts w:hint="eastAsia" w:ascii="宋体" w:hAnsi="宋体" w:cs="微软雅黑"/>
          <w:color w:val="auto"/>
          <w:kern w:val="0"/>
          <w:szCs w:val="21"/>
          <w:highlight w:val="none"/>
        </w:rPr>
        <w:t>与</w:t>
      </w:r>
      <w:r>
        <w:rPr>
          <w:rFonts w:hint="eastAsia" w:ascii="宋体" w:hAnsi="宋体" w:cs="微软雅黑"/>
          <w:color w:val="auto"/>
          <w:spacing w:val="-2"/>
          <w:kern w:val="0"/>
          <w:szCs w:val="21"/>
          <w:highlight w:val="none"/>
        </w:rPr>
        <w:t>采购人</w:t>
      </w:r>
      <w:r>
        <w:rPr>
          <w:rFonts w:hint="eastAsia" w:ascii="宋体" w:hAnsi="宋体" w:cs="微软雅黑"/>
          <w:color w:val="auto"/>
          <w:kern w:val="0"/>
          <w:szCs w:val="21"/>
          <w:highlight w:val="none"/>
        </w:rPr>
        <w:t>签订</w:t>
      </w:r>
      <w:r>
        <w:rPr>
          <w:rFonts w:hint="eastAsia" w:ascii="宋体" w:hAnsi="宋体" w:cs="微软雅黑"/>
          <w:color w:val="auto"/>
          <w:spacing w:val="-2"/>
          <w:kern w:val="0"/>
          <w:szCs w:val="21"/>
          <w:highlight w:val="none"/>
        </w:rPr>
        <w:t>合</w:t>
      </w:r>
      <w:r>
        <w:rPr>
          <w:rFonts w:hint="eastAsia" w:ascii="宋体" w:hAnsi="宋体" w:cs="微软雅黑"/>
          <w:color w:val="auto"/>
          <w:kern w:val="0"/>
          <w:szCs w:val="21"/>
          <w:highlight w:val="none"/>
        </w:rPr>
        <w:t>同</w:t>
      </w:r>
      <w:r>
        <w:rPr>
          <w:rFonts w:hint="eastAsia" w:ascii="宋体" w:hAnsi="宋体" w:cs="微软雅黑"/>
          <w:color w:val="auto"/>
          <w:spacing w:val="-14"/>
          <w:kern w:val="0"/>
          <w:szCs w:val="21"/>
          <w:highlight w:val="none"/>
        </w:rPr>
        <w:t>，</w:t>
      </w:r>
      <w:r>
        <w:rPr>
          <w:rFonts w:hint="eastAsia" w:ascii="宋体" w:hAnsi="宋体" w:cs="微软雅黑"/>
          <w:color w:val="auto"/>
          <w:kern w:val="0"/>
          <w:szCs w:val="21"/>
          <w:highlight w:val="none"/>
        </w:rPr>
        <w:t>就</w:t>
      </w:r>
      <w:r>
        <w:rPr>
          <w:rFonts w:hint="eastAsia" w:ascii="宋体" w:hAnsi="宋体" w:cs="微软雅黑"/>
          <w:color w:val="auto"/>
          <w:spacing w:val="-2"/>
          <w:kern w:val="0"/>
          <w:szCs w:val="21"/>
          <w:highlight w:val="none"/>
        </w:rPr>
        <w:t>中</w:t>
      </w:r>
      <w:r>
        <w:rPr>
          <w:rFonts w:hint="eastAsia" w:ascii="宋体" w:hAnsi="宋体" w:cs="微软雅黑"/>
          <w:color w:val="auto"/>
          <w:kern w:val="0"/>
          <w:szCs w:val="21"/>
          <w:highlight w:val="none"/>
        </w:rPr>
        <w:t>标</w:t>
      </w:r>
      <w:r>
        <w:rPr>
          <w:rFonts w:hint="eastAsia" w:ascii="宋体" w:hAnsi="宋体" w:cs="微软雅黑"/>
          <w:color w:val="auto"/>
          <w:spacing w:val="-2"/>
          <w:kern w:val="0"/>
          <w:szCs w:val="21"/>
          <w:highlight w:val="none"/>
        </w:rPr>
        <w:t>项</w:t>
      </w:r>
      <w:r>
        <w:rPr>
          <w:rFonts w:hint="eastAsia" w:ascii="宋体" w:hAnsi="宋体" w:cs="微软雅黑"/>
          <w:color w:val="auto"/>
          <w:kern w:val="0"/>
          <w:szCs w:val="21"/>
          <w:highlight w:val="none"/>
        </w:rPr>
        <w:t>目</w:t>
      </w:r>
      <w:r>
        <w:rPr>
          <w:rFonts w:hint="eastAsia" w:ascii="宋体" w:hAnsi="宋体" w:cs="微软雅黑"/>
          <w:color w:val="auto"/>
          <w:spacing w:val="-2"/>
          <w:kern w:val="0"/>
          <w:szCs w:val="21"/>
          <w:highlight w:val="none"/>
        </w:rPr>
        <w:t>向</w:t>
      </w:r>
      <w:r>
        <w:rPr>
          <w:rFonts w:hint="eastAsia" w:ascii="宋体" w:hAnsi="宋体" w:cs="微软雅黑"/>
          <w:color w:val="auto"/>
          <w:kern w:val="0"/>
          <w:szCs w:val="21"/>
          <w:highlight w:val="none"/>
        </w:rPr>
        <w:t>采购人承</w:t>
      </w:r>
      <w:r>
        <w:rPr>
          <w:rFonts w:hint="eastAsia" w:ascii="宋体" w:hAnsi="宋体" w:cs="微软雅黑"/>
          <w:color w:val="auto"/>
          <w:spacing w:val="-2"/>
          <w:kern w:val="0"/>
          <w:szCs w:val="21"/>
          <w:highlight w:val="none"/>
        </w:rPr>
        <w:t>担</w:t>
      </w:r>
      <w:r>
        <w:rPr>
          <w:rFonts w:hint="eastAsia" w:ascii="宋体" w:hAnsi="宋体" w:cs="微软雅黑"/>
          <w:color w:val="auto"/>
          <w:kern w:val="0"/>
          <w:szCs w:val="21"/>
          <w:highlight w:val="none"/>
        </w:rPr>
        <w:t>连带责</w:t>
      </w:r>
      <w:r>
        <w:rPr>
          <w:rFonts w:hint="eastAsia" w:ascii="宋体" w:hAnsi="宋体" w:cs="微软雅黑"/>
          <w:color w:val="auto"/>
          <w:spacing w:val="-2"/>
          <w:kern w:val="0"/>
          <w:szCs w:val="21"/>
          <w:highlight w:val="none"/>
        </w:rPr>
        <w:t>任</w:t>
      </w:r>
      <w:r>
        <w:rPr>
          <w:rFonts w:hint="eastAsia" w:ascii="宋体" w:hAnsi="宋体" w:cs="微软雅黑"/>
          <w:color w:val="auto"/>
          <w:kern w:val="0"/>
          <w:szCs w:val="21"/>
          <w:highlight w:val="none"/>
        </w:rPr>
        <w:t>。</w:t>
      </w:r>
    </w:p>
    <w:p w14:paraId="71DEBBDA">
      <w:pPr>
        <w:adjustRightInd w:val="0"/>
        <w:snapToGrid w:val="0"/>
        <w:spacing w:line="360" w:lineRule="auto"/>
        <w:ind w:firstLine="420" w:firstLineChars="200"/>
        <w:rPr>
          <w:rFonts w:ascii="宋体" w:hAnsi="宋体"/>
          <w:color w:val="auto"/>
          <w:szCs w:val="21"/>
          <w:highlight w:val="none"/>
        </w:rPr>
      </w:pPr>
      <w:r>
        <w:rPr>
          <w:rFonts w:ascii="宋体" w:hAnsi="宋体"/>
          <w:color w:val="auto"/>
          <w:szCs w:val="21"/>
          <w:highlight w:val="none"/>
        </w:rPr>
        <w:t>30.4</w:t>
      </w:r>
      <w:r>
        <w:rPr>
          <w:rFonts w:hint="eastAsia" w:ascii="宋体" w:hAnsi="宋体"/>
          <w:color w:val="auto"/>
          <w:szCs w:val="21"/>
          <w:highlight w:val="none"/>
        </w:rPr>
        <w:t>中标合同将在招标公告指定媒体上公告，但合同中涉及国家秘密、商业秘密的内容除外。</w:t>
      </w:r>
    </w:p>
    <w:p w14:paraId="30F1AA38">
      <w:pPr>
        <w:adjustRightInd w:val="0"/>
        <w:snapToGrid w:val="0"/>
        <w:spacing w:line="360" w:lineRule="auto"/>
        <w:ind w:firstLine="420" w:firstLineChars="200"/>
        <w:rPr>
          <w:rFonts w:ascii="宋体" w:hAnsi="宋体"/>
          <w:bCs/>
          <w:color w:val="auto"/>
          <w:szCs w:val="21"/>
          <w:highlight w:val="none"/>
        </w:rPr>
      </w:pPr>
      <w:r>
        <w:rPr>
          <w:rFonts w:hint="eastAsia" w:ascii="宋体" w:hAnsi="宋体"/>
          <w:color w:val="auto"/>
          <w:szCs w:val="21"/>
          <w:highlight w:val="none"/>
        </w:rPr>
        <w:t>30.5中标人</w:t>
      </w:r>
      <w:r>
        <w:rPr>
          <w:rFonts w:hint="eastAsia" w:ascii="宋体" w:hAnsi="宋体"/>
          <w:bCs/>
          <w:color w:val="auto"/>
          <w:szCs w:val="21"/>
          <w:highlight w:val="none"/>
        </w:rPr>
        <w:t>应当按照合同约定依法履行合同义务。政府采购合同的履行、违约责任和解决争议的方法等适用《中华人民共和国民法典》。</w:t>
      </w:r>
    </w:p>
    <w:p w14:paraId="62D9A687">
      <w:pPr>
        <w:adjustRightInd w:val="0"/>
        <w:snapToGrid w:val="0"/>
        <w:spacing w:line="360" w:lineRule="auto"/>
        <w:rPr>
          <w:rFonts w:ascii="宋体" w:hAnsi="宋体" w:cs="宋体"/>
          <w:b/>
          <w:color w:val="auto"/>
          <w:kern w:val="0"/>
          <w:sz w:val="24"/>
          <w:highlight w:val="none"/>
        </w:rPr>
      </w:pPr>
      <w:r>
        <w:rPr>
          <w:rFonts w:hint="eastAsia" w:ascii="宋体" w:hAnsi="宋体"/>
          <w:b/>
          <w:bCs/>
          <w:color w:val="auto"/>
          <w:sz w:val="24"/>
          <w:highlight w:val="none"/>
        </w:rPr>
        <w:t>31.</w:t>
      </w:r>
      <w:r>
        <w:rPr>
          <w:rFonts w:hint="eastAsia" w:ascii="宋体" w:hAnsi="宋体" w:cs="宋体"/>
          <w:b/>
          <w:color w:val="auto"/>
          <w:kern w:val="0"/>
          <w:sz w:val="24"/>
          <w:highlight w:val="none"/>
        </w:rPr>
        <w:t xml:space="preserve"> 履约担保</w:t>
      </w:r>
    </w:p>
    <w:p w14:paraId="27CD68DF">
      <w:pPr>
        <w:adjustRightInd w:val="0"/>
        <w:snapToGrid w:val="0"/>
        <w:spacing w:line="360" w:lineRule="auto"/>
        <w:ind w:firstLine="420" w:firstLineChars="200"/>
        <w:rPr>
          <w:rFonts w:ascii="宋体" w:hAnsi="宋体"/>
          <w:color w:val="auto"/>
          <w:szCs w:val="21"/>
          <w:highlight w:val="none"/>
        </w:rPr>
      </w:pPr>
      <w:r>
        <w:rPr>
          <w:rFonts w:hint="eastAsia" w:ascii="宋体" w:hAnsi="宋体" w:cs="宋体"/>
          <w:color w:val="auto"/>
          <w:kern w:val="0"/>
          <w:szCs w:val="21"/>
          <w:highlight w:val="none"/>
        </w:rPr>
        <w:t>31.1</w:t>
      </w:r>
      <w:r>
        <w:rPr>
          <w:rFonts w:hint="eastAsia" w:ascii="宋体" w:hAnsi="宋体"/>
          <w:color w:val="auto"/>
          <w:szCs w:val="21"/>
          <w:highlight w:val="none"/>
        </w:rPr>
        <w:t>招标文件要求中标人向采购人提交履约担保的，中标人应按照</w:t>
      </w:r>
      <w:r>
        <w:rPr>
          <w:rFonts w:hint="eastAsia" w:ascii="宋体" w:hAnsi="宋体"/>
          <w:b/>
          <w:color w:val="auto"/>
          <w:szCs w:val="21"/>
          <w:highlight w:val="none"/>
        </w:rPr>
        <w:t>【投标须知前附表】</w:t>
      </w:r>
      <w:r>
        <w:rPr>
          <w:rFonts w:hint="eastAsia" w:ascii="宋体" w:hAnsi="宋体"/>
          <w:color w:val="auto"/>
          <w:szCs w:val="21"/>
          <w:highlight w:val="none"/>
        </w:rPr>
        <w:t>的规定提交，</w:t>
      </w:r>
      <w:r>
        <w:rPr>
          <w:rFonts w:hint="eastAsia" w:ascii="宋体" w:hAnsi="宋体"/>
          <w:bCs/>
          <w:color w:val="auto"/>
          <w:szCs w:val="21"/>
          <w:highlight w:val="none"/>
        </w:rPr>
        <w:t>投标人可以保函、电子增信替代履约担保</w:t>
      </w:r>
      <w:r>
        <w:rPr>
          <w:rFonts w:hint="eastAsia" w:ascii="宋体" w:hAnsi="宋体"/>
          <w:color w:val="auto"/>
          <w:szCs w:val="21"/>
          <w:highlight w:val="none"/>
        </w:rPr>
        <w:t>。联合体中标的，履约担保由联合体各方或联合体中牵头人的名义提交。</w:t>
      </w:r>
    </w:p>
    <w:p w14:paraId="1513AEAA">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31.2中标人</w:t>
      </w:r>
      <w:r>
        <w:rPr>
          <w:rFonts w:hint="eastAsia" w:ascii="宋体" w:hAnsi="宋体"/>
          <w:color w:val="auto"/>
          <w:spacing w:val="4"/>
          <w:szCs w:val="21"/>
          <w:highlight w:val="none"/>
        </w:rPr>
        <w:t>没有按照本章第31.1</w:t>
      </w:r>
      <w:r>
        <w:rPr>
          <w:rFonts w:hint="eastAsia" w:ascii="宋体" w:hAnsi="宋体" w:cs="宋体"/>
          <w:color w:val="auto"/>
          <w:kern w:val="0"/>
          <w:szCs w:val="21"/>
          <w:highlight w:val="none"/>
          <w:lang w:val="zh-CN"/>
        </w:rPr>
        <w:t>款</w:t>
      </w:r>
      <w:r>
        <w:rPr>
          <w:rFonts w:hint="eastAsia" w:ascii="宋体" w:hAnsi="宋体"/>
          <w:color w:val="auto"/>
          <w:spacing w:val="4"/>
          <w:szCs w:val="21"/>
          <w:highlight w:val="none"/>
        </w:rPr>
        <w:t>规定</w:t>
      </w:r>
      <w:r>
        <w:rPr>
          <w:rFonts w:hint="eastAsia" w:ascii="宋体" w:hAnsi="宋体"/>
          <w:color w:val="auto"/>
          <w:szCs w:val="21"/>
          <w:highlight w:val="none"/>
        </w:rPr>
        <w:t>提交履约担保的</w:t>
      </w:r>
      <w:r>
        <w:rPr>
          <w:rFonts w:hint="eastAsia" w:ascii="宋体" w:hAnsi="宋体"/>
          <w:color w:val="auto"/>
          <w:spacing w:val="4"/>
          <w:szCs w:val="21"/>
          <w:highlight w:val="none"/>
        </w:rPr>
        <w:t>，视为</w:t>
      </w:r>
      <w:r>
        <w:rPr>
          <w:rFonts w:hint="eastAsia" w:ascii="宋体" w:hAnsi="宋体"/>
          <w:b/>
          <w:color w:val="auto"/>
          <w:spacing w:val="4"/>
          <w:szCs w:val="21"/>
          <w:highlight w:val="none"/>
        </w:rPr>
        <w:t>放弃中标</w:t>
      </w:r>
      <w:r>
        <w:rPr>
          <w:rFonts w:hint="eastAsia" w:ascii="宋体" w:hAnsi="宋体"/>
          <w:color w:val="auto"/>
          <w:spacing w:val="2"/>
          <w:szCs w:val="21"/>
          <w:highlight w:val="none"/>
        </w:rPr>
        <w:t>。</w:t>
      </w:r>
    </w:p>
    <w:p w14:paraId="20EAECE8">
      <w:pPr>
        <w:adjustRightInd w:val="0"/>
        <w:snapToGrid w:val="0"/>
        <w:spacing w:line="360" w:lineRule="auto"/>
        <w:rPr>
          <w:rFonts w:ascii="宋体" w:hAnsi="宋体"/>
          <w:b/>
          <w:bCs/>
          <w:color w:val="auto"/>
          <w:sz w:val="24"/>
          <w:highlight w:val="none"/>
        </w:rPr>
      </w:pPr>
      <w:r>
        <w:rPr>
          <w:rFonts w:hint="eastAsia" w:ascii="宋体" w:hAnsi="宋体"/>
          <w:b/>
          <w:bCs/>
          <w:color w:val="auto"/>
          <w:sz w:val="24"/>
          <w:highlight w:val="none"/>
        </w:rPr>
        <w:t>32.</w:t>
      </w:r>
      <w:r>
        <w:rPr>
          <w:rFonts w:hint="eastAsia" w:ascii="宋体" w:hAnsi="宋体"/>
          <w:b/>
          <w:color w:val="auto"/>
          <w:sz w:val="24"/>
          <w:highlight w:val="none"/>
        </w:rPr>
        <w:t xml:space="preserve"> 政府采购合同履行中</w:t>
      </w:r>
      <w:r>
        <w:rPr>
          <w:rFonts w:hint="eastAsia" w:ascii="宋体" w:hAnsi="宋体"/>
          <w:b/>
          <w:bCs/>
          <w:color w:val="auto"/>
          <w:sz w:val="24"/>
          <w:highlight w:val="none"/>
        </w:rPr>
        <w:t>数量的变更</w:t>
      </w:r>
    </w:p>
    <w:p w14:paraId="5F792F19">
      <w:pPr>
        <w:adjustRightInd w:val="0"/>
        <w:snapToGrid w:val="0"/>
        <w:spacing w:line="360" w:lineRule="auto"/>
        <w:ind w:firstLine="420" w:firstLineChars="200"/>
        <w:rPr>
          <w:rFonts w:ascii="宋体" w:hAnsi="宋体"/>
          <w:color w:val="auto"/>
          <w:sz w:val="28"/>
          <w:szCs w:val="28"/>
          <w:highlight w:val="none"/>
        </w:rPr>
      </w:pPr>
      <w:r>
        <w:rPr>
          <w:rFonts w:hint="eastAsia" w:ascii="宋体" w:hAnsi="宋体"/>
          <w:color w:val="auto"/>
          <w:highlight w:val="none"/>
        </w:rPr>
        <w:t>32.1政府采购合同履行中，采购人需追加与合同标的相同的货物服务的，在不改变合同其他条款的前提下，可以与中标人协商签订补充合同，但所有补充合同的采购金额不得超过原合同采购金额的百分之十。</w:t>
      </w:r>
    </w:p>
    <w:p w14:paraId="17FAA6F6">
      <w:pPr>
        <w:pStyle w:val="4"/>
        <w:adjustRightInd w:val="0"/>
        <w:snapToGrid w:val="0"/>
        <w:spacing w:before="120" w:beforeLines="50" w:after="0" w:line="360" w:lineRule="auto"/>
        <w:jc w:val="center"/>
        <w:rPr>
          <w:rFonts w:ascii="黑体" w:hAnsi="黑体" w:eastAsia="黑体"/>
          <w:color w:val="auto"/>
          <w:sz w:val="28"/>
          <w:szCs w:val="28"/>
          <w:highlight w:val="none"/>
        </w:rPr>
      </w:pPr>
      <w:bookmarkStart w:id="324" w:name="_Toc75289557"/>
      <w:bookmarkStart w:id="325" w:name="_Toc75289235"/>
      <w:bookmarkStart w:id="326" w:name="_Toc77199408"/>
      <w:bookmarkStart w:id="327" w:name="_Toc15888494"/>
      <w:bookmarkStart w:id="328" w:name="_Toc77676475"/>
      <w:bookmarkStart w:id="329" w:name="_Toc17869"/>
      <w:bookmarkStart w:id="330" w:name="_Toc94367889"/>
      <w:bookmarkStart w:id="331" w:name="_Toc22363"/>
      <w:bookmarkStart w:id="332" w:name="_Toc154428399"/>
      <w:bookmarkStart w:id="333" w:name="_Toc100670677"/>
      <w:bookmarkStart w:id="334" w:name="_Toc3573"/>
      <w:bookmarkStart w:id="335" w:name="_Toc15076"/>
      <w:bookmarkStart w:id="336" w:name="_Toc192949612"/>
      <w:bookmarkStart w:id="337" w:name="_Toc95601374"/>
      <w:bookmarkStart w:id="338" w:name="_Toc15010"/>
      <w:bookmarkStart w:id="339" w:name="_Toc11939"/>
      <w:bookmarkStart w:id="340" w:name="_Toc114036721"/>
      <w:bookmarkStart w:id="341" w:name="_Toc24804"/>
      <w:bookmarkStart w:id="342" w:name="_Toc192951222"/>
      <w:bookmarkStart w:id="343" w:name="_Toc108341946"/>
      <w:bookmarkStart w:id="344" w:name="_Toc112704942"/>
      <w:bookmarkStart w:id="345" w:name="_Toc85972939"/>
      <w:bookmarkStart w:id="346" w:name="_Toc78314271"/>
      <w:bookmarkStart w:id="347" w:name="_Toc78449964"/>
      <w:bookmarkStart w:id="348" w:name="_Toc100670430"/>
      <w:bookmarkStart w:id="349" w:name="_Toc192949711"/>
      <w:bookmarkStart w:id="350" w:name="_Toc14398"/>
      <w:bookmarkStart w:id="351" w:name="_Toc824"/>
      <w:bookmarkStart w:id="352" w:name="_Toc117192457"/>
      <w:bookmarkStart w:id="353" w:name="_Toc171273680"/>
      <w:r>
        <w:rPr>
          <w:rFonts w:hint="eastAsia" w:ascii="黑体" w:hAnsi="黑体" w:eastAsia="黑体"/>
          <w:color w:val="auto"/>
          <w:sz w:val="28"/>
          <w:szCs w:val="28"/>
          <w:highlight w:val="none"/>
        </w:rPr>
        <w:t>八、</w:t>
      </w:r>
      <w:bookmarkEnd w:id="324"/>
      <w:bookmarkEnd w:id="325"/>
      <w:bookmarkEnd w:id="326"/>
      <w:bookmarkEnd w:id="327"/>
      <w:bookmarkEnd w:id="328"/>
      <w:r>
        <w:rPr>
          <w:rFonts w:hint="eastAsia" w:ascii="黑体" w:hAnsi="黑体" w:eastAsia="黑体"/>
          <w:color w:val="auto"/>
          <w:sz w:val="28"/>
          <w:szCs w:val="28"/>
          <w:highlight w:val="none"/>
        </w:rPr>
        <w:t>政府采购政策</w:t>
      </w:r>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p w14:paraId="49A2F904">
      <w:pPr>
        <w:adjustRightInd w:val="0"/>
        <w:snapToGrid w:val="0"/>
        <w:spacing w:line="360" w:lineRule="auto"/>
        <w:rPr>
          <w:rFonts w:ascii="宋体" w:hAnsi="宋体"/>
          <w:b/>
          <w:color w:val="auto"/>
          <w:sz w:val="24"/>
          <w:highlight w:val="none"/>
        </w:rPr>
      </w:pPr>
      <w:r>
        <w:rPr>
          <w:rFonts w:hint="eastAsia" w:ascii="宋体" w:hAnsi="宋体"/>
          <w:b/>
          <w:bCs/>
          <w:color w:val="auto"/>
          <w:sz w:val="24"/>
          <w:highlight w:val="none"/>
        </w:rPr>
        <w:t>33.</w:t>
      </w:r>
      <w:r>
        <w:rPr>
          <w:rFonts w:hint="eastAsia" w:ascii="宋体" w:hAnsi="宋体"/>
          <w:b/>
          <w:color w:val="auto"/>
          <w:sz w:val="24"/>
          <w:highlight w:val="none"/>
        </w:rPr>
        <w:t>政府采购政策</w:t>
      </w:r>
    </w:p>
    <w:p w14:paraId="20F4052D">
      <w:pPr>
        <w:adjustRightInd w:val="0"/>
        <w:snapToGrid w:val="0"/>
        <w:spacing w:line="360" w:lineRule="auto"/>
        <w:ind w:firstLine="420" w:firstLineChars="200"/>
        <w:rPr>
          <w:rFonts w:ascii="宋体" w:hAnsi="宋体" w:cs="宋体"/>
          <w:color w:val="auto"/>
          <w:kern w:val="0"/>
          <w:highlight w:val="none"/>
        </w:rPr>
      </w:pPr>
      <w:r>
        <w:rPr>
          <w:rFonts w:hint="eastAsia" w:ascii="宋体" w:hAnsi="宋体" w:cs="宋体"/>
          <w:color w:val="auto"/>
          <w:kern w:val="0"/>
          <w:highlight w:val="none"/>
        </w:rPr>
        <w:t>33.1优先采购：</w:t>
      </w:r>
    </w:p>
    <w:p w14:paraId="26FEDC33">
      <w:pPr>
        <w:adjustRightInd w:val="0"/>
        <w:snapToGrid w:val="0"/>
        <w:spacing w:line="360" w:lineRule="auto"/>
        <w:ind w:firstLine="420" w:firstLineChars="200"/>
        <w:rPr>
          <w:rFonts w:ascii="宋体" w:hAnsi="宋体"/>
          <w:color w:val="auto"/>
          <w:highlight w:val="none"/>
        </w:rPr>
      </w:pPr>
      <w:r>
        <w:rPr>
          <w:rFonts w:hint="eastAsia" w:ascii="宋体" w:hAnsi="宋体"/>
          <w:color w:val="auto"/>
          <w:highlight w:val="none"/>
        </w:rPr>
        <w:t>（1）</w:t>
      </w:r>
      <w:r>
        <w:rPr>
          <w:rFonts w:hint="eastAsia" w:ascii="宋体" w:hAnsi="宋体"/>
          <w:color w:val="auto"/>
          <w:szCs w:val="21"/>
          <w:highlight w:val="none"/>
        </w:rPr>
        <w:t>纳入财政部会同国务院有关部门发布的节能产品、环境标志产品政府采购品目清单，实施政府优先采购的，评审时按招标文件第四章第一节有关规定对该部分产品给予一定比例的价格折扣或者加分；</w:t>
      </w:r>
    </w:p>
    <w:p w14:paraId="31136358">
      <w:pPr>
        <w:adjustRightInd w:val="0"/>
        <w:snapToGrid w:val="0"/>
        <w:spacing w:line="360" w:lineRule="auto"/>
        <w:ind w:firstLine="420" w:firstLineChars="200"/>
        <w:rPr>
          <w:rFonts w:ascii="宋体" w:hAnsi="宋体"/>
          <w:color w:val="auto"/>
          <w:highlight w:val="none"/>
        </w:rPr>
      </w:pPr>
      <w:r>
        <w:rPr>
          <w:rFonts w:hint="eastAsia" w:ascii="宋体" w:hAnsi="宋体"/>
          <w:color w:val="auto"/>
          <w:highlight w:val="none"/>
        </w:rPr>
        <w:t>（2）纳入湖南省财政厅等有关部门发布的湖南省两型产品政府采购目录的，实施政府优先采购，评审时按</w:t>
      </w:r>
      <w:r>
        <w:rPr>
          <w:rFonts w:hint="eastAsia" w:ascii="宋体" w:hAnsi="宋体"/>
          <w:color w:val="auto"/>
          <w:szCs w:val="21"/>
          <w:highlight w:val="none"/>
        </w:rPr>
        <w:t>招标文件第四章第一节有关规定对该部分产品</w:t>
      </w:r>
      <w:r>
        <w:rPr>
          <w:rFonts w:hint="eastAsia" w:ascii="宋体" w:hAnsi="宋体"/>
          <w:color w:val="auto"/>
          <w:highlight w:val="none"/>
        </w:rPr>
        <w:t>给予一定比例的价格折扣或者加分。</w:t>
      </w:r>
    </w:p>
    <w:p w14:paraId="2A431276">
      <w:pPr>
        <w:adjustRightInd w:val="0"/>
        <w:snapToGrid w:val="0"/>
        <w:spacing w:line="360" w:lineRule="auto"/>
        <w:ind w:firstLine="420" w:firstLineChars="200"/>
        <w:rPr>
          <w:rFonts w:ascii="宋体" w:hAnsi="宋体" w:cs="宋体"/>
          <w:color w:val="auto"/>
          <w:kern w:val="0"/>
          <w:highlight w:val="none"/>
        </w:rPr>
      </w:pPr>
      <w:r>
        <w:rPr>
          <w:rFonts w:hint="eastAsia" w:ascii="宋体" w:hAnsi="宋体" w:cs="宋体"/>
          <w:color w:val="auto"/>
          <w:kern w:val="0"/>
          <w:highlight w:val="none"/>
        </w:rPr>
        <w:t>33.2强制采购：</w:t>
      </w:r>
    </w:p>
    <w:p w14:paraId="064222D8">
      <w:pPr>
        <w:adjustRightInd w:val="0"/>
        <w:snapToGrid w:val="0"/>
        <w:spacing w:line="360" w:lineRule="auto"/>
        <w:ind w:firstLine="420" w:firstLineChars="200"/>
        <w:rPr>
          <w:rFonts w:ascii="宋体" w:hAnsi="宋体" w:cs="宋体"/>
          <w:color w:val="auto"/>
          <w:kern w:val="0"/>
          <w:highlight w:val="none"/>
        </w:rPr>
      </w:pPr>
      <w:r>
        <w:rPr>
          <w:rFonts w:hint="eastAsia" w:ascii="宋体" w:hAnsi="宋体" w:cs="宋体"/>
          <w:color w:val="auto"/>
          <w:kern w:val="0"/>
          <w:highlight w:val="none"/>
        </w:rPr>
        <w:t>（1）纳入财政部会同国务院有关部门发布的节能产品政府采购品目清单，实施政府强制采购的（品目清单标注</w:t>
      </w:r>
      <w:r>
        <w:rPr>
          <w:rFonts w:hint="eastAsia" w:ascii="宋体" w:hAnsi="宋体" w:cs="宋体"/>
          <w:color w:val="auto"/>
          <w:kern w:val="0"/>
          <w:highlight w:val="none"/>
        </w:rPr>
        <w:sym w:font="Wingdings" w:char="F0AB"/>
      </w:r>
      <w:r>
        <w:rPr>
          <w:rFonts w:hint="eastAsia" w:ascii="宋体" w:hAnsi="宋体" w:cs="宋体"/>
          <w:color w:val="auto"/>
          <w:kern w:val="0"/>
          <w:highlight w:val="none"/>
        </w:rPr>
        <w:t>符号产品），投标人投标产品应当取得国家确定的认证机构出具的、处于有效期之内的节能产品认证证书，否则其</w:t>
      </w:r>
      <w:r>
        <w:rPr>
          <w:rFonts w:hint="eastAsia" w:ascii="宋体" w:hAnsi="宋体" w:cs="宋体"/>
          <w:b/>
          <w:color w:val="auto"/>
          <w:kern w:val="0"/>
          <w:szCs w:val="21"/>
          <w:highlight w:val="none"/>
        </w:rPr>
        <w:t>投标无效</w:t>
      </w:r>
      <w:r>
        <w:rPr>
          <w:rFonts w:hint="eastAsia" w:ascii="宋体" w:hAnsi="宋体" w:cs="宋体"/>
          <w:color w:val="auto"/>
          <w:kern w:val="0"/>
          <w:highlight w:val="none"/>
        </w:rPr>
        <w:t>。</w:t>
      </w:r>
    </w:p>
    <w:p w14:paraId="22678431">
      <w:pPr>
        <w:adjustRightInd w:val="0"/>
        <w:snapToGrid w:val="0"/>
        <w:spacing w:line="360" w:lineRule="auto"/>
        <w:ind w:firstLine="420" w:firstLineChars="200"/>
        <w:rPr>
          <w:rFonts w:ascii="宋体" w:hAnsi="宋体"/>
          <w:color w:val="auto"/>
          <w:highlight w:val="none"/>
        </w:rPr>
      </w:pPr>
      <w:r>
        <w:rPr>
          <w:rFonts w:hint="eastAsia" w:ascii="宋体" w:hAnsi="宋体"/>
          <w:color w:val="auto"/>
          <w:highlight w:val="none"/>
        </w:rPr>
        <w:t>33.3价格评审优惠：</w:t>
      </w:r>
    </w:p>
    <w:p w14:paraId="442BEE71">
      <w:pPr>
        <w:adjustRightInd w:val="0"/>
        <w:snapToGrid w:val="0"/>
        <w:spacing w:line="360" w:lineRule="auto"/>
        <w:ind w:firstLine="420" w:firstLineChars="200"/>
        <w:rPr>
          <w:rFonts w:ascii="宋体" w:hAnsi="宋体"/>
          <w:color w:val="auto"/>
          <w:highlight w:val="none"/>
        </w:rPr>
      </w:pPr>
      <w:r>
        <w:rPr>
          <w:rFonts w:hint="eastAsia" w:ascii="宋体" w:hAnsi="宋体"/>
          <w:color w:val="auto"/>
          <w:highlight w:val="none"/>
        </w:rPr>
        <w:t>（1）在政府采购活动中，供应商提供的货物、工程或者服务符合下列情形的：（一）在货物采购项目中，货物由中小企业制造，即货物由中小企业生产且使用该中小企业商号或者注册商标；（二）在工程采购项目中，工程由中小企业承建，即工程施工单位为中小企业；（三）在服务采购项目中，服务由中小企业承接，即提供服务的人员为中小企业依照《中华人民共和国劳动合同法》订立劳动合同的从业人员；给予一定比例的价格折扣，用扣除后的价格参与评审；</w:t>
      </w:r>
    </w:p>
    <w:p w14:paraId="1677A637">
      <w:pPr>
        <w:adjustRightInd w:val="0"/>
        <w:snapToGrid w:val="0"/>
        <w:spacing w:line="360" w:lineRule="auto"/>
        <w:ind w:firstLine="420" w:firstLineChars="200"/>
        <w:rPr>
          <w:rFonts w:ascii="宋体" w:hAnsi="宋体"/>
          <w:color w:val="auto"/>
          <w:highlight w:val="none"/>
        </w:rPr>
      </w:pPr>
      <w:r>
        <w:rPr>
          <w:rFonts w:hint="eastAsia" w:ascii="宋体" w:hAnsi="宋体"/>
          <w:color w:val="auto"/>
          <w:highlight w:val="none"/>
        </w:rPr>
        <w:t>（2）对于经主管预算单位统筹后未预留份额专门面向中小企业采购的采购项目，以及预留份额项目中的非预留部分采购包，符合小微企业生产的货物或者提供的服务、工程情形的，给予一定比例的价格折扣，用扣除后的价格参与评审。</w:t>
      </w:r>
    </w:p>
    <w:p w14:paraId="7C248D84">
      <w:pPr>
        <w:adjustRightInd w:val="0"/>
        <w:snapToGrid w:val="0"/>
        <w:spacing w:line="360" w:lineRule="auto"/>
        <w:ind w:firstLine="420" w:firstLineChars="200"/>
        <w:rPr>
          <w:rFonts w:ascii="宋体" w:hAnsi="宋体"/>
          <w:color w:val="auto"/>
          <w:highlight w:val="none"/>
        </w:rPr>
      </w:pPr>
      <w:r>
        <w:rPr>
          <w:rFonts w:hint="eastAsia" w:ascii="宋体" w:hAnsi="宋体"/>
          <w:color w:val="auto"/>
          <w:highlight w:val="none"/>
        </w:rPr>
        <w:t>接受大中型企业与小微企业组成联合体或者允许大中型企业向一家或者多家小微企业分包的采购项目，对于联合协议或者分包意向协议约定小微企业的合同份额占到合同总金额40%以上的，给予一定比例的价格折扣，用扣除后的价格参与评审。以联合体形式参加政府采购活动，联合体各方均为中小企业的，联合体视同中小企业。其中，联合体各方均为小微企业的，联合体视同小微企业；</w:t>
      </w:r>
    </w:p>
    <w:p w14:paraId="13A2F793">
      <w:pPr>
        <w:adjustRightInd w:val="0"/>
        <w:snapToGrid w:val="0"/>
        <w:spacing w:line="360" w:lineRule="auto"/>
        <w:ind w:firstLine="420" w:firstLineChars="200"/>
        <w:rPr>
          <w:rFonts w:ascii="宋体" w:hAnsi="宋体"/>
          <w:color w:val="auto"/>
          <w:highlight w:val="none"/>
        </w:rPr>
      </w:pPr>
      <w:r>
        <w:rPr>
          <w:rFonts w:hint="eastAsia" w:ascii="宋体" w:hAnsi="宋体"/>
          <w:color w:val="auto"/>
          <w:highlight w:val="none"/>
        </w:rPr>
        <w:t>（3）符合中小企业划分标准的个体工商户视同中小企业，享受评审中价格扣除等促进中小企业发展的政府采购政策。</w:t>
      </w:r>
    </w:p>
    <w:p w14:paraId="20CA7F85">
      <w:pPr>
        <w:adjustRightInd w:val="0"/>
        <w:snapToGrid w:val="0"/>
        <w:spacing w:line="360" w:lineRule="auto"/>
        <w:ind w:firstLine="420" w:firstLineChars="200"/>
        <w:rPr>
          <w:rFonts w:ascii="宋体" w:hAnsi="宋体"/>
          <w:color w:val="auto"/>
          <w:highlight w:val="none"/>
        </w:rPr>
      </w:pPr>
      <w:r>
        <w:rPr>
          <w:rFonts w:hint="eastAsia" w:ascii="宋体" w:hAnsi="宋体"/>
          <w:color w:val="auto"/>
          <w:highlight w:val="none"/>
        </w:rPr>
        <w:t>（4）监狱企业、残疾人福利性单位视同小型、微型企业，享受评审中价格扣除等促进中小企业发展的政府采购政策。</w:t>
      </w:r>
    </w:p>
    <w:p w14:paraId="24433772">
      <w:pPr>
        <w:adjustRightInd w:val="0"/>
        <w:snapToGrid w:val="0"/>
        <w:spacing w:line="360" w:lineRule="auto"/>
        <w:ind w:firstLine="420" w:firstLineChars="200"/>
        <w:rPr>
          <w:rFonts w:ascii="宋体" w:hAnsi="宋体"/>
          <w:color w:val="auto"/>
          <w:highlight w:val="none"/>
        </w:rPr>
      </w:pPr>
      <w:r>
        <w:rPr>
          <w:rFonts w:hint="eastAsia" w:ascii="宋体" w:hAnsi="宋体"/>
          <w:color w:val="auto"/>
          <w:highlight w:val="none"/>
        </w:rPr>
        <w:t>（5）与大企业的负责人为同一人，或者与大企业存在直接控股、管理关系的中小企业，不享受评审中价格扣除等促进中小企业发展的政府采购政策。</w:t>
      </w:r>
    </w:p>
    <w:p w14:paraId="2134B3D9">
      <w:pPr>
        <w:adjustRightInd w:val="0"/>
        <w:snapToGrid w:val="0"/>
        <w:spacing w:line="360" w:lineRule="auto"/>
        <w:ind w:firstLine="420" w:firstLineChars="200"/>
        <w:rPr>
          <w:rFonts w:ascii="宋体" w:hAnsi="宋体"/>
          <w:color w:val="auto"/>
          <w:highlight w:val="none"/>
        </w:rPr>
      </w:pPr>
      <w:r>
        <w:rPr>
          <w:rFonts w:hint="eastAsia" w:ascii="宋体" w:hAnsi="宋体"/>
          <w:color w:val="auto"/>
          <w:highlight w:val="none"/>
        </w:rPr>
        <w:t>（6）本章第1.2款规定采购项目或者采购包属于“预留采购份额”的，预留部分不再享受本款“价格评审优惠”的小微企业扶持政策。</w:t>
      </w:r>
    </w:p>
    <w:p w14:paraId="58E17F5B">
      <w:pPr>
        <w:adjustRightInd w:val="0"/>
        <w:snapToGrid w:val="0"/>
        <w:spacing w:line="360" w:lineRule="auto"/>
        <w:ind w:firstLine="420" w:firstLineChars="200"/>
        <w:rPr>
          <w:rFonts w:ascii="宋体" w:hAnsi="宋体"/>
          <w:color w:val="auto"/>
          <w:highlight w:val="none"/>
        </w:rPr>
      </w:pPr>
      <w:r>
        <w:rPr>
          <w:rFonts w:hint="eastAsia" w:ascii="宋体" w:hAnsi="宋体"/>
          <w:color w:val="auto"/>
          <w:highlight w:val="none"/>
        </w:rPr>
        <w:t>33.4政府采购政策交叉与叠加</w:t>
      </w:r>
    </w:p>
    <w:p w14:paraId="6E857DCF">
      <w:pPr>
        <w:adjustRightInd w:val="0"/>
        <w:snapToGrid w:val="0"/>
        <w:spacing w:line="360" w:lineRule="auto"/>
        <w:ind w:firstLine="420" w:firstLineChars="200"/>
        <w:rPr>
          <w:rFonts w:ascii="宋体" w:hAnsi="宋体"/>
          <w:color w:val="auto"/>
          <w:highlight w:val="none"/>
        </w:rPr>
      </w:pPr>
      <w:r>
        <w:rPr>
          <w:rFonts w:hint="eastAsia" w:ascii="宋体" w:hAnsi="宋体"/>
          <w:color w:val="auto"/>
          <w:highlight w:val="none"/>
        </w:rPr>
        <w:t>（1）投标产品取得两个及以上优先采购产品认证的，评审时只有其中一项产品能享受优先采购优惠（投标人自行选择，并在投标文件中并填报相关信息及数据）</w:t>
      </w:r>
    </w:p>
    <w:p w14:paraId="13373EA0">
      <w:pPr>
        <w:adjustRightInd w:val="0"/>
        <w:snapToGrid w:val="0"/>
        <w:spacing w:line="360" w:lineRule="auto"/>
        <w:ind w:firstLine="420" w:firstLineChars="200"/>
        <w:rPr>
          <w:rFonts w:ascii="宋体" w:hAnsi="宋体"/>
          <w:color w:val="auto"/>
          <w:highlight w:val="none"/>
        </w:rPr>
      </w:pPr>
      <w:r>
        <w:rPr>
          <w:rFonts w:hint="eastAsia" w:ascii="宋体" w:hAnsi="宋体"/>
          <w:color w:val="auto"/>
          <w:highlight w:val="none"/>
        </w:rPr>
        <w:t>（2）投标人同时符合小型、微型企业及监狱企业、残疾人福利性单位要求的，评审时只有一种类型享受价格评审优惠政策；</w:t>
      </w:r>
    </w:p>
    <w:p w14:paraId="57809812">
      <w:pPr>
        <w:adjustRightInd w:val="0"/>
        <w:snapToGrid w:val="0"/>
        <w:spacing w:line="360" w:lineRule="auto"/>
        <w:ind w:firstLine="420" w:firstLineChars="200"/>
        <w:rPr>
          <w:rFonts w:ascii="宋体" w:hAnsi="宋体"/>
          <w:color w:val="auto"/>
          <w:highlight w:val="none"/>
        </w:rPr>
      </w:pPr>
      <w:r>
        <w:rPr>
          <w:rFonts w:hint="eastAsia" w:ascii="宋体" w:hAnsi="宋体"/>
          <w:color w:val="auto"/>
          <w:highlight w:val="none"/>
        </w:rPr>
        <w:t>（3）小型和微型企业的价格评审优惠可以与同时属于“节能产品”、“环境标志产品”及“两型产品”中的一项优先采购优惠累加计算。</w:t>
      </w:r>
    </w:p>
    <w:p w14:paraId="3DA0758F">
      <w:pPr>
        <w:adjustRightInd w:val="0"/>
        <w:snapToGrid w:val="0"/>
        <w:spacing w:line="360" w:lineRule="auto"/>
        <w:ind w:firstLine="420" w:firstLineChars="200"/>
        <w:rPr>
          <w:rFonts w:ascii="宋体" w:hAnsi="宋体"/>
          <w:color w:val="auto"/>
          <w:highlight w:val="none"/>
        </w:rPr>
      </w:pPr>
      <w:r>
        <w:rPr>
          <w:rFonts w:hint="eastAsia" w:ascii="宋体" w:hAnsi="宋体"/>
          <w:color w:val="auto"/>
          <w:highlight w:val="none"/>
        </w:rPr>
        <w:t>33.5在货物采购项目中，供应商提供的货物既有中小企业制造货物，也有大型企业制造货物的，不享受政府采购中小企业扶持政策。</w:t>
      </w:r>
    </w:p>
    <w:p w14:paraId="55B0DE66">
      <w:pPr>
        <w:adjustRightInd w:val="0"/>
        <w:snapToGrid w:val="0"/>
        <w:spacing w:line="360" w:lineRule="auto"/>
        <w:ind w:firstLine="420" w:firstLineChars="200"/>
        <w:rPr>
          <w:rFonts w:ascii="宋体" w:hAnsi="宋体"/>
          <w:color w:val="auto"/>
          <w:highlight w:val="none"/>
        </w:rPr>
      </w:pPr>
      <w:r>
        <w:rPr>
          <w:rFonts w:hint="eastAsia" w:ascii="宋体" w:hAnsi="宋体"/>
          <w:color w:val="auto"/>
          <w:highlight w:val="none"/>
        </w:rPr>
        <w:t>33.6投标人符合本章第33.1款、第33.2款、第33.3款规定的，应提供相关证明资料。</w:t>
      </w:r>
    </w:p>
    <w:p w14:paraId="0F76D118">
      <w:pPr>
        <w:adjustRightInd w:val="0"/>
        <w:snapToGrid w:val="0"/>
        <w:spacing w:line="360" w:lineRule="auto"/>
        <w:ind w:firstLine="420" w:firstLineChars="200"/>
        <w:rPr>
          <w:rFonts w:ascii="宋体" w:hAnsi="宋体"/>
          <w:color w:val="auto"/>
          <w:highlight w:val="none"/>
        </w:rPr>
      </w:pPr>
      <w:r>
        <w:rPr>
          <w:rFonts w:hint="eastAsia" w:ascii="宋体" w:hAnsi="宋体"/>
          <w:color w:val="auto"/>
          <w:highlight w:val="none"/>
        </w:rPr>
        <w:t>（1）节能产品、环境标志产品：提供国家确定的认证机构出具的、处于有效期之内的节能产品、环境标志产品认证证书。</w:t>
      </w:r>
    </w:p>
    <w:p w14:paraId="1F22E56B">
      <w:pPr>
        <w:adjustRightInd w:val="0"/>
        <w:snapToGrid w:val="0"/>
        <w:spacing w:line="360" w:lineRule="auto"/>
        <w:ind w:firstLine="420" w:firstLineChars="200"/>
        <w:rPr>
          <w:rFonts w:ascii="宋体" w:hAnsi="宋体"/>
          <w:color w:val="auto"/>
          <w:highlight w:val="none"/>
        </w:rPr>
      </w:pPr>
      <w:r>
        <w:rPr>
          <w:rFonts w:hint="eastAsia" w:ascii="宋体" w:hAnsi="宋体"/>
          <w:color w:val="auto"/>
          <w:highlight w:val="none"/>
        </w:rPr>
        <w:t>（2）两型产品：提供《湖南省两型产品政府采购目录》（最新一期）文件首页和投标产品所在页（截图）。</w:t>
      </w:r>
    </w:p>
    <w:p w14:paraId="2DC3D11F">
      <w:pPr>
        <w:adjustRightInd w:val="0"/>
        <w:snapToGrid w:val="0"/>
        <w:spacing w:line="360" w:lineRule="auto"/>
        <w:ind w:firstLine="420" w:firstLineChars="200"/>
        <w:rPr>
          <w:rFonts w:ascii="宋体" w:hAnsi="宋体"/>
          <w:color w:val="auto"/>
          <w:highlight w:val="none"/>
        </w:rPr>
      </w:pPr>
      <w:r>
        <w:rPr>
          <w:rFonts w:hint="eastAsia" w:ascii="宋体" w:hAnsi="宋体"/>
          <w:color w:val="auto"/>
          <w:highlight w:val="none"/>
        </w:rPr>
        <w:t>（3）中小企业：货物类采购项目，按《关于印发＜政府采购促进中小企业发展办法＞的通知》(财库[2020]46号) 和《关于印发中小企业划型标准规定的通知》（工信部联企业〔2011〕300号）文件规定提供中小企业声明函（格式）；服务类采购项目，按《湖南省财政厅关于政府采购促进中小企业发展的有关措施的通知》（湘财购[2022]17号）文件规定提供湖南省政府采购供应商资格承诺函（格式）</w:t>
      </w:r>
      <w:r>
        <w:rPr>
          <w:rFonts w:hint="eastAsia" w:ascii="宋体" w:hAnsi="宋体"/>
          <w:color w:val="auto"/>
          <w:szCs w:val="21"/>
          <w:highlight w:val="none"/>
        </w:rPr>
        <w:t>。</w:t>
      </w:r>
    </w:p>
    <w:p w14:paraId="1BE25348">
      <w:pPr>
        <w:adjustRightInd w:val="0"/>
        <w:snapToGrid w:val="0"/>
        <w:spacing w:line="360" w:lineRule="auto"/>
        <w:ind w:firstLine="420" w:firstLineChars="200"/>
        <w:rPr>
          <w:rFonts w:ascii="宋体" w:hAnsi="宋体"/>
          <w:color w:val="auto"/>
          <w:highlight w:val="none"/>
        </w:rPr>
      </w:pPr>
      <w:r>
        <w:rPr>
          <w:rFonts w:hint="eastAsia" w:ascii="宋体" w:hAnsi="宋体"/>
          <w:color w:val="auto"/>
          <w:highlight w:val="none"/>
        </w:rPr>
        <w:t>（4）监狱企业：按《关于政府采购支持监狱企业发展有关问题的通知》(财库〔2014〕68号)文件规定提供证明文件。</w:t>
      </w:r>
    </w:p>
    <w:p w14:paraId="2EB1A0B4">
      <w:pPr>
        <w:adjustRightInd w:val="0"/>
        <w:snapToGrid w:val="0"/>
        <w:spacing w:line="360" w:lineRule="auto"/>
        <w:ind w:firstLine="420" w:firstLineChars="200"/>
        <w:rPr>
          <w:rFonts w:ascii="宋体" w:hAnsi="宋体"/>
          <w:color w:val="auto"/>
          <w:highlight w:val="none"/>
        </w:rPr>
      </w:pPr>
      <w:r>
        <w:rPr>
          <w:rFonts w:hint="eastAsia" w:ascii="宋体" w:hAnsi="宋体"/>
          <w:color w:val="auto"/>
          <w:highlight w:val="none"/>
        </w:rPr>
        <w:t>（5）残疾人福利性单位：按《关于促进残疾人就业政府采购政策的通知》(财库〔2017〕141号)文件规定提供《残疾人福利性单位声明函》（格式）。</w:t>
      </w:r>
    </w:p>
    <w:p w14:paraId="174F3B2D">
      <w:pPr>
        <w:adjustRightInd w:val="0"/>
        <w:snapToGrid w:val="0"/>
        <w:spacing w:line="360" w:lineRule="auto"/>
        <w:ind w:firstLine="420" w:firstLineChars="200"/>
        <w:rPr>
          <w:rFonts w:ascii="宋体" w:hAnsi="宋体"/>
          <w:color w:val="auto"/>
          <w:highlight w:val="none"/>
        </w:rPr>
      </w:pPr>
      <w:r>
        <w:rPr>
          <w:rFonts w:hint="eastAsia" w:ascii="宋体" w:hAnsi="宋体"/>
          <w:color w:val="auto"/>
          <w:highlight w:val="none"/>
        </w:rPr>
        <w:t>33.7执行中小企业预留采购份额政策的规定：</w:t>
      </w:r>
    </w:p>
    <w:p w14:paraId="3F48ABBE">
      <w:pPr>
        <w:adjustRightInd w:val="0"/>
        <w:snapToGrid w:val="0"/>
        <w:spacing w:line="360" w:lineRule="auto"/>
        <w:ind w:firstLine="420" w:firstLineChars="200"/>
        <w:rPr>
          <w:rFonts w:ascii="宋体" w:hAnsi="宋体"/>
          <w:color w:val="auto"/>
          <w:highlight w:val="none"/>
        </w:rPr>
      </w:pPr>
      <w:r>
        <w:rPr>
          <w:rFonts w:hint="eastAsia" w:ascii="宋体" w:hAnsi="宋体"/>
          <w:color w:val="auto"/>
          <w:highlight w:val="none"/>
        </w:rPr>
        <w:t>（1）预留份额的采购项目或者采购包，应明确该项目或相关采购包专门面向中小企业采购，并作为供应商资格条件。</w:t>
      </w:r>
    </w:p>
    <w:p w14:paraId="30FFAD30">
      <w:pPr>
        <w:adjustRightInd w:val="0"/>
        <w:snapToGrid w:val="0"/>
        <w:spacing w:line="360" w:lineRule="auto"/>
        <w:ind w:firstLine="420" w:firstLineChars="200"/>
        <w:rPr>
          <w:rFonts w:ascii="宋体" w:hAnsi="宋体"/>
          <w:color w:val="auto"/>
          <w:highlight w:val="none"/>
        </w:rPr>
      </w:pPr>
      <w:r>
        <w:rPr>
          <w:rFonts w:hint="eastAsia" w:ascii="宋体" w:hAnsi="宋体"/>
          <w:color w:val="auto"/>
          <w:highlight w:val="none"/>
        </w:rPr>
        <w:t>（2）要求以联合体形式参加或者合同分包的，应明确联合协议或者分包意向协议中中小企业合同金额应当达到的比例，并作为供应商资格条件。</w:t>
      </w:r>
    </w:p>
    <w:p w14:paraId="462145CB">
      <w:pPr>
        <w:adjustRightInd w:val="0"/>
        <w:snapToGrid w:val="0"/>
        <w:spacing w:line="360" w:lineRule="auto"/>
        <w:ind w:firstLine="420" w:firstLineChars="200"/>
        <w:rPr>
          <w:rFonts w:ascii="宋体" w:hAnsi="宋体"/>
          <w:color w:val="auto"/>
          <w:highlight w:val="none"/>
        </w:rPr>
      </w:pPr>
      <w:r>
        <w:rPr>
          <w:rFonts w:hint="eastAsia" w:ascii="宋体" w:hAnsi="宋体"/>
          <w:color w:val="auto"/>
          <w:highlight w:val="none"/>
        </w:rPr>
        <w:t>（3）组成联合体或者接受分包合同的中小企业与联合体内其他企业(成员)、分包企业(投标人)之间不得存在直接控股、管理关系。</w:t>
      </w:r>
    </w:p>
    <w:p w14:paraId="428F5FAD">
      <w:pPr>
        <w:adjustRightInd w:val="0"/>
        <w:snapToGrid w:val="0"/>
        <w:spacing w:line="360" w:lineRule="auto"/>
        <w:ind w:firstLine="420" w:firstLineChars="200"/>
        <w:rPr>
          <w:rFonts w:ascii="宋体" w:hAnsi="宋体"/>
          <w:color w:val="auto"/>
          <w:highlight w:val="none"/>
        </w:rPr>
      </w:pPr>
      <w:r>
        <w:rPr>
          <w:rFonts w:hint="eastAsia" w:ascii="宋体" w:hAnsi="宋体"/>
          <w:color w:val="auto"/>
          <w:highlight w:val="none"/>
        </w:rPr>
        <w:t>33.8采购进口产品</w:t>
      </w:r>
    </w:p>
    <w:p w14:paraId="44E4094A">
      <w:pPr>
        <w:adjustRightInd w:val="0"/>
        <w:snapToGrid w:val="0"/>
        <w:spacing w:line="360" w:lineRule="auto"/>
        <w:ind w:firstLine="420" w:firstLineChars="200"/>
        <w:rPr>
          <w:rFonts w:ascii="宋体" w:hAnsi="宋体"/>
          <w:color w:val="auto"/>
          <w:highlight w:val="none"/>
        </w:rPr>
      </w:pPr>
      <w:r>
        <w:rPr>
          <w:rFonts w:hint="eastAsia" w:ascii="宋体" w:hAnsi="宋体" w:cs="宋体"/>
          <w:color w:val="auto"/>
          <w:kern w:val="0"/>
          <w:szCs w:val="21"/>
          <w:highlight w:val="none"/>
        </w:rPr>
        <w:t>进口产品是指符合《政府采购进口产品管理办法》（财库〔2007〕119号）和《关于政府采购进口产品管理有关问题的通知》（财办库〔2008〕248号）文件规定的产品。除</w:t>
      </w:r>
      <w:r>
        <w:rPr>
          <w:rFonts w:hint="eastAsia" w:ascii="宋体" w:hAnsi="宋体"/>
          <w:b/>
          <w:color w:val="auto"/>
          <w:szCs w:val="21"/>
          <w:highlight w:val="none"/>
        </w:rPr>
        <w:t>【投标须知前附表】</w:t>
      </w:r>
      <w:r>
        <w:rPr>
          <w:rFonts w:hint="eastAsia" w:ascii="宋体" w:hAnsi="宋体" w:cs="宋体"/>
          <w:color w:val="auto"/>
          <w:kern w:val="0"/>
          <w:szCs w:val="21"/>
          <w:highlight w:val="none"/>
        </w:rPr>
        <w:t>另有规定外，采购项目</w:t>
      </w:r>
      <w:r>
        <w:rPr>
          <w:rFonts w:hint="eastAsia" w:ascii="宋体" w:hAnsi="宋体" w:cs="宋体"/>
          <w:b/>
          <w:color w:val="auto"/>
          <w:kern w:val="0"/>
          <w:szCs w:val="21"/>
          <w:highlight w:val="none"/>
        </w:rPr>
        <w:t>拒绝进口产品参加投标</w:t>
      </w:r>
      <w:r>
        <w:rPr>
          <w:rFonts w:hint="eastAsia" w:ascii="宋体" w:hAnsi="宋体" w:cs="宋体"/>
          <w:color w:val="auto"/>
          <w:kern w:val="0"/>
          <w:szCs w:val="21"/>
          <w:highlight w:val="none"/>
        </w:rPr>
        <w:t>。本款规定同意购买进口产品的，不限制满足招标文件要求的国内产品参与投标竞争。</w:t>
      </w:r>
    </w:p>
    <w:p w14:paraId="0259CD97">
      <w:pPr>
        <w:adjustRightInd w:val="0"/>
        <w:snapToGrid w:val="0"/>
        <w:spacing w:line="360" w:lineRule="auto"/>
        <w:ind w:firstLine="420" w:firstLineChars="200"/>
        <w:rPr>
          <w:rFonts w:ascii="宋体" w:hAnsi="宋体"/>
          <w:color w:val="auto"/>
          <w:highlight w:val="none"/>
        </w:rPr>
      </w:pPr>
      <w:r>
        <w:rPr>
          <w:rFonts w:hint="eastAsia" w:ascii="宋体" w:hAnsi="宋体"/>
          <w:color w:val="auto"/>
          <w:highlight w:val="none"/>
        </w:rPr>
        <w:t>33.9投标人有融资、担保需求的，可登陆中国湖南政府采购网查询相关银行、担保机构业务。</w:t>
      </w:r>
    </w:p>
    <w:p w14:paraId="0C0C8F4D">
      <w:pPr>
        <w:pStyle w:val="4"/>
        <w:adjustRightInd w:val="0"/>
        <w:snapToGrid w:val="0"/>
        <w:spacing w:before="120" w:beforeLines="50" w:after="0" w:line="360" w:lineRule="auto"/>
        <w:jc w:val="center"/>
        <w:rPr>
          <w:rFonts w:ascii="黑体" w:hAnsi="黑体" w:eastAsia="黑体"/>
          <w:color w:val="auto"/>
          <w:sz w:val="28"/>
          <w:szCs w:val="28"/>
          <w:highlight w:val="none"/>
        </w:rPr>
      </w:pPr>
      <w:bookmarkStart w:id="354" w:name="_Toc192951223"/>
      <w:bookmarkStart w:id="355" w:name="_Toc75289558"/>
      <w:bookmarkStart w:id="356" w:name="_Toc24822"/>
      <w:bookmarkStart w:id="357" w:name="_Toc95601375"/>
      <w:bookmarkStart w:id="358" w:name="_Toc192949613"/>
      <w:bookmarkStart w:id="359" w:name="_Toc154428400"/>
      <w:bookmarkStart w:id="360" w:name="_Toc94367890"/>
      <w:bookmarkStart w:id="361" w:name="_Toc25181"/>
      <w:bookmarkStart w:id="362" w:name="_Toc78449965"/>
      <w:bookmarkStart w:id="363" w:name="_Toc100670678"/>
      <w:bookmarkStart w:id="364" w:name="_Toc112704943"/>
      <w:bookmarkStart w:id="365" w:name="_Toc85972940"/>
      <w:bookmarkStart w:id="366" w:name="_Toc77676476"/>
      <w:bookmarkStart w:id="367" w:name="_Toc78314272"/>
      <w:bookmarkStart w:id="368" w:name="_Toc75289236"/>
      <w:bookmarkStart w:id="369" w:name="_Toc77199409"/>
      <w:bookmarkStart w:id="370" w:name="_Toc17266"/>
      <w:bookmarkStart w:id="371" w:name="_Toc108341947"/>
      <w:bookmarkStart w:id="372" w:name="_Toc7914"/>
      <w:bookmarkStart w:id="373" w:name="_Toc192949712"/>
      <w:bookmarkStart w:id="374" w:name="_Toc114036722"/>
      <w:bookmarkStart w:id="375" w:name="_Toc20651204"/>
      <w:bookmarkStart w:id="376" w:name="_Toc24389"/>
      <w:bookmarkStart w:id="377" w:name="_Toc117192458"/>
      <w:bookmarkStart w:id="378" w:name="_Toc100670431"/>
      <w:bookmarkStart w:id="379" w:name="_Toc7058"/>
      <w:bookmarkStart w:id="380" w:name="_Toc23090"/>
      <w:bookmarkStart w:id="381" w:name="_Toc13827"/>
      <w:bookmarkStart w:id="382" w:name="_Toc171273681"/>
      <w:bookmarkStart w:id="383" w:name="_Toc4896"/>
      <w:r>
        <w:rPr>
          <w:rFonts w:hint="eastAsia" w:ascii="黑体" w:hAnsi="黑体" w:eastAsia="黑体"/>
          <w:color w:val="auto"/>
          <w:sz w:val="28"/>
          <w:szCs w:val="28"/>
          <w:highlight w:val="none"/>
        </w:rPr>
        <w:t>九、其他规定</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p w14:paraId="5664C08C">
      <w:pPr>
        <w:adjustRightInd w:val="0"/>
        <w:snapToGrid w:val="0"/>
        <w:spacing w:before="120" w:beforeLines="50" w:line="360" w:lineRule="auto"/>
        <w:rPr>
          <w:rFonts w:ascii="宋体" w:hAnsi="宋体"/>
          <w:b/>
          <w:color w:val="auto"/>
          <w:sz w:val="24"/>
          <w:highlight w:val="none"/>
        </w:rPr>
      </w:pPr>
      <w:r>
        <w:rPr>
          <w:rFonts w:hint="eastAsia" w:ascii="宋体" w:hAnsi="宋体"/>
          <w:b/>
          <w:bCs/>
          <w:color w:val="auto"/>
          <w:sz w:val="24"/>
          <w:highlight w:val="none"/>
        </w:rPr>
        <w:t>34.</w:t>
      </w:r>
      <w:r>
        <w:rPr>
          <w:rFonts w:hint="eastAsia" w:ascii="宋体" w:hAnsi="宋体"/>
          <w:b/>
          <w:color w:val="auto"/>
          <w:sz w:val="24"/>
          <w:highlight w:val="none"/>
        </w:rPr>
        <w:t>招标不足三家处理</w:t>
      </w:r>
    </w:p>
    <w:p w14:paraId="18C37CEE">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34.1公开招标数额标准以上的采购项目，投标截止后投标人不足3家或者通过资格审查或符合性审查的投标人不足3家的，除采购任务取消情形外，按照以下方式处理：</w:t>
      </w:r>
    </w:p>
    <w:p w14:paraId="7BED9891">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（1）招标文件存在不合理条款或者招标程序不符合规定的，采购人、采购代理机构改正后依法重新招标；</w:t>
      </w:r>
    </w:p>
    <w:p w14:paraId="670604E4">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（2）招标文件没有不合理条款、招标程序符合规定，需要采用其他采购方式采购的，采购人应当依法报财政部门批准。</w:t>
      </w:r>
    </w:p>
    <w:p w14:paraId="63216002">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34.2属上款第（2）项情形的，评标委员会应出具招标文件没有不合理条款的论证意见。</w:t>
      </w:r>
    </w:p>
    <w:p w14:paraId="6187C0A8">
      <w:pPr>
        <w:adjustRightInd w:val="0"/>
        <w:snapToGrid w:val="0"/>
        <w:spacing w:line="360" w:lineRule="auto"/>
        <w:rPr>
          <w:rFonts w:ascii="宋体" w:hAnsi="宋体"/>
          <w:b/>
          <w:color w:val="auto"/>
          <w:sz w:val="24"/>
          <w:highlight w:val="none"/>
        </w:rPr>
      </w:pPr>
      <w:r>
        <w:rPr>
          <w:rFonts w:hint="eastAsia" w:ascii="宋体" w:hAnsi="宋体"/>
          <w:b/>
          <w:bCs/>
          <w:color w:val="auto"/>
          <w:sz w:val="24"/>
          <w:highlight w:val="none"/>
        </w:rPr>
        <w:t>35.</w:t>
      </w:r>
      <w:r>
        <w:rPr>
          <w:rFonts w:hint="eastAsia" w:ascii="宋体" w:hAnsi="宋体"/>
          <w:b/>
          <w:color w:val="auto"/>
          <w:sz w:val="24"/>
          <w:highlight w:val="none"/>
        </w:rPr>
        <w:t>需要补充的其他内容</w:t>
      </w:r>
    </w:p>
    <w:p w14:paraId="08CBA506">
      <w:pPr>
        <w:adjustRightInd w:val="0"/>
        <w:snapToGrid w:val="0"/>
        <w:spacing w:line="360" w:lineRule="auto"/>
        <w:ind w:firstLine="420" w:firstLineChars="200"/>
        <w:rPr>
          <w:rFonts w:ascii="宋体" w:hAnsi="宋体"/>
          <w:color w:val="auto"/>
          <w:highlight w:val="none"/>
        </w:rPr>
      </w:pPr>
      <w:r>
        <w:rPr>
          <w:rFonts w:hint="eastAsia" w:ascii="宋体" w:hAnsi="宋体"/>
          <w:color w:val="auto"/>
          <w:highlight w:val="none"/>
        </w:rPr>
        <w:t>35.1合同价款支付</w:t>
      </w:r>
    </w:p>
    <w:p w14:paraId="7C91B1E7">
      <w:pPr>
        <w:adjustRightInd w:val="0"/>
        <w:snapToGrid w:val="0"/>
        <w:spacing w:line="360" w:lineRule="auto"/>
        <w:ind w:firstLine="420" w:firstLineChars="200"/>
        <w:rPr>
          <w:rFonts w:ascii="宋体" w:hAnsi="宋体"/>
          <w:color w:val="auto"/>
          <w:highlight w:val="none"/>
        </w:rPr>
      </w:pPr>
      <w:r>
        <w:rPr>
          <w:rFonts w:hint="eastAsia" w:ascii="宋体" w:hAnsi="宋体"/>
          <w:color w:val="auto"/>
          <w:highlight w:val="none"/>
        </w:rPr>
        <w:t>（1）招标文件</w:t>
      </w:r>
      <w:r>
        <w:rPr>
          <w:rFonts w:hint="eastAsia" w:ascii="宋体" w:hAnsi="宋体"/>
          <w:bCs/>
          <w:color w:val="auto"/>
          <w:szCs w:val="21"/>
          <w:highlight w:val="none"/>
        </w:rPr>
        <w:t>规定支付合同预付款的，采购人应按</w:t>
      </w:r>
      <w:r>
        <w:rPr>
          <w:rFonts w:hint="eastAsia" w:ascii="宋体" w:hAnsi="宋体"/>
          <w:b/>
          <w:color w:val="auto"/>
          <w:szCs w:val="21"/>
          <w:highlight w:val="none"/>
        </w:rPr>
        <w:t>【投标须知前附表】</w:t>
      </w:r>
      <w:r>
        <w:rPr>
          <w:rFonts w:hint="eastAsia" w:ascii="宋体" w:hAnsi="宋体"/>
          <w:bCs/>
          <w:color w:val="auto"/>
          <w:szCs w:val="21"/>
          <w:highlight w:val="none"/>
        </w:rPr>
        <w:t>规定的支付比例和支付条件向符合要求的中标供应商及时支付相应款项，并在政府采购合同中进行明确。</w:t>
      </w:r>
    </w:p>
    <w:p w14:paraId="08DE1CEF">
      <w:pPr>
        <w:adjustRightInd w:val="0"/>
        <w:snapToGrid w:val="0"/>
        <w:spacing w:line="360" w:lineRule="auto"/>
        <w:ind w:firstLine="420" w:firstLineChars="200"/>
        <w:rPr>
          <w:rFonts w:ascii="宋体" w:hAnsi="宋体"/>
          <w:color w:val="auto"/>
          <w:highlight w:val="none"/>
        </w:rPr>
      </w:pPr>
      <w:r>
        <w:rPr>
          <w:rFonts w:hint="eastAsia" w:ascii="宋体" w:hAnsi="宋体"/>
          <w:color w:val="auto"/>
          <w:highlight w:val="none"/>
        </w:rPr>
        <w:t>（2）招标文件</w:t>
      </w:r>
      <w:r>
        <w:rPr>
          <w:rFonts w:hint="eastAsia" w:ascii="宋体" w:hAnsi="宋体"/>
          <w:bCs/>
          <w:color w:val="auto"/>
          <w:highlight w:val="none"/>
        </w:rPr>
        <w:t>规定需提交质量保证金的，采购人可以按</w:t>
      </w:r>
      <w:r>
        <w:rPr>
          <w:rFonts w:hint="eastAsia" w:ascii="宋体" w:hAnsi="宋体"/>
          <w:b/>
          <w:color w:val="auto"/>
          <w:highlight w:val="none"/>
        </w:rPr>
        <w:t>【投标须知前附表】</w:t>
      </w:r>
      <w:r>
        <w:rPr>
          <w:rFonts w:hint="eastAsia" w:ascii="宋体" w:hAnsi="宋体"/>
          <w:bCs/>
          <w:color w:val="auto"/>
          <w:highlight w:val="none"/>
        </w:rPr>
        <w:t>规定要求中标供应商提交质量保证金，并在政府采购合同中进行明确。</w:t>
      </w:r>
    </w:p>
    <w:p w14:paraId="7D437D27">
      <w:pPr>
        <w:adjustRightInd w:val="0"/>
        <w:snapToGrid w:val="0"/>
        <w:spacing w:line="360" w:lineRule="auto"/>
        <w:ind w:firstLine="420" w:firstLineChars="200"/>
        <w:rPr>
          <w:rFonts w:ascii="宋体" w:hAnsi="宋体"/>
          <w:color w:val="auto"/>
          <w:highlight w:val="none"/>
        </w:rPr>
      </w:pPr>
      <w:r>
        <w:rPr>
          <w:rFonts w:hint="eastAsia" w:ascii="宋体" w:hAnsi="宋体"/>
          <w:bCs/>
          <w:color w:val="auto"/>
          <w:highlight w:val="none"/>
        </w:rPr>
        <w:t>（3）投标人可以保函、电子增信替代预付款担保、质量保证金。</w:t>
      </w:r>
    </w:p>
    <w:p w14:paraId="52BCC18A">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highlight w:val="none"/>
        </w:rPr>
        <w:t>35.2招标文件需要补充的其</w:t>
      </w:r>
      <w:r>
        <w:rPr>
          <w:rFonts w:hint="eastAsia" w:ascii="宋体" w:hAnsi="宋体"/>
          <w:color w:val="auto"/>
          <w:szCs w:val="21"/>
          <w:highlight w:val="none"/>
        </w:rPr>
        <w:t>他内容见</w:t>
      </w:r>
      <w:r>
        <w:rPr>
          <w:rFonts w:hint="eastAsia" w:ascii="宋体" w:hAnsi="宋体"/>
          <w:b/>
          <w:color w:val="auto"/>
          <w:szCs w:val="21"/>
          <w:highlight w:val="none"/>
        </w:rPr>
        <w:t>【投标须知前附表】</w:t>
      </w:r>
      <w:r>
        <w:rPr>
          <w:rFonts w:hint="eastAsia" w:ascii="宋体" w:hAnsi="宋体"/>
          <w:color w:val="auto"/>
          <w:szCs w:val="21"/>
          <w:highlight w:val="none"/>
        </w:rPr>
        <w:t>。</w:t>
      </w:r>
    </w:p>
    <w:p w14:paraId="3F8CF620">
      <w:pPr>
        <w:pStyle w:val="22"/>
        <w:adjustRightInd w:val="0"/>
        <w:snapToGrid w:val="0"/>
        <w:spacing w:before="120" w:beforeLines="50" w:line="360" w:lineRule="auto"/>
        <w:ind w:firstLine="1606" w:firstLineChars="500"/>
        <w:outlineLvl w:val="9"/>
        <w:rPr>
          <w:rFonts w:hint="eastAsia" w:ascii="黑体" w:hAnsi="黑体" w:eastAsia="黑体"/>
          <w:b/>
          <w:color w:val="auto"/>
          <w:sz w:val="32"/>
          <w:szCs w:val="32"/>
          <w:highlight w:val="none"/>
        </w:rPr>
      </w:pPr>
      <w:bookmarkStart w:id="384" w:name="_Toc78449966"/>
      <w:bookmarkStart w:id="385" w:name="_Toc114036723"/>
      <w:bookmarkStart w:id="386" w:name="_Toc78314273"/>
      <w:bookmarkStart w:id="387" w:name="_Toc77199410"/>
      <w:bookmarkStart w:id="388" w:name="_Toc100670679"/>
      <w:bookmarkStart w:id="389" w:name="_Toc192949614"/>
      <w:bookmarkStart w:id="390" w:name="_Toc31883"/>
      <w:bookmarkStart w:id="391" w:name="_Toc77676477"/>
      <w:bookmarkStart w:id="392" w:name="_Toc117192459"/>
      <w:bookmarkStart w:id="393" w:name="_Toc108341948"/>
      <w:bookmarkStart w:id="394" w:name="_Toc27253"/>
      <w:bookmarkStart w:id="395" w:name="_Toc13277"/>
      <w:bookmarkStart w:id="396" w:name="_Toc75289559"/>
      <w:bookmarkStart w:id="397" w:name="_Toc15888495"/>
      <w:bookmarkStart w:id="398" w:name="_Toc27437"/>
      <w:bookmarkStart w:id="399" w:name="_Toc192951224"/>
      <w:bookmarkStart w:id="400" w:name="_Toc85972941"/>
      <w:bookmarkStart w:id="401" w:name="_Toc27158"/>
      <w:bookmarkStart w:id="402" w:name="_Toc75289237"/>
      <w:bookmarkStart w:id="403" w:name="_Toc94367891"/>
      <w:bookmarkStart w:id="404" w:name="_Toc154428401"/>
      <w:bookmarkStart w:id="405" w:name="_Toc4260"/>
      <w:bookmarkStart w:id="406" w:name="_Toc192949713"/>
      <w:bookmarkStart w:id="407" w:name="_Toc112704944"/>
      <w:bookmarkStart w:id="408" w:name="_Toc2265"/>
      <w:bookmarkStart w:id="409" w:name="_Toc95601376"/>
      <w:bookmarkStart w:id="410" w:name="_Toc100670432"/>
      <w:bookmarkStart w:id="411" w:name="_Toc171273682"/>
      <w:bookmarkStart w:id="412" w:name="_Toc1041"/>
    </w:p>
    <w:p w14:paraId="04DB341E">
      <w:pPr>
        <w:pStyle w:val="22"/>
        <w:adjustRightInd w:val="0"/>
        <w:snapToGrid w:val="0"/>
        <w:spacing w:before="120" w:beforeLines="50" w:line="360" w:lineRule="auto"/>
        <w:ind w:firstLine="1606" w:firstLineChars="500"/>
        <w:outlineLvl w:val="9"/>
        <w:rPr>
          <w:rFonts w:hint="eastAsia" w:ascii="黑体" w:hAnsi="黑体" w:eastAsia="黑体"/>
          <w:b/>
          <w:color w:val="auto"/>
          <w:sz w:val="32"/>
          <w:szCs w:val="32"/>
          <w:highlight w:val="none"/>
        </w:rPr>
      </w:pPr>
    </w:p>
    <w:p w14:paraId="6E605D7A">
      <w:pPr>
        <w:pStyle w:val="22"/>
        <w:adjustRightInd w:val="0"/>
        <w:snapToGrid w:val="0"/>
        <w:spacing w:before="120" w:beforeLines="50" w:line="360" w:lineRule="auto"/>
        <w:ind w:firstLine="1606" w:firstLineChars="500"/>
        <w:outlineLvl w:val="9"/>
        <w:rPr>
          <w:rFonts w:hint="eastAsia" w:ascii="黑体" w:hAnsi="黑体" w:eastAsia="黑体"/>
          <w:b/>
          <w:color w:val="auto"/>
          <w:sz w:val="32"/>
          <w:szCs w:val="32"/>
          <w:highlight w:val="none"/>
        </w:rPr>
      </w:pPr>
    </w:p>
    <w:p w14:paraId="1938CFA8">
      <w:pPr>
        <w:pStyle w:val="22"/>
        <w:adjustRightInd w:val="0"/>
        <w:snapToGrid w:val="0"/>
        <w:spacing w:before="120" w:beforeLines="50" w:line="360" w:lineRule="auto"/>
        <w:ind w:firstLine="1606" w:firstLineChars="500"/>
        <w:outlineLvl w:val="9"/>
        <w:rPr>
          <w:rFonts w:hint="eastAsia" w:ascii="黑体" w:hAnsi="黑体" w:eastAsia="黑体"/>
          <w:b/>
          <w:color w:val="auto"/>
          <w:sz w:val="32"/>
          <w:szCs w:val="32"/>
          <w:highlight w:val="none"/>
        </w:rPr>
      </w:pPr>
    </w:p>
    <w:p w14:paraId="4B6B1556">
      <w:pPr>
        <w:pStyle w:val="22"/>
        <w:adjustRightInd w:val="0"/>
        <w:snapToGrid w:val="0"/>
        <w:spacing w:before="120" w:beforeLines="50" w:line="360" w:lineRule="auto"/>
        <w:ind w:firstLine="1606" w:firstLineChars="500"/>
        <w:outlineLvl w:val="9"/>
        <w:rPr>
          <w:rFonts w:hint="eastAsia" w:ascii="黑体" w:hAnsi="黑体" w:eastAsia="黑体"/>
          <w:b/>
          <w:color w:val="auto"/>
          <w:sz w:val="32"/>
          <w:szCs w:val="32"/>
          <w:highlight w:val="none"/>
        </w:rPr>
      </w:pPr>
    </w:p>
    <w:p w14:paraId="6BAD9E80">
      <w:pPr>
        <w:pStyle w:val="22"/>
        <w:adjustRightInd w:val="0"/>
        <w:snapToGrid w:val="0"/>
        <w:spacing w:before="120" w:beforeLines="50" w:line="360" w:lineRule="auto"/>
        <w:ind w:firstLine="1606" w:firstLineChars="500"/>
        <w:outlineLvl w:val="9"/>
        <w:rPr>
          <w:rFonts w:hint="eastAsia" w:ascii="黑体" w:hAnsi="黑体" w:eastAsia="黑体"/>
          <w:b/>
          <w:color w:val="auto"/>
          <w:sz w:val="32"/>
          <w:szCs w:val="32"/>
          <w:highlight w:val="none"/>
        </w:rPr>
      </w:pPr>
    </w:p>
    <w:p w14:paraId="08E48AF9">
      <w:pPr>
        <w:pStyle w:val="22"/>
        <w:adjustRightInd w:val="0"/>
        <w:snapToGrid w:val="0"/>
        <w:spacing w:before="120" w:beforeLines="50" w:line="360" w:lineRule="auto"/>
        <w:ind w:firstLine="1606" w:firstLineChars="500"/>
        <w:outlineLvl w:val="9"/>
        <w:rPr>
          <w:rFonts w:hint="eastAsia" w:ascii="黑体" w:hAnsi="黑体" w:eastAsia="黑体"/>
          <w:b/>
          <w:color w:val="auto"/>
          <w:sz w:val="32"/>
          <w:szCs w:val="32"/>
          <w:highlight w:val="none"/>
        </w:rPr>
      </w:pPr>
    </w:p>
    <w:p w14:paraId="6277401C">
      <w:pPr>
        <w:pStyle w:val="22"/>
        <w:adjustRightInd w:val="0"/>
        <w:snapToGrid w:val="0"/>
        <w:spacing w:before="120" w:beforeLines="50" w:line="360" w:lineRule="auto"/>
        <w:ind w:firstLine="1606" w:firstLineChars="500"/>
        <w:outlineLvl w:val="9"/>
        <w:rPr>
          <w:rFonts w:hint="eastAsia" w:ascii="黑体" w:hAnsi="黑体" w:eastAsia="黑体"/>
          <w:b/>
          <w:color w:val="auto"/>
          <w:sz w:val="32"/>
          <w:szCs w:val="32"/>
          <w:highlight w:val="none"/>
        </w:rPr>
      </w:pPr>
    </w:p>
    <w:p w14:paraId="379DC109">
      <w:pPr>
        <w:pStyle w:val="22"/>
        <w:adjustRightInd w:val="0"/>
        <w:snapToGrid w:val="0"/>
        <w:spacing w:before="120" w:beforeLines="50" w:line="360" w:lineRule="auto"/>
        <w:ind w:firstLine="1606" w:firstLineChars="500"/>
        <w:outlineLvl w:val="9"/>
        <w:rPr>
          <w:rFonts w:hint="eastAsia" w:ascii="黑体" w:hAnsi="黑体" w:eastAsia="黑体"/>
          <w:b/>
          <w:color w:val="auto"/>
          <w:sz w:val="32"/>
          <w:szCs w:val="32"/>
          <w:highlight w:val="none"/>
        </w:rPr>
      </w:pPr>
    </w:p>
    <w:p w14:paraId="33891993">
      <w:pPr>
        <w:pStyle w:val="22"/>
        <w:adjustRightInd w:val="0"/>
        <w:snapToGrid w:val="0"/>
        <w:spacing w:before="120" w:beforeLines="50" w:line="360" w:lineRule="auto"/>
        <w:ind w:firstLine="1606" w:firstLineChars="500"/>
        <w:outlineLvl w:val="9"/>
        <w:rPr>
          <w:rFonts w:hint="eastAsia" w:ascii="黑体" w:hAnsi="黑体" w:eastAsia="黑体"/>
          <w:b/>
          <w:color w:val="auto"/>
          <w:sz w:val="32"/>
          <w:szCs w:val="32"/>
          <w:highlight w:val="none"/>
        </w:rPr>
      </w:pPr>
    </w:p>
    <w:p w14:paraId="10B355AB">
      <w:pPr>
        <w:pStyle w:val="22"/>
        <w:adjustRightInd w:val="0"/>
        <w:snapToGrid w:val="0"/>
        <w:spacing w:before="120" w:beforeLines="50" w:line="360" w:lineRule="auto"/>
        <w:ind w:firstLine="1606" w:firstLineChars="500"/>
        <w:outlineLvl w:val="9"/>
        <w:rPr>
          <w:rFonts w:hint="eastAsia" w:ascii="黑体" w:hAnsi="黑体" w:eastAsia="黑体"/>
          <w:b/>
          <w:color w:val="auto"/>
          <w:sz w:val="32"/>
          <w:szCs w:val="32"/>
          <w:highlight w:val="none"/>
        </w:rPr>
      </w:pPr>
    </w:p>
    <w:p w14:paraId="00D048C3">
      <w:pPr>
        <w:pStyle w:val="22"/>
        <w:adjustRightInd w:val="0"/>
        <w:snapToGrid w:val="0"/>
        <w:spacing w:before="120" w:beforeLines="50" w:line="360" w:lineRule="auto"/>
        <w:ind w:firstLine="1606" w:firstLineChars="500"/>
        <w:outlineLvl w:val="9"/>
        <w:rPr>
          <w:rFonts w:hint="eastAsia" w:ascii="黑体" w:hAnsi="黑体" w:eastAsia="黑体"/>
          <w:b/>
          <w:color w:val="auto"/>
          <w:sz w:val="32"/>
          <w:szCs w:val="32"/>
          <w:highlight w:val="none"/>
        </w:rPr>
      </w:pPr>
    </w:p>
    <w:p w14:paraId="1099FE21">
      <w:pPr>
        <w:pStyle w:val="22"/>
        <w:adjustRightInd w:val="0"/>
        <w:snapToGrid w:val="0"/>
        <w:spacing w:before="120" w:beforeLines="50" w:line="360" w:lineRule="auto"/>
        <w:ind w:firstLine="1606" w:firstLineChars="500"/>
        <w:outlineLvl w:val="9"/>
        <w:rPr>
          <w:rFonts w:hint="eastAsia" w:ascii="黑体" w:hAnsi="黑体" w:eastAsia="黑体"/>
          <w:b/>
          <w:color w:val="auto"/>
          <w:sz w:val="32"/>
          <w:szCs w:val="32"/>
          <w:highlight w:val="none"/>
        </w:rPr>
      </w:pPr>
    </w:p>
    <w:p w14:paraId="33F63A89">
      <w:pPr>
        <w:pStyle w:val="22"/>
        <w:adjustRightInd w:val="0"/>
        <w:snapToGrid w:val="0"/>
        <w:spacing w:before="120" w:beforeLines="50" w:line="360" w:lineRule="auto"/>
        <w:ind w:firstLine="1606" w:firstLineChars="500"/>
        <w:outlineLvl w:val="9"/>
        <w:rPr>
          <w:rFonts w:hint="eastAsia" w:ascii="黑体" w:hAnsi="黑体" w:eastAsia="黑体"/>
          <w:b/>
          <w:color w:val="auto"/>
          <w:sz w:val="32"/>
          <w:szCs w:val="32"/>
          <w:highlight w:val="none"/>
        </w:rPr>
      </w:pPr>
    </w:p>
    <w:p w14:paraId="26303F52">
      <w:pPr>
        <w:pStyle w:val="22"/>
        <w:adjustRightInd w:val="0"/>
        <w:snapToGrid w:val="0"/>
        <w:spacing w:before="120" w:beforeLines="50" w:line="360" w:lineRule="auto"/>
        <w:ind w:firstLine="1606" w:firstLineChars="500"/>
        <w:outlineLvl w:val="9"/>
        <w:rPr>
          <w:rFonts w:hint="eastAsia" w:ascii="黑体" w:hAnsi="黑体" w:eastAsia="黑体"/>
          <w:b/>
          <w:color w:val="auto"/>
          <w:sz w:val="32"/>
          <w:szCs w:val="32"/>
          <w:highlight w:val="none"/>
        </w:rPr>
      </w:pPr>
    </w:p>
    <w:p w14:paraId="419C17EF">
      <w:pPr>
        <w:pStyle w:val="22"/>
        <w:adjustRightInd w:val="0"/>
        <w:snapToGrid w:val="0"/>
        <w:spacing w:before="120" w:beforeLines="50" w:line="360" w:lineRule="auto"/>
        <w:ind w:firstLine="1606" w:firstLineChars="500"/>
        <w:outlineLvl w:val="9"/>
        <w:rPr>
          <w:rFonts w:hint="eastAsia" w:ascii="黑体" w:hAnsi="黑体" w:eastAsia="黑体"/>
          <w:b/>
          <w:color w:val="auto"/>
          <w:sz w:val="32"/>
          <w:szCs w:val="32"/>
          <w:highlight w:val="none"/>
        </w:rPr>
      </w:pPr>
    </w:p>
    <w:p w14:paraId="41EEAC1E">
      <w:pPr>
        <w:pStyle w:val="22"/>
        <w:adjustRightInd w:val="0"/>
        <w:snapToGrid w:val="0"/>
        <w:spacing w:before="120" w:beforeLines="50" w:line="360" w:lineRule="auto"/>
        <w:ind w:firstLine="2249" w:firstLineChars="700"/>
        <w:outlineLvl w:val="0"/>
        <w:rPr>
          <w:rFonts w:ascii="黑体" w:hAnsi="黑体" w:eastAsia="黑体"/>
          <w:b/>
          <w:color w:val="auto"/>
          <w:sz w:val="32"/>
          <w:szCs w:val="32"/>
          <w:highlight w:val="none"/>
        </w:rPr>
      </w:pPr>
      <w:bookmarkStart w:id="413" w:name="_Toc23791"/>
      <w:bookmarkStart w:id="414" w:name="_Toc906609344"/>
      <w:r>
        <w:rPr>
          <w:rFonts w:hint="eastAsia" w:ascii="黑体" w:hAnsi="黑体" w:eastAsia="黑体"/>
          <w:b/>
          <w:color w:val="auto"/>
          <w:sz w:val="32"/>
          <w:szCs w:val="32"/>
          <w:highlight w:val="none"/>
        </w:rPr>
        <w:t>第三章 资格审查</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14:paraId="7BE96252">
      <w:pPr>
        <w:pStyle w:val="4"/>
        <w:adjustRightInd w:val="0"/>
        <w:snapToGrid w:val="0"/>
        <w:spacing w:before="0" w:after="0" w:line="360" w:lineRule="auto"/>
        <w:rPr>
          <w:rFonts w:ascii="宋体" w:hAnsi="宋体"/>
          <w:color w:val="auto"/>
          <w:sz w:val="24"/>
          <w:szCs w:val="24"/>
          <w:highlight w:val="none"/>
        </w:rPr>
      </w:pPr>
      <w:bookmarkStart w:id="415" w:name="_Toc78314274"/>
      <w:bookmarkStart w:id="416" w:name="_Toc171273683"/>
      <w:bookmarkStart w:id="417" w:name="_Toc192951225"/>
      <w:bookmarkStart w:id="418" w:name="_Toc78449967"/>
      <w:bookmarkStart w:id="419" w:name="_Toc192949615"/>
      <w:bookmarkStart w:id="420" w:name="_Toc77676478"/>
      <w:bookmarkStart w:id="421" w:name="_Toc28137"/>
      <w:bookmarkStart w:id="422" w:name="_Toc17592"/>
      <w:bookmarkStart w:id="423" w:name="_Toc114036724"/>
      <w:bookmarkStart w:id="424" w:name="_Toc21904"/>
      <w:bookmarkStart w:id="425" w:name="_Toc31014"/>
      <w:bookmarkStart w:id="426" w:name="_Toc77199411"/>
      <w:bookmarkStart w:id="427" w:name="_Toc112704945"/>
      <w:bookmarkStart w:id="428" w:name="_Toc26009"/>
      <w:bookmarkStart w:id="429" w:name="_Toc117192460"/>
      <w:bookmarkStart w:id="430" w:name="_Toc95601377"/>
      <w:bookmarkStart w:id="431" w:name="_Toc154428402"/>
      <w:bookmarkStart w:id="432" w:name="_Toc85972942"/>
      <w:bookmarkStart w:id="433" w:name="_Toc75289238"/>
      <w:bookmarkStart w:id="434" w:name="_Toc108341949"/>
      <w:bookmarkStart w:id="435" w:name="_Toc75289560"/>
      <w:bookmarkStart w:id="436" w:name="_Toc192949714"/>
      <w:bookmarkStart w:id="437" w:name="_Toc16503"/>
      <w:bookmarkStart w:id="438" w:name="_Toc15888496"/>
      <w:bookmarkStart w:id="439" w:name="_Toc32689"/>
      <w:bookmarkStart w:id="440" w:name="_Toc100670433"/>
      <w:bookmarkStart w:id="441" w:name="_Toc94367892"/>
      <w:bookmarkStart w:id="442" w:name="_Toc2273"/>
      <w:bookmarkStart w:id="443" w:name="_Toc10036"/>
      <w:bookmarkStart w:id="444" w:name="_Toc100670680"/>
      <w:r>
        <w:rPr>
          <w:rFonts w:hint="eastAsia" w:ascii="黑体" w:hAnsi="黑体" w:eastAsia="黑体"/>
          <w:color w:val="auto"/>
          <w:sz w:val="24"/>
          <w:szCs w:val="24"/>
          <w:highlight w:val="none"/>
        </w:rPr>
        <w:t>1．</w:t>
      </w:r>
      <w:r>
        <w:rPr>
          <w:rFonts w:hint="eastAsia" w:ascii="宋体" w:hAnsi="宋体"/>
          <w:color w:val="auto"/>
          <w:sz w:val="24"/>
          <w:szCs w:val="24"/>
          <w:highlight w:val="none"/>
        </w:rPr>
        <w:t>资格审查主体</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p>
    <w:p w14:paraId="4BDBDA5D">
      <w:pPr>
        <w:adjustRightInd w:val="0"/>
        <w:snapToGrid w:val="0"/>
        <w:spacing w:line="360" w:lineRule="auto"/>
        <w:ind w:firstLine="417" w:firstLineChars="199"/>
        <w:rPr>
          <w:rFonts w:ascii="宋体" w:hAnsi="宋体"/>
          <w:color w:val="auto"/>
          <w:szCs w:val="21"/>
          <w:highlight w:val="none"/>
        </w:rPr>
      </w:pPr>
      <w:r>
        <w:rPr>
          <w:rFonts w:hint="eastAsia" w:ascii="宋体" w:hAnsi="宋体"/>
          <w:color w:val="auto"/>
          <w:szCs w:val="21"/>
          <w:highlight w:val="none"/>
        </w:rPr>
        <w:t>1.1资格审查主体：采购人、采购代理机构负责资格审查。</w:t>
      </w:r>
    </w:p>
    <w:p w14:paraId="352E3BC8">
      <w:pPr>
        <w:pStyle w:val="4"/>
        <w:adjustRightInd w:val="0"/>
        <w:snapToGrid w:val="0"/>
        <w:spacing w:before="0" w:after="0" w:line="360" w:lineRule="auto"/>
        <w:rPr>
          <w:rFonts w:ascii="宋体" w:hAnsi="宋体"/>
          <w:color w:val="auto"/>
          <w:sz w:val="24"/>
          <w:szCs w:val="24"/>
          <w:highlight w:val="none"/>
        </w:rPr>
      </w:pPr>
      <w:bookmarkStart w:id="445" w:name="_Toc114036725"/>
      <w:bookmarkStart w:id="446" w:name="_Toc78449968"/>
      <w:bookmarkStart w:id="447" w:name="_Toc78314275"/>
      <w:bookmarkStart w:id="448" w:name="_Toc77676479"/>
      <w:bookmarkStart w:id="449" w:name="_Toc85972943"/>
      <w:bookmarkStart w:id="450" w:name="_Toc9152"/>
      <w:bookmarkStart w:id="451" w:name="_Toc18648"/>
      <w:bookmarkStart w:id="452" w:name="_Toc112704946"/>
      <w:bookmarkStart w:id="453" w:name="_Toc154428403"/>
      <w:bookmarkStart w:id="454" w:name="_Toc22295"/>
      <w:bookmarkStart w:id="455" w:name="_Toc95601378"/>
      <w:bookmarkStart w:id="456" w:name="_Toc192949616"/>
      <w:bookmarkStart w:id="457" w:name="_Toc75289561"/>
      <w:bookmarkStart w:id="458" w:name="_Toc15888497"/>
      <w:bookmarkStart w:id="459" w:name="_Toc192951226"/>
      <w:bookmarkStart w:id="460" w:name="_Toc94367893"/>
      <w:bookmarkStart w:id="461" w:name="_Toc7896"/>
      <w:bookmarkStart w:id="462" w:name="_Toc75289239"/>
      <w:bookmarkStart w:id="463" w:name="_Toc171273684"/>
      <w:bookmarkStart w:id="464" w:name="_Toc108341950"/>
      <w:bookmarkStart w:id="465" w:name="_Toc17087"/>
      <w:bookmarkStart w:id="466" w:name="_Toc26069"/>
      <w:bookmarkStart w:id="467" w:name="_Toc7833"/>
      <w:bookmarkStart w:id="468" w:name="_Toc748"/>
      <w:bookmarkStart w:id="469" w:name="_Toc100670681"/>
      <w:bookmarkStart w:id="470" w:name="_Toc77199412"/>
      <w:bookmarkStart w:id="471" w:name="_Toc100670434"/>
      <w:bookmarkStart w:id="472" w:name="_Toc192949715"/>
      <w:bookmarkStart w:id="473" w:name="_Toc13504"/>
      <w:bookmarkStart w:id="474" w:name="_Toc117192461"/>
      <w:r>
        <w:rPr>
          <w:rFonts w:hint="eastAsia" w:ascii="宋体" w:hAnsi="宋体"/>
          <w:color w:val="auto"/>
          <w:sz w:val="24"/>
          <w:szCs w:val="24"/>
          <w:highlight w:val="none"/>
        </w:rPr>
        <w:t>2．资格审查</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p w14:paraId="31588040">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2.1资格审查依据法律法规和招标文件的规定，对投标文件中的资格证明文件、投标报价等进行审查，以确定投标供应商是否具备投标资格。</w:t>
      </w:r>
    </w:p>
    <w:p w14:paraId="4F728BBA">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2.2采购人、采购代理机构按本章附表1“资格审查表”所列审查项目及审查标准，对投标人资格进行审查。</w:t>
      </w:r>
    </w:p>
    <w:p w14:paraId="533CB656">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2.3在资格审查时，投标人存在下列情况之一的，资格审查不合格，其投标无效：</w:t>
      </w:r>
    </w:p>
    <w:p w14:paraId="15AA178F">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（1）不具备招标文件中规定的资格要求的，或提交的资格证明文件不符合招标文件要求的；</w:t>
      </w:r>
    </w:p>
    <w:p w14:paraId="0CF01BC1">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（2）联合体投标未提交联合体协议书，或未提交联合体各方资格证明文件的；</w:t>
      </w:r>
    </w:p>
    <w:p w14:paraId="56BB924D">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（3）投标文件的资格证明文件未按照招标文件要求签署、盖章的；</w:t>
      </w:r>
    </w:p>
    <w:p w14:paraId="4AD17255">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（4）投标报价超过招标文件中规定的预算金额或者最高限价的；</w:t>
      </w:r>
    </w:p>
    <w:p w14:paraId="359B2199">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（5）法律、法规和招标文件规定的其他投标无效情形的。</w:t>
      </w:r>
    </w:p>
    <w:p w14:paraId="4841EC0F">
      <w:pPr>
        <w:adjustRightInd w:val="0"/>
        <w:snapToGrid w:val="0"/>
        <w:spacing w:line="360" w:lineRule="auto"/>
        <w:ind w:firstLine="420" w:firstLineChars="200"/>
        <w:rPr>
          <w:rFonts w:ascii="宋体" w:hAnsi="宋体"/>
          <w:b/>
          <w:color w:val="auto"/>
          <w:sz w:val="32"/>
          <w:szCs w:val="32"/>
          <w:highlight w:val="none"/>
        </w:rPr>
      </w:pPr>
      <w:r>
        <w:rPr>
          <w:rFonts w:hint="eastAsia" w:ascii="宋体" w:hAnsi="宋体"/>
          <w:color w:val="auto"/>
          <w:highlight w:val="none"/>
        </w:rPr>
        <w:t>2.4信用记录。开标结束后</w:t>
      </w:r>
      <w:r>
        <w:rPr>
          <w:rFonts w:hint="eastAsia" w:ascii="宋体" w:hAnsi="宋体"/>
          <w:color w:val="auto"/>
          <w:szCs w:val="21"/>
          <w:highlight w:val="none"/>
        </w:rPr>
        <w:t>资格审查时，采购人、采购代理机构将对投标人信用记录进行甄别。</w:t>
      </w:r>
    </w:p>
    <w:p w14:paraId="68FD7CCF">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（1）信用信息查询的查询渠道：信用中国网（www.creditchina.gov.cn）、中国政府采购网（www.ccgp.gov.cn）；</w:t>
      </w:r>
    </w:p>
    <w:p w14:paraId="1A327723">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不良信用记录是指：投标人在“信用中国”网站被列入失信被执行人和重大税收违法案件当事人名单，或在“中国政府采购网”网站被列入政府采购严重违法失信行为记录名单。投标人有上述不良信用记录的，其投标无效，其中，列入政府采购严重违法失信行为记录名单的，按处罚结果执行。</w:t>
      </w:r>
    </w:p>
    <w:p w14:paraId="188D8509">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（3）联合体形式投标的，联合体成员存在不良信用记录的，视同联合体存在不良信用记录。</w:t>
      </w:r>
    </w:p>
    <w:p w14:paraId="474E85DD">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（4）信用信息查询记录和证据留存具体方式：</w:t>
      </w:r>
      <w:r>
        <w:rPr>
          <w:rFonts w:hint="eastAsia" w:ascii="宋体" w:hAnsi="宋体"/>
          <w:color w:val="auto"/>
          <w:sz w:val="22"/>
          <w:szCs w:val="22"/>
          <w:highlight w:val="none"/>
        </w:rPr>
        <w:t>采购人、采购代理机构</w:t>
      </w:r>
      <w:r>
        <w:rPr>
          <w:rFonts w:ascii="宋体" w:hAnsi="宋体"/>
          <w:color w:val="auto"/>
          <w:sz w:val="22"/>
          <w:szCs w:val="22"/>
          <w:highlight w:val="none"/>
        </w:rPr>
        <w:t>经办人将查询网页</w:t>
      </w:r>
      <w:r>
        <w:rPr>
          <w:rFonts w:hint="eastAsia" w:ascii="宋体" w:hAnsi="宋体"/>
          <w:color w:val="auto"/>
          <w:sz w:val="22"/>
          <w:szCs w:val="22"/>
          <w:highlight w:val="none"/>
        </w:rPr>
        <w:t>截图、</w:t>
      </w:r>
      <w:r>
        <w:rPr>
          <w:rFonts w:ascii="宋体" w:hAnsi="宋体"/>
          <w:color w:val="auto"/>
          <w:sz w:val="22"/>
          <w:szCs w:val="22"/>
          <w:highlight w:val="none"/>
        </w:rPr>
        <w:t>打印、签字</w:t>
      </w:r>
      <w:r>
        <w:rPr>
          <w:rFonts w:hint="eastAsia" w:ascii="宋体" w:hAnsi="宋体"/>
          <w:color w:val="auto"/>
          <w:sz w:val="22"/>
          <w:szCs w:val="22"/>
          <w:highlight w:val="none"/>
        </w:rPr>
        <w:t>，作为查询记录和证据，与其他采购文件一并保存。</w:t>
      </w:r>
      <w:r>
        <w:rPr>
          <w:rFonts w:ascii="宋体" w:hAnsi="宋体"/>
          <w:color w:val="auto"/>
          <w:sz w:val="22"/>
          <w:szCs w:val="22"/>
          <w:highlight w:val="none"/>
        </w:rPr>
        <w:t>投标人不良信用记录以</w:t>
      </w:r>
      <w:r>
        <w:rPr>
          <w:rFonts w:hint="eastAsia" w:ascii="宋体" w:hAnsi="宋体"/>
          <w:color w:val="auto"/>
          <w:sz w:val="22"/>
          <w:szCs w:val="22"/>
          <w:highlight w:val="none"/>
        </w:rPr>
        <w:t>采购人、采购代理机构</w:t>
      </w:r>
      <w:r>
        <w:rPr>
          <w:rFonts w:ascii="宋体" w:hAnsi="宋体"/>
          <w:color w:val="auto"/>
          <w:sz w:val="22"/>
          <w:szCs w:val="22"/>
          <w:highlight w:val="none"/>
        </w:rPr>
        <w:t>查询结果为准</w:t>
      </w:r>
      <w:r>
        <w:rPr>
          <w:rFonts w:hint="eastAsia" w:ascii="宋体" w:hAnsi="宋体"/>
          <w:color w:val="auto"/>
          <w:sz w:val="22"/>
          <w:szCs w:val="22"/>
          <w:highlight w:val="none"/>
        </w:rPr>
        <w:t>。</w:t>
      </w:r>
    </w:p>
    <w:p w14:paraId="57F578C6">
      <w:pPr>
        <w:pStyle w:val="4"/>
        <w:adjustRightInd w:val="0"/>
        <w:snapToGrid w:val="0"/>
        <w:spacing w:before="0" w:after="0" w:line="360" w:lineRule="auto"/>
        <w:rPr>
          <w:rFonts w:ascii="宋体" w:hAnsi="宋体"/>
          <w:color w:val="auto"/>
          <w:sz w:val="24"/>
          <w:szCs w:val="24"/>
          <w:highlight w:val="none"/>
        </w:rPr>
      </w:pPr>
      <w:bookmarkStart w:id="475" w:name="_Toc22441"/>
      <w:bookmarkStart w:id="476" w:name="_Toc75289240"/>
      <w:bookmarkStart w:id="477" w:name="_Toc75289562"/>
      <w:bookmarkStart w:id="478" w:name="_Toc112704947"/>
      <w:bookmarkStart w:id="479" w:name="_Toc108341951"/>
      <w:bookmarkStart w:id="480" w:name="_Toc192949716"/>
      <w:bookmarkStart w:id="481" w:name="_Toc192949617"/>
      <w:bookmarkStart w:id="482" w:name="_Toc85972944"/>
      <w:bookmarkStart w:id="483" w:name="_Toc100670682"/>
      <w:bookmarkStart w:id="484" w:name="_Toc114036726"/>
      <w:bookmarkStart w:id="485" w:name="_Toc171273685"/>
      <w:bookmarkStart w:id="486" w:name="_Toc77199413"/>
      <w:bookmarkStart w:id="487" w:name="_Toc11239"/>
      <w:bookmarkStart w:id="488" w:name="_Toc154428404"/>
      <w:bookmarkStart w:id="489" w:name="_Toc77676480"/>
      <w:bookmarkStart w:id="490" w:name="_Toc22906"/>
      <w:bookmarkStart w:id="491" w:name="_Toc13377"/>
      <w:bookmarkStart w:id="492" w:name="_Toc19334"/>
      <w:bookmarkStart w:id="493" w:name="_Toc94367894"/>
      <w:bookmarkStart w:id="494" w:name="_Toc95601379"/>
      <w:bookmarkStart w:id="495" w:name="_Toc26424"/>
      <w:bookmarkStart w:id="496" w:name="_Toc192951227"/>
      <w:bookmarkStart w:id="497" w:name="_Toc78314276"/>
      <w:bookmarkStart w:id="498" w:name="_Toc117192462"/>
      <w:bookmarkStart w:id="499" w:name="_Toc1821"/>
      <w:bookmarkStart w:id="500" w:name="_Toc17377"/>
      <w:bookmarkStart w:id="501" w:name="_Toc11466"/>
      <w:bookmarkStart w:id="502" w:name="_Toc78449969"/>
      <w:bookmarkStart w:id="503" w:name="_Toc15888498"/>
      <w:bookmarkStart w:id="504" w:name="_Toc100670435"/>
      <w:r>
        <w:rPr>
          <w:rFonts w:hint="eastAsia" w:ascii="宋体" w:hAnsi="宋体"/>
          <w:color w:val="auto"/>
          <w:sz w:val="24"/>
          <w:szCs w:val="24"/>
          <w:highlight w:val="none"/>
        </w:rPr>
        <w:t>3．资格审查结果</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7FD6010C">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3.1未通过资格审查的投标人，采购人、采购代理机构应当告知其未通过的原因。</w:t>
      </w:r>
    </w:p>
    <w:p w14:paraId="39DF2D45">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3.2资格审查结束后，采购人、采购代理机构应将资格审查结果告知评标委员会。</w:t>
      </w:r>
    </w:p>
    <w:p w14:paraId="4364FF28">
      <w:pPr>
        <w:adjustRightInd w:val="0"/>
        <w:snapToGrid w:val="0"/>
        <w:spacing w:line="360" w:lineRule="auto"/>
        <w:ind w:firstLine="420" w:firstLineChars="200"/>
        <w:rPr>
          <w:rFonts w:ascii="华文中宋" w:hAnsi="华文中宋" w:eastAsia="华文中宋"/>
          <w:color w:val="auto"/>
          <w:highlight w:val="none"/>
        </w:rPr>
      </w:pPr>
      <w:r>
        <w:rPr>
          <w:rFonts w:ascii="华文中宋" w:hAnsi="华文中宋" w:eastAsia="华文中宋"/>
          <w:color w:val="auto"/>
          <w:highlight w:val="none"/>
        </w:rPr>
        <w:br w:type="page"/>
      </w:r>
      <w:bookmarkStart w:id="505" w:name="_Toc15888500"/>
    </w:p>
    <w:p w14:paraId="3A3CF9BF">
      <w:pPr>
        <w:adjustRightInd w:val="0"/>
        <w:snapToGrid w:val="0"/>
        <w:spacing w:line="360" w:lineRule="auto"/>
        <w:jc w:val="center"/>
        <w:rPr>
          <w:rFonts w:ascii="黑体" w:hAnsi="黑体" w:eastAsia="黑体"/>
          <w:b/>
          <w:color w:val="auto"/>
          <w:sz w:val="28"/>
          <w:szCs w:val="28"/>
          <w:highlight w:val="none"/>
        </w:rPr>
      </w:pPr>
      <w:r>
        <w:rPr>
          <w:rFonts w:hint="eastAsia" w:ascii="黑体" w:hAnsi="黑体"/>
          <w:b/>
          <w:color w:val="auto"/>
          <w:szCs w:val="21"/>
          <w:highlight w:val="none"/>
        </w:rPr>
        <w:t>附表1</w:t>
      </w:r>
      <w:r>
        <w:rPr>
          <w:rFonts w:ascii="黑体" w:hAnsi="黑体"/>
          <w:b/>
          <w:color w:val="auto"/>
          <w:szCs w:val="21"/>
          <w:highlight w:val="none"/>
        </w:rPr>
        <w:t>资格审查表</w:t>
      </w:r>
      <w:bookmarkEnd w:id="505"/>
    </w:p>
    <w:p w14:paraId="1D4A1518">
      <w:pPr>
        <w:adjustRightInd w:val="0"/>
        <w:snapToGrid w:val="0"/>
        <w:spacing w:line="360" w:lineRule="auto"/>
        <w:rPr>
          <w:rFonts w:ascii="黑体" w:hAnsi="黑体" w:eastAsia="黑体"/>
          <w:color w:val="auto"/>
          <w:sz w:val="28"/>
          <w:szCs w:val="28"/>
          <w:highlight w:val="none"/>
        </w:rPr>
      </w:pPr>
      <w:r>
        <w:rPr>
          <w:rFonts w:hint="eastAsia" w:ascii="宋体" w:hAnsi="宋体"/>
          <w:color w:val="auto"/>
          <w:szCs w:val="21"/>
          <w:highlight w:val="none"/>
        </w:rPr>
        <w:t>项目名称：</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政府采购计划编号：</w:t>
      </w:r>
      <w:r>
        <w:rPr>
          <w:rFonts w:hint="eastAsia" w:ascii="宋体" w:hAnsi="宋体"/>
          <w:color w:val="auto"/>
          <w:szCs w:val="21"/>
          <w:highlight w:val="none"/>
          <w:u w:val="single"/>
        </w:rPr>
        <w:t xml:space="preserve">       </w:t>
      </w:r>
    </w:p>
    <w:tbl>
      <w:tblPr>
        <w:tblStyle w:val="47"/>
        <w:tblW w:w="9113" w:type="dxa"/>
        <w:tblInd w:w="-74"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678"/>
        <w:gridCol w:w="2339"/>
        <w:gridCol w:w="6096"/>
      </w:tblGrid>
      <w:tr w14:paraId="17FE7EF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32" w:hRule="atLeast"/>
        </w:trPr>
        <w:tc>
          <w:tcPr>
            <w:tcW w:w="678" w:type="dxa"/>
            <w:noWrap w:val="0"/>
            <w:vAlign w:val="center"/>
          </w:tcPr>
          <w:p w14:paraId="451EBF3C">
            <w:pPr>
              <w:adjustRightInd w:val="0"/>
              <w:snapToGrid w:val="0"/>
              <w:spacing w:before="156" w:beforeLines="50" w:line="360" w:lineRule="auto"/>
              <w:jc w:val="center"/>
              <w:rPr>
                <w:rFonts w:ascii="宋体" w:hAnsi="宋体" w:cs="宋体"/>
                <w:b/>
                <w:kern w:val="0"/>
                <w:szCs w:val="21"/>
              </w:rPr>
            </w:pPr>
            <w:r>
              <w:rPr>
                <w:rFonts w:hint="eastAsia" w:ascii="宋体" w:hAnsi="宋体" w:cs="宋体"/>
                <w:b/>
                <w:kern w:val="0"/>
                <w:szCs w:val="21"/>
              </w:rPr>
              <w:t>序号</w:t>
            </w:r>
          </w:p>
        </w:tc>
        <w:tc>
          <w:tcPr>
            <w:tcW w:w="2339" w:type="dxa"/>
            <w:noWrap w:val="0"/>
            <w:vAlign w:val="center"/>
          </w:tcPr>
          <w:p w14:paraId="3F3C6070">
            <w:pPr>
              <w:adjustRightInd w:val="0"/>
              <w:snapToGrid w:val="0"/>
              <w:spacing w:before="156" w:beforeLines="50" w:line="360" w:lineRule="auto"/>
              <w:jc w:val="center"/>
              <w:rPr>
                <w:rFonts w:ascii="宋体" w:hAnsi="宋体" w:cs="宋体"/>
                <w:b/>
                <w:kern w:val="0"/>
                <w:szCs w:val="21"/>
              </w:rPr>
            </w:pPr>
            <w:r>
              <w:rPr>
                <w:rFonts w:hint="eastAsia" w:ascii="宋体" w:hAnsi="宋体" w:cs="宋体"/>
                <w:b/>
                <w:kern w:val="0"/>
                <w:szCs w:val="21"/>
              </w:rPr>
              <w:t>审查项目</w:t>
            </w:r>
          </w:p>
        </w:tc>
        <w:tc>
          <w:tcPr>
            <w:tcW w:w="6096" w:type="dxa"/>
            <w:noWrap w:val="0"/>
            <w:vAlign w:val="center"/>
          </w:tcPr>
          <w:p w14:paraId="178C815E">
            <w:pPr>
              <w:adjustRightInd w:val="0"/>
              <w:snapToGrid w:val="0"/>
              <w:spacing w:before="156" w:beforeLines="50" w:line="360" w:lineRule="auto"/>
              <w:jc w:val="center"/>
              <w:rPr>
                <w:rFonts w:ascii="宋体" w:hAnsi="宋体" w:cs="宋体"/>
                <w:b/>
                <w:kern w:val="0"/>
                <w:szCs w:val="21"/>
              </w:rPr>
            </w:pPr>
            <w:r>
              <w:rPr>
                <w:rFonts w:hint="eastAsia" w:ascii="宋体" w:hAnsi="宋体" w:cs="宋体"/>
                <w:b/>
                <w:kern w:val="0"/>
                <w:szCs w:val="21"/>
              </w:rPr>
              <w:t>审查标准</w:t>
            </w:r>
          </w:p>
        </w:tc>
      </w:tr>
      <w:tr w14:paraId="5D2FE73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78" w:type="dxa"/>
            <w:noWrap w:val="0"/>
            <w:vAlign w:val="center"/>
          </w:tcPr>
          <w:p w14:paraId="16A70DC3">
            <w:pPr>
              <w:adjustRightInd w:val="0"/>
              <w:snapToGrid w:val="0"/>
              <w:spacing w:before="156" w:beforeLines="50" w:line="360" w:lineRule="auto"/>
              <w:jc w:val="center"/>
              <w:rPr>
                <w:rFonts w:ascii="宋体" w:hAnsi="宋体" w:cs="宋体"/>
                <w:kern w:val="0"/>
                <w:szCs w:val="21"/>
              </w:rPr>
            </w:pPr>
            <w:r>
              <w:rPr>
                <w:rFonts w:hint="eastAsia" w:ascii="宋体" w:hAnsi="宋体" w:cs="宋体"/>
                <w:kern w:val="0"/>
                <w:szCs w:val="21"/>
              </w:rPr>
              <w:t>1</w:t>
            </w:r>
          </w:p>
        </w:tc>
        <w:tc>
          <w:tcPr>
            <w:tcW w:w="2339" w:type="dxa"/>
            <w:noWrap w:val="0"/>
            <w:vAlign w:val="center"/>
          </w:tcPr>
          <w:p w14:paraId="5977E629">
            <w:pPr>
              <w:pStyle w:val="147"/>
              <w:jc w:val="center"/>
              <w:rPr>
                <w:rFonts w:ascii="宋体" w:hAnsi="宋体" w:eastAsia="宋体" w:cs="宋体"/>
                <w:szCs w:val="21"/>
              </w:rPr>
            </w:pPr>
            <w:r>
              <w:rPr>
                <w:rFonts w:hint="eastAsia" w:ascii="宋体" w:hAnsi="宋体" w:eastAsia="宋体" w:cs="宋体"/>
                <w:sz w:val="21"/>
              </w:rPr>
              <w:t>法人营业执照</w:t>
            </w:r>
          </w:p>
        </w:tc>
        <w:tc>
          <w:tcPr>
            <w:tcW w:w="6096" w:type="dxa"/>
            <w:noWrap w:val="0"/>
            <w:vAlign w:val="center"/>
          </w:tcPr>
          <w:p w14:paraId="43C1341D">
            <w:pPr>
              <w:pStyle w:val="41"/>
              <w:spacing w:before="0" w:beforeAutospacing="0" w:after="0" w:afterAutospacing="0" w:line="400" w:lineRule="atLeast"/>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法人提交企业法人营业执照副本(或者法人登记证书)以及组织机构代码证副本复印件；</w:t>
            </w:r>
          </w:p>
          <w:p w14:paraId="69D1DF41">
            <w:pPr>
              <w:pStyle w:val="41"/>
              <w:spacing w:before="0" w:beforeAutospacing="0" w:after="0" w:afterAutospacing="0" w:line="400" w:lineRule="atLeast"/>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注：已获取“统一社会信用代码”的“三证合一”、“五证合一”企业，无须再提供组织机构代码证及税务登记证。</w:t>
            </w:r>
          </w:p>
        </w:tc>
      </w:tr>
      <w:tr w14:paraId="2EA37CA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78" w:type="dxa"/>
            <w:noWrap w:val="0"/>
            <w:vAlign w:val="center"/>
          </w:tcPr>
          <w:p w14:paraId="6B074828">
            <w:pPr>
              <w:adjustRightInd w:val="0"/>
              <w:snapToGrid w:val="0"/>
              <w:spacing w:before="156" w:beforeLines="50" w:line="360" w:lineRule="auto"/>
              <w:jc w:val="center"/>
              <w:rPr>
                <w:rFonts w:ascii="宋体" w:hAnsi="宋体" w:cs="宋体"/>
                <w:kern w:val="0"/>
                <w:szCs w:val="21"/>
              </w:rPr>
            </w:pPr>
            <w:r>
              <w:rPr>
                <w:rFonts w:hint="eastAsia" w:ascii="宋体" w:hAnsi="宋体" w:cs="宋体"/>
                <w:kern w:val="0"/>
                <w:szCs w:val="21"/>
              </w:rPr>
              <w:t>2</w:t>
            </w:r>
          </w:p>
        </w:tc>
        <w:tc>
          <w:tcPr>
            <w:tcW w:w="2339" w:type="dxa"/>
            <w:noWrap w:val="0"/>
            <w:vAlign w:val="center"/>
          </w:tcPr>
          <w:p w14:paraId="125EC0D4">
            <w:pPr>
              <w:pStyle w:val="147"/>
              <w:jc w:val="center"/>
              <w:rPr>
                <w:rFonts w:ascii="宋体" w:hAnsi="宋体" w:eastAsia="宋体" w:cs="宋体"/>
                <w:szCs w:val="21"/>
              </w:rPr>
            </w:pPr>
            <w:r>
              <w:rPr>
                <w:rFonts w:hint="eastAsia" w:ascii="宋体" w:hAnsi="宋体" w:eastAsia="宋体" w:cs="宋体"/>
                <w:sz w:val="21"/>
              </w:rPr>
              <w:t>法定代表或法人授权委托书复印件</w:t>
            </w:r>
          </w:p>
        </w:tc>
        <w:tc>
          <w:tcPr>
            <w:tcW w:w="6096" w:type="dxa"/>
            <w:noWrap w:val="0"/>
            <w:vAlign w:val="center"/>
          </w:tcPr>
          <w:p w14:paraId="38548047">
            <w:pPr>
              <w:pStyle w:val="147"/>
              <w:rPr>
                <w:rFonts w:hint="eastAsia" w:ascii="宋体" w:hAnsi="宋体" w:eastAsia="宋体" w:cs="宋体"/>
                <w:sz w:val="21"/>
                <w:szCs w:val="21"/>
              </w:rPr>
            </w:pPr>
            <w:r>
              <w:rPr>
                <w:rFonts w:hint="eastAsia" w:ascii="宋体" w:hAnsi="宋体" w:eastAsia="宋体" w:cs="宋体"/>
                <w:sz w:val="21"/>
                <w:szCs w:val="21"/>
              </w:rPr>
              <w:t xml:space="preserve">法人提交法定代表人（单位负责人）身份证明书复印件或者法定代表人（单位负责人）授权委托书复印件并附法定代表人（单位负责人）身份证明复印件和被授权代理人有效身份证件复印件；  </w:t>
            </w:r>
          </w:p>
        </w:tc>
      </w:tr>
      <w:tr w14:paraId="515D193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78" w:type="dxa"/>
            <w:noWrap w:val="0"/>
            <w:vAlign w:val="center"/>
          </w:tcPr>
          <w:p w14:paraId="6C8B3AAD">
            <w:pPr>
              <w:adjustRightInd w:val="0"/>
              <w:snapToGrid w:val="0"/>
              <w:spacing w:before="156" w:beforeLines="50" w:line="360" w:lineRule="auto"/>
              <w:jc w:val="center"/>
              <w:rPr>
                <w:rFonts w:hint="eastAsia" w:ascii="宋体" w:hAnsi="宋体" w:cs="宋体"/>
                <w:kern w:val="0"/>
                <w:szCs w:val="21"/>
              </w:rPr>
            </w:pPr>
            <w:r>
              <w:rPr>
                <w:rFonts w:hint="eastAsia" w:ascii="宋体" w:hAnsi="宋体" w:cs="宋体"/>
                <w:kern w:val="0"/>
                <w:szCs w:val="21"/>
              </w:rPr>
              <w:t>3</w:t>
            </w:r>
          </w:p>
        </w:tc>
        <w:tc>
          <w:tcPr>
            <w:tcW w:w="2339" w:type="dxa"/>
            <w:noWrap w:val="0"/>
            <w:vAlign w:val="center"/>
          </w:tcPr>
          <w:p w14:paraId="64D6EB95">
            <w:pPr>
              <w:pStyle w:val="147"/>
              <w:jc w:val="center"/>
              <w:rPr>
                <w:rFonts w:ascii="宋体" w:hAnsi="宋体" w:eastAsia="宋体" w:cs="宋体"/>
                <w:szCs w:val="21"/>
              </w:rPr>
            </w:pPr>
            <w:r>
              <w:rPr>
                <w:rFonts w:hint="eastAsia" w:ascii="宋体" w:hAnsi="宋体" w:eastAsia="宋体" w:cs="宋体"/>
                <w:sz w:val="21"/>
              </w:rPr>
              <w:t>财务状况报告、依法缴纳税收、依法缴纳社会保障资金、具备履行合同所必需的设备和专业技术能力的书面承诺</w:t>
            </w:r>
          </w:p>
        </w:tc>
        <w:tc>
          <w:tcPr>
            <w:tcW w:w="6096" w:type="dxa"/>
            <w:noWrap w:val="0"/>
            <w:vAlign w:val="center"/>
          </w:tcPr>
          <w:p w14:paraId="3C95929E">
            <w:pPr>
              <w:pStyle w:val="41"/>
              <w:spacing w:before="0" w:beforeAutospacing="0" w:after="0" w:afterAutospacing="0" w:line="400" w:lineRule="atLeast"/>
              <w:rPr>
                <w:rFonts w:hint="eastAsia" w:eastAsia="宋体"/>
                <w:color w:val="FF0000"/>
                <w:szCs w:val="21"/>
                <w:lang w:eastAsia="zh-CN"/>
              </w:rPr>
            </w:pPr>
            <w:r>
              <w:rPr>
                <w:rFonts w:hint="eastAsia"/>
                <w:sz w:val="21"/>
                <w:szCs w:val="21"/>
              </w:rPr>
              <w:t>提供湖南省政府采购供应商资格承诺函等证明</w:t>
            </w:r>
            <w:r>
              <w:rPr>
                <w:sz w:val="21"/>
                <w:szCs w:val="21"/>
              </w:rPr>
              <w:t>材料</w:t>
            </w:r>
            <w:r>
              <w:rPr>
                <w:rFonts w:hint="eastAsia"/>
                <w:sz w:val="21"/>
                <w:szCs w:val="21"/>
                <w:lang w:eastAsia="zh-CN"/>
              </w:rPr>
              <w:t>。</w:t>
            </w:r>
          </w:p>
        </w:tc>
      </w:tr>
      <w:tr w14:paraId="5222874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78" w:type="dxa"/>
            <w:noWrap w:val="0"/>
            <w:vAlign w:val="center"/>
          </w:tcPr>
          <w:p w14:paraId="44AB911E">
            <w:pPr>
              <w:adjustRightInd w:val="0"/>
              <w:snapToGrid w:val="0"/>
              <w:spacing w:before="156" w:beforeLines="50" w:line="360" w:lineRule="auto"/>
              <w:jc w:val="center"/>
              <w:rPr>
                <w:rFonts w:ascii="宋体" w:hAnsi="宋体" w:cs="宋体"/>
                <w:kern w:val="0"/>
                <w:szCs w:val="21"/>
              </w:rPr>
            </w:pPr>
            <w:r>
              <w:rPr>
                <w:rFonts w:ascii="宋体" w:hAnsi="宋体" w:cs="宋体"/>
                <w:kern w:val="0"/>
                <w:szCs w:val="21"/>
              </w:rPr>
              <w:t>4</w:t>
            </w:r>
          </w:p>
        </w:tc>
        <w:tc>
          <w:tcPr>
            <w:tcW w:w="2339" w:type="dxa"/>
            <w:noWrap w:val="0"/>
            <w:vAlign w:val="center"/>
          </w:tcPr>
          <w:p w14:paraId="549A54C2">
            <w:pPr>
              <w:pStyle w:val="147"/>
              <w:jc w:val="center"/>
              <w:rPr>
                <w:rFonts w:ascii="宋体" w:hAnsi="宋体" w:eastAsia="宋体" w:cs="宋体"/>
                <w:sz w:val="21"/>
              </w:rPr>
            </w:pPr>
            <w:r>
              <w:rPr>
                <w:rFonts w:hint="eastAsia" w:ascii="宋体" w:hAnsi="宋体" w:eastAsia="宋体" w:cs="宋体"/>
                <w:sz w:val="21"/>
              </w:rPr>
              <w:t>供应商特定资格要求</w:t>
            </w:r>
            <w:r>
              <w:rPr>
                <w:rFonts w:hint="eastAsia" w:ascii="宋体" w:hAnsi="宋体" w:eastAsia="宋体" w:cs="宋体"/>
                <w:sz w:val="21"/>
                <w:lang w:val="en-US" w:eastAsia="zh-CN" w:bidi="ar-SA"/>
              </w:rPr>
              <w:t>（如有）</w:t>
            </w:r>
          </w:p>
        </w:tc>
        <w:tc>
          <w:tcPr>
            <w:tcW w:w="6096" w:type="dxa"/>
            <w:noWrap w:val="0"/>
            <w:vAlign w:val="center"/>
          </w:tcPr>
          <w:p w14:paraId="0B95073D">
            <w:pPr>
              <w:pStyle w:val="147"/>
              <w:rPr>
                <w:rFonts w:ascii="宋体" w:hAnsi="宋体" w:eastAsia="宋体" w:cs="宋体"/>
                <w:sz w:val="21"/>
                <w:szCs w:val="21"/>
              </w:rPr>
            </w:pPr>
            <w:r>
              <w:rPr>
                <w:rFonts w:hint="eastAsia" w:ascii="宋体" w:hAnsi="宋体" w:eastAsia="宋体" w:cs="宋体"/>
                <w:sz w:val="21"/>
                <w:szCs w:val="21"/>
              </w:rPr>
              <w:t>提供符合招标文件第一章中“采购项目的特定资格条件”要求的证明材料。</w:t>
            </w:r>
          </w:p>
        </w:tc>
      </w:tr>
      <w:tr w14:paraId="65985DA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78" w:type="dxa"/>
            <w:noWrap w:val="0"/>
            <w:vAlign w:val="center"/>
          </w:tcPr>
          <w:p w14:paraId="5DD4BFD1">
            <w:pPr>
              <w:adjustRightInd w:val="0"/>
              <w:snapToGrid w:val="0"/>
              <w:spacing w:before="156" w:beforeLines="50" w:line="360" w:lineRule="auto"/>
              <w:jc w:val="center"/>
              <w:rPr>
                <w:rFonts w:ascii="宋体" w:hAnsi="宋体" w:cs="宋体"/>
                <w:kern w:val="0"/>
                <w:szCs w:val="21"/>
              </w:rPr>
            </w:pPr>
            <w:r>
              <w:rPr>
                <w:rFonts w:hint="eastAsia" w:ascii="宋体" w:hAnsi="宋体" w:cs="宋体"/>
                <w:kern w:val="0"/>
                <w:szCs w:val="21"/>
              </w:rPr>
              <w:t>5</w:t>
            </w:r>
          </w:p>
        </w:tc>
        <w:tc>
          <w:tcPr>
            <w:tcW w:w="2339" w:type="dxa"/>
            <w:noWrap w:val="0"/>
            <w:vAlign w:val="center"/>
          </w:tcPr>
          <w:p w14:paraId="2FC8F835">
            <w:pPr>
              <w:pStyle w:val="147"/>
              <w:jc w:val="center"/>
              <w:rPr>
                <w:rFonts w:ascii="宋体" w:hAnsi="宋体" w:eastAsia="宋体" w:cs="宋体"/>
                <w:sz w:val="21"/>
              </w:rPr>
            </w:pPr>
            <w:r>
              <w:rPr>
                <w:rFonts w:hint="eastAsia" w:ascii="宋体" w:hAnsi="宋体" w:eastAsia="宋体" w:cs="宋体"/>
                <w:sz w:val="21"/>
              </w:rPr>
              <w:t>单位负责人为同一人或者存在直接控股、管理关系的不同投标人，不得参加本项目同一合同项下的政府采购活动的书面承诺</w:t>
            </w:r>
          </w:p>
        </w:tc>
        <w:tc>
          <w:tcPr>
            <w:tcW w:w="6096" w:type="dxa"/>
            <w:noWrap w:val="0"/>
            <w:vAlign w:val="center"/>
          </w:tcPr>
          <w:p w14:paraId="50FAB9C4">
            <w:pPr>
              <w:pStyle w:val="41"/>
              <w:spacing w:before="0" w:beforeAutospacing="0" w:after="0" w:afterAutospacing="0" w:line="400" w:lineRule="atLeast"/>
              <w:rPr>
                <w:rFonts w:hint="eastAsia" w:eastAsia="宋体"/>
                <w:sz w:val="21"/>
                <w:szCs w:val="21"/>
                <w:lang w:eastAsia="zh-CN"/>
              </w:rPr>
            </w:pPr>
            <w:r>
              <w:rPr>
                <w:rFonts w:hint="eastAsia"/>
                <w:sz w:val="21"/>
                <w:szCs w:val="21"/>
              </w:rPr>
              <w:t>提供单位负责人为同一人或者存在直接控股、管理关系的不同投标人，不得参加本项目同一合同项下的政府采购活动的书面承诺；（提供投标</w:t>
            </w:r>
            <w:r>
              <w:rPr>
                <w:sz w:val="21"/>
                <w:szCs w:val="21"/>
              </w:rPr>
              <w:t>人资格声明）</w:t>
            </w:r>
            <w:r>
              <w:rPr>
                <w:rFonts w:hint="eastAsia"/>
                <w:sz w:val="21"/>
                <w:szCs w:val="21"/>
                <w:lang w:eastAsia="zh-CN"/>
              </w:rPr>
              <w:t>。</w:t>
            </w:r>
          </w:p>
        </w:tc>
      </w:tr>
      <w:tr w14:paraId="63D2100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78" w:type="dxa"/>
            <w:noWrap w:val="0"/>
            <w:vAlign w:val="center"/>
          </w:tcPr>
          <w:p w14:paraId="24C1E514">
            <w:pPr>
              <w:adjustRightInd w:val="0"/>
              <w:snapToGrid w:val="0"/>
              <w:spacing w:before="156" w:beforeLines="50" w:line="360" w:lineRule="auto"/>
              <w:jc w:val="center"/>
              <w:rPr>
                <w:rFonts w:ascii="宋体" w:hAnsi="宋体" w:cs="宋体"/>
                <w:kern w:val="0"/>
                <w:szCs w:val="21"/>
              </w:rPr>
            </w:pPr>
            <w:r>
              <w:rPr>
                <w:rFonts w:hint="eastAsia" w:ascii="宋体" w:hAnsi="宋体" w:cs="宋体"/>
                <w:kern w:val="0"/>
                <w:szCs w:val="21"/>
              </w:rPr>
              <w:t>6</w:t>
            </w:r>
          </w:p>
        </w:tc>
        <w:tc>
          <w:tcPr>
            <w:tcW w:w="2339" w:type="dxa"/>
            <w:noWrap w:val="0"/>
            <w:vAlign w:val="center"/>
          </w:tcPr>
          <w:p w14:paraId="6CA09B87">
            <w:pPr>
              <w:pStyle w:val="147"/>
              <w:jc w:val="center"/>
              <w:rPr>
                <w:rFonts w:ascii="宋体" w:hAnsi="宋体" w:eastAsia="宋体" w:cs="宋体"/>
                <w:szCs w:val="21"/>
              </w:rPr>
            </w:pPr>
            <w:r>
              <w:rPr>
                <w:rFonts w:hint="eastAsia" w:ascii="宋体" w:hAnsi="宋体" w:eastAsia="宋体" w:cs="宋体"/>
                <w:sz w:val="21"/>
                <w:lang w:val="en-US" w:eastAsia="zh-CN" w:bidi="ar-SA"/>
              </w:rPr>
              <w:t>无重大违法记录</w:t>
            </w:r>
          </w:p>
        </w:tc>
        <w:tc>
          <w:tcPr>
            <w:tcW w:w="6096" w:type="dxa"/>
            <w:noWrap w:val="0"/>
            <w:vAlign w:val="center"/>
          </w:tcPr>
          <w:p w14:paraId="35E7809C">
            <w:pPr>
              <w:pStyle w:val="41"/>
              <w:spacing w:line="400" w:lineRule="atLeast"/>
              <w:jc w:val="both"/>
              <w:rPr>
                <w:rFonts w:hint="eastAsia" w:eastAsia="宋体"/>
                <w:szCs w:val="21"/>
                <w:lang w:eastAsia="zh-CN"/>
              </w:rPr>
            </w:pPr>
            <w:r>
              <w:rPr>
                <w:rFonts w:hint="eastAsia"/>
                <w:sz w:val="21"/>
                <w:szCs w:val="21"/>
              </w:rPr>
              <w:t>提供参加政府采购活动前三年内，在经营活动中没有重大违法记录声明；（提供投标</w:t>
            </w:r>
            <w:r>
              <w:rPr>
                <w:sz w:val="21"/>
                <w:szCs w:val="21"/>
              </w:rPr>
              <w:t>人资格声明）</w:t>
            </w:r>
            <w:r>
              <w:rPr>
                <w:rFonts w:hint="eastAsia"/>
                <w:sz w:val="21"/>
                <w:szCs w:val="21"/>
                <w:lang w:eastAsia="zh-CN"/>
              </w:rPr>
              <w:t>。</w:t>
            </w:r>
          </w:p>
        </w:tc>
      </w:tr>
      <w:tr w14:paraId="74C848C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78" w:type="dxa"/>
            <w:noWrap w:val="0"/>
            <w:vAlign w:val="center"/>
          </w:tcPr>
          <w:p w14:paraId="0CBF4366">
            <w:pPr>
              <w:adjustRightInd w:val="0"/>
              <w:snapToGrid w:val="0"/>
              <w:spacing w:before="156" w:beforeLines="50" w:line="360" w:lineRule="auto"/>
              <w:jc w:val="center"/>
              <w:rPr>
                <w:rFonts w:ascii="宋体" w:hAnsi="宋体" w:cs="宋体"/>
                <w:kern w:val="0"/>
                <w:szCs w:val="21"/>
              </w:rPr>
            </w:pPr>
            <w:r>
              <w:rPr>
                <w:rFonts w:hint="eastAsia" w:ascii="宋体" w:hAnsi="宋体" w:cs="宋体"/>
                <w:kern w:val="0"/>
                <w:szCs w:val="21"/>
              </w:rPr>
              <w:t>7</w:t>
            </w:r>
          </w:p>
        </w:tc>
        <w:tc>
          <w:tcPr>
            <w:tcW w:w="2339" w:type="dxa"/>
            <w:noWrap w:val="0"/>
            <w:vAlign w:val="center"/>
          </w:tcPr>
          <w:p w14:paraId="6FB46D46">
            <w:pPr>
              <w:pStyle w:val="147"/>
              <w:jc w:val="center"/>
              <w:rPr>
                <w:rFonts w:ascii="宋体" w:hAnsi="宋体" w:eastAsia="宋体" w:cs="宋体"/>
                <w:sz w:val="21"/>
              </w:rPr>
            </w:pPr>
            <w:r>
              <w:rPr>
                <w:rFonts w:hint="eastAsia" w:ascii="宋体" w:hAnsi="宋体" w:eastAsia="宋体" w:cs="宋体"/>
                <w:sz w:val="21"/>
              </w:rPr>
              <w:t>投标报价</w:t>
            </w:r>
          </w:p>
        </w:tc>
        <w:tc>
          <w:tcPr>
            <w:tcW w:w="6096" w:type="dxa"/>
            <w:noWrap w:val="0"/>
            <w:vAlign w:val="center"/>
          </w:tcPr>
          <w:p w14:paraId="671C52F5">
            <w:pPr>
              <w:pStyle w:val="147"/>
              <w:rPr>
                <w:rFonts w:ascii="宋体" w:hAnsi="宋体" w:eastAsia="宋体" w:cs="宋体"/>
                <w:sz w:val="21"/>
                <w:szCs w:val="21"/>
              </w:rPr>
            </w:pPr>
            <w:r>
              <w:rPr>
                <w:rFonts w:hint="eastAsia" w:ascii="宋体" w:hAnsi="宋体" w:eastAsia="宋体" w:cs="宋体"/>
                <w:sz w:val="21"/>
              </w:rPr>
              <w:t>报价不得超过招标文件中规定的预算金额和最高限价的；</w:t>
            </w:r>
          </w:p>
        </w:tc>
      </w:tr>
      <w:tr w14:paraId="2B2107E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78" w:type="dxa"/>
            <w:noWrap w:val="0"/>
            <w:vAlign w:val="center"/>
          </w:tcPr>
          <w:p w14:paraId="25419D4F">
            <w:pPr>
              <w:adjustRightInd w:val="0"/>
              <w:snapToGrid w:val="0"/>
              <w:spacing w:before="156" w:beforeLines="50" w:line="360" w:lineRule="auto"/>
              <w:jc w:val="center"/>
              <w:rPr>
                <w:rFonts w:ascii="宋体" w:hAnsi="宋体"/>
                <w:kern w:val="0"/>
                <w:szCs w:val="21"/>
              </w:rPr>
            </w:pPr>
            <w:r>
              <w:rPr>
                <w:rFonts w:hint="eastAsia" w:ascii="宋体" w:hAnsi="宋体"/>
                <w:kern w:val="0"/>
                <w:szCs w:val="21"/>
              </w:rPr>
              <w:t>8</w:t>
            </w:r>
          </w:p>
        </w:tc>
        <w:tc>
          <w:tcPr>
            <w:tcW w:w="2339" w:type="dxa"/>
            <w:noWrap w:val="0"/>
            <w:vAlign w:val="center"/>
          </w:tcPr>
          <w:p w14:paraId="607CAB7C">
            <w:pPr>
              <w:pStyle w:val="147"/>
              <w:jc w:val="center"/>
              <w:rPr>
                <w:rFonts w:ascii="宋体" w:hAnsi="宋体" w:eastAsia="宋体" w:cs="宋体"/>
                <w:szCs w:val="21"/>
              </w:rPr>
            </w:pPr>
            <w:r>
              <w:rPr>
                <w:rFonts w:hint="eastAsia" w:ascii="宋体" w:hAnsi="宋体" w:eastAsia="宋体" w:cs="宋体"/>
                <w:sz w:val="21"/>
              </w:rPr>
              <w:t>信用记录查询情况</w:t>
            </w:r>
          </w:p>
        </w:tc>
        <w:tc>
          <w:tcPr>
            <w:tcW w:w="6096" w:type="dxa"/>
            <w:noWrap w:val="0"/>
            <w:vAlign w:val="center"/>
          </w:tcPr>
          <w:p w14:paraId="63E18448">
            <w:pPr>
              <w:pStyle w:val="41"/>
              <w:spacing w:before="0" w:beforeAutospacing="0" w:after="0" w:afterAutospacing="0" w:line="400" w:lineRule="atLeast"/>
              <w:rPr>
                <w:rFonts w:hint="eastAsia" w:eastAsia="宋体"/>
                <w:szCs w:val="21"/>
                <w:lang w:eastAsia="zh-CN"/>
              </w:rPr>
            </w:pPr>
            <w:r>
              <w:rPr>
                <w:rFonts w:hint="eastAsia"/>
                <w:sz w:val="21"/>
                <w:szCs w:val="21"/>
              </w:rPr>
              <w:t>投标人提供招标公告之日起通过“信用中国”网站（www.creditchina.gov.cn）或中国政府采购网（www.ccgp.gov.cn）查询的信用记录网上打印件或</w:t>
            </w:r>
            <w:r>
              <w:rPr>
                <w:sz w:val="21"/>
                <w:szCs w:val="21"/>
              </w:rPr>
              <w:t>截图</w:t>
            </w:r>
            <w:r>
              <w:rPr>
                <w:rFonts w:hint="eastAsia"/>
                <w:sz w:val="21"/>
                <w:szCs w:val="21"/>
              </w:rPr>
              <w:t>，应包括网站网址、查询内容、查询时间</w:t>
            </w:r>
            <w:r>
              <w:rPr>
                <w:rFonts w:hint="eastAsia"/>
                <w:sz w:val="21"/>
                <w:szCs w:val="21"/>
                <w:lang w:eastAsia="zh-CN"/>
              </w:rPr>
              <w:t>。</w:t>
            </w:r>
          </w:p>
        </w:tc>
      </w:tr>
      <w:tr w14:paraId="62EC43D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78" w:type="dxa"/>
            <w:noWrap w:val="0"/>
            <w:vAlign w:val="center"/>
          </w:tcPr>
          <w:p w14:paraId="145B770C">
            <w:pPr>
              <w:adjustRightInd w:val="0"/>
              <w:snapToGrid w:val="0"/>
              <w:spacing w:before="156" w:beforeLines="50" w:line="360" w:lineRule="auto"/>
              <w:jc w:val="center"/>
              <w:rPr>
                <w:rFonts w:hint="eastAsia" w:ascii="宋体" w:hAnsi="宋体"/>
                <w:kern w:val="0"/>
                <w:szCs w:val="21"/>
              </w:rPr>
            </w:pPr>
            <w:r>
              <w:rPr>
                <w:rFonts w:hint="eastAsia" w:ascii="宋体" w:hAnsi="宋体"/>
                <w:kern w:val="0"/>
                <w:szCs w:val="21"/>
              </w:rPr>
              <w:t>9</w:t>
            </w:r>
          </w:p>
        </w:tc>
        <w:tc>
          <w:tcPr>
            <w:tcW w:w="2339" w:type="dxa"/>
            <w:noWrap w:val="0"/>
            <w:vAlign w:val="center"/>
          </w:tcPr>
          <w:p w14:paraId="3ADA3539">
            <w:pPr>
              <w:pStyle w:val="147"/>
              <w:rPr>
                <w:rFonts w:hint="eastAsia" w:ascii="宋体" w:hAnsi="宋体" w:eastAsia="宋体" w:cs="宋体"/>
                <w:sz w:val="21"/>
              </w:rPr>
            </w:pPr>
            <w:r>
              <w:rPr>
                <w:rFonts w:hint="eastAsia" w:ascii="宋体" w:hAnsi="宋体" w:eastAsia="宋体" w:cs="宋体"/>
                <w:sz w:val="21"/>
              </w:rPr>
              <w:t>投标响应文件</w:t>
            </w:r>
            <w:r>
              <w:rPr>
                <w:rFonts w:ascii="宋体" w:hAnsi="宋体" w:eastAsia="宋体" w:cs="宋体"/>
                <w:sz w:val="21"/>
              </w:rPr>
              <w:t>的签署、盖章</w:t>
            </w:r>
          </w:p>
        </w:tc>
        <w:tc>
          <w:tcPr>
            <w:tcW w:w="6096" w:type="dxa"/>
            <w:noWrap w:val="0"/>
            <w:vAlign w:val="center"/>
          </w:tcPr>
          <w:p w14:paraId="0709C5B6">
            <w:pPr>
              <w:pStyle w:val="41"/>
              <w:spacing w:before="0" w:beforeAutospacing="0" w:after="0" w:afterAutospacing="0" w:line="400" w:lineRule="atLeast"/>
              <w:rPr>
                <w:rFonts w:hint="eastAsia" w:eastAsia="宋体"/>
                <w:sz w:val="21"/>
                <w:szCs w:val="21"/>
                <w:lang w:eastAsia="zh-CN"/>
              </w:rPr>
            </w:pPr>
            <w:r>
              <w:rPr>
                <w:rFonts w:hint="eastAsia"/>
                <w:sz w:val="21"/>
                <w:szCs w:val="21"/>
              </w:rPr>
              <w:t>资格</w:t>
            </w:r>
            <w:r>
              <w:rPr>
                <w:sz w:val="21"/>
                <w:szCs w:val="21"/>
              </w:rPr>
              <w:t>审查</w:t>
            </w:r>
            <w:r>
              <w:rPr>
                <w:rFonts w:hint="eastAsia"/>
                <w:sz w:val="21"/>
                <w:szCs w:val="21"/>
              </w:rPr>
              <w:t>响应</w:t>
            </w:r>
            <w:r>
              <w:rPr>
                <w:sz w:val="21"/>
                <w:szCs w:val="21"/>
              </w:rPr>
              <w:t>文件</w:t>
            </w:r>
            <w:r>
              <w:rPr>
                <w:rFonts w:hint="eastAsia"/>
                <w:sz w:val="21"/>
                <w:szCs w:val="21"/>
              </w:rPr>
              <w:t>是否按</w:t>
            </w:r>
            <w:r>
              <w:rPr>
                <w:sz w:val="21"/>
                <w:szCs w:val="21"/>
              </w:rPr>
              <w:t>招标要求</w:t>
            </w:r>
            <w:r>
              <w:rPr>
                <w:color w:val="000000"/>
                <w:sz w:val="20"/>
                <w:szCs w:val="21"/>
              </w:rPr>
              <w:t>签</w:t>
            </w:r>
            <w:r>
              <w:rPr>
                <w:rFonts w:hint="eastAsia"/>
                <w:color w:val="000000"/>
                <w:sz w:val="20"/>
                <w:szCs w:val="21"/>
              </w:rPr>
              <w:t>字</w:t>
            </w:r>
            <w:r>
              <w:rPr>
                <w:color w:val="000000"/>
                <w:sz w:val="20"/>
                <w:szCs w:val="21"/>
              </w:rPr>
              <w:t>、盖章</w:t>
            </w:r>
            <w:r>
              <w:rPr>
                <w:rFonts w:hint="eastAsia"/>
                <w:color w:val="000000"/>
                <w:sz w:val="20"/>
                <w:szCs w:val="21"/>
                <w:lang w:eastAsia="zh-CN"/>
              </w:rPr>
              <w:t>。</w:t>
            </w:r>
          </w:p>
        </w:tc>
      </w:tr>
      <w:tr w14:paraId="2C588C3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92" w:hRule="atLeast"/>
        </w:trPr>
        <w:tc>
          <w:tcPr>
            <w:tcW w:w="678" w:type="dxa"/>
            <w:noWrap w:val="0"/>
            <w:vAlign w:val="center"/>
          </w:tcPr>
          <w:p w14:paraId="46FEA16F">
            <w:pPr>
              <w:adjustRightInd w:val="0"/>
              <w:snapToGrid w:val="0"/>
              <w:spacing w:before="156" w:beforeLines="50" w:line="360" w:lineRule="auto"/>
              <w:jc w:val="center"/>
              <w:rPr>
                <w:rFonts w:ascii="宋体" w:hAnsi="宋体" w:cs="宋体"/>
                <w:kern w:val="0"/>
                <w:sz w:val="20"/>
                <w:szCs w:val="21"/>
              </w:rPr>
            </w:pPr>
            <w:r>
              <w:rPr>
                <w:rFonts w:hint="eastAsia" w:ascii="宋体" w:hAnsi="宋体"/>
                <w:kern w:val="0"/>
                <w:sz w:val="20"/>
                <w:szCs w:val="21"/>
              </w:rPr>
              <w:t>结论</w:t>
            </w:r>
          </w:p>
        </w:tc>
        <w:tc>
          <w:tcPr>
            <w:tcW w:w="8435" w:type="dxa"/>
            <w:gridSpan w:val="2"/>
            <w:noWrap w:val="0"/>
            <w:vAlign w:val="center"/>
          </w:tcPr>
          <w:p w14:paraId="0359AA1A">
            <w:pPr>
              <w:adjustRightInd w:val="0"/>
              <w:snapToGrid w:val="0"/>
              <w:spacing w:before="156" w:beforeLines="50" w:line="360" w:lineRule="auto"/>
              <w:jc w:val="center"/>
              <w:rPr>
                <w:rFonts w:ascii="宋体" w:hAnsi="宋体" w:cs="宋体"/>
                <w:kern w:val="0"/>
                <w:szCs w:val="21"/>
              </w:rPr>
            </w:pPr>
          </w:p>
        </w:tc>
      </w:tr>
    </w:tbl>
    <w:p w14:paraId="2C97924D">
      <w:pPr>
        <w:widowControl/>
        <w:jc w:val="left"/>
        <w:rPr>
          <w:rFonts w:ascii="黑体" w:hAnsi="黑体" w:eastAsia="黑体"/>
          <w:bCs/>
          <w:color w:val="auto"/>
          <w:szCs w:val="21"/>
          <w:highlight w:val="none"/>
        </w:rPr>
      </w:pPr>
      <w:r>
        <w:rPr>
          <w:rFonts w:ascii="黑体" w:hAnsi="黑体"/>
          <w:b/>
          <w:color w:val="auto"/>
          <w:szCs w:val="21"/>
          <w:highlight w:val="none"/>
        </w:rPr>
        <w:br w:type="page"/>
      </w:r>
    </w:p>
    <w:p w14:paraId="048EBBB0">
      <w:pPr>
        <w:pStyle w:val="5"/>
        <w:adjustRightInd w:val="0"/>
        <w:snapToGrid w:val="0"/>
        <w:spacing w:before="0" w:after="0" w:line="360" w:lineRule="auto"/>
        <w:rPr>
          <w:rFonts w:ascii="黑体" w:hAnsi="黑体"/>
          <w:b w:val="0"/>
          <w:color w:val="auto"/>
          <w:sz w:val="21"/>
          <w:szCs w:val="21"/>
          <w:highlight w:val="none"/>
        </w:rPr>
      </w:pPr>
      <w:bookmarkStart w:id="506" w:name="_Toc15888501"/>
      <w:bookmarkStart w:id="507" w:name="_Toc75289243"/>
      <w:r>
        <w:rPr>
          <w:rFonts w:hint="eastAsia" w:ascii="黑体" w:hAnsi="黑体"/>
          <w:b w:val="0"/>
          <w:color w:val="auto"/>
          <w:sz w:val="21"/>
          <w:szCs w:val="21"/>
          <w:highlight w:val="none"/>
        </w:rPr>
        <w:t>附表2 资格审查结果一览表</w:t>
      </w:r>
      <w:bookmarkEnd w:id="506"/>
      <w:bookmarkEnd w:id="507"/>
    </w:p>
    <w:p w14:paraId="782334D9">
      <w:pPr>
        <w:pStyle w:val="2"/>
        <w:jc w:val="center"/>
        <w:rPr>
          <w:rFonts w:ascii="黑体" w:hAnsi="黑体" w:eastAsia="黑体"/>
          <w:b w:val="0"/>
          <w:color w:val="auto"/>
          <w:sz w:val="28"/>
          <w:szCs w:val="28"/>
          <w:highlight w:val="none"/>
        </w:rPr>
      </w:pPr>
      <w:bookmarkStart w:id="508" w:name="_Toc94367897"/>
      <w:bookmarkStart w:id="509" w:name="_Toc3070"/>
      <w:bookmarkStart w:id="510" w:name="_Toc75289565"/>
      <w:bookmarkStart w:id="511" w:name="_Toc75289244"/>
      <w:bookmarkStart w:id="512" w:name="_Toc29993"/>
      <w:bookmarkStart w:id="513" w:name="_Toc1044975210"/>
      <w:bookmarkStart w:id="514" w:name="_Toc23350"/>
      <w:bookmarkStart w:id="515" w:name="_Toc100670685"/>
      <w:bookmarkStart w:id="516" w:name="_Toc192949718"/>
      <w:bookmarkStart w:id="517" w:name="_Toc1429340876"/>
      <w:bookmarkStart w:id="518" w:name="_Toc95601382"/>
      <w:bookmarkStart w:id="519" w:name="_Toc108341954"/>
      <w:bookmarkStart w:id="520" w:name="_Toc9892"/>
      <w:bookmarkStart w:id="521" w:name="_Toc728"/>
      <w:bookmarkStart w:id="522" w:name="_Toc85972947"/>
      <w:bookmarkStart w:id="523" w:name="_Toc27760"/>
      <w:bookmarkStart w:id="524" w:name="_Toc77199416"/>
      <w:bookmarkStart w:id="525" w:name="_Toc112704949"/>
      <w:bookmarkStart w:id="526" w:name="_Toc139"/>
      <w:bookmarkStart w:id="527" w:name="_Toc202233217"/>
      <w:bookmarkStart w:id="528" w:name="_Toc171273687"/>
      <w:bookmarkStart w:id="529" w:name="_Toc77676483"/>
      <w:bookmarkStart w:id="530" w:name="_Toc1046"/>
      <w:bookmarkStart w:id="531" w:name="_Toc192951229"/>
      <w:bookmarkStart w:id="532" w:name="_Toc154428406"/>
      <w:bookmarkStart w:id="533" w:name="_Toc78314279"/>
      <w:bookmarkStart w:id="534" w:name="_Toc192949619"/>
      <w:bookmarkStart w:id="535" w:name="_Toc117192464"/>
      <w:bookmarkStart w:id="536" w:name="_Toc78449972"/>
      <w:bookmarkStart w:id="537" w:name="_Toc114036728"/>
      <w:bookmarkStart w:id="538" w:name="_Toc100670438"/>
      <w:bookmarkStart w:id="539" w:name="_Toc25986"/>
      <w:r>
        <w:rPr>
          <w:rFonts w:hint="eastAsia" w:ascii="黑体" w:hAnsi="黑体" w:eastAsia="黑体"/>
          <w:b w:val="0"/>
          <w:color w:val="auto"/>
          <w:sz w:val="28"/>
          <w:szCs w:val="28"/>
          <w:highlight w:val="none"/>
        </w:rPr>
        <w:t>资格审查结果一览表</w:t>
      </w:r>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p>
    <w:p w14:paraId="37E4B04B">
      <w:pPr>
        <w:adjustRightInd w:val="0"/>
        <w:snapToGrid w:val="0"/>
        <w:spacing w:line="360" w:lineRule="auto"/>
        <w:rPr>
          <w:rFonts w:ascii="宋体" w:hAnsi="宋体"/>
          <w:color w:val="auto"/>
          <w:szCs w:val="21"/>
          <w:highlight w:val="none"/>
        </w:rPr>
      </w:pPr>
      <w:r>
        <w:rPr>
          <w:rFonts w:hint="eastAsia" w:ascii="宋体" w:hAnsi="宋体"/>
          <w:color w:val="auto"/>
          <w:szCs w:val="21"/>
          <w:highlight w:val="none"/>
        </w:rPr>
        <w:t>项目名称：                                           政府采购计划编号：</w:t>
      </w:r>
    </w:p>
    <w:tbl>
      <w:tblPr>
        <w:tblStyle w:val="47"/>
        <w:tblW w:w="8741"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697"/>
        <w:gridCol w:w="2963"/>
        <w:gridCol w:w="2439"/>
        <w:gridCol w:w="2642"/>
      </w:tblGrid>
      <w:tr w14:paraId="2335886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697" w:type="dxa"/>
            <w:vAlign w:val="center"/>
          </w:tcPr>
          <w:p w14:paraId="1F5DD2EA">
            <w:pPr>
              <w:jc w:val="center"/>
              <w:rPr>
                <w:rFonts w:ascii="宋体" w:hAnsi="宋体"/>
                <w:b/>
                <w:color w:val="auto"/>
                <w:kern w:val="0"/>
                <w:szCs w:val="21"/>
                <w:highlight w:val="none"/>
              </w:rPr>
            </w:pPr>
            <w:r>
              <w:rPr>
                <w:rFonts w:hint="eastAsia" w:ascii="宋体" w:hAnsi="宋体"/>
                <w:b/>
                <w:color w:val="auto"/>
                <w:kern w:val="0"/>
                <w:szCs w:val="21"/>
                <w:highlight w:val="none"/>
              </w:rPr>
              <w:t>序号</w:t>
            </w:r>
          </w:p>
        </w:tc>
        <w:tc>
          <w:tcPr>
            <w:tcW w:w="2963" w:type="dxa"/>
            <w:vAlign w:val="center"/>
          </w:tcPr>
          <w:p w14:paraId="3FEFE692">
            <w:pPr>
              <w:jc w:val="center"/>
              <w:rPr>
                <w:rFonts w:ascii="宋体" w:hAnsi="宋体"/>
                <w:b/>
                <w:color w:val="auto"/>
                <w:kern w:val="0"/>
                <w:szCs w:val="21"/>
                <w:highlight w:val="none"/>
              </w:rPr>
            </w:pPr>
            <w:r>
              <w:rPr>
                <w:rFonts w:hint="eastAsia" w:ascii="宋体" w:hAnsi="宋体"/>
                <w:b/>
                <w:color w:val="auto"/>
                <w:kern w:val="0"/>
                <w:szCs w:val="21"/>
                <w:highlight w:val="none"/>
              </w:rPr>
              <w:t>投标人名称</w:t>
            </w:r>
          </w:p>
        </w:tc>
        <w:tc>
          <w:tcPr>
            <w:tcW w:w="2439" w:type="dxa"/>
            <w:vAlign w:val="center"/>
          </w:tcPr>
          <w:p w14:paraId="422C2A0B">
            <w:pPr>
              <w:jc w:val="center"/>
              <w:rPr>
                <w:rFonts w:ascii="宋体" w:hAnsi="宋体"/>
                <w:b/>
                <w:color w:val="auto"/>
                <w:kern w:val="0"/>
                <w:szCs w:val="21"/>
                <w:highlight w:val="none"/>
              </w:rPr>
            </w:pPr>
            <w:r>
              <w:rPr>
                <w:rFonts w:hint="eastAsia" w:ascii="宋体" w:hAnsi="宋体"/>
                <w:b/>
                <w:color w:val="auto"/>
                <w:kern w:val="0"/>
                <w:szCs w:val="21"/>
                <w:highlight w:val="none"/>
              </w:rPr>
              <w:t>资格审查结果</w:t>
            </w:r>
          </w:p>
          <w:p w14:paraId="3B3F93FE">
            <w:pPr>
              <w:jc w:val="center"/>
              <w:rPr>
                <w:rFonts w:ascii="宋体" w:hAnsi="宋体"/>
                <w:b/>
                <w:color w:val="auto"/>
                <w:kern w:val="0"/>
                <w:szCs w:val="21"/>
                <w:highlight w:val="none"/>
              </w:rPr>
            </w:pPr>
            <w:r>
              <w:rPr>
                <w:rFonts w:hint="eastAsia" w:ascii="宋体" w:hAnsi="宋体"/>
                <w:b/>
                <w:color w:val="auto"/>
                <w:kern w:val="0"/>
                <w:szCs w:val="21"/>
                <w:highlight w:val="none"/>
              </w:rPr>
              <w:t>（合格/不合格）</w:t>
            </w:r>
          </w:p>
        </w:tc>
        <w:tc>
          <w:tcPr>
            <w:tcW w:w="2642" w:type="dxa"/>
            <w:vAlign w:val="center"/>
          </w:tcPr>
          <w:p w14:paraId="43D390D3">
            <w:pPr>
              <w:jc w:val="center"/>
              <w:rPr>
                <w:rFonts w:ascii="宋体" w:hAnsi="宋体"/>
                <w:b/>
                <w:color w:val="auto"/>
                <w:kern w:val="0"/>
                <w:szCs w:val="21"/>
                <w:highlight w:val="none"/>
              </w:rPr>
            </w:pPr>
            <w:r>
              <w:rPr>
                <w:rFonts w:hint="eastAsia" w:ascii="宋体" w:hAnsi="宋体"/>
                <w:b/>
                <w:color w:val="auto"/>
                <w:kern w:val="0"/>
                <w:szCs w:val="21"/>
                <w:highlight w:val="none"/>
              </w:rPr>
              <w:t>资格审查不合格原因</w:t>
            </w:r>
          </w:p>
        </w:tc>
      </w:tr>
      <w:tr w14:paraId="6AA484A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697" w:type="dxa"/>
          </w:tcPr>
          <w:p w14:paraId="1F0B9821">
            <w:pPr>
              <w:adjustRightInd w:val="0"/>
              <w:snapToGrid w:val="0"/>
              <w:spacing w:line="360" w:lineRule="auto"/>
              <w:rPr>
                <w:rFonts w:ascii="宋体" w:hAnsi="宋体"/>
                <w:color w:val="auto"/>
                <w:kern w:val="0"/>
                <w:sz w:val="24"/>
                <w:highlight w:val="none"/>
              </w:rPr>
            </w:pPr>
          </w:p>
        </w:tc>
        <w:tc>
          <w:tcPr>
            <w:tcW w:w="2963" w:type="dxa"/>
          </w:tcPr>
          <w:p w14:paraId="6C2118AD">
            <w:pPr>
              <w:adjustRightInd w:val="0"/>
              <w:snapToGrid w:val="0"/>
              <w:spacing w:line="360" w:lineRule="auto"/>
              <w:rPr>
                <w:rFonts w:ascii="宋体" w:hAnsi="宋体"/>
                <w:color w:val="auto"/>
                <w:kern w:val="0"/>
                <w:sz w:val="24"/>
                <w:highlight w:val="none"/>
              </w:rPr>
            </w:pPr>
          </w:p>
        </w:tc>
        <w:tc>
          <w:tcPr>
            <w:tcW w:w="2439" w:type="dxa"/>
          </w:tcPr>
          <w:p w14:paraId="2C279E02">
            <w:pPr>
              <w:adjustRightInd w:val="0"/>
              <w:snapToGrid w:val="0"/>
              <w:spacing w:line="360" w:lineRule="auto"/>
              <w:rPr>
                <w:rFonts w:ascii="宋体" w:hAnsi="宋体"/>
                <w:color w:val="auto"/>
                <w:kern w:val="0"/>
                <w:sz w:val="24"/>
                <w:highlight w:val="none"/>
              </w:rPr>
            </w:pPr>
          </w:p>
        </w:tc>
        <w:tc>
          <w:tcPr>
            <w:tcW w:w="2642" w:type="dxa"/>
          </w:tcPr>
          <w:p w14:paraId="3038D88C">
            <w:pPr>
              <w:adjustRightInd w:val="0"/>
              <w:snapToGrid w:val="0"/>
              <w:spacing w:line="360" w:lineRule="auto"/>
              <w:rPr>
                <w:rFonts w:ascii="宋体" w:hAnsi="宋体"/>
                <w:color w:val="auto"/>
                <w:kern w:val="0"/>
                <w:sz w:val="24"/>
                <w:highlight w:val="none"/>
              </w:rPr>
            </w:pPr>
          </w:p>
        </w:tc>
      </w:tr>
      <w:tr w14:paraId="20EADD5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697" w:type="dxa"/>
          </w:tcPr>
          <w:p w14:paraId="215A731E">
            <w:pPr>
              <w:adjustRightInd w:val="0"/>
              <w:snapToGrid w:val="0"/>
              <w:spacing w:line="360" w:lineRule="auto"/>
              <w:rPr>
                <w:rFonts w:ascii="宋体" w:hAnsi="宋体"/>
                <w:color w:val="auto"/>
                <w:kern w:val="0"/>
                <w:sz w:val="24"/>
                <w:highlight w:val="none"/>
              </w:rPr>
            </w:pPr>
          </w:p>
        </w:tc>
        <w:tc>
          <w:tcPr>
            <w:tcW w:w="2963" w:type="dxa"/>
          </w:tcPr>
          <w:p w14:paraId="03CD032F">
            <w:pPr>
              <w:adjustRightInd w:val="0"/>
              <w:snapToGrid w:val="0"/>
              <w:spacing w:line="360" w:lineRule="auto"/>
              <w:rPr>
                <w:rFonts w:ascii="宋体" w:hAnsi="宋体"/>
                <w:color w:val="auto"/>
                <w:kern w:val="0"/>
                <w:sz w:val="24"/>
                <w:highlight w:val="none"/>
              </w:rPr>
            </w:pPr>
          </w:p>
        </w:tc>
        <w:tc>
          <w:tcPr>
            <w:tcW w:w="2439" w:type="dxa"/>
          </w:tcPr>
          <w:p w14:paraId="20CE5C7A">
            <w:pPr>
              <w:adjustRightInd w:val="0"/>
              <w:snapToGrid w:val="0"/>
              <w:spacing w:line="360" w:lineRule="auto"/>
              <w:rPr>
                <w:rFonts w:ascii="宋体" w:hAnsi="宋体"/>
                <w:color w:val="auto"/>
                <w:kern w:val="0"/>
                <w:sz w:val="24"/>
                <w:highlight w:val="none"/>
              </w:rPr>
            </w:pPr>
          </w:p>
        </w:tc>
        <w:tc>
          <w:tcPr>
            <w:tcW w:w="2642" w:type="dxa"/>
          </w:tcPr>
          <w:p w14:paraId="7ABAFC0E">
            <w:pPr>
              <w:adjustRightInd w:val="0"/>
              <w:snapToGrid w:val="0"/>
              <w:spacing w:line="360" w:lineRule="auto"/>
              <w:rPr>
                <w:rFonts w:ascii="宋体" w:hAnsi="宋体"/>
                <w:color w:val="auto"/>
                <w:kern w:val="0"/>
                <w:sz w:val="24"/>
                <w:highlight w:val="none"/>
              </w:rPr>
            </w:pPr>
          </w:p>
        </w:tc>
      </w:tr>
      <w:tr w14:paraId="2A885C6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697" w:type="dxa"/>
          </w:tcPr>
          <w:p w14:paraId="268BE747">
            <w:pPr>
              <w:adjustRightInd w:val="0"/>
              <w:snapToGrid w:val="0"/>
              <w:spacing w:line="360" w:lineRule="auto"/>
              <w:rPr>
                <w:rFonts w:ascii="宋体" w:hAnsi="宋体"/>
                <w:color w:val="auto"/>
                <w:kern w:val="0"/>
                <w:sz w:val="24"/>
                <w:highlight w:val="none"/>
              </w:rPr>
            </w:pPr>
          </w:p>
        </w:tc>
        <w:tc>
          <w:tcPr>
            <w:tcW w:w="2963" w:type="dxa"/>
          </w:tcPr>
          <w:p w14:paraId="527DFCD6">
            <w:pPr>
              <w:adjustRightInd w:val="0"/>
              <w:snapToGrid w:val="0"/>
              <w:spacing w:line="360" w:lineRule="auto"/>
              <w:rPr>
                <w:rFonts w:ascii="宋体" w:hAnsi="宋体"/>
                <w:color w:val="auto"/>
                <w:kern w:val="0"/>
                <w:sz w:val="24"/>
                <w:highlight w:val="none"/>
              </w:rPr>
            </w:pPr>
          </w:p>
        </w:tc>
        <w:tc>
          <w:tcPr>
            <w:tcW w:w="2439" w:type="dxa"/>
          </w:tcPr>
          <w:p w14:paraId="2A91DA47">
            <w:pPr>
              <w:adjustRightInd w:val="0"/>
              <w:snapToGrid w:val="0"/>
              <w:spacing w:line="360" w:lineRule="auto"/>
              <w:rPr>
                <w:rFonts w:ascii="宋体" w:hAnsi="宋体"/>
                <w:color w:val="auto"/>
                <w:kern w:val="0"/>
                <w:sz w:val="24"/>
                <w:highlight w:val="none"/>
              </w:rPr>
            </w:pPr>
          </w:p>
        </w:tc>
        <w:tc>
          <w:tcPr>
            <w:tcW w:w="2642" w:type="dxa"/>
          </w:tcPr>
          <w:p w14:paraId="6F5F3100">
            <w:pPr>
              <w:adjustRightInd w:val="0"/>
              <w:snapToGrid w:val="0"/>
              <w:spacing w:line="360" w:lineRule="auto"/>
              <w:rPr>
                <w:rFonts w:ascii="宋体" w:hAnsi="宋体"/>
                <w:color w:val="auto"/>
                <w:kern w:val="0"/>
                <w:sz w:val="24"/>
                <w:highlight w:val="none"/>
              </w:rPr>
            </w:pPr>
          </w:p>
        </w:tc>
      </w:tr>
      <w:tr w14:paraId="26F8DD9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697" w:type="dxa"/>
          </w:tcPr>
          <w:p w14:paraId="4C7C8867">
            <w:pPr>
              <w:adjustRightInd w:val="0"/>
              <w:snapToGrid w:val="0"/>
              <w:spacing w:line="360" w:lineRule="auto"/>
              <w:rPr>
                <w:rFonts w:ascii="宋体" w:hAnsi="宋体"/>
                <w:color w:val="auto"/>
                <w:kern w:val="0"/>
                <w:sz w:val="24"/>
                <w:highlight w:val="none"/>
              </w:rPr>
            </w:pPr>
          </w:p>
        </w:tc>
        <w:tc>
          <w:tcPr>
            <w:tcW w:w="2963" w:type="dxa"/>
          </w:tcPr>
          <w:p w14:paraId="25848FB0">
            <w:pPr>
              <w:adjustRightInd w:val="0"/>
              <w:snapToGrid w:val="0"/>
              <w:spacing w:line="360" w:lineRule="auto"/>
              <w:rPr>
                <w:rFonts w:ascii="宋体" w:hAnsi="宋体"/>
                <w:color w:val="auto"/>
                <w:kern w:val="0"/>
                <w:sz w:val="24"/>
                <w:highlight w:val="none"/>
              </w:rPr>
            </w:pPr>
          </w:p>
        </w:tc>
        <w:tc>
          <w:tcPr>
            <w:tcW w:w="2439" w:type="dxa"/>
          </w:tcPr>
          <w:p w14:paraId="0EB744B5">
            <w:pPr>
              <w:adjustRightInd w:val="0"/>
              <w:snapToGrid w:val="0"/>
              <w:spacing w:line="360" w:lineRule="auto"/>
              <w:rPr>
                <w:rFonts w:ascii="宋体" w:hAnsi="宋体"/>
                <w:color w:val="auto"/>
                <w:kern w:val="0"/>
                <w:sz w:val="24"/>
                <w:highlight w:val="none"/>
              </w:rPr>
            </w:pPr>
          </w:p>
        </w:tc>
        <w:tc>
          <w:tcPr>
            <w:tcW w:w="2642" w:type="dxa"/>
          </w:tcPr>
          <w:p w14:paraId="508AA019">
            <w:pPr>
              <w:adjustRightInd w:val="0"/>
              <w:snapToGrid w:val="0"/>
              <w:spacing w:line="360" w:lineRule="auto"/>
              <w:rPr>
                <w:rFonts w:ascii="宋体" w:hAnsi="宋体"/>
                <w:color w:val="auto"/>
                <w:kern w:val="0"/>
                <w:sz w:val="24"/>
                <w:highlight w:val="none"/>
              </w:rPr>
            </w:pPr>
          </w:p>
        </w:tc>
      </w:tr>
      <w:tr w14:paraId="3D4ABDF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697" w:type="dxa"/>
          </w:tcPr>
          <w:p w14:paraId="042E5558">
            <w:pPr>
              <w:adjustRightInd w:val="0"/>
              <w:snapToGrid w:val="0"/>
              <w:spacing w:line="360" w:lineRule="auto"/>
              <w:rPr>
                <w:rFonts w:ascii="宋体" w:hAnsi="宋体"/>
                <w:color w:val="auto"/>
                <w:kern w:val="0"/>
                <w:sz w:val="24"/>
                <w:highlight w:val="none"/>
              </w:rPr>
            </w:pPr>
          </w:p>
        </w:tc>
        <w:tc>
          <w:tcPr>
            <w:tcW w:w="2963" w:type="dxa"/>
          </w:tcPr>
          <w:p w14:paraId="141E2FD4">
            <w:pPr>
              <w:adjustRightInd w:val="0"/>
              <w:snapToGrid w:val="0"/>
              <w:spacing w:line="360" w:lineRule="auto"/>
              <w:rPr>
                <w:rFonts w:ascii="宋体" w:hAnsi="宋体"/>
                <w:color w:val="auto"/>
                <w:kern w:val="0"/>
                <w:sz w:val="24"/>
                <w:highlight w:val="none"/>
              </w:rPr>
            </w:pPr>
          </w:p>
        </w:tc>
        <w:tc>
          <w:tcPr>
            <w:tcW w:w="2439" w:type="dxa"/>
          </w:tcPr>
          <w:p w14:paraId="0B18928C">
            <w:pPr>
              <w:adjustRightInd w:val="0"/>
              <w:snapToGrid w:val="0"/>
              <w:spacing w:line="360" w:lineRule="auto"/>
              <w:rPr>
                <w:rFonts w:ascii="宋体" w:hAnsi="宋体"/>
                <w:color w:val="auto"/>
                <w:kern w:val="0"/>
                <w:sz w:val="24"/>
                <w:highlight w:val="none"/>
              </w:rPr>
            </w:pPr>
          </w:p>
        </w:tc>
        <w:tc>
          <w:tcPr>
            <w:tcW w:w="2642" w:type="dxa"/>
          </w:tcPr>
          <w:p w14:paraId="3724C504">
            <w:pPr>
              <w:adjustRightInd w:val="0"/>
              <w:snapToGrid w:val="0"/>
              <w:spacing w:line="360" w:lineRule="auto"/>
              <w:rPr>
                <w:rFonts w:ascii="宋体" w:hAnsi="宋体"/>
                <w:color w:val="auto"/>
                <w:kern w:val="0"/>
                <w:sz w:val="24"/>
                <w:highlight w:val="none"/>
              </w:rPr>
            </w:pPr>
          </w:p>
        </w:tc>
      </w:tr>
      <w:tr w14:paraId="5F191CF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697" w:type="dxa"/>
          </w:tcPr>
          <w:p w14:paraId="07F95F90">
            <w:pPr>
              <w:adjustRightInd w:val="0"/>
              <w:snapToGrid w:val="0"/>
              <w:spacing w:line="360" w:lineRule="auto"/>
              <w:rPr>
                <w:rFonts w:ascii="宋体" w:hAnsi="宋体"/>
                <w:color w:val="auto"/>
                <w:kern w:val="0"/>
                <w:sz w:val="24"/>
                <w:highlight w:val="none"/>
              </w:rPr>
            </w:pPr>
          </w:p>
        </w:tc>
        <w:tc>
          <w:tcPr>
            <w:tcW w:w="2963" w:type="dxa"/>
          </w:tcPr>
          <w:p w14:paraId="0B17AB57">
            <w:pPr>
              <w:adjustRightInd w:val="0"/>
              <w:snapToGrid w:val="0"/>
              <w:spacing w:line="360" w:lineRule="auto"/>
              <w:rPr>
                <w:rFonts w:ascii="宋体" w:hAnsi="宋体"/>
                <w:color w:val="auto"/>
                <w:kern w:val="0"/>
                <w:sz w:val="24"/>
                <w:highlight w:val="none"/>
              </w:rPr>
            </w:pPr>
          </w:p>
        </w:tc>
        <w:tc>
          <w:tcPr>
            <w:tcW w:w="2439" w:type="dxa"/>
          </w:tcPr>
          <w:p w14:paraId="2D4C0EA2">
            <w:pPr>
              <w:adjustRightInd w:val="0"/>
              <w:snapToGrid w:val="0"/>
              <w:spacing w:line="360" w:lineRule="auto"/>
              <w:rPr>
                <w:rFonts w:ascii="宋体" w:hAnsi="宋体"/>
                <w:color w:val="auto"/>
                <w:kern w:val="0"/>
                <w:sz w:val="24"/>
                <w:highlight w:val="none"/>
              </w:rPr>
            </w:pPr>
          </w:p>
        </w:tc>
        <w:tc>
          <w:tcPr>
            <w:tcW w:w="2642" w:type="dxa"/>
          </w:tcPr>
          <w:p w14:paraId="711A05AA">
            <w:pPr>
              <w:adjustRightInd w:val="0"/>
              <w:snapToGrid w:val="0"/>
              <w:spacing w:line="360" w:lineRule="auto"/>
              <w:rPr>
                <w:rFonts w:ascii="宋体" w:hAnsi="宋体"/>
                <w:color w:val="auto"/>
                <w:kern w:val="0"/>
                <w:sz w:val="24"/>
                <w:highlight w:val="none"/>
              </w:rPr>
            </w:pPr>
          </w:p>
        </w:tc>
      </w:tr>
      <w:tr w14:paraId="0B90711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697" w:type="dxa"/>
          </w:tcPr>
          <w:p w14:paraId="2C145356">
            <w:pPr>
              <w:adjustRightInd w:val="0"/>
              <w:snapToGrid w:val="0"/>
              <w:spacing w:line="360" w:lineRule="auto"/>
              <w:rPr>
                <w:rFonts w:ascii="宋体" w:hAnsi="宋体"/>
                <w:color w:val="auto"/>
                <w:kern w:val="0"/>
                <w:sz w:val="24"/>
                <w:highlight w:val="none"/>
              </w:rPr>
            </w:pPr>
          </w:p>
        </w:tc>
        <w:tc>
          <w:tcPr>
            <w:tcW w:w="2963" w:type="dxa"/>
          </w:tcPr>
          <w:p w14:paraId="4ED1C02B">
            <w:pPr>
              <w:adjustRightInd w:val="0"/>
              <w:snapToGrid w:val="0"/>
              <w:spacing w:line="360" w:lineRule="auto"/>
              <w:rPr>
                <w:rFonts w:ascii="宋体" w:hAnsi="宋体"/>
                <w:color w:val="auto"/>
                <w:kern w:val="0"/>
                <w:sz w:val="24"/>
                <w:highlight w:val="none"/>
              </w:rPr>
            </w:pPr>
          </w:p>
        </w:tc>
        <w:tc>
          <w:tcPr>
            <w:tcW w:w="2439" w:type="dxa"/>
          </w:tcPr>
          <w:p w14:paraId="5F7510C3">
            <w:pPr>
              <w:adjustRightInd w:val="0"/>
              <w:snapToGrid w:val="0"/>
              <w:spacing w:line="360" w:lineRule="auto"/>
              <w:rPr>
                <w:rFonts w:ascii="宋体" w:hAnsi="宋体"/>
                <w:color w:val="auto"/>
                <w:kern w:val="0"/>
                <w:sz w:val="24"/>
                <w:highlight w:val="none"/>
              </w:rPr>
            </w:pPr>
          </w:p>
        </w:tc>
        <w:tc>
          <w:tcPr>
            <w:tcW w:w="2642" w:type="dxa"/>
          </w:tcPr>
          <w:p w14:paraId="5981D3D3">
            <w:pPr>
              <w:adjustRightInd w:val="0"/>
              <w:snapToGrid w:val="0"/>
              <w:spacing w:line="360" w:lineRule="auto"/>
              <w:rPr>
                <w:rFonts w:ascii="宋体" w:hAnsi="宋体"/>
                <w:color w:val="auto"/>
                <w:kern w:val="0"/>
                <w:sz w:val="24"/>
                <w:highlight w:val="none"/>
              </w:rPr>
            </w:pPr>
          </w:p>
        </w:tc>
      </w:tr>
      <w:tr w14:paraId="11A5AE6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697" w:type="dxa"/>
          </w:tcPr>
          <w:p w14:paraId="14EE5247">
            <w:pPr>
              <w:adjustRightInd w:val="0"/>
              <w:snapToGrid w:val="0"/>
              <w:spacing w:line="360" w:lineRule="auto"/>
              <w:rPr>
                <w:rFonts w:ascii="宋体" w:hAnsi="宋体"/>
                <w:color w:val="auto"/>
                <w:kern w:val="0"/>
                <w:sz w:val="24"/>
                <w:highlight w:val="none"/>
              </w:rPr>
            </w:pPr>
          </w:p>
        </w:tc>
        <w:tc>
          <w:tcPr>
            <w:tcW w:w="2963" w:type="dxa"/>
          </w:tcPr>
          <w:p w14:paraId="464631E9">
            <w:pPr>
              <w:adjustRightInd w:val="0"/>
              <w:snapToGrid w:val="0"/>
              <w:spacing w:line="360" w:lineRule="auto"/>
              <w:rPr>
                <w:rFonts w:ascii="宋体" w:hAnsi="宋体"/>
                <w:color w:val="auto"/>
                <w:kern w:val="0"/>
                <w:sz w:val="24"/>
                <w:highlight w:val="none"/>
              </w:rPr>
            </w:pPr>
          </w:p>
        </w:tc>
        <w:tc>
          <w:tcPr>
            <w:tcW w:w="2439" w:type="dxa"/>
          </w:tcPr>
          <w:p w14:paraId="4B4A7670">
            <w:pPr>
              <w:adjustRightInd w:val="0"/>
              <w:snapToGrid w:val="0"/>
              <w:spacing w:line="360" w:lineRule="auto"/>
              <w:rPr>
                <w:rFonts w:ascii="宋体" w:hAnsi="宋体"/>
                <w:color w:val="auto"/>
                <w:kern w:val="0"/>
                <w:sz w:val="24"/>
                <w:highlight w:val="none"/>
              </w:rPr>
            </w:pPr>
          </w:p>
        </w:tc>
        <w:tc>
          <w:tcPr>
            <w:tcW w:w="2642" w:type="dxa"/>
          </w:tcPr>
          <w:p w14:paraId="32FEBA30">
            <w:pPr>
              <w:adjustRightInd w:val="0"/>
              <w:snapToGrid w:val="0"/>
              <w:spacing w:line="360" w:lineRule="auto"/>
              <w:rPr>
                <w:rFonts w:ascii="宋体" w:hAnsi="宋体"/>
                <w:color w:val="auto"/>
                <w:kern w:val="0"/>
                <w:sz w:val="24"/>
                <w:highlight w:val="none"/>
              </w:rPr>
            </w:pPr>
          </w:p>
        </w:tc>
      </w:tr>
      <w:tr w14:paraId="6F2E65D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697" w:type="dxa"/>
          </w:tcPr>
          <w:p w14:paraId="5BDFE1A3">
            <w:pPr>
              <w:adjustRightInd w:val="0"/>
              <w:snapToGrid w:val="0"/>
              <w:spacing w:line="360" w:lineRule="auto"/>
              <w:rPr>
                <w:rFonts w:ascii="宋体" w:hAnsi="宋体"/>
                <w:color w:val="auto"/>
                <w:kern w:val="0"/>
                <w:sz w:val="24"/>
                <w:highlight w:val="none"/>
              </w:rPr>
            </w:pPr>
          </w:p>
        </w:tc>
        <w:tc>
          <w:tcPr>
            <w:tcW w:w="2963" w:type="dxa"/>
          </w:tcPr>
          <w:p w14:paraId="39548B57">
            <w:pPr>
              <w:adjustRightInd w:val="0"/>
              <w:snapToGrid w:val="0"/>
              <w:spacing w:line="360" w:lineRule="auto"/>
              <w:rPr>
                <w:rFonts w:ascii="宋体" w:hAnsi="宋体"/>
                <w:color w:val="auto"/>
                <w:kern w:val="0"/>
                <w:sz w:val="24"/>
                <w:highlight w:val="none"/>
              </w:rPr>
            </w:pPr>
          </w:p>
        </w:tc>
        <w:tc>
          <w:tcPr>
            <w:tcW w:w="2439" w:type="dxa"/>
          </w:tcPr>
          <w:p w14:paraId="63095D4B">
            <w:pPr>
              <w:adjustRightInd w:val="0"/>
              <w:snapToGrid w:val="0"/>
              <w:spacing w:line="360" w:lineRule="auto"/>
              <w:rPr>
                <w:rFonts w:ascii="宋体" w:hAnsi="宋体"/>
                <w:color w:val="auto"/>
                <w:kern w:val="0"/>
                <w:sz w:val="24"/>
                <w:highlight w:val="none"/>
              </w:rPr>
            </w:pPr>
          </w:p>
        </w:tc>
        <w:tc>
          <w:tcPr>
            <w:tcW w:w="2642" w:type="dxa"/>
          </w:tcPr>
          <w:p w14:paraId="65F7394A">
            <w:pPr>
              <w:adjustRightInd w:val="0"/>
              <w:snapToGrid w:val="0"/>
              <w:spacing w:line="360" w:lineRule="auto"/>
              <w:rPr>
                <w:rFonts w:ascii="宋体" w:hAnsi="宋体"/>
                <w:color w:val="auto"/>
                <w:kern w:val="0"/>
                <w:sz w:val="24"/>
                <w:highlight w:val="none"/>
              </w:rPr>
            </w:pPr>
          </w:p>
        </w:tc>
      </w:tr>
    </w:tbl>
    <w:p w14:paraId="6E68A148">
      <w:pPr>
        <w:adjustRightInd w:val="0"/>
        <w:snapToGrid w:val="0"/>
        <w:spacing w:line="360" w:lineRule="auto"/>
        <w:rPr>
          <w:rFonts w:ascii="宋体" w:hAnsi="宋体"/>
          <w:color w:val="auto"/>
          <w:szCs w:val="21"/>
          <w:highlight w:val="none"/>
        </w:rPr>
      </w:pPr>
      <w:r>
        <w:rPr>
          <w:rFonts w:hint="eastAsia" w:ascii="宋体" w:hAnsi="宋体"/>
          <w:color w:val="auto"/>
          <w:szCs w:val="21"/>
          <w:highlight w:val="none"/>
        </w:rPr>
        <w:t>采购人（签字）：</w:t>
      </w:r>
    </w:p>
    <w:p w14:paraId="57118137">
      <w:pPr>
        <w:adjustRightInd w:val="0"/>
        <w:snapToGrid w:val="0"/>
        <w:spacing w:line="360" w:lineRule="auto"/>
        <w:rPr>
          <w:rFonts w:ascii="宋体" w:hAnsi="宋体"/>
          <w:color w:val="auto"/>
          <w:szCs w:val="21"/>
          <w:highlight w:val="none"/>
        </w:rPr>
      </w:pPr>
      <w:r>
        <w:rPr>
          <w:rFonts w:hint="eastAsia" w:ascii="宋体" w:hAnsi="宋体"/>
          <w:color w:val="auto"/>
          <w:szCs w:val="21"/>
          <w:highlight w:val="none"/>
        </w:rPr>
        <w:t>采购代理机构（签字）：</w:t>
      </w:r>
    </w:p>
    <w:p w14:paraId="673CFC85">
      <w:pPr>
        <w:adjustRightInd w:val="0"/>
        <w:snapToGrid w:val="0"/>
        <w:spacing w:line="360" w:lineRule="auto"/>
        <w:rPr>
          <w:rFonts w:ascii="宋体" w:hAnsi="宋体"/>
          <w:color w:val="auto"/>
          <w:szCs w:val="21"/>
          <w:highlight w:val="none"/>
        </w:rPr>
      </w:pPr>
      <w:r>
        <w:rPr>
          <w:rFonts w:hint="eastAsia" w:ascii="宋体" w:hAnsi="宋体"/>
          <w:color w:val="auto"/>
          <w:szCs w:val="21"/>
          <w:highlight w:val="none"/>
        </w:rPr>
        <w:t>日期：年月日</w:t>
      </w:r>
    </w:p>
    <w:p w14:paraId="55DBC4DB">
      <w:pPr>
        <w:widowControl/>
        <w:jc w:val="left"/>
        <w:rPr>
          <w:rFonts w:ascii="宋体" w:hAnsi="宋体"/>
          <w:color w:val="auto"/>
          <w:sz w:val="24"/>
          <w:highlight w:val="none"/>
        </w:rPr>
      </w:pPr>
      <w:r>
        <w:rPr>
          <w:rFonts w:ascii="宋体" w:hAnsi="宋体"/>
          <w:color w:val="auto"/>
          <w:sz w:val="24"/>
          <w:highlight w:val="none"/>
        </w:rPr>
        <w:br w:type="page"/>
      </w:r>
    </w:p>
    <w:p w14:paraId="378E9455">
      <w:pPr>
        <w:pStyle w:val="5"/>
        <w:adjustRightInd w:val="0"/>
        <w:snapToGrid w:val="0"/>
        <w:spacing w:before="0" w:after="0" w:line="360" w:lineRule="auto"/>
        <w:rPr>
          <w:rFonts w:ascii="黑体" w:hAnsi="黑体"/>
          <w:b w:val="0"/>
          <w:color w:val="auto"/>
          <w:sz w:val="21"/>
          <w:szCs w:val="21"/>
          <w:highlight w:val="none"/>
        </w:rPr>
      </w:pPr>
      <w:bookmarkStart w:id="540" w:name="_Toc15888502"/>
      <w:bookmarkStart w:id="541" w:name="_Toc75289245"/>
      <w:r>
        <w:rPr>
          <w:rFonts w:hint="eastAsia" w:ascii="黑体" w:hAnsi="黑体"/>
          <w:b w:val="0"/>
          <w:color w:val="auto"/>
          <w:sz w:val="21"/>
          <w:szCs w:val="21"/>
          <w:highlight w:val="none"/>
        </w:rPr>
        <w:t>附表3 资格审查合格投标人名单</w:t>
      </w:r>
      <w:bookmarkEnd w:id="540"/>
      <w:bookmarkEnd w:id="541"/>
    </w:p>
    <w:p w14:paraId="24277C37">
      <w:pPr>
        <w:pStyle w:val="2"/>
        <w:jc w:val="center"/>
        <w:rPr>
          <w:rFonts w:ascii="黑体" w:hAnsi="黑体" w:eastAsia="黑体"/>
          <w:b w:val="0"/>
          <w:color w:val="auto"/>
          <w:sz w:val="28"/>
          <w:szCs w:val="28"/>
          <w:highlight w:val="none"/>
        </w:rPr>
      </w:pPr>
      <w:bookmarkStart w:id="542" w:name="_Toc108341955"/>
      <w:bookmarkStart w:id="543" w:name="_Toc85972948"/>
      <w:bookmarkStart w:id="544" w:name="_Toc9924"/>
      <w:bookmarkStart w:id="545" w:name="_Toc192951230"/>
      <w:bookmarkStart w:id="546" w:name="_Toc100670439"/>
      <w:bookmarkStart w:id="547" w:name="_Toc280964260"/>
      <w:bookmarkStart w:id="548" w:name="_Toc94367898"/>
      <w:bookmarkStart w:id="549" w:name="_Toc192949719"/>
      <w:bookmarkStart w:id="550" w:name="_Toc171273688"/>
      <w:bookmarkStart w:id="551" w:name="_Toc112704950"/>
      <w:bookmarkStart w:id="552" w:name="_Toc78314280"/>
      <w:bookmarkStart w:id="553" w:name="_Toc532067494"/>
      <w:bookmarkStart w:id="554" w:name="_Toc114036729"/>
      <w:bookmarkStart w:id="555" w:name="_Toc77676484"/>
      <w:bookmarkStart w:id="556" w:name="_Toc77199417"/>
      <w:bookmarkStart w:id="557" w:name="_Toc8492"/>
      <w:bookmarkStart w:id="558" w:name="_Toc27671"/>
      <w:bookmarkStart w:id="559" w:name="_Toc949511697"/>
      <w:bookmarkStart w:id="560" w:name="_Toc30583"/>
      <w:bookmarkStart w:id="561" w:name="_Toc10909"/>
      <w:bookmarkStart w:id="562" w:name="_Toc154428407"/>
      <w:bookmarkStart w:id="563" w:name="_Toc2402"/>
      <w:bookmarkStart w:id="564" w:name="_Toc100670686"/>
      <w:bookmarkStart w:id="565" w:name="_Toc95601383"/>
      <w:bookmarkStart w:id="566" w:name="_Toc75289566"/>
      <w:bookmarkStart w:id="567" w:name="_Toc17514"/>
      <w:bookmarkStart w:id="568" w:name="_Toc21722"/>
      <w:bookmarkStart w:id="569" w:name="_Toc78449973"/>
      <w:bookmarkStart w:id="570" w:name="_Toc75289246"/>
      <w:bookmarkStart w:id="571" w:name="_Toc192949620"/>
      <w:bookmarkStart w:id="572" w:name="_Toc25207"/>
      <w:bookmarkStart w:id="573" w:name="_Toc117192465"/>
      <w:r>
        <w:rPr>
          <w:rFonts w:hint="eastAsia" w:ascii="黑体" w:hAnsi="黑体" w:eastAsia="黑体"/>
          <w:b w:val="0"/>
          <w:color w:val="auto"/>
          <w:sz w:val="28"/>
          <w:szCs w:val="28"/>
          <w:highlight w:val="none"/>
        </w:rPr>
        <w:t>资格审查合格投标人名单</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p>
    <w:p w14:paraId="3FE05D20">
      <w:pPr>
        <w:adjustRightInd w:val="0"/>
        <w:snapToGrid w:val="0"/>
        <w:spacing w:line="360" w:lineRule="auto"/>
        <w:rPr>
          <w:rFonts w:ascii="华文中宋" w:hAnsi="华文中宋" w:eastAsia="华文中宋"/>
          <w:color w:val="auto"/>
          <w:sz w:val="32"/>
          <w:szCs w:val="32"/>
          <w:highlight w:val="none"/>
        </w:rPr>
      </w:pPr>
      <w:r>
        <w:rPr>
          <w:rFonts w:hint="eastAsia" w:ascii="宋体" w:hAnsi="宋体"/>
          <w:color w:val="auto"/>
          <w:szCs w:val="21"/>
          <w:highlight w:val="none"/>
        </w:rPr>
        <w:t>项目名称：                                        政府采购计划编号：</w:t>
      </w:r>
    </w:p>
    <w:tbl>
      <w:tblPr>
        <w:tblStyle w:val="47"/>
        <w:tblW w:w="8606"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993"/>
        <w:gridCol w:w="7613"/>
      </w:tblGrid>
      <w:tr w14:paraId="4C258E5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72" w:hRule="atLeast"/>
          <w:jc w:val="center"/>
        </w:trPr>
        <w:tc>
          <w:tcPr>
            <w:tcW w:w="993" w:type="dxa"/>
            <w:vAlign w:val="center"/>
          </w:tcPr>
          <w:p w14:paraId="0FD71283">
            <w:pPr>
              <w:jc w:val="center"/>
              <w:rPr>
                <w:b/>
                <w:color w:val="auto"/>
                <w:kern w:val="0"/>
                <w:szCs w:val="21"/>
                <w:highlight w:val="none"/>
              </w:rPr>
            </w:pPr>
            <w:r>
              <w:rPr>
                <w:rFonts w:hint="eastAsia"/>
                <w:b/>
                <w:color w:val="auto"/>
                <w:kern w:val="0"/>
                <w:szCs w:val="21"/>
                <w:highlight w:val="none"/>
              </w:rPr>
              <w:t>序号</w:t>
            </w:r>
          </w:p>
        </w:tc>
        <w:tc>
          <w:tcPr>
            <w:tcW w:w="7613" w:type="dxa"/>
            <w:vAlign w:val="center"/>
          </w:tcPr>
          <w:p w14:paraId="2E246C28">
            <w:pPr>
              <w:jc w:val="center"/>
              <w:rPr>
                <w:b/>
                <w:color w:val="auto"/>
                <w:kern w:val="0"/>
                <w:szCs w:val="21"/>
                <w:highlight w:val="none"/>
              </w:rPr>
            </w:pPr>
            <w:r>
              <w:rPr>
                <w:rFonts w:hint="eastAsia"/>
                <w:b/>
                <w:color w:val="auto"/>
                <w:kern w:val="0"/>
                <w:szCs w:val="21"/>
                <w:highlight w:val="none"/>
              </w:rPr>
              <w:t>合格投标人名称</w:t>
            </w:r>
          </w:p>
        </w:tc>
      </w:tr>
      <w:tr w14:paraId="4C6D6B4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993" w:type="dxa"/>
          </w:tcPr>
          <w:p w14:paraId="52DE0DEE">
            <w:pPr>
              <w:adjustRightInd w:val="0"/>
              <w:snapToGrid w:val="0"/>
              <w:spacing w:line="360" w:lineRule="auto"/>
              <w:rPr>
                <w:rFonts w:ascii="宋体" w:hAnsi="宋体"/>
                <w:color w:val="auto"/>
                <w:kern w:val="0"/>
                <w:szCs w:val="21"/>
                <w:highlight w:val="none"/>
              </w:rPr>
            </w:pPr>
          </w:p>
        </w:tc>
        <w:tc>
          <w:tcPr>
            <w:tcW w:w="7613" w:type="dxa"/>
          </w:tcPr>
          <w:p w14:paraId="41A4B0C9">
            <w:pPr>
              <w:adjustRightInd w:val="0"/>
              <w:snapToGrid w:val="0"/>
              <w:spacing w:line="360" w:lineRule="auto"/>
              <w:rPr>
                <w:rFonts w:ascii="宋体" w:hAnsi="宋体"/>
                <w:color w:val="auto"/>
                <w:kern w:val="0"/>
                <w:szCs w:val="21"/>
                <w:highlight w:val="none"/>
              </w:rPr>
            </w:pPr>
          </w:p>
        </w:tc>
      </w:tr>
      <w:tr w14:paraId="3091DF8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993" w:type="dxa"/>
          </w:tcPr>
          <w:p w14:paraId="50F604AB">
            <w:pPr>
              <w:adjustRightInd w:val="0"/>
              <w:snapToGrid w:val="0"/>
              <w:spacing w:line="360" w:lineRule="auto"/>
              <w:rPr>
                <w:rFonts w:ascii="宋体" w:hAnsi="宋体"/>
                <w:color w:val="auto"/>
                <w:kern w:val="0"/>
                <w:sz w:val="24"/>
                <w:highlight w:val="none"/>
              </w:rPr>
            </w:pPr>
          </w:p>
        </w:tc>
        <w:tc>
          <w:tcPr>
            <w:tcW w:w="7613" w:type="dxa"/>
          </w:tcPr>
          <w:p w14:paraId="535B069A">
            <w:pPr>
              <w:adjustRightInd w:val="0"/>
              <w:snapToGrid w:val="0"/>
              <w:spacing w:line="360" w:lineRule="auto"/>
              <w:rPr>
                <w:rFonts w:ascii="宋体" w:hAnsi="宋体"/>
                <w:color w:val="auto"/>
                <w:kern w:val="0"/>
                <w:sz w:val="24"/>
                <w:highlight w:val="none"/>
              </w:rPr>
            </w:pPr>
          </w:p>
        </w:tc>
      </w:tr>
      <w:tr w14:paraId="64C63DF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993" w:type="dxa"/>
          </w:tcPr>
          <w:p w14:paraId="6A74DEC4">
            <w:pPr>
              <w:adjustRightInd w:val="0"/>
              <w:snapToGrid w:val="0"/>
              <w:spacing w:line="360" w:lineRule="auto"/>
              <w:rPr>
                <w:rFonts w:ascii="宋体" w:hAnsi="宋体"/>
                <w:color w:val="auto"/>
                <w:kern w:val="0"/>
                <w:sz w:val="24"/>
                <w:highlight w:val="none"/>
              </w:rPr>
            </w:pPr>
          </w:p>
        </w:tc>
        <w:tc>
          <w:tcPr>
            <w:tcW w:w="7613" w:type="dxa"/>
          </w:tcPr>
          <w:p w14:paraId="0FEF5E46">
            <w:pPr>
              <w:adjustRightInd w:val="0"/>
              <w:snapToGrid w:val="0"/>
              <w:spacing w:line="360" w:lineRule="auto"/>
              <w:rPr>
                <w:rFonts w:ascii="宋体" w:hAnsi="宋体"/>
                <w:color w:val="auto"/>
                <w:kern w:val="0"/>
                <w:sz w:val="24"/>
                <w:highlight w:val="none"/>
              </w:rPr>
            </w:pPr>
          </w:p>
        </w:tc>
      </w:tr>
      <w:tr w14:paraId="2818FE5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993" w:type="dxa"/>
          </w:tcPr>
          <w:p w14:paraId="53816B49">
            <w:pPr>
              <w:adjustRightInd w:val="0"/>
              <w:snapToGrid w:val="0"/>
              <w:spacing w:line="360" w:lineRule="auto"/>
              <w:rPr>
                <w:rFonts w:ascii="宋体" w:hAnsi="宋体"/>
                <w:color w:val="auto"/>
                <w:kern w:val="0"/>
                <w:sz w:val="24"/>
                <w:highlight w:val="none"/>
              </w:rPr>
            </w:pPr>
          </w:p>
        </w:tc>
        <w:tc>
          <w:tcPr>
            <w:tcW w:w="7613" w:type="dxa"/>
          </w:tcPr>
          <w:p w14:paraId="0AA87AE2">
            <w:pPr>
              <w:adjustRightInd w:val="0"/>
              <w:snapToGrid w:val="0"/>
              <w:spacing w:line="360" w:lineRule="auto"/>
              <w:rPr>
                <w:rFonts w:ascii="宋体" w:hAnsi="宋体"/>
                <w:color w:val="auto"/>
                <w:kern w:val="0"/>
                <w:sz w:val="24"/>
                <w:highlight w:val="none"/>
              </w:rPr>
            </w:pPr>
          </w:p>
        </w:tc>
      </w:tr>
      <w:tr w14:paraId="7596FE2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993" w:type="dxa"/>
          </w:tcPr>
          <w:p w14:paraId="3DD66668">
            <w:pPr>
              <w:adjustRightInd w:val="0"/>
              <w:snapToGrid w:val="0"/>
              <w:spacing w:line="360" w:lineRule="auto"/>
              <w:rPr>
                <w:rFonts w:ascii="宋体" w:hAnsi="宋体"/>
                <w:color w:val="auto"/>
                <w:kern w:val="0"/>
                <w:sz w:val="24"/>
                <w:highlight w:val="none"/>
              </w:rPr>
            </w:pPr>
          </w:p>
        </w:tc>
        <w:tc>
          <w:tcPr>
            <w:tcW w:w="7613" w:type="dxa"/>
          </w:tcPr>
          <w:p w14:paraId="2E25F8DB">
            <w:pPr>
              <w:adjustRightInd w:val="0"/>
              <w:snapToGrid w:val="0"/>
              <w:spacing w:line="360" w:lineRule="auto"/>
              <w:rPr>
                <w:rFonts w:ascii="宋体" w:hAnsi="宋体"/>
                <w:color w:val="auto"/>
                <w:kern w:val="0"/>
                <w:sz w:val="24"/>
                <w:highlight w:val="none"/>
              </w:rPr>
            </w:pPr>
          </w:p>
        </w:tc>
      </w:tr>
      <w:tr w14:paraId="145335F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993" w:type="dxa"/>
          </w:tcPr>
          <w:p w14:paraId="0E72DC3F">
            <w:pPr>
              <w:adjustRightInd w:val="0"/>
              <w:snapToGrid w:val="0"/>
              <w:spacing w:line="360" w:lineRule="auto"/>
              <w:rPr>
                <w:rFonts w:ascii="宋体" w:hAnsi="宋体"/>
                <w:color w:val="auto"/>
                <w:kern w:val="0"/>
                <w:sz w:val="24"/>
                <w:highlight w:val="none"/>
              </w:rPr>
            </w:pPr>
          </w:p>
        </w:tc>
        <w:tc>
          <w:tcPr>
            <w:tcW w:w="7613" w:type="dxa"/>
          </w:tcPr>
          <w:p w14:paraId="3AEFBB9A">
            <w:pPr>
              <w:adjustRightInd w:val="0"/>
              <w:snapToGrid w:val="0"/>
              <w:spacing w:line="360" w:lineRule="auto"/>
              <w:rPr>
                <w:rFonts w:ascii="宋体" w:hAnsi="宋体"/>
                <w:color w:val="auto"/>
                <w:kern w:val="0"/>
                <w:sz w:val="24"/>
                <w:highlight w:val="none"/>
              </w:rPr>
            </w:pPr>
          </w:p>
        </w:tc>
      </w:tr>
    </w:tbl>
    <w:p w14:paraId="5FD25C66">
      <w:pPr>
        <w:adjustRightInd w:val="0"/>
        <w:snapToGrid w:val="0"/>
        <w:spacing w:line="360" w:lineRule="auto"/>
        <w:rPr>
          <w:rFonts w:ascii="宋体" w:hAnsi="宋体"/>
          <w:color w:val="auto"/>
          <w:szCs w:val="21"/>
          <w:highlight w:val="none"/>
        </w:rPr>
      </w:pPr>
      <w:r>
        <w:rPr>
          <w:rFonts w:hint="eastAsia" w:ascii="宋体" w:hAnsi="宋体"/>
          <w:color w:val="auto"/>
          <w:szCs w:val="21"/>
          <w:highlight w:val="none"/>
        </w:rPr>
        <w:t>采购人（签字）：</w:t>
      </w:r>
    </w:p>
    <w:p w14:paraId="27BECFF8">
      <w:pPr>
        <w:adjustRightInd w:val="0"/>
        <w:snapToGrid w:val="0"/>
        <w:spacing w:line="360" w:lineRule="auto"/>
        <w:rPr>
          <w:rFonts w:ascii="宋体" w:hAnsi="宋体"/>
          <w:color w:val="auto"/>
          <w:szCs w:val="21"/>
          <w:highlight w:val="none"/>
        </w:rPr>
      </w:pPr>
      <w:r>
        <w:rPr>
          <w:rFonts w:hint="eastAsia" w:ascii="宋体" w:hAnsi="宋体"/>
          <w:color w:val="auto"/>
          <w:szCs w:val="21"/>
          <w:highlight w:val="none"/>
        </w:rPr>
        <w:t>采购代理机构（签字）：</w:t>
      </w:r>
    </w:p>
    <w:p w14:paraId="50142F42">
      <w:pPr>
        <w:jc w:val="left"/>
        <w:rPr>
          <w:rFonts w:ascii="宋体" w:hAnsi="宋体"/>
          <w:color w:val="auto"/>
          <w:szCs w:val="21"/>
          <w:highlight w:val="none"/>
        </w:rPr>
      </w:pPr>
      <w:r>
        <w:rPr>
          <w:rFonts w:hint="eastAsia" w:ascii="宋体" w:hAnsi="宋体"/>
          <w:color w:val="auto"/>
          <w:szCs w:val="21"/>
          <w:highlight w:val="none"/>
        </w:rPr>
        <w:t>日期：年月日</w:t>
      </w:r>
    </w:p>
    <w:p w14:paraId="3D54A430">
      <w:pPr>
        <w:pStyle w:val="3"/>
        <w:rPr>
          <w:rFonts w:ascii="黑体" w:hAnsi="华文中宋" w:eastAsia="黑体"/>
          <w:b w:val="0"/>
          <w:color w:val="auto"/>
          <w:sz w:val="28"/>
          <w:szCs w:val="28"/>
          <w:highlight w:val="none"/>
        </w:rPr>
      </w:pPr>
      <w:r>
        <w:rPr>
          <w:rFonts w:ascii="宋体" w:hAnsi="宋体"/>
          <w:color w:val="auto"/>
          <w:highlight w:val="none"/>
        </w:rPr>
        <w:br w:type="page"/>
      </w:r>
      <w:bookmarkStart w:id="574" w:name="_Toc85972949"/>
      <w:bookmarkStart w:id="575" w:name="_Toc192949621"/>
      <w:bookmarkStart w:id="576" w:name="_Toc75289247"/>
      <w:bookmarkStart w:id="577" w:name="_Toc94367899"/>
      <w:bookmarkStart w:id="578" w:name="_Toc17872"/>
      <w:bookmarkStart w:id="579" w:name="_Toc30899"/>
      <w:bookmarkStart w:id="580" w:name="_Toc95601384"/>
      <w:bookmarkStart w:id="581" w:name="_Toc14796"/>
      <w:bookmarkStart w:id="582" w:name="_Toc112704951"/>
      <w:bookmarkStart w:id="583" w:name="_Toc154428408"/>
      <w:bookmarkStart w:id="584" w:name="_Toc1668155146"/>
      <w:bookmarkStart w:id="585" w:name="_Toc12756"/>
      <w:bookmarkStart w:id="586" w:name="_Toc13381"/>
      <w:bookmarkStart w:id="587" w:name="_Toc78449974"/>
      <w:bookmarkStart w:id="588" w:name="_Toc108341956"/>
      <w:bookmarkStart w:id="589" w:name="_Toc171273689"/>
      <w:bookmarkStart w:id="590" w:name="_Toc78314281"/>
      <w:bookmarkStart w:id="591" w:name="_Toc12120"/>
      <w:bookmarkStart w:id="592" w:name="_Toc100670440"/>
      <w:bookmarkStart w:id="593" w:name="_Toc100670687"/>
      <w:bookmarkStart w:id="594" w:name="_Toc192949720"/>
      <w:bookmarkStart w:id="595" w:name="_Toc114036730"/>
      <w:bookmarkStart w:id="596" w:name="_Toc117192466"/>
      <w:bookmarkStart w:id="597" w:name="_Toc77199418"/>
      <w:bookmarkStart w:id="598" w:name="_Toc27876"/>
      <w:bookmarkStart w:id="599" w:name="_Toc75289567"/>
      <w:bookmarkStart w:id="600" w:name="_Toc15888503"/>
      <w:bookmarkStart w:id="601" w:name="_Toc14422"/>
      <w:bookmarkStart w:id="602" w:name="_Toc30163"/>
      <w:bookmarkStart w:id="603" w:name="_Toc77676485"/>
      <w:bookmarkStart w:id="604" w:name="_Toc192951231"/>
      <w:r>
        <w:rPr>
          <w:rFonts w:hint="eastAsia" w:ascii="黑体" w:hAnsi="华文中宋" w:eastAsia="黑体"/>
          <w:b w:val="0"/>
          <w:color w:val="auto"/>
          <w:sz w:val="32"/>
          <w:szCs w:val="32"/>
          <w:highlight w:val="none"/>
        </w:rPr>
        <w:t>第四章  评标方法及标准</w:t>
      </w:r>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p>
    <w:p w14:paraId="03012100">
      <w:pPr>
        <w:pStyle w:val="2"/>
        <w:jc w:val="center"/>
        <w:rPr>
          <w:rFonts w:ascii="黑体" w:hAnsi="华文中宋" w:eastAsia="黑体"/>
          <w:color w:val="auto"/>
          <w:sz w:val="28"/>
          <w:szCs w:val="28"/>
          <w:highlight w:val="none"/>
        </w:rPr>
      </w:pPr>
      <w:bookmarkStart w:id="605" w:name="_Toc7346"/>
      <w:bookmarkStart w:id="606" w:name="_Toc192949622"/>
      <w:bookmarkStart w:id="607" w:name="_Toc804"/>
      <w:bookmarkStart w:id="608" w:name="_Toc100670441"/>
      <w:bookmarkStart w:id="609" w:name="_Toc100670688"/>
      <w:bookmarkStart w:id="610" w:name="_Toc77676486"/>
      <w:bookmarkStart w:id="611" w:name="_Toc5245"/>
      <w:bookmarkStart w:id="612" w:name="_Toc85972950"/>
      <w:bookmarkStart w:id="613" w:name="_Toc7665"/>
      <w:bookmarkStart w:id="614" w:name="_Toc95601385"/>
      <w:bookmarkStart w:id="615" w:name="_Toc192951232"/>
      <w:bookmarkStart w:id="616" w:name="_Toc9756"/>
      <w:bookmarkStart w:id="617" w:name="_Toc192949721"/>
      <w:bookmarkStart w:id="618" w:name="_Toc19127"/>
      <w:bookmarkStart w:id="619" w:name="_Toc75289568"/>
      <w:bookmarkStart w:id="620" w:name="_Toc154428409"/>
      <w:bookmarkStart w:id="621" w:name="_Toc1517016503"/>
      <w:bookmarkStart w:id="622" w:name="_Toc15888504"/>
      <w:bookmarkStart w:id="623" w:name="_Toc78314282"/>
      <w:bookmarkStart w:id="624" w:name="_Toc12520"/>
      <w:bookmarkStart w:id="625" w:name="_Toc117192467"/>
      <w:bookmarkStart w:id="626" w:name="_Toc108341957"/>
      <w:bookmarkStart w:id="627" w:name="_Toc77199419"/>
      <w:bookmarkStart w:id="628" w:name="_Toc171273690"/>
      <w:bookmarkStart w:id="629" w:name="_Toc3037"/>
      <w:bookmarkStart w:id="630" w:name="_Toc112704952"/>
      <w:bookmarkStart w:id="631" w:name="_Toc78449975"/>
      <w:bookmarkStart w:id="632" w:name="_Toc94367900"/>
      <w:bookmarkStart w:id="633" w:name="_Toc114036731"/>
      <w:bookmarkStart w:id="634" w:name="_Toc30053"/>
      <w:bookmarkStart w:id="635" w:name="_Toc75289248"/>
      <w:r>
        <w:rPr>
          <w:rFonts w:hint="eastAsia" w:ascii="黑体" w:hAnsi="华文中宋" w:eastAsia="黑体"/>
          <w:b w:val="0"/>
          <w:bCs w:val="0"/>
          <w:color w:val="auto"/>
          <w:sz w:val="28"/>
          <w:szCs w:val="28"/>
          <w:highlight w:val="none"/>
        </w:rPr>
        <w:t>第一</w:t>
      </w:r>
      <w:r>
        <w:rPr>
          <w:rFonts w:hint="eastAsia" w:ascii="黑体" w:hAnsi="华文中宋" w:eastAsia="黑体"/>
          <w:color w:val="auto"/>
          <w:sz w:val="28"/>
          <w:szCs w:val="28"/>
          <w:highlight w:val="none"/>
        </w:rPr>
        <w:t>节  评标方法及标准前附表</w:t>
      </w:r>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p>
    <w:p w14:paraId="6C8697A8">
      <w:pPr>
        <w:adjustRightInd w:val="0"/>
        <w:snapToGrid w:val="0"/>
        <w:jc w:val="left"/>
        <w:rPr>
          <w:rFonts w:ascii="宋体" w:hAnsi="宋体"/>
          <w:bCs/>
          <w:i/>
          <w:color w:val="auto"/>
          <w:szCs w:val="21"/>
          <w:highlight w:val="none"/>
        </w:rPr>
      </w:pPr>
      <w:bookmarkStart w:id="2002" w:name="_GoBack"/>
      <w:bookmarkEnd w:id="2002"/>
      <w:r>
        <w:rPr>
          <w:rFonts w:hint="eastAsia" w:ascii="宋体" w:hAnsi="宋体"/>
          <w:bCs/>
          <w:i/>
          <w:color w:val="auto"/>
          <w:szCs w:val="21"/>
          <w:highlight w:val="none"/>
        </w:rPr>
        <w:t>本项目启用的条款在“编列内容规定”栏内以“</w:t>
      </w:r>
      <w:r>
        <w:rPr>
          <w:rFonts w:hint="eastAsia" w:ascii="宋体" w:hAnsi="宋体"/>
          <w:color w:val="auto"/>
          <w:szCs w:val="21"/>
          <w:highlight w:val="none"/>
        </w:rPr>
        <w:sym w:font="Wingdings" w:char="00FE"/>
      </w:r>
      <w:r>
        <w:rPr>
          <w:rFonts w:hint="eastAsia" w:ascii="宋体" w:hAnsi="宋体"/>
          <w:bCs/>
          <w:i/>
          <w:color w:val="auto"/>
          <w:szCs w:val="21"/>
          <w:highlight w:val="none"/>
        </w:rPr>
        <w:t>”标注。</w:t>
      </w:r>
    </w:p>
    <w:tbl>
      <w:tblPr>
        <w:tblStyle w:val="47"/>
        <w:tblW w:w="8606"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568"/>
        <w:gridCol w:w="1984"/>
        <w:gridCol w:w="5054"/>
      </w:tblGrid>
      <w:tr w14:paraId="5FA3C63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85" w:hRule="atLeast"/>
          <w:jc w:val="center"/>
        </w:trPr>
        <w:tc>
          <w:tcPr>
            <w:tcW w:w="1568" w:type="dxa"/>
            <w:vAlign w:val="center"/>
          </w:tcPr>
          <w:p w14:paraId="7570FBEA">
            <w:pPr>
              <w:adjustRightInd w:val="0"/>
              <w:snapToGrid w:val="0"/>
              <w:spacing w:line="360" w:lineRule="exact"/>
              <w:jc w:val="center"/>
              <w:rPr>
                <w:b/>
                <w:color w:val="auto"/>
                <w:highlight w:val="none"/>
              </w:rPr>
            </w:pPr>
            <w:r>
              <w:rPr>
                <w:rFonts w:hint="eastAsia"/>
                <w:b/>
                <w:color w:val="auto"/>
                <w:highlight w:val="none"/>
              </w:rPr>
              <w:t>条款号</w:t>
            </w:r>
          </w:p>
        </w:tc>
        <w:tc>
          <w:tcPr>
            <w:tcW w:w="1984" w:type="dxa"/>
            <w:vAlign w:val="center"/>
          </w:tcPr>
          <w:p w14:paraId="07465EFC">
            <w:pPr>
              <w:adjustRightInd w:val="0"/>
              <w:snapToGrid w:val="0"/>
              <w:spacing w:line="360" w:lineRule="exact"/>
              <w:jc w:val="center"/>
              <w:rPr>
                <w:b/>
                <w:color w:val="auto"/>
                <w:highlight w:val="none"/>
              </w:rPr>
            </w:pPr>
            <w:r>
              <w:rPr>
                <w:rFonts w:hint="eastAsia"/>
                <w:b/>
                <w:color w:val="auto"/>
                <w:highlight w:val="none"/>
              </w:rPr>
              <w:t>条款名称</w:t>
            </w:r>
          </w:p>
        </w:tc>
        <w:tc>
          <w:tcPr>
            <w:tcW w:w="5054" w:type="dxa"/>
            <w:vAlign w:val="center"/>
          </w:tcPr>
          <w:p w14:paraId="17BA3C8E">
            <w:pPr>
              <w:adjustRightInd w:val="0"/>
              <w:snapToGrid w:val="0"/>
              <w:spacing w:line="360" w:lineRule="exact"/>
              <w:jc w:val="center"/>
              <w:rPr>
                <w:b/>
                <w:color w:val="auto"/>
                <w:highlight w:val="none"/>
              </w:rPr>
            </w:pPr>
            <w:r>
              <w:rPr>
                <w:rFonts w:hint="eastAsia"/>
                <w:b/>
                <w:color w:val="auto"/>
                <w:highlight w:val="none"/>
              </w:rPr>
              <w:t>编列内容规定</w:t>
            </w:r>
          </w:p>
        </w:tc>
      </w:tr>
      <w:tr w14:paraId="6EA561C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65" w:hRule="atLeast"/>
          <w:jc w:val="center"/>
        </w:trPr>
        <w:tc>
          <w:tcPr>
            <w:tcW w:w="1568" w:type="dxa"/>
            <w:vAlign w:val="center"/>
          </w:tcPr>
          <w:p w14:paraId="4C6C38BD">
            <w:pPr>
              <w:adjustRightInd w:val="0"/>
              <w:snapToGrid w:val="0"/>
              <w:spacing w:line="360" w:lineRule="exact"/>
              <w:jc w:val="center"/>
              <w:rPr>
                <w:rFonts w:ascii="宋体" w:hAnsi="宋体"/>
                <w:color w:val="auto"/>
                <w:szCs w:val="21"/>
                <w:highlight w:val="none"/>
              </w:rPr>
            </w:pPr>
            <w:r>
              <w:rPr>
                <w:rFonts w:hint="eastAsia" w:ascii="宋体" w:hAnsi="宋体"/>
                <w:color w:val="auto"/>
                <w:szCs w:val="21"/>
                <w:highlight w:val="none"/>
              </w:rPr>
              <w:t>第1.3</w:t>
            </w:r>
            <w:r>
              <w:rPr>
                <w:rFonts w:hint="eastAsia" w:ascii="宋体" w:hAnsi="宋体" w:cs="宋体"/>
                <w:color w:val="auto"/>
                <w:kern w:val="0"/>
                <w:szCs w:val="21"/>
                <w:highlight w:val="none"/>
                <w:lang w:val="zh-CN"/>
              </w:rPr>
              <w:t>款</w:t>
            </w:r>
          </w:p>
        </w:tc>
        <w:tc>
          <w:tcPr>
            <w:tcW w:w="1984" w:type="dxa"/>
            <w:vAlign w:val="center"/>
          </w:tcPr>
          <w:p w14:paraId="1FAFAAF5">
            <w:pPr>
              <w:adjustRightInd w:val="0"/>
              <w:snapToGrid w:val="0"/>
              <w:spacing w:line="360" w:lineRule="exact"/>
              <w:jc w:val="center"/>
              <w:rPr>
                <w:rFonts w:ascii="宋体" w:hAnsi="宋体"/>
                <w:color w:val="auto"/>
                <w:szCs w:val="21"/>
                <w:highlight w:val="none"/>
              </w:rPr>
            </w:pPr>
            <w:r>
              <w:rPr>
                <w:rFonts w:hint="eastAsia" w:ascii="宋体" w:hAnsi="宋体"/>
                <w:color w:val="auto"/>
                <w:szCs w:val="21"/>
                <w:highlight w:val="none"/>
              </w:rPr>
              <w:t>评标方法</w:t>
            </w:r>
          </w:p>
        </w:tc>
        <w:tc>
          <w:tcPr>
            <w:tcW w:w="5054" w:type="dxa"/>
            <w:vAlign w:val="center"/>
          </w:tcPr>
          <w:p w14:paraId="62BE72FB">
            <w:pPr>
              <w:widowControl/>
              <w:adjustRightInd w:val="0"/>
              <w:snapToGrid w:val="0"/>
              <w:jc w:val="center"/>
              <w:rPr>
                <w:rFonts w:ascii="宋体" w:hAnsi="宋体" w:cs="宋体"/>
                <w:color w:val="auto"/>
                <w:kern w:val="0"/>
                <w:szCs w:val="21"/>
                <w:highlight w:val="none"/>
              </w:rPr>
            </w:pPr>
            <w:r>
              <w:rPr>
                <w:rFonts w:hint="eastAsia" w:ascii="宋体" w:hAnsi="宋体" w:cs="宋体"/>
                <w:color w:val="auto"/>
                <w:kern w:val="0"/>
                <w:szCs w:val="21"/>
                <w:highlight w:val="none"/>
              </w:rPr>
              <w:t>综合评分法</w:t>
            </w:r>
          </w:p>
        </w:tc>
      </w:tr>
      <w:tr w14:paraId="42BF698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65" w:hRule="atLeast"/>
          <w:jc w:val="center"/>
        </w:trPr>
        <w:tc>
          <w:tcPr>
            <w:tcW w:w="1568" w:type="dxa"/>
            <w:vAlign w:val="center"/>
          </w:tcPr>
          <w:p w14:paraId="38759B6C">
            <w:pPr>
              <w:adjustRightInd w:val="0"/>
              <w:snapToGrid w:val="0"/>
              <w:spacing w:line="360" w:lineRule="exact"/>
              <w:jc w:val="center"/>
              <w:rPr>
                <w:rFonts w:ascii="宋体" w:hAnsi="宋体"/>
                <w:color w:val="auto"/>
                <w:kern w:val="0"/>
                <w:szCs w:val="21"/>
                <w:highlight w:val="none"/>
              </w:rPr>
            </w:pPr>
            <w:r>
              <w:rPr>
                <w:rFonts w:hint="eastAsia" w:ascii="宋体" w:hAnsi="宋体"/>
                <w:color w:val="auto"/>
                <w:kern w:val="0"/>
                <w:szCs w:val="21"/>
                <w:highlight w:val="none"/>
              </w:rPr>
              <w:t>第3.4</w:t>
            </w:r>
            <w:r>
              <w:rPr>
                <w:rFonts w:hint="eastAsia" w:ascii="宋体" w:hAnsi="宋体"/>
                <w:color w:val="auto"/>
                <w:kern w:val="0"/>
                <w:szCs w:val="21"/>
                <w:highlight w:val="none"/>
                <w:lang w:val="zh-CN"/>
              </w:rPr>
              <w:t>款</w:t>
            </w:r>
          </w:p>
        </w:tc>
        <w:tc>
          <w:tcPr>
            <w:tcW w:w="1984" w:type="dxa"/>
            <w:vAlign w:val="center"/>
          </w:tcPr>
          <w:p w14:paraId="0DD1426A">
            <w:pPr>
              <w:widowControl/>
              <w:adjustRightInd w:val="0"/>
              <w:snapToGrid w:val="0"/>
              <w:jc w:val="center"/>
              <w:rPr>
                <w:rFonts w:ascii="宋体" w:hAnsi="宋体"/>
                <w:color w:val="auto"/>
                <w:kern w:val="0"/>
                <w:szCs w:val="21"/>
                <w:highlight w:val="none"/>
              </w:rPr>
            </w:pPr>
            <w:r>
              <w:rPr>
                <w:rFonts w:hint="eastAsia" w:ascii="宋体" w:hAnsi="宋体"/>
                <w:color w:val="auto"/>
                <w:szCs w:val="21"/>
                <w:highlight w:val="none"/>
                <w:lang w:val="en-US" w:eastAsia="zh-CN"/>
              </w:rPr>
              <w:t>非单一产品采购项目的核心产品</w:t>
            </w:r>
          </w:p>
        </w:tc>
        <w:tc>
          <w:tcPr>
            <w:tcW w:w="5054" w:type="dxa"/>
            <w:vAlign w:val="center"/>
          </w:tcPr>
          <w:p w14:paraId="320A1342">
            <w:pPr>
              <w:widowControl/>
              <w:numPr>
                <w:ilvl w:val="0"/>
                <w:numId w:val="0"/>
              </w:numPr>
              <w:adjustRightInd w:val="0"/>
              <w:snapToGrid w:val="0"/>
              <w:spacing w:line="360" w:lineRule="exact"/>
              <w:jc w:val="both"/>
              <w:rPr>
                <w:rFonts w:hint="default" w:ascii="宋体" w:hAnsi="宋体"/>
                <w:color w:val="auto"/>
                <w:szCs w:val="21"/>
                <w:highlight w:val="none"/>
                <w:lang w:val="en-US" w:eastAsia="zh-CN"/>
              </w:rPr>
            </w:pPr>
            <w:r>
              <w:rPr>
                <w:rFonts w:hint="eastAsia" w:ascii="宋体" w:hAnsi="宋体"/>
                <w:color w:val="auto"/>
                <w:szCs w:val="21"/>
                <w:highlight w:val="none"/>
                <w:lang w:val="en-US" w:eastAsia="zh-CN"/>
              </w:rPr>
              <w:t>核心产品：序号4便携式彩色多普勒超声诊断仪（心脏用）</w:t>
            </w:r>
          </w:p>
        </w:tc>
      </w:tr>
      <w:tr w14:paraId="3F74269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1568" w:type="dxa"/>
            <w:vAlign w:val="center"/>
          </w:tcPr>
          <w:p w14:paraId="0346C928">
            <w:pPr>
              <w:adjustRightInd w:val="0"/>
              <w:snapToGrid w:val="0"/>
              <w:spacing w:line="360" w:lineRule="exact"/>
              <w:jc w:val="center"/>
              <w:rPr>
                <w:rFonts w:ascii="宋体" w:hAnsi="宋体"/>
                <w:color w:val="auto"/>
                <w:szCs w:val="21"/>
                <w:highlight w:val="none"/>
              </w:rPr>
            </w:pPr>
            <w:r>
              <w:rPr>
                <w:rFonts w:hint="eastAsia" w:ascii="宋体" w:hAnsi="宋体"/>
                <w:color w:val="auto"/>
                <w:szCs w:val="21"/>
                <w:highlight w:val="none"/>
              </w:rPr>
              <w:t>第4.2</w:t>
            </w:r>
            <w:r>
              <w:rPr>
                <w:rFonts w:hint="eastAsia" w:ascii="宋体" w:hAnsi="宋体" w:cs="宋体"/>
                <w:color w:val="auto"/>
                <w:kern w:val="0"/>
                <w:szCs w:val="21"/>
                <w:highlight w:val="none"/>
                <w:lang w:val="zh-CN"/>
              </w:rPr>
              <w:t>款</w:t>
            </w:r>
          </w:p>
        </w:tc>
        <w:tc>
          <w:tcPr>
            <w:tcW w:w="1984" w:type="dxa"/>
            <w:vAlign w:val="center"/>
          </w:tcPr>
          <w:p w14:paraId="7DE1EFA9">
            <w:pPr>
              <w:adjustRightInd w:val="0"/>
              <w:snapToGrid w:val="0"/>
              <w:spacing w:line="360" w:lineRule="exact"/>
              <w:jc w:val="center"/>
              <w:rPr>
                <w:rFonts w:ascii="宋体" w:hAnsi="宋体"/>
                <w:color w:val="auto"/>
                <w:szCs w:val="21"/>
                <w:highlight w:val="none"/>
              </w:rPr>
            </w:pPr>
            <w:r>
              <w:rPr>
                <w:rFonts w:hint="eastAsia" w:ascii="宋体" w:hAnsi="宋体"/>
                <w:color w:val="auto"/>
                <w:szCs w:val="21"/>
                <w:highlight w:val="none"/>
              </w:rPr>
              <w:t>投标文件报价出现前后不一致的修正</w:t>
            </w:r>
          </w:p>
        </w:tc>
        <w:tc>
          <w:tcPr>
            <w:tcW w:w="5054" w:type="dxa"/>
            <w:vAlign w:val="center"/>
          </w:tcPr>
          <w:p w14:paraId="272E3ABD">
            <w:pPr>
              <w:pStyle w:val="22"/>
              <w:adjustRightInd w:val="0"/>
              <w:snapToGrid w:val="0"/>
              <w:spacing w:line="360" w:lineRule="exact"/>
              <w:rPr>
                <w:rFonts w:hAnsi="宋体"/>
                <w:color w:val="auto"/>
                <w:kern w:val="2"/>
                <w:sz w:val="21"/>
                <w:highlight w:val="none"/>
              </w:rPr>
            </w:pPr>
            <w:r>
              <w:rPr>
                <w:rFonts w:hint="eastAsia" w:hAnsi="宋体"/>
                <w:color w:val="auto"/>
                <w:sz w:val="21"/>
                <w:highlight w:val="none"/>
              </w:rPr>
              <w:t>按第二节“评标方法及标准”第4.2条规定修正</w:t>
            </w:r>
          </w:p>
        </w:tc>
      </w:tr>
      <w:tr w14:paraId="6BC97A9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1568" w:type="dxa"/>
            <w:vAlign w:val="center"/>
          </w:tcPr>
          <w:p w14:paraId="3221FF7D">
            <w:pPr>
              <w:adjustRightInd w:val="0"/>
              <w:snapToGrid w:val="0"/>
              <w:spacing w:line="360" w:lineRule="exact"/>
              <w:jc w:val="center"/>
              <w:rPr>
                <w:rFonts w:ascii="宋体" w:hAnsi="宋体"/>
                <w:color w:val="auto"/>
                <w:szCs w:val="21"/>
                <w:highlight w:val="none"/>
              </w:rPr>
            </w:pPr>
            <w:r>
              <w:rPr>
                <w:rFonts w:hint="eastAsia" w:ascii="宋体" w:hAnsi="宋体"/>
                <w:color w:val="auto"/>
                <w:szCs w:val="21"/>
                <w:highlight w:val="none"/>
              </w:rPr>
              <w:t>第5.2</w:t>
            </w:r>
            <w:r>
              <w:rPr>
                <w:rFonts w:hint="eastAsia" w:ascii="宋体" w:hAnsi="宋体" w:cs="宋体"/>
                <w:color w:val="auto"/>
                <w:kern w:val="0"/>
                <w:szCs w:val="21"/>
                <w:highlight w:val="none"/>
                <w:lang w:val="zh-CN"/>
              </w:rPr>
              <w:t>款</w:t>
            </w:r>
          </w:p>
        </w:tc>
        <w:tc>
          <w:tcPr>
            <w:tcW w:w="1984" w:type="dxa"/>
            <w:vAlign w:val="center"/>
          </w:tcPr>
          <w:p w14:paraId="6D8B211A">
            <w:pPr>
              <w:adjustRightInd w:val="0"/>
              <w:snapToGrid w:val="0"/>
              <w:spacing w:line="360" w:lineRule="exact"/>
              <w:jc w:val="center"/>
              <w:rPr>
                <w:rFonts w:ascii="宋体" w:hAnsi="宋体"/>
                <w:bCs/>
                <w:color w:val="auto"/>
                <w:szCs w:val="21"/>
                <w:highlight w:val="none"/>
              </w:rPr>
            </w:pPr>
            <w:r>
              <w:rPr>
                <w:rFonts w:hint="eastAsia" w:ascii="宋体" w:hAnsi="宋体"/>
                <w:bCs/>
                <w:color w:val="auto"/>
                <w:szCs w:val="21"/>
                <w:highlight w:val="none"/>
              </w:rPr>
              <w:t>相同品牌产品评审得分相同的规定</w:t>
            </w:r>
          </w:p>
        </w:tc>
        <w:tc>
          <w:tcPr>
            <w:tcW w:w="5054" w:type="dxa"/>
            <w:vAlign w:val="center"/>
          </w:tcPr>
          <w:p w14:paraId="70237B77">
            <w:pPr>
              <w:adjustRightInd w:val="0"/>
              <w:snapToGrid w:val="0"/>
              <w:spacing w:line="360" w:lineRule="exact"/>
              <w:rPr>
                <w:rFonts w:ascii="宋体" w:hAnsi="宋体"/>
                <w:color w:val="auto"/>
                <w:szCs w:val="21"/>
                <w:highlight w:val="none"/>
              </w:rPr>
            </w:pPr>
            <w:r>
              <w:rPr>
                <w:rFonts w:hint="eastAsia" w:ascii="宋体" w:hAnsi="宋体"/>
                <w:color w:val="auto"/>
                <w:szCs w:val="21"/>
                <w:highlight w:val="none"/>
              </w:rPr>
              <w:t>得分相同的，按投标报价由低到高顺序排列。得分且投标报价相同的，按技术指标优劣顺序排列。</w:t>
            </w:r>
          </w:p>
        </w:tc>
      </w:tr>
      <w:tr w14:paraId="2E5EFF3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1568" w:type="dxa"/>
            <w:vAlign w:val="center"/>
          </w:tcPr>
          <w:p w14:paraId="7D3990BB">
            <w:pPr>
              <w:adjustRightInd w:val="0"/>
              <w:snapToGrid w:val="0"/>
              <w:spacing w:line="360" w:lineRule="exact"/>
              <w:jc w:val="center"/>
              <w:rPr>
                <w:rFonts w:ascii="宋体" w:hAnsi="宋体"/>
                <w:color w:val="auto"/>
                <w:szCs w:val="21"/>
                <w:highlight w:val="none"/>
              </w:rPr>
            </w:pPr>
            <w:r>
              <w:rPr>
                <w:rFonts w:hint="eastAsia" w:ascii="宋体" w:hAnsi="宋体"/>
                <w:color w:val="auto"/>
                <w:szCs w:val="21"/>
                <w:highlight w:val="none"/>
              </w:rPr>
              <w:t>第5.4（1）</w:t>
            </w:r>
            <w:r>
              <w:rPr>
                <w:rFonts w:hint="eastAsia" w:ascii="宋体" w:hAnsi="宋体" w:cs="宋体"/>
                <w:color w:val="auto"/>
                <w:kern w:val="0"/>
                <w:szCs w:val="21"/>
                <w:highlight w:val="none"/>
                <w:lang w:val="zh-CN"/>
              </w:rPr>
              <w:t>项</w:t>
            </w:r>
          </w:p>
        </w:tc>
        <w:tc>
          <w:tcPr>
            <w:tcW w:w="1984" w:type="dxa"/>
            <w:vAlign w:val="center"/>
          </w:tcPr>
          <w:p w14:paraId="57D42B06">
            <w:pPr>
              <w:adjustRightInd w:val="0"/>
              <w:snapToGrid w:val="0"/>
              <w:spacing w:line="360" w:lineRule="exact"/>
              <w:jc w:val="center"/>
              <w:rPr>
                <w:rFonts w:ascii="宋体" w:hAnsi="宋体"/>
                <w:bCs/>
                <w:color w:val="auto"/>
                <w:szCs w:val="21"/>
                <w:highlight w:val="none"/>
              </w:rPr>
            </w:pPr>
            <w:r>
              <w:rPr>
                <w:rFonts w:hint="eastAsia" w:ascii="宋体" w:hAnsi="宋体"/>
                <w:color w:val="auto"/>
                <w:szCs w:val="21"/>
                <w:highlight w:val="none"/>
              </w:rPr>
              <w:t>价格评审优惠</w:t>
            </w:r>
          </w:p>
        </w:tc>
        <w:tc>
          <w:tcPr>
            <w:tcW w:w="5054" w:type="dxa"/>
            <w:vAlign w:val="center"/>
          </w:tcPr>
          <w:p w14:paraId="74488FC3">
            <w:pPr>
              <w:adjustRightInd w:val="0"/>
              <w:snapToGrid w:val="0"/>
              <w:spacing w:line="360" w:lineRule="exact"/>
              <w:rPr>
                <w:rFonts w:ascii="宋体" w:hAnsi="宋体"/>
                <w:color w:val="auto"/>
                <w:szCs w:val="21"/>
                <w:highlight w:val="none"/>
              </w:rPr>
            </w:pPr>
            <w:r>
              <w:rPr>
                <w:rFonts w:hint="eastAsia" w:ascii="宋体" w:hAnsi="宋体"/>
                <w:color w:val="auto"/>
                <w:szCs w:val="21"/>
                <w:highlight w:val="none"/>
              </w:rPr>
              <w:sym w:font="Wingdings" w:char="00FE"/>
            </w:r>
            <w:r>
              <w:rPr>
                <w:rFonts w:hint="eastAsia" w:ascii="宋体" w:hAnsi="宋体"/>
                <w:color w:val="auto"/>
                <w:szCs w:val="21"/>
                <w:highlight w:val="none"/>
              </w:rPr>
              <w:t>给予小型和微型企业产品的价格给予10%-20%的扣除，用扣除后的价格参与评审，本项目具体扣除比例为</w:t>
            </w:r>
            <w:r>
              <w:rPr>
                <w:rFonts w:hint="eastAsia" w:ascii="宋体" w:hAnsi="宋体"/>
                <w:color w:val="auto"/>
                <w:szCs w:val="21"/>
                <w:highlight w:val="none"/>
                <w:u w:val="single"/>
              </w:rPr>
              <w:t xml:space="preserve"> 10 </w:t>
            </w:r>
            <w:r>
              <w:rPr>
                <w:rFonts w:hint="eastAsia" w:ascii="宋体" w:hAnsi="宋体"/>
                <w:color w:val="auto"/>
                <w:szCs w:val="21"/>
                <w:highlight w:val="none"/>
              </w:rPr>
              <w:t>％。</w:t>
            </w:r>
          </w:p>
          <w:p w14:paraId="07A92A25">
            <w:pPr>
              <w:spacing w:line="360" w:lineRule="exact"/>
              <w:rPr>
                <w:color w:val="auto"/>
                <w:szCs w:val="21"/>
                <w:highlight w:val="none"/>
              </w:rPr>
            </w:pPr>
            <w:bookmarkStart w:id="636" w:name="_Toc112704953"/>
            <w:bookmarkStart w:id="637" w:name="_Toc114036732"/>
            <w:bookmarkStart w:id="638" w:name="_Toc5096"/>
            <w:bookmarkStart w:id="639" w:name="_Toc117192468"/>
            <w:bookmarkStart w:id="640" w:name="_Toc29159"/>
            <w:bookmarkStart w:id="641" w:name="_Toc10451"/>
            <w:r>
              <w:rPr>
                <w:rFonts w:hint="eastAsia" w:ascii="宋体" w:hAnsi="宋体"/>
                <w:color w:val="auto"/>
                <w:szCs w:val="21"/>
                <w:highlight w:val="none"/>
              </w:rPr>
              <w:sym w:font="Wingdings" w:char="00A8"/>
            </w:r>
            <w:r>
              <w:rPr>
                <w:rFonts w:hint="eastAsia" w:ascii="宋体" w:hAnsi="宋体"/>
                <w:color w:val="auto"/>
                <w:szCs w:val="21"/>
                <w:highlight w:val="none"/>
              </w:rPr>
              <w:t>联合协议或者分包意向协议约定小微企业的合同份额占到合同总金额40%以上的，对联合体或者大中型企业的报价给予4%-6%的扣除，本项目具体扣除比例为</w:t>
            </w:r>
            <w:r>
              <w:rPr>
                <w:rFonts w:hint="eastAsia" w:ascii="宋体" w:hAnsi="宋体"/>
                <w:color w:val="auto"/>
                <w:szCs w:val="21"/>
                <w:highlight w:val="none"/>
                <w:u w:val="single"/>
              </w:rPr>
              <w:t xml:space="preserve"> / </w:t>
            </w:r>
            <w:r>
              <w:rPr>
                <w:rFonts w:hint="eastAsia" w:ascii="宋体" w:hAnsi="宋体"/>
                <w:color w:val="auto"/>
                <w:szCs w:val="21"/>
                <w:highlight w:val="none"/>
              </w:rPr>
              <w:t>%；</w:t>
            </w:r>
            <w:bookmarkEnd w:id="636"/>
            <w:bookmarkEnd w:id="637"/>
            <w:bookmarkEnd w:id="638"/>
            <w:bookmarkEnd w:id="639"/>
            <w:bookmarkEnd w:id="640"/>
            <w:bookmarkEnd w:id="641"/>
          </w:p>
          <w:p w14:paraId="6655EA37">
            <w:pPr>
              <w:adjustRightInd w:val="0"/>
              <w:snapToGrid w:val="0"/>
              <w:spacing w:line="360" w:lineRule="exact"/>
              <w:rPr>
                <w:rFonts w:ascii="宋体" w:hAnsi="宋体"/>
                <w:color w:val="auto"/>
                <w:szCs w:val="21"/>
                <w:highlight w:val="none"/>
              </w:rPr>
            </w:pPr>
            <w:r>
              <w:rPr>
                <w:rFonts w:hint="eastAsia" w:ascii="宋体" w:hAnsi="宋体"/>
                <w:color w:val="auto"/>
                <w:szCs w:val="21"/>
                <w:highlight w:val="none"/>
              </w:rPr>
              <w:t>（注：监狱企业、残疾人福利性单位视同小型、微型企业，享受评审中价格扣除等促进中小企业发展的政府采购政策）</w:t>
            </w:r>
          </w:p>
        </w:tc>
      </w:tr>
      <w:tr w14:paraId="31DE57A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97" w:hRule="atLeast"/>
          <w:jc w:val="center"/>
        </w:trPr>
        <w:tc>
          <w:tcPr>
            <w:tcW w:w="1568" w:type="dxa"/>
            <w:vMerge w:val="restart"/>
            <w:vAlign w:val="center"/>
          </w:tcPr>
          <w:p w14:paraId="659AE6A0">
            <w:pPr>
              <w:adjustRightInd w:val="0"/>
              <w:snapToGrid w:val="0"/>
              <w:spacing w:before="120" w:beforeLines="50" w:line="360" w:lineRule="auto"/>
              <w:jc w:val="center"/>
              <w:rPr>
                <w:rFonts w:ascii="宋体" w:hAnsi="宋体"/>
                <w:color w:val="auto"/>
                <w:szCs w:val="21"/>
                <w:highlight w:val="none"/>
              </w:rPr>
            </w:pPr>
            <w:r>
              <w:rPr>
                <w:rFonts w:hint="eastAsia" w:ascii="宋体" w:hAnsi="宋体"/>
                <w:color w:val="auto"/>
                <w:szCs w:val="21"/>
                <w:highlight w:val="none"/>
              </w:rPr>
              <w:t>第5.4（2）</w:t>
            </w:r>
            <w:r>
              <w:rPr>
                <w:rFonts w:hint="eastAsia" w:ascii="宋体" w:hAnsi="宋体" w:cs="宋体"/>
                <w:color w:val="auto"/>
                <w:kern w:val="0"/>
                <w:szCs w:val="21"/>
                <w:highlight w:val="none"/>
                <w:lang w:val="zh-CN"/>
              </w:rPr>
              <w:t>项</w:t>
            </w:r>
          </w:p>
        </w:tc>
        <w:tc>
          <w:tcPr>
            <w:tcW w:w="1984" w:type="dxa"/>
            <w:vMerge w:val="restart"/>
            <w:vAlign w:val="center"/>
          </w:tcPr>
          <w:p w14:paraId="31461D57">
            <w:pPr>
              <w:adjustRightInd w:val="0"/>
              <w:snapToGrid w:val="0"/>
              <w:spacing w:before="120" w:beforeLines="50" w:line="360" w:lineRule="auto"/>
              <w:jc w:val="center"/>
              <w:rPr>
                <w:rFonts w:ascii="宋体" w:hAnsi="宋体"/>
                <w:color w:val="auto"/>
                <w:szCs w:val="21"/>
                <w:highlight w:val="none"/>
              </w:rPr>
            </w:pPr>
            <w:r>
              <w:rPr>
                <w:rFonts w:hint="eastAsia" w:ascii="宋体" w:hAnsi="宋体"/>
                <w:color w:val="auto"/>
                <w:szCs w:val="21"/>
                <w:highlight w:val="none"/>
              </w:rPr>
              <w:t>优先采购</w:t>
            </w:r>
          </w:p>
        </w:tc>
        <w:tc>
          <w:tcPr>
            <w:tcW w:w="5054" w:type="dxa"/>
            <w:tcBorders>
              <w:bottom w:val="single" w:color="auto" w:sz="4" w:space="0"/>
            </w:tcBorders>
            <w:vAlign w:val="center"/>
          </w:tcPr>
          <w:p w14:paraId="4F0CD56C">
            <w:pPr>
              <w:spacing w:line="360" w:lineRule="exact"/>
              <w:rPr>
                <w:rFonts w:ascii="宋体" w:hAnsi="宋体"/>
                <w:color w:val="auto"/>
                <w:szCs w:val="21"/>
                <w:highlight w:val="none"/>
              </w:rPr>
            </w:pPr>
            <w:r>
              <w:rPr>
                <w:rFonts w:hint="eastAsia" w:ascii="宋体" w:hAnsi="宋体"/>
                <w:color w:val="auto"/>
                <w:szCs w:val="21"/>
                <w:highlight w:val="none"/>
              </w:rPr>
              <w:sym w:font="Wingdings" w:char="00FE"/>
            </w:r>
            <w:r>
              <w:rPr>
                <w:rFonts w:hint="eastAsia" w:ascii="宋体" w:hAnsi="宋体"/>
                <w:color w:val="auto"/>
                <w:szCs w:val="21"/>
                <w:highlight w:val="none"/>
              </w:rPr>
              <w:t xml:space="preserve">(1)节能产品、环境标志产品：提供国家确定的认 </w:t>
            </w:r>
          </w:p>
          <w:p w14:paraId="0E0B04AA">
            <w:pPr>
              <w:spacing w:line="360" w:lineRule="exact"/>
              <w:rPr>
                <w:rFonts w:ascii="宋体" w:hAnsi="宋体"/>
                <w:color w:val="auto"/>
                <w:szCs w:val="21"/>
                <w:highlight w:val="none"/>
              </w:rPr>
            </w:pPr>
            <w:r>
              <w:rPr>
                <w:rFonts w:hint="eastAsia" w:ascii="宋体" w:hAnsi="宋体"/>
                <w:color w:val="auto"/>
                <w:szCs w:val="21"/>
                <w:highlight w:val="none"/>
              </w:rPr>
              <w:t xml:space="preserve">证机构出具的、处于有效期之内的节能产品、环境标志产品认证证书（复印件）。采用综合评分法，对于 </w:t>
            </w:r>
          </w:p>
          <w:p w14:paraId="40E4DBC3">
            <w:pPr>
              <w:spacing w:line="360" w:lineRule="exact"/>
              <w:rPr>
                <w:rFonts w:ascii="宋体" w:hAnsi="宋体"/>
                <w:color w:val="auto"/>
                <w:szCs w:val="21"/>
                <w:highlight w:val="none"/>
              </w:rPr>
            </w:pPr>
            <w:r>
              <w:rPr>
                <w:rFonts w:hint="eastAsia" w:ascii="宋体" w:hAnsi="宋体"/>
                <w:color w:val="auto"/>
                <w:szCs w:val="21"/>
                <w:highlight w:val="none"/>
              </w:rPr>
              <w:t>价格分和技术分，分别给予总分值 4%的加分。</w:t>
            </w:r>
          </w:p>
        </w:tc>
      </w:tr>
      <w:tr w14:paraId="3B881ED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47" w:hRule="atLeast"/>
          <w:jc w:val="center"/>
        </w:trPr>
        <w:tc>
          <w:tcPr>
            <w:tcW w:w="1568" w:type="dxa"/>
            <w:vMerge w:val="continue"/>
            <w:vAlign w:val="center"/>
          </w:tcPr>
          <w:p w14:paraId="56E3E3EE">
            <w:pPr>
              <w:adjustRightInd w:val="0"/>
              <w:snapToGrid w:val="0"/>
              <w:spacing w:before="120" w:beforeLines="50" w:line="360" w:lineRule="auto"/>
              <w:jc w:val="center"/>
              <w:rPr>
                <w:rFonts w:ascii="宋体" w:hAnsi="宋体"/>
                <w:color w:val="auto"/>
                <w:szCs w:val="21"/>
                <w:highlight w:val="none"/>
              </w:rPr>
            </w:pPr>
          </w:p>
        </w:tc>
        <w:tc>
          <w:tcPr>
            <w:tcW w:w="1984" w:type="dxa"/>
            <w:vMerge w:val="continue"/>
            <w:tcBorders>
              <w:bottom w:val="single" w:color="auto" w:sz="4" w:space="0"/>
            </w:tcBorders>
            <w:vAlign w:val="center"/>
          </w:tcPr>
          <w:p w14:paraId="0021B67C">
            <w:pPr>
              <w:adjustRightInd w:val="0"/>
              <w:snapToGrid w:val="0"/>
              <w:spacing w:before="120" w:beforeLines="50" w:line="360" w:lineRule="auto"/>
              <w:jc w:val="center"/>
              <w:rPr>
                <w:rFonts w:ascii="宋体" w:hAnsi="宋体"/>
                <w:color w:val="auto"/>
                <w:szCs w:val="21"/>
                <w:highlight w:val="none"/>
              </w:rPr>
            </w:pPr>
          </w:p>
        </w:tc>
        <w:tc>
          <w:tcPr>
            <w:tcW w:w="5054" w:type="dxa"/>
            <w:tcBorders>
              <w:top w:val="single" w:color="auto" w:sz="4" w:space="0"/>
              <w:bottom w:val="single" w:color="auto" w:sz="4" w:space="0"/>
            </w:tcBorders>
            <w:vAlign w:val="center"/>
          </w:tcPr>
          <w:p w14:paraId="29961C1D">
            <w:pPr>
              <w:spacing w:line="360" w:lineRule="exact"/>
              <w:rPr>
                <w:rFonts w:ascii="宋体" w:hAnsi="宋体"/>
                <w:color w:val="auto"/>
                <w:szCs w:val="21"/>
                <w:highlight w:val="none"/>
              </w:rPr>
            </w:pPr>
            <w:r>
              <w:rPr>
                <w:rFonts w:hint="eastAsia" w:ascii="宋体" w:hAnsi="宋体"/>
                <w:color w:val="auto"/>
                <w:szCs w:val="21"/>
                <w:highlight w:val="none"/>
              </w:rPr>
              <w:sym w:font="Wingdings" w:char="00FE"/>
            </w:r>
            <w:r>
              <w:rPr>
                <w:rFonts w:hint="eastAsia" w:ascii="宋体" w:hAnsi="宋体"/>
                <w:color w:val="auto"/>
                <w:szCs w:val="21"/>
                <w:highlight w:val="none"/>
              </w:rPr>
              <w:t xml:space="preserve">(1)投标供应商提供的产品取得两个及以上优先 </w:t>
            </w:r>
          </w:p>
          <w:p w14:paraId="4E11E6D3">
            <w:pPr>
              <w:spacing w:line="360" w:lineRule="exact"/>
              <w:rPr>
                <w:rFonts w:ascii="宋体" w:hAnsi="宋体"/>
                <w:color w:val="auto"/>
                <w:szCs w:val="21"/>
                <w:highlight w:val="none"/>
              </w:rPr>
            </w:pPr>
            <w:r>
              <w:rPr>
                <w:rFonts w:hint="eastAsia" w:ascii="宋体" w:hAnsi="宋体"/>
                <w:color w:val="auto"/>
                <w:szCs w:val="21"/>
                <w:highlight w:val="none"/>
              </w:rPr>
              <w:t xml:space="preserve">采购产品认证的，评审时只有其中一项产品能够享受 </w:t>
            </w:r>
          </w:p>
          <w:p w14:paraId="7AA7E049">
            <w:pPr>
              <w:spacing w:line="360" w:lineRule="exact"/>
              <w:rPr>
                <w:rFonts w:ascii="宋体" w:hAnsi="宋体"/>
                <w:color w:val="auto"/>
                <w:szCs w:val="21"/>
                <w:highlight w:val="none"/>
              </w:rPr>
            </w:pPr>
            <w:r>
              <w:rPr>
                <w:rFonts w:hint="eastAsia" w:ascii="宋体" w:hAnsi="宋体"/>
                <w:color w:val="auto"/>
                <w:szCs w:val="21"/>
                <w:highlight w:val="none"/>
              </w:rPr>
              <w:t xml:space="preserve">优先采购优惠（投标供应商自行选择，并在响应文件 </w:t>
            </w:r>
          </w:p>
          <w:p w14:paraId="6C6A0EA8">
            <w:pPr>
              <w:spacing w:line="360" w:lineRule="exact"/>
              <w:rPr>
                <w:rFonts w:ascii="宋体" w:hAnsi="宋体"/>
                <w:color w:val="auto"/>
                <w:szCs w:val="21"/>
                <w:highlight w:val="none"/>
              </w:rPr>
            </w:pPr>
            <w:r>
              <w:rPr>
                <w:rFonts w:hint="eastAsia" w:ascii="宋体" w:hAnsi="宋体"/>
                <w:color w:val="auto"/>
                <w:szCs w:val="21"/>
                <w:highlight w:val="none"/>
              </w:rPr>
              <w:t xml:space="preserve">中并填报相关信息及数据） </w:t>
            </w:r>
          </w:p>
          <w:p w14:paraId="4D50425E">
            <w:pPr>
              <w:spacing w:line="360" w:lineRule="exact"/>
              <w:rPr>
                <w:rFonts w:ascii="宋体" w:hAnsi="宋体"/>
                <w:color w:val="auto"/>
                <w:szCs w:val="21"/>
                <w:highlight w:val="none"/>
              </w:rPr>
            </w:pPr>
            <w:r>
              <w:rPr>
                <w:rFonts w:hint="eastAsia" w:ascii="宋体" w:hAnsi="宋体"/>
                <w:color w:val="auto"/>
                <w:szCs w:val="21"/>
                <w:highlight w:val="none"/>
              </w:rPr>
              <w:t xml:space="preserve">(2)小型和微型企业 的价格评审优惠可以与同时属于 </w:t>
            </w:r>
          </w:p>
          <w:p w14:paraId="48D0836E">
            <w:pPr>
              <w:spacing w:line="360" w:lineRule="exact"/>
              <w:rPr>
                <w:rFonts w:ascii="宋体" w:hAnsi="宋体"/>
                <w:color w:val="auto"/>
                <w:szCs w:val="21"/>
                <w:highlight w:val="none"/>
              </w:rPr>
            </w:pPr>
            <w:r>
              <w:rPr>
                <w:rFonts w:hint="eastAsia" w:ascii="宋体" w:hAnsi="宋体"/>
                <w:color w:val="auto"/>
                <w:szCs w:val="21"/>
                <w:highlight w:val="none"/>
              </w:rPr>
              <w:t xml:space="preserve">“节能产品”、“环境标志产品”中的一项优先采购 </w:t>
            </w:r>
          </w:p>
          <w:p w14:paraId="3F8C7F09">
            <w:pPr>
              <w:spacing w:line="360" w:lineRule="exact"/>
              <w:rPr>
                <w:rFonts w:ascii="宋体" w:hAnsi="宋体"/>
                <w:color w:val="auto"/>
                <w:szCs w:val="21"/>
                <w:highlight w:val="none"/>
              </w:rPr>
            </w:pPr>
            <w:r>
              <w:rPr>
                <w:rFonts w:hint="eastAsia" w:ascii="宋体" w:hAnsi="宋体"/>
                <w:color w:val="auto"/>
                <w:szCs w:val="21"/>
                <w:highlight w:val="none"/>
              </w:rPr>
              <w:t>优惠累加计算。</w:t>
            </w:r>
          </w:p>
        </w:tc>
      </w:tr>
      <w:tr w14:paraId="7B8C69E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01" w:hRule="atLeast"/>
          <w:jc w:val="center"/>
        </w:trPr>
        <w:tc>
          <w:tcPr>
            <w:tcW w:w="1568" w:type="dxa"/>
            <w:vMerge w:val="continue"/>
            <w:vAlign w:val="center"/>
          </w:tcPr>
          <w:p w14:paraId="62DC744E">
            <w:pPr>
              <w:adjustRightInd w:val="0"/>
              <w:snapToGrid w:val="0"/>
              <w:spacing w:before="120" w:beforeLines="50" w:line="360" w:lineRule="auto"/>
              <w:jc w:val="center"/>
              <w:rPr>
                <w:rFonts w:ascii="宋体" w:hAnsi="宋体"/>
                <w:color w:val="auto"/>
                <w:szCs w:val="21"/>
                <w:highlight w:val="none"/>
              </w:rPr>
            </w:pPr>
          </w:p>
        </w:tc>
        <w:tc>
          <w:tcPr>
            <w:tcW w:w="1984" w:type="dxa"/>
            <w:tcBorders>
              <w:top w:val="single" w:color="auto" w:sz="4" w:space="0"/>
            </w:tcBorders>
            <w:vAlign w:val="center"/>
          </w:tcPr>
          <w:p w14:paraId="376AA9EF">
            <w:pPr>
              <w:snapToGrid w:val="0"/>
              <w:spacing w:line="360" w:lineRule="exact"/>
              <w:jc w:val="center"/>
              <w:rPr>
                <w:rStyle w:val="112"/>
                <w:rFonts w:ascii="宋体" w:hAnsi="宋体"/>
                <w:color w:val="auto"/>
                <w:szCs w:val="21"/>
                <w:highlight w:val="none"/>
              </w:rPr>
            </w:pPr>
            <w:r>
              <w:rPr>
                <w:rFonts w:hint="eastAsia" w:ascii="宋体" w:hAnsi="宋体"/>
                <w:color w:val="auto"/>
                <w:szCs w:val="21"/>
                <w:highlight w:val="none"/>
              </w:rPr>
              <w:t>技术、价格分值调整计算方法</w:t>
            </w:r>
          </w:p>
        </w:tc>
        <w:tc>
          <w:tcPr>
            <w:tcW w:w="5054" w:type="dxa"/>
            <w:tcBorders>
              <w:top w:val="single" w:color="auto" w:sz="4" w:space="0"/>
            </w:tcBorders>
            <w:vAlign w:val="center"/>
          </w:tcPr>
          <w:p w14:paraId="519298F5">
            <w:pPr>
              <w:adjustRightInd w:val="0"/>
              <w:snapToGrid w:val="0"/>
              <w:spacing w:line="360" w:lineRule="exact"/>
              <w:rPr>
                <w:rFonts w:ascii="宋体" w:hAnsi="宋体" w:cs="宋体"/>
                <w:color w:val="auto"/>
                <w:szCs w:val="21"/>
                <w:highlight w:val="none"/>
              </w:rPr>
            </w:pPr>
            <w:r>
              <w:rPr>
                <w:rFonts w:hint="eastAsia" w:ascii="宋体" w:hAnsi="宋体" w:cs="宋体"/>
                <w:color w:val="auto"/>
                <w:szCs w:val="21"/>
                <w:highlight w:val="none"/>
              </w:rPr>
              <w:t>1、节能产品：</w:t>
            </w:r>
          </w:p>
          <w:p w14:paraId="751BAC6F">
            <w:pPr>
              <w:adjustRightInd w:val="0"/>
              <w:spacing w:line="360" w:lineRule="exact"/>
              <w:rPr>
                <w:rFonts w:ascii="宋体" w:hAnsi="宋体"/>
                <w:color w:val="auto"/>
                <w:szCs w:val="21"/>
                <w:highlight w:val="none"/>
              </w:rPr>
            </w:pPr>
            <w:r>
              <w:rPr>
                <w:rFonts w:hint="eastAsia" w:ascii="宋体" w:hAnsi="宋体"/>
                <w:color w:val="auto"/>
                <w:szCs w:val="21"/>
                <w:highlight w:val="none"/>
              </w:rPr>
              <w:t>技术加分＝技术分值× 加分比例×（节能产品报价÷总报价）；</w:t>
            </w:r>
          </w:p>
          <w:p w14:paraId="5D420E88">
            <w:pPr>
              <w:adjustRightInd w:val="0"/>
              <w:snapToGrid w:val="0"/>
              <w:spacing w:line="360" w:lineRule="exact"/>
              <w:ind w:left="210" w:hanging="210" w:hangingChars="100"/>
              <w:rPr>
                <w:rFonts w:ascii="宋体" w:hAnsi="宋体" w:cs="宋体"/>
                <w:color w:val="auto"/>
                <w:spacing w:val="-5"/>
                <w:szCs w:val="21"/>
                <w:highlight w:val="none"/>
              </w:rPr>
            </w:pPr>
            <w:r>
              <w:rPr>
                <w:rFonts w:hint="eastAsia" w:ascii="宋体" w:hAnsi="宋体"/>
                <w:color w:val="auto"/>
                <w:szCs w:val="21"/>
                <w:highlight w:val="none"/>
              </w:rPr>
              <w:t>价格加分＝价格分值×加分比例×（节能产品报价÷总报价）。</w:t>
            </w:r>
          </w:p>
          <w:p w14:paraId="7051B7EC">
            <w:pPr>
              <w:adjustRightInd w:val="0"/>
              <w:snapToGrid w:val="0"/>
              <w:spacing w:line="360" w:lineRule="exact"/>
              <w:rPr>
                <w:rFonts w:ascii="宋体" w:hAnsi="宋体" w:cs="宋体"/>
                <w:color w:val="auto"/>
                <w:szCs w:val="21"/>
                <w:highlight w:val="none"/>
              </w:rPr>
            </w:pPr>
            <w:r>
              <w:rPr>
                <w:rFonts w:hint="eastAsia" w:ascii="宋体" w:hAnsi="宋体" w:cs="宋体"/>
                <w:color w:val="auto"/>
                <w:szCs w:val="21"/>
                <w:highlight w:val="none"/>
              </w:rPr>
              <w:t>2、环境标志产品：</w:t>
            </w:r>
          </w:p>
          <w:p w14:paraId="4C1795BD">
            <w:pPr>
              <w:adjustRightInd w:val="0"/>
              <w:spacing w:line="360" w:lineRule="exact"/>
              <w:rPr>
                <w:rFonts w:ascii="宋体" w:hAnsi="宋体"/>
                <w:color w:val="auto"/>
                <w:szCs w:val="21"/>
                <w:highlight w:val="none"/>
              </w:rPr>
            </w:pPr>
            <w:r>
              <w:rPr>
                <w:rFonts w:hint="eastAsia" w:ascii="宋体" w:hAnsi="宋体"/>
                <w:color w:val="auto"/>
                <w:szCs w:val="21"/>
                <w:highlight w:val="none"/>
              </w:rPr>
              <w:t>技术加分＝技术分值×加分比例×（环境标志产品报价÷总报价）；</w:t>
            </w:r>
          </w:p>
          <w:p w14:paraId="7651504F">
            <w:pPr>
              <w:adjustRightInd w:val="0"/>
              <w:snapToGrid w:val="0"/>
              <w:spacing w:line="360" w:lineRule="exact"/>
              <w:ind w:hanging="1"/>
              <w:rPr>
                <w:rStyle w:val="112"/>
                <w:rFonts w:ascii="宋体" w:hAnsi="宋体"/>
                <w:color w:val="auto"/>
                <w:szCs w:val="21"/>
                <w:highlight w:val="none"/>
              </w:rPr>
            </w:pPr>
            <w:r>
              <w:rPr>
                <w:rFonts w:hint="eastAsia" w:ascii="宋体" w:hAnsi="宋体"/>
                <w:color w:val="auto"/>
                <w:szCs w:val="21"/>
                <w:highlight w:val="none"/>
              </w:rPr>
              <w:t>价格加分＝价格分值×加分比例×（环境标志产品报价÷总报价）</w:t>
            </w:r>
            <w:r>
              <w:rPr>
                <w:rFonts w:hint="eastAsia" w:ascii="宋体" w:hAnsi="宋体" w:cs="宋体"/>
                <w:color w:val="auto"/>
                <w:szCs w:val="21"/>
                <w:highlight w:val="none"/>
              </w:rPr>
              <w:t>。</w:t>
            </w:r>
          </w:p>
        </w:tc>
      </w:tr>
      <w:tr w14:paraId="360265B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1568" w:type="dxa"/>
            <w:vAlign w:val="center"/>
          </w:tcPr>
          <w:p w14:paraId="527B0168">
            <w:pPr>
              <w:adjustRightInd w:val="0"/>
              <w:snapToGrid w:val="0"/>
              <w:spacing w:before="120" w:beforeLines="50" w:line="360" w:lineRule="auto"/>
              <w:jc w:val="center"/>
              <w:rPr>
                <w:rFonts w:ascii="宋体" w:hAnsi="宋体"/>
                <w:color w:val="auto"/>
                <w:szCs w:val="21"/>
                <w:highlight w:val="none"/>
              </w:rPr>
            </w:pPr>
            <w:r>
              <w:rPr>
                <w:rFonts w:hint="eastAsia" w:ascii="宋体" w:hAnsi="宋体"/>
                <w:color w:val="auto"/>
                <w:szCs w:val="21"/>
                <w:highlight w:val="none"/>
              </w:rPr>
              <w:t>第6.1</w:t>
            </w:r>
            <w:r>
              <w:rPr>
                <w:rFonts w:hint="eastAsia" w:ascii="宋体" w:hAnsi="宋体" w:cs="宋体"/>
                <w:color w:val="auto"/>
                <w:kern w:val="0"/>
                <w:szCs w:val="21"/>
                <w:highlight w:val="none"/>
                <w:lang w:val="zh-CN"/>
              </w:rPr>
              <w:t>款</w:t>
            </w:r>
          </w:p>
        </w:tc>
        <w:tc>
          <w:tcPr>
            <w:tcW w:w="1984" w:type="dxa"/>
            <w:vAlign w:val="center"/>
          </w:tcPr>
          <w:p w14:paraId="756607A7">
            <w:pPr>
              <w:adjustRightInd w:val="0"/>
              <w:snapToGrid w:val="0"/>
              <w:spacing w:before="120" w:beforeLines="50" w:line="360" w:lineRule="auto"/>
              <w:jc w:val="center"/>
              <w:rPr>
                <w:rFonts w:ascii="宋体" w:hAnsi="宋体"/>
                <w:color w:val="auto"/>
                <w:szCs w:val="21"/>
                <w:highlight w:val="none"/>
              </w:rPr>
            </w:pPr>
            <w:r>
              <w:rPr>
                <w:rFonts w:hint="eastAsia" w:ascii="宋体" w:hAnsi="宋体"/>
                <w:color w:val="auto"/>
                <w:szCs w:val="21"/>
                <w:highlight w:val="none"/>
              </w:rPr>
              <w:t>中标候选人并列的确定中标人的方式</w:t>
            </w:r>
          </w:p>
        </w:tc>
        <w:tc>
          <w:tcPr>
            <w:tcW w:w="5054" w:type="dxa"/>
            <w:vAlign w:val="center"/>
          </w:tcPr>
          <w:p w14:paraId="07FD7DFB">
            <w:pPr>
              <w:adjustRightInd w:val="0"/>
              <w:snapToGrid w:val="0"/>
              <w:spacing w:line="360" w:lineRule="exact"/>
              <w:rPr>
                <w:rFonts w:ascii="宋体" w:hAnsi="宋体"/>
                <w:color w:val="auto"/>
                <w:szCs w:val="21"/>
                <w:highlight w:val="none"/>
              </w:rPr>
            </w:pPr>
            <w:r>
              <w:rPr>
                <w:rFonts w:hint="eastAsia" w:ascii="宋体" w:hAnsi="宋体"/>
                <w:color w:val="auto"/>
                <w:szCs w:val="21"/>
                <w:highlight w:val="none"/>
              </w:rPr>
              <w:t>完全满足采购文件实质性需求且综合得分最高的单位为中标单位，得分相同的，按投标报价由低到高顺序排列；得分且投标报价相同的，按技术指标优劣顺序排列。</w:t>
            </w:r>
          </w:p>
        </w:tc>
      </w:tr>
    </w:tbl>
    <w:p w14:paraId="73CCC354">
      <w:pPr>
        <w:pStyle w:val="2"/>
        <w:spacing w:after="120" w:afterLines="50"/>
        <w:jc w:val="center"/>
        <w:rPr>
          <w:rFonts w:ascii="黑体" w:hAnsi="黑体" w:eastAsia="黑体"/>
          <w:b w:val="0"/>
          <w:color w:val="auto"/>
          <w:sz w:val="28"/>
          <w:szCs w:val="28"/>
          <w:highlight w:val="none"/>
        </w:rPr>
      </w:pPr>
      <w:r>
        <w:rPr>
          <w:rFonts w:ascii="宋体" w:hAnsi="宋体"/>
          <w:color w:val="auto"/>
          <w:highlight w:val="none"/>
        </w:rPr>
        <w:br w:type="page"/>
      </w:r>
      <w:bookmarkStart w:id="642" w:name="_Toc112704954"/>
      <w:bookmarkStart w:id="643" w:name="_Toc100670689"/>
      <w:bookmarkStart w:id="644" w:name="_Toc3815"/>
      <w:bookmarkStart w:id="645" w:name="_Toc114036733"/>
      <w:bookmarkStart w:id="646" w:name="_Toc154428410"/>
      <w:bookmarkStart w:id="647" w:name="_Toc100670442"/>
      <w:bookmarkStart w:id="648" w:name="_Toc77199420"/>
      <w:bookmarkStart w:id="649" w:name="_Toc192951233"/>
      <w:bookmarkStart w:id="650" w:name="_Toc1038213515"/>
      <w:bookmarkStart w:id="651" w:name="_Toc78314283"/>
      <w:bookmarkStart w:id="652" w:name="_Toc192949623"/>
      <w:bookmarkStart w:id="653" w:name="_Toc10911"/>
      <w:bookmarkStart w:id="654" w:name="_Toc77676487"/>
      <w:bookmarkStart w:id="655" w:name="_Toc12839"/>
      <w:bookmarkStart w:id="656" w:name="_Toc15853"/>
      <w:bookmarkStart w:id="657" w:name="_Toc171273691"/>
      <w:bookmarkStart w:id="658" w:name="_Toc15888507"/>
      <w:bookmarkStart w:id="659" w:name="_Toc23580"/>
      <w:bookmarkStart w:id="660" w:name="_Toc94367901"/>
      <w:bookmarkStart w:id="661" w:name="_Toc78449976"/>
      <w:bookmarkStart w:id="662" w:name="_Toc117192469"/>
      <w:bookmarkStart w:id="663" w:name="_Toc14977"/>
      <w:bookmarkStart w:id="664" w:name="_Toc75289249"/>
      <w:bookmarkStart w:id="665" w:name="_Toc192949722"/>
      <w:bookmarkStart w:id="666" w:name="_Toc30695"/>
      <w:bookmarkStart w:id="667" w:name="_Toc95601386"/>
      <w:bookmarkStart w:id="668" w:name="_Toc31907"/>
      <w:bookmarkStart w:id="669" w:name="_Toc75289569"/>
      <w:bookmarkStart w:id="670" w:name="_Toc108341958"/>
      <w:bookmarkStart w:id="671" w:name="_Toc85972951"/>
      <w:bookmarkStart w:id="672" w:name="_Toc11713"/>
      <w:r>
        <w:rPr>
          <w:rFonts w:hint="eastAsia" w:ascii="黑体" w:hAnsi="黑体" w:eastAsia="黑体"/>
          <w:b w:val="0"/>
          <w:color w:val="auto"/>
          <w:sz w:val="28"/>
          <w:szCs w:val="28"/>
          <w:highlight w:val="none"/>
        </w:rPr>
        <w:t>第二节  评标方法及标准</w:t>
      </w:r>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14:paraId="4A6076D9">
      <w:pPr>
        <w:pStyle w:val="4"/>
        <w:adjustRightInd w:val="0"/>
        <w:snapToGrid w:val="0"/>
        <w:spacing w:before="0" w:after="0" w:line="360" w:lineRule="auto"/>
        <w:rPr>
          <w:rFonts w:ascii="宋体" w:hAnsi="宋体"/>
          <w:color w:val="auto"/>
          <w:sz w:val="24"/>
          <w:szCs w:val="24"/>
          <w:highlight w:val="none"/>
        </w:rPr>
      </w:pPr>
      <w:bookmarkStart w:id="673" w:name="_Toc5884"/>
      <w:bookmarkStart w:id="674" w:name="_Toc117192470"/>
      <w:bookmarkStart w:id="675" w:name="_Toc1198"/>
      <w:bookmarkStart w:id="676" w:name="_Toc95601387"/>
      <w:bookmarkStart w:id="677" w:name="_Toc100670690"/>
      <w:bookmarkStart w:id="678" w:name="_Toc18591"/>
      <w:bookmarkStart w:id="679" w:name="_Toc192949723"/>
      <w:bookmarkStart w:id="680" w:name="_Toc78314284"/>
      <w:bookmarkStart w:id="681" w:name="_Toc23844"/>
      <w:bookmarkStart w:id="682" w:name="_Toc192949624"/>
      <w:bookmarkStart w:id="683" w:name="_Toc15888508"/>
      <w:bookmarkStart w:id="684" w:name="_Toc112704955"/>
      <w:bookmarkStart w:id="685" w:name="_Toc100670443"/>
      <w:bookmarkStart w:id="686" w:name="_Toc94367902"/>
      <w:bookmarkStart w:id="687" w:name="_Toc77199421"/>
      <w:bookmarkStart w:id="688" w:name="_Toc20274"/>
      <w:bookmarkStart w:id="689" w:name="_Toc20549"/>
      <w:bookmarkStart w:id="690" w:name="_Toc154428411"/>
      <w:bookmarkStart w:id="691" w:name="_Toc75289250"/>
      <w:bookmarkStart w:id="692" w:name="_Toc77676488"/>
      <w:bookmarkStart w:id="693" w:name="_Toc171273692"/>
      <w:bookmarkStart w:id="694" w:name="_Toc85972952"/>
      <w:bookmarkStart w:id="695" w:name="_Toc108341959"/>
      <w:bookmarkStart w:id="696" w:name="_Toc114036734"/>
      <w:bookmarkStart w:id="697" w:name="_Toc75289570"/>
      <w:bookmarkStart w:id="698" w:name="_Toc78449977"/>
      <w:bookmarkStart w:id="699" w:name="_Toc25862"/>
      <w:bookmarkStart w:id="700" w:name="_Toc2060"/>
      <w:bookmarkStart w:id="701" w:name="_Toc192951234"/>
      <w:bookmarkStart w:id="702" w:name="_Toc2358"/>
      <w:r>
        <w:rPr>
          <w:rFonts w:hint="eastAsia" w:ascii="宋体" w:hAnsi="宋体"/>
          <w:color w:val="auto"/>
          <w:sz w:val="24"/>
          <w:szCs w:val="24"/>
          <w:highlight w:val="none"/>
        </w:rPr>
        <w:t>1．评标方法</w:t>
      </w:r>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p>
    <w:p w14:paraId="1F914878">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1.1综合评分法，指投标文件满足招标文件全部实质性要求，且按照评审因素的量化指标评审得分最高的投标人为中标候选人的评标方法。</w:t>
      </w:r>
    </w:p>
    <w:p w14:paraId="5F7C8F13">
      <w:pPr>
        <w:adjustRightInd w:val="0"/>
        <w:snapToGrid w:val="0"/>
        <w:spacing w:line="360" w:lineRule="auto"/>
        <w:ind w:firstLine="420" w:firstLineChars="200"/>
        <w:rPr>
          <w:rFonts w:ascii="宋体" w:hAnsi="宋体"/>
          <w:bCs/>
          <w:color w:val="auto"/>
          <w:szCs w:val="21"/>
          <w:highlight w:val="none"/>
        </w:rPr>
      </w:pPr>
      <w:r>
        <w:rPr>
          <w:rFonts w:hint="eastAsia" w:ascii="宋体" w:hAnsi="宋体"/>
          <w:bCs/>
          <w:color w:val="auto"/>
          <w:szCs w:val="21"/>
          <w:highlight w:val="none"/>
        </w:rPr>
        <w:t>1.2最低评标价，是指投标文件满足招标文件全部实质性要求，且投标报价最低的投标人为中标候选人的评标方法。</w:t>
      </w:r>
    </w:p>
    <w:p w14:paraId="3D89C1E3">
      <w:pPr>
        <w:adjustRightInd w:val="0"/>
        <w:snapToGrid w:val="0"/>
        <w:spacing w:line="360" w:lineRule="auto"/>
        <w:ind w:firstLine="420" w:firstLineChars="200"/>
        <w:rPr>
          <w:rFonts w:ascii="宋体" w:hAnsi="宋体"/>
          <w:color w:val="auto"/>
          <w:szCs w:val="21"/>
          <w:highlight w:val="none"/>
        </w:rPr>
      </w:pPr>
      <w:r>
        <w:rPr>
          <w:rFonts w:hint="eastAsia" w:ascii="宋体" w:hAnsi="宋体"/>
          <w:bCs/>
          <w:color w:val="auto"/>
          <w:szCs w:val="21"/>
          <w:highlight w:val="none"/>
        </w:rPr>
        <w:t>1.3本采购项目评标方法见本章第一节</w:t>
      </w:r>
      <w:r>
        <w:rPr>
          <w:rFonts w:hint="eastAsia" w:ascii="宋体" w:hAnsi="宋体"/>
          <w:b/>
          <w:color w:val="auto"/>
          <w:szCs w:val="21"/>
          <w:highlight w:val="none"/>
        </w:rPr>
        <w:t>【评标方法及标准前附表】</w:t>
      </w:r>
      <w:r>
        <w:rPr>
          <w:rFonts w:hint="eastAsia" w:ascii="宋体" w:hAnsi="宋体"/>
          <w:color w:val="auto"/>
          <w:szCs w:val="21"/>
          <w:highlight w:val="none"/>
        </w:rPr>
        <w:t>。</w:t>
      </w:r>
    </w:p>
    <w:p w14:paraId="2BDAB923">
      <w:pPr>
        <w:pStyle w:val="4"/>
        <w:adjustRightInd w:val="0"/>
        <w:snapToGrid w:val="0"/>
        <w:spacing w:before="0" w:after="0" w:line="360" w:lineRule="auto"/>
        <w:rPr>
          <w:rFonts w:ascii="宋体" w:hAnsi="宋体"/>
          <w:bCs w:val="0"/>
          <w:color w:val="auto"/>
          <w:sz w:val="24"/>
          <w:szCs w:val="24"/>
          <w:highlight w:val="none"/>
        </w:rPr>
      </w:pPr>
      <w:bookmarkStart w:id="703" w:name="_Toc9186"/>
      <w:bookmarkStart w:id="704" w:name="_Toc11555"/>
      <w:bookmarkStart w:id="705" w:name="_Toc77676489"/>
      <w:bookmarkStart w:id="706" w:name="_Toc6540"/>
      <w:bookmarkStart w:id="707" w:name="_Toc4535"/>
      <w:bookmarkStart w:id="708" w:name="_Toc85972953"/>
      <w:bookmarkStart w:id="709" w:name="_Toc27639"/>
      <w:bookmarkStart w:id="710" w:name="_Toc192951235"/>
      <w:bookmarkStart w:id="711" w:name="_Toc78449978"/>
      <w:bookmarkStart w:id="712" w:name="_Toc100670444"/>
      <w:bookmarkStart w:id="713" w:name="_Toc28336"/>
      <w:bookmarkStart w:id="714" w:name="_Toc117192471"/>
      <w:bookmarkStart w:id="715" w:name="_Toc100670691"/>
      <w:bookmarkStart w:id="716" w:name="_Toc108341960"/>
      <w:bookmarkStart w:id="717" w:name="_Toc21371"/>
      <w:bookmarkStart w:id="718" w:name="_Toc171273693"/>
      <w:bookmarkStart w:id="719" w:name="_Toc18042"/>
      <w:bookmarkStart w:id="720" w:name="_Toc15888509"/>
      <w:bookmarkStart w:id="721" w:name="_Toc75289251"/>
      <w:bookmarkStart w:id="722" w:name="_Toc154428412"/>
      <w:bookmarkStart w:id="723" w:name="_Toc78314285"/>
      <w:bookmarkStart w:id="724" w:name="_Toc94367903"/>
      <w:bookmarkStart w:id="725" w:name="_Toc192949625"/>
      <w:bookmarkStart w:id="726" w:name="_Toc75289571"/>
      <w:bookmarkStart w:id="727" w:name="_Toc114036735"/>
      <w:bookmarkStart w:id="728" w:name="_Toc77199422"/>
      <w:bookmarkStart w:id="729" w:name="_Toc95601388"/>
      <w:bookmarkStart w:id="730" w:name="_Toc10283"/>
      <w:bookmarkStart w:id="731" w:name="_Toc192949724"/>
      <w:bookmarkStart w:id="732" w:name="_Toc112704956"/>
      <w:r>
        <w:rPr>
          <w:rFonts w:hint="eastAsia" w:ascii="宋体" w:hAnsi="宋体"/>
          <w:bCs w:val="0"/>
          <w:color w:val="auto"/>
          <w:sz w:val="24"/>
          <w:szCs w:val="24"/>
          <w:highlight w:val="none"/>
        </w:rPr>
        <w:t>2．评标程序</w:t>
      </w:r>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p>
    <w:p w14:paraId="7A9C50CB">
      <w:pPr>
        <w:adjustRightInd w:val="0"/>
        <w:snapToGrid w:val="0"/>
        <w:spacing w:line="360" w:lineRule="auto"/>
        <w:ind w:firstLine="420" w:firstLineChars="200"/>
        <w:rPr>
          <w:rFonts w:ascii="宋体" w:hAnsi="宋体"/>
          <w:bCs/>
          <w:color w:val="auto"/>
          <w:szCs w:val="21"/>
          <w:highlight w:val="none"/>
        </w:rPr>
      </w:pPr>
      <w:r>
        <w:rPr>
          <w:rFonts w:hint="eastAsia" w:ascii="宋体" w:hAnsi="宋体"/>
          <w:bCs/>
          <w:color w:val="auto"/>
          <w:szCs w:val="21"/>
          <w:highlight w:val="none"/>
        </w:rPr>
        <w:t>2.1评标程序分为投标文件符合性审查、澄清有关问题、比较和评价、推荐中标候选人。</w:t>
      </w:r>
    </w:p>
    <w:p w14:paraId="60E5EA57">
      <w:pPr>
        <w:pStyle w:val="4"/>
        <w:adjustRightInd w:val="0"/>
        <w:snapToGrid w:val="0"/>
        <w:spacing w:before="0" w:after="0" w:line="360" w:lineRule="auto"/>
        <w:rPr>
          <w:rFonts w:ascii="宋体" w:hAnsi="宋体"/>
          <w:bCs w:val="0"/>
          <w:color w:val="auto"/>
          <w:sz w:val="24"/>
          <w:szCs w:val="24"/>
          <w:highlight w:val="none"/>
        </w:rPr>
      </w:pPr>
      <w:bookmarkStart w:id="733" w:name="_Toc171273694"/>
      <w:bookmarkStart w:id="734" w:name="_Toc75289252"/>
      <w:bookmarkStart w:id="735" w:name="_Toc108341961"/>
      <w:bookmarkStart w:id="736" w:name="_Toc12331"/>
      <w:bookmarkStart w:id="737" w:name="_Toc78449979"/>
      <w:bookmarkStart w:id="738" w:name="_Toc78314286"/>
      <w:bookmarkStart w:id="739" w:name="_Toc74"/>
      <w:bookmarkStart w:id="740" w:name="_Toc77676490"/>
      <w:bookmarkStart w:id="741" w:name="_Toc94367904"/>
      <w:bookmarkStart w:id="742" w:name="_Toc7194"/>
      <w:bookmarkStart w:id="743" w:name="_Toc100670445"/>
      <w:bookmarkStart w:id="744" w:name="_Toc114036736"/>
      <w:bookmarkStart w:id="745" w:name="_Toc192951236"/>
      <w:bookmarkStart w:id="746" w:name="_Toc117192472"/>
      <w:bookmarkStart w:id="747" w:name="_Toc20203"/>
      <w:bookmarkStart w:id="748" w:name="_Toc192949725"/>
      <w:bookmarkStart w:id="749" w:name="_Toc100670692"/>
      <w:bookmarkStart w:id="750" w:name="_Toc24196"/>
      <w:bookmarkStart w:id="751" w:name="_Toc192949626"/>
      <w:bookmarkStart w:id="752" w:name="_Toc4239"/>
      <w:bookmarkStart w:id="753" w:name="_Toc85972954"/>
      <w:bookmarkStart w:id="754" w:name="_Toc77199423"/>
      <w:bookmarkStart w:id="755" w:name="_Toc28097"/>
      <w:bookmarkStart w:id="756" w:name="_Toc75289572"/>
      <w:bookmarkStart w:id="757" w:name="_Toc112704957"/>
      <w:bookmarkStart w:id="758" w:name="_Toc11770"/>
      <w:bookmarkStart w:id="759" w:name="_Toc95601389"/>
      <w:bookmarkStart w:id="760" w:name="_Toc154428413"/>
      <w:bookmarkStart w:id="761" w:name="_Toc15208"/>
      <w:bookmarkStart w:id="762" w:name="_Toc15888510"/>
      <w:r>
        <w:rPr>
          <w:rFonts w:hint="eastAsia" w:ascii="宋体" w:hAnsi="宋体"/>
          <w:bCs w:val="0"/>
          <w:color w:val="auto"/>
          <w:sz w:val="24"/>
          <w:szCs w:val="24"/>
          <w:highlight w:val="none"/>
        </w:rPr>
        <w:t>3．投标文件符合性审查</w:t>
      </w:r>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p>
    <w:p w14:paraId="2213BBC4">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3.1资格审查结束后，评标委员会依法按照本章第三节“投标文件的符合性审查”规定进行投标文件符合性。</w:t>
      </w:r>
    </w:p>
    <w:p w14:paraId="03143D5F">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3.2符合性审查合格投标人少于3家的，应予废标。</w:t>
      </w:r>
    </w:p>
    <w:p w14:paraId="257FA364">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3.3单一产品采购项目：提供相同品牌产品的不同投标人参加同一合同项下投标的，按一家投标人计算。提供不同品牌产品的投标人不足三家的，应予废标。</w:t>
      </w:r>
    </w:p>
    <w:p w14:paraId="68E63537">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3.4非单一产品采购项目：采购人或者采购代理机构将在</w:t>
      </w:r>
      <w:r>
        <w:rPr>
          <w:rFonts w:hint="eastAsia" w:ascii="宋体" w:hAnsi="宋体"/>
          <w:b/>
          <w:color w:val="auto"/>
          <w:szCs w:val="21"/>
          <w:highlight w:val="none"/>
        </w:rPr>
        <w:t>【评标方法及标准前附表】</w:t>
      </w:r>
      <w:r>
        <w:rPr>
          <w:rFonts w:hint="eastAsia" w:ascii="宋体" w:hAnsi="宋体"/>
          <w:color w:val="auto"/>
          <w:szCs w:val="21"/>
          <w:highlight w:val="none"/>
        </w:rPr>
        <w:t>中载明核心产品。多家投标人提供的核心产品品牌相同的，视为相同品牌，按本章本节第3.3款规定处理。</w:t>
      </w:r>
    </w:p>
    <w:p w14:paraId="579AD4E8">
      <w:pPr>
        <w:pStyle w:val="4"/>
        <w:adjustRightInd w:val="0"/>
        <w:snapToGrid w:val="0"/>
        <w:spacing w:before="0" w:after="0" w:line="360" w:lineRule="auto"/>
        <w:rPr>
          <w:rFonts w:ascii="宋体" w:hAnsi="宋体"/>
          <w:bCs w:val="0"/>
          <w:color w:val="auto"/>
          <w:sz w:val="24"/>
          <w:szCs w:val="24"/>
          <w:highlight w:val="none"/>
        </w:rPr>
      </w:pPr>
      <w:bookmarkStart w:id="763" w:name="_Toc15888511"/>
      <w:bookmarkStart w:id="764" w:name="_Toc11656"/>
      <w:bookmarkStart w:id="765" w:name="_Toc1997"/>
      <w:bookmarkStart w:id="766" w:name="_Toc77199424"/>
      <w:bookmarkStart w:id="767" w:name="_Toc77676491"/>
      <w:bookmarkStart w:id="768" w:name="_Toc23467"/>
      <w:bookmarkStart w:id="769" w:name="_Toc16112"/>
      <w:bookmarkStart w:id="770" w:name="_Toc100670446"/>
      <w:bookmarkStart w:id="771" w:name="_Toc192949726"/>
      <w:bookmarkStart w:id="772" w:name="_Toc94367905"/>
      <w:bookmarkStart w:id="773" w:name="_Toc23510"/>
      <w:bookmarkStart w:id="774" w:name="_Toc75289253"/>
      <w:bookmarkStart w:id="775" w:name="_Toc112704958"/>
      <w:bookmarkStart w:id="776" w:name="_Toc154428414"/>
      <w:bookmarkStart w:id="777" w:name="_Toc85972955"/>
      <w:bookmarkStart w:id="778" w:name="_Toc95601390"/>
      <w:bookmarkStart w:id="779" w:name="_Toc75289573"/>
      <w:bookmarkStart w:id="780" w:name="_Toc192951237"/>
      <w:bookmarkStart w:id="781" w:name="_Toc331"/>
      <w:bookmarkStart w:id="782" w:name="_Toc78449980"/>
      <w:bookmarkStart w:id="783" w:name="_Toc114036737"/>
      <w:bookmarkStart w:id="784" w:name="_Toc192949627"/>
      <w:bookmarkStart w:id="785" w:name="_Toc117192473"/>
      <w:bookmarkStart w:id="786" w:name="_Toc7079"/>
      <w:bookmarkStart w:id="787" w:name="_Toc23422"/>
      <w:bookmarkStart w:id="788" w:name="_Toc108341962"/>
      <w:bookmarkStart w:id="789" w:name="_Toc171273695"/>
      <w:bookmarkStart w:id="790" w:name="_Toc100670693"/>
      <w:bookmarkStart w:id="791" w:name="_Toc78314287"/>
      <w:bookmarkStart w:id="792" w:name="_Toc12018"/>
      <w:r>
        <w:rPr>
          <w:rFonts w:hint="eastAsia" w:ascii="宋体" w:hAnsi="宋体"/>
          <w:bCs w:val="0"/>
          <w:color w:val="auto"/>
          <w:sz w:val="24"/>
          <w:szCs w:val="24"/>
          <w:highlight w:val="none"/>
        </w:rPr>
        <w:t>4．</w:t>
      </w:r>
      <w:bookmarkEnd w:id="763"/>
      <w:r>
        <w:rPr>
          <w:rFonts w:hint="eastAsia" w:ascii="宋体" w:hAnsi="宋体"/>
          <w:bCs w:val="0"/>
          <w:color w:val="auto"/>
          <w:sz w:val="24"/>
          <w:szCs w:val="24"/>
          <w:highlight w:val="none"/>
        </w:rPr>
        <w:t>投标文件的澄清</w:t>
      </w:r>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
    <w:p w14:paraId="66E03692">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4.1对于投标文件中含义不明确、同类问题表述不一致或者有明显文字和计算错误的内容，评标委员会应当要求投标人作出必要的澄清、说明或者补正。</w:t>
      </w:r>
    </w:p>
    <w:p w14:paraId="1C08D299">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4.2投标文件的投标报价出现前后不一致的，除</w:t>
      </w:r>
      <w:r>
        <w:rPr>
          <w:rFonts w:hint="eastAsia" w:ascii="宋体" w:hAnsi="宋体"/>
          <w:b/>
          <w:color w:val="auto"/>
          <w:szCs w:val="21"/>
          <w:highlight w:val="none"/>
        </w:rPr>
        <w:t>【评标方法及标准前附表】</w:t>
      </w:r>
      <w:r>
        <w:rPr>
          <w:rFonts w:hint="eastAsia" w:ascii="宋体" w:hAnsi="宋体"/>
          <w:color w:val="auto"/>
          <w:szCs w:val="21"/>
          <w:highlight w:val="none"/>
        </w:rPr>
        <w:t>另有规定外，按照下列规定修正：</w:t>
      </w:r>
    </w:p>
    <w:p w14:paraId="2972C176">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（1）投标文件中开标一览表内容与投标文件中相应内容不一致的，以开标一览表为准；</w:t>
      </w:r>
    </w:p>
    <w:p w14:paraId="7AD90D7D">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（2）大写金额和小写金额不一致的，以大写金额为准；</w:t>
      </w:r>
    </w:p>
    <w:p w14:paraId="44D81668">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（3）单价金额小数点或者百分比有明显错位的，以开标一览表的总价为准，并修改单价；</w:t>
      </w:r>
    </w:p>
    <w:p w14:paraId="46F5E8B5">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（4）总价金额与按单价汇总金额不一致的，以单价金额计算结果为准。</w:t>
      </w:r>
    </w:p>
    <w:p w14:paraId="72EBC51D">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4.3投标文件报价同时出现两种以上不一致的，按照前款规定的顺序修正。修正后的报价由投标人代表签字或者加盖单位章确认后产生约束力，投标人不确认的，其投标无效。</w:t>
      </w:r>
    </w:p>
    <w:p w14:paraId="3F63F196">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4.4投标人的澄清、说明或者补正应当采用书面形式，并加盖公章，或者由法定代表人或其授权的代表签字，并按评标委员会的通知要求递交。投标人的澄清、说明或者补正不得超出投标文件的范围或者改变投标文件的实质性内容。</w:t>
      </w:r>
    </w:p>
    <w:p w14:paraId="5A4038F2">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4.5有效的书面澄清材料，是投标文件的补充材料，成为投标文件的组成部分。</w:t>
      </w:r>
    </w:p>
    <w:p w14:paraId="36B29147">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4.6评标委员会认为投标人的报价明显低于其他通过符合性审查投标人的报价，有可能影响产品质量或者不能诚信履约的，应当要求其在合理的时间内提供书面说明，必要时提交相关证明材料；投标人不能证明其报价合理性的，评标委员会应当将其作为投标无效处理。</w:t>
      </w:r>
    </w:p>
    <w:p w14:paraId="6CCD3F86">
      <w:pPr>
        <w:pStyle w:val="4"/>
        <w:adjustRightInd w:val="0"/>
        <w:snapToGrid w:val="0"/>
        <w:spacing w:before="0" w:after="0" w:line="360" w:lineRule="auto"/>
        <w:rPr>
          <w:rFonts w:ascii="宋体" w:hAnsi="宋体"/>
          <w:bCs w:val="0"/>
          <w:color w:val="auto"/>
          <w:sz w:val="24"/>
          <w:szCs w:val="24"/>
          <w:highlight w:val="none"/>
        </w:rPr>
      </w:pPr>
      <w:bookmarkStart w:id="793" w:name="_Toc1304"/>
      <w:bookmarkStart w:id="794" w:name="_Toc100670694"/>
      <w:bookmarkStart w:id="795" w:name="_Toc114036738"/>
      <w:bookmarkStart w:id="796" w:name="_Toc27743"/>
      <w:bookmarkStart w:id="797" w:name="_Toc77676492"/>
      <w:bookmarkStart w:id="798" w:name="_Toc30844"/>
      <w:bookmarkStart w:id="799" w:name="_Toc192949628"/>
      <w:bookmarkStart w:id="800" w:name="_Toc15888512"/>
      <w:bookmarkStart w:id="801" w:name="_Toc192951238"/>
      <w:bookmarkStart w:id="802" w:name="_Toc78314288"/>
      <w:bookmarkStart w:id="803" w:name="_Toc75289254"/>
      <w:bookmarkStart w:id="804" w:name="_Toc14375"/>
      <w:bookmarkStart w:id="805" w:name="_Toc192949727"/>
      <w:bookmarkStart w:id="806" w:name="_Toc108341963"/>
      <w:bookmarkStart w:id="807" w:name="_Toc3752"/>
      <w:bookmarkStart w:id="808" w:name="_Toc94367906"/>
      <w:bookmarkStart w:id="809" w:name="_Toc77199425"/>
      <w:bookmarkStart w:id="810" w:name="_Toc112704959"/>
      <w:bookmarkStart w:id="811" w:name="_Toc11082"/>
      <w:bookmarkStart w:id="812" w:name="_Toc75289574"/>
      <w:bookmarkStart w:id="813" w:name="_Toc154428415"/>
      <w:bookmarkStart w:id="814" w:name="_Toc95601391"/>
      <w:bookmarkStart w:id="815" w:name="_Toc18267"/>
      <w:bookmarkStart w:id="816" w:name="_Toc117192474"/>
      <w:bookmarkStart w:id="817" w:name="_Toc30333"/>
      <w:bookmarkStart w:id="818" w:name="_Toc100670447"/>
      <w:bookmarkStart w:id="819" w:name="_Toc24642"/>
      <w:bookmarkStart w:id="820" w:name="_Toc85972956"/>
      <w:bookmarkStart w:id="821" w:name="_Toc171273696"/>
      <w:bookmarkStart w:id="822" w:name="_Toc78449981"/>
      <w:r>
        <w:rPr>
          <w:rFonts w:hint="eastAsia" w:ascii="宋体" w:hAnsi="宋体"/>
          <w:bCs w:val="0"/>
          <w:color w:val="auto"/>
          <w:sz w:val="24"/>
          <w:szCs w:val="24"/>
          <w:highlight w:val="none"/>
        </w:rPr>
        <w:t>5．投标文件的比较与评价</w:t>
      </w:r>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p>
    <w:p w14:paraId="02ED4056">
      <w:pPr>
        <w:adjustRightInd w:val="0"/>
        <w:snapToGrid w:val="0"/>
        <w:spacing w:line="360" w:lineRule="auto"/>
        <w:ind w:firstLine="420" w:firstLineChars="200"/>
        <w:rPr>
          <w:rFonts w:ascii="宋体" w:hAnsi="宋体"/>
          <w:bCs/>
          <w:color w:val="auto"/>
          <w:szCs w:val="21"/>
          <w:highlight w:val="none"/>
        </w:rPr>
      </w:pPr>
      <w:r>
        <w:rPr>
          <w:rFonts w:hint="eastAsia" w:ascii="宋体" w:hAnsi="宋体"/>
          <w:bCs/>
          <w:color w:val="auto"/>
          <w:szCs w:val="21"/>
          <w:highlight w:val="none"/>
        </w:rPr>
        <w:t>5.1评标委员会依法按照本章第四节“投标文件的比较与评价”规定，对资格性检查和符合性检查合格的投标文件进行比较和评价。</w:t>
      </w:r>
    </w:p>
    <w:p w14:paraId="5CB0C1C4">
      <w:pPr>
        <w:adjustRightInd w:val="0"/>
        <w:snapToGrid w:val="0"/>
        <w:spacing w:line="360" w:lineRule="auto"/>
        <w:ind w:firstLine="420" w:firstLineChars="200"/>
        <w:rPr>
          <w:rFonts w:ascii="宋体" w:hAnsi="宋体"/>
          <w:bCs/>
          <w:color w:val="auto"/>
          <w:szCs w:val="21"/>
          <w:highlight w:val="none"/>
        </w:rPr>
      </w:pPr>
      <w:r>
        <w:rPr>
          <w:rFonts w:hint="eastAsia" w:ascii="宋体" w:hAnsi="宋体"/>
          <w:bCs/>
          <w:color w:val="auto"/>
          <w:szCs w:val="21"/>
          <w:highlight w:val="none"/>
        </w:rPr>
        <w:t>5.2单一产品采购项目：</w:t>
      </w:r>
    </w:p>
    <w:p w14:paraId="2364DCCD">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综合评分法：提供相同品牌产品且通过资格审查、符合性审查的不同投标人参加同一合同项下投标的，评审后得分最高的同品牌投标人获得中标人推荐资格；评审得分相同的，按照</w:t>
      </w:r>
      <w:r>
        <w:rPr>
          <w:rFonts w:hint="eastAsia" w:ascii="宋体" w:hAnsi="宋体"/>
          <w:b/>
          <w:color w:val="auto"/>
          <w:szCs w:val="21"/>
          <w:highlight w:val="none"/>
        </w:rPr>
        <w:t>【评标方法及标准前附表】</w:t>
      </w:r>
      <w:r>
        <w:rPr>
          <w:rFonts w:hint="eastAsia" w:ascii="宋体" w:hAnsi="宋体"/>
          <w:color w:val="auto"/>
          <w:szCs w:val="21"/>
          <w:highlight w:val="none"/>
        </w:rPr>
        <w:t>规定的方式确定一个投标人获得中标人推荐资格，招标文件未规定的采取随机抽取方式确定，其他同品牌投标人</w:t>
      </w:r>
      <w:r>
        <w:rPr>
          <w:rFonts w:hint="eastAsia" w:ascii="宋体" w:hAnsi="宋体"/>
          <w:b/>
          <w:color w:val="auto"/>
          <w:szCs w:val="21"/>
          <w:highlight w:val="none"/>
        </w:rPr>
        <w:t>不作为中标候选人</w:t>
      </w:r>
      <w:r>
        <w:rPr>
          <w:rFonts w:hint="eastAsia" w:ascii="宋体" w:hAnsi="宋体"/>
          <w:color w:val="auto"/>
          <w:szCs w:val="21"/>
          <w:highlight w:val="none"/>
        </w:rPr>
        <w:t>。</w:t>
      </w:r>
    </w:p>
    <w:p w14:paraId="370ADE68">
      <w:pPr>
        <w:adjustRightInd w:val="0"/>
        <w:snapToGrid w:val="0"/>
        <w:spacing w:line="360" w:lineRule="auto"/>
        <w:ind w:firstLine="420" w:firstLineChars="200"/>
        <w:rPr>
          <w:rFonts w:ascii="宋体" w:hAnsi="宋体"/>
          <w:bCs/>
          <w:color w:val="auto"/>
          <w:szCs w:val="21"/>
          <w:highlight w:val="none"/>
        </w:rPr>
      </w:pPr>
      <w:r>
        <w:rPr>
          <w:rFonts w:hint="eastAsia" w:ascii="宋体" w:hAnsi="宋体"/>
          <w:bCs/>
          <w:color w:val="auto"/>
          <w:szCs w:val="21"/>
          <w:highlight w:val="none"/>
        </w:rPr>
        <w:t>5.3非单一产品采购项目：多家投标人提供的核心产品品牌相同的，视为相同品牌，按本章本节第 5.2 款规定处理。</w:t>
      </w:r>
    </w:p>
    <w:p w14:paraId="1EC1149F">
      <w:pPr>
        <w:adjustRightInd w:val="0"/>
        <w:snapToGrid w:val="0"/>
        <w:spacing w:line="360" w:lineRule="auto"/>
        <w:ind w:firstLine="420" w:firstLineChars="200"/>
        <w:rPr>
          <w:rFonts w:ascii="宋体" w:hAnsi="宋体"/>
          <w:bCs/>
          <w:color w:val="auto"/>
          <w:szCs w:val="21"/>
          <w:highlight w:val="none"/>
        </w:rPr>
      </w:pPr>
      <w:r>
        <w:rPr>
          <w:rFonts w:hint="eastAsia" w:ascii="宋体" w:hAnsi="宋体"/>
          <w:bCs/>
          <w:color w:val="auto"/>
          <w:szCs w:val="21"/>
          <w:highlight w:val="none"/>
        </w:rPr>
        <w:t>5.4政府采购政策：</w:t>
      </w:r>
    </w:p>
    <w:p w14:paraId="7861C89D">
      <w:pPr>
        <w:adjustRightInd w:val="0"/>
        <w:snapToGrid w:val="0"/>
        <w:spacing w:line="360" w:lineRule="auto"/>
        <w:ind w:firstLine="420" w:firstLineChars="200"/>
        <w:rPr>
          <w:rFonts w:ascii="宋体" w:hAnsi="宋体"/>
          <w:bCs/>
          <w:color w:val="auto"/>
          <w:szCs w:val="21"/>
          <w:highlight w:val="none"/>
        </w:rPr>
      </w:pPr>
      <w:r>
        <w:rPr>
          <w:rFonts w:hint="eastAsia" w:ascii="宋体" w:hAnsi="宋体"/>
          <w:color w:val="auto"/>
          <w:szCs w:val="21"/>
          <w:highlight w:val="none"/>
        </w:rPr>
        <w:t>（1）</w:t>
      </w:r>
      <w:r>
        <w:rPr>
          <w:rFonts w:hint="eastAsia" w:ascii="宋体" w:hAnsi="宋体"/>
          <w:bCs/>
          <w:color w:val="auto"/>
          <w:szCs w:val="21"/>
          <w:highlight w:val="none"/>
        </w:rPr>
        <w:t>价格评审优惠：</w:t>
      </w:r>
      <w:r>
        <w:rPr>
          <w:rFonts w:hint="eastAsia" w:ascii="宋体" w:hAnsi="宋体"/>
          <w:color w:val="auto"/>
          <w:szCs w:val="21"/>
          <w:highlight w:val="none"/>
        </w:rPr>
        <w:t>按</w:t>
      </w:r>
      <w:r>
        <w:rPr>
          <w:rFonts w:hint="eastAsia" w:ascii="宋体" w:hAnsi="宋体"/>
          <w:b/>
          <w:color w:val="auto"/>
          <w:szCs w:val="21"/>
          <w:highlight w:val="none"/>
        </w:rPr>
        <w:t>【评标方法及标准前附表】</w:t>
      </w:r>
      <w:r>
        <w:rPr>
          <w:rFonts w:hint="eastAsia" w:ascii="宋体" w:hAnsi="宋体"/>
          <w:color w:val="auto"/>
          <w:szCs w:val="21"/>
          <w:highlight w:val="none"/>
        </w:rPr>
        <w:t>及第二章“投标须知”的相关规定给予相应比例的价格折扣。</w:t>
      </w:r>
    </w:p>
    <w:p w14:paraId="14DE3A8A">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（2）优先采购：</w:t>
      </w:r>
      <w:r>
        <w:rPr>
          <w:rFonts w:hint="eastAsia" w:ascii="宋体" w:hAnsi="宋体"/>
          <w:bCs/>
          <w:color w:val="auto"/>
          <w:szCs w:val="21"/>
          <w:highlight w:val="none"/>
        </w:rPr>
        <w:t>评审时按</w:t>
      </w:r>
      <w:r>
        <w:rPr>
          <w:rFonts w:hint="eastAsia" w:ascii="宋体" w:hAnsi="宋体"/>
          <w:b/>
          <w:color w:val="auto"/>
          <w:szCs w:val="21"/>
          <w:highlight w:val="none"/>
        </w:rPr>
        <w:t>【评标方法及标准前附表】</w:t>
      </w:r>
      <w:r>
        <w:rPr>
          <w:rFonts w:hint="eastAsia" w:ascii="宋体" w:hAnsi="宋体"/>
          <w:bCs/>
          <w:color w:val="auto"/>
          <w:szCs w:val="21"/>
          <w:highlight w:val="none"/>
        </w:rPr>
        <w:t>及第二章</w:t>
      </w:r>
      <w:r>
        <w:rPr>
          <w:rFonts w:hint="eastAsia" w:ascii="宋体" w:hAnsi="宋体"/>
          <w:color w:val="auto"/>
          <w:szCs w:val="21"/>
          <w:highlight w:val="none"/>
        </w:rPr>
        <w:t>“投标须知”</w:t>
      </w:r>
      <w:r>
        <w:rPr>
          <w:rFonts w:hint="eastAsia" w:ascii="宋体" w:hAnsi="宋体"/>
          <w:bCs/>
          <w:color w:val="auto"/>
          <w:szCs w:val="21"/>
          <w:highlight w:val="none"/>
        </w:rPr>
        <w:t>的相关规定给予</w:t>
      </w:r>
      <w:r>
        <w:rPr>
          <w:rFonts w:hint="eastAsia" w:ascii="宋体" w:hAnsi="宋体"/>
          <w:color w:val="auto"/>
          <w:szCs w:val="21"/>
          <w:highlight w:val="none"/>
        </w:rPr>
        <w:t>相应比例的</w:t>
      </w:r>
      <w:r>
        <w:rPr>
          <w:rFonts w:hint="eastAsia" w:ascii="宋体" w:hAnsi="宋体"/>
          <w:bCs/>
          <w:color w:val="auto"/>
          <w:szCs w:val="21"/>
          <w:highlight w:val="none"/>
        </w:rPr>
        <w:t>价格折扣或者加分。</w:t>
      </w:r>
    </w:p>
    <w:p w14:paraId="14BF6899">
      <w:pPr>
        <w:pStyle w:val="4"/>
        <w:adjustRightInd w:val="0"/>
        <w:snapToGrid w:val="0"/>
        <w:spacing w:before="0" w:after="0" w:line="360" w:lineRule="auto"/>
        <w:rPr>
          <w:rFonts w:ascii="宋体" w:hAnsi="宋体"/>
          <w:color w:val="auto"/>
          <w:sz w:val="24"/>
          <w:szCs w:val="24"/>
          <w:highlight w:val="none"/>
        </w:rPr>
      </w:pPr>
      <w:bookmarkStart w:id="823" w:name="_Toc15888513"/>
      <w:bookmarkStart w:id="824" w:name="_Toc78314289"/>
      <w:bookmarkStart w:id="825" w:name="_Toc171273697"/>
      <w:bookmarkStart w:id="826" w:name="_Toc114036739"/>
      <w:bookmarkStart w:id="827" w:name="_Toc75289255"/>
      <w:bookmarkStart w:id="828" w:name="_Toc6632"/>
      <w:bookmarkStart w:id="829" w:name="_Toc78449982"/>
      <w:bookmarkStart w:id="830" w:name="_Toc85972957"/>
      <w:bookmarkStart w:id="831" w:name="_Toc100670448"/>
      <w:bookmarkStart w:id="832" w:name="_Toc112704960"/>
      <w:bookmarkStart w:id="833" w:name="_Toc11557"/>
      <w:bookmarkStart w:id="834" w:name="_Toc10825"/>
      <w:bookmarkStart w:id="835" w:name="_Toc100670695"/>
      <w:bookmarkStart w:id="836" w:name="_Toc77199426"/>
      <w:bookmarkStart w:id="837" w:name="_Toc117192475"/>
      <w:bookmarkStart w:id="838" w:name="_Toc77676493"/>
      <w:bookmarkStart w:id="839" w:name="_Toc18950"/>
      <w:bookmarkStart w:id="840" w:name="_Toc6114"/>
      <w:bookmarkStart w:id="841" w:name="_Toc192949728"/>
      <w:bookmarkStart w:id="842" w:name="_Toc6957"/>
      <w:bookmarkStart w:id="843" w:name="_Toc192949629"/>
      <w:bookmarkStart w:id="844" w:name="_Toc95601392"/>
      <w:bookmarkStart w:id="845" w:name="_Toc75289575"/>
      <w:bookmarkStart w:id="846" w:name="_Toc192951239"/>
      <w:bookmarkStart w:id="847" w:name="_Toc154428416"/>
      <w:bookmarkStart w:id="848" w:name="_Toc11688"/>
      <w:bookmarkStart w:id="849" w:name="_Toc28149"/>
      <w:bookmarkStart w:id="850" w:name="_Toc94367907"/>
      <w:bookmarkStart w:id="851" w:name="_Toc32465"/>
      <w:bookmarkStart w:id="852" w:name="_Toc108341964"/>
      <w:r>
        <w:rPr>
          <w:rFonts w:hint="eastAsia" w:ascii="宋体" w:hAnsi="宋体"/>
          <w:bCs w:val="0"/>
          <w:color w:val="auto"/>
          <w:sz w:val="24"/>
          <w:szCs w:val="24"/>
          <w:highlight w:val="none"/>
        </w:rPr>
        <w:t>6．</w:t>
      </w:r>
      <w:bookmarkEnd w:id="823"/>
      <w:r>
        <w:rPr>
          <w:rFonts w:hint="eastAsia" w:ascii="黑体" w:hAnsi="黑体" w:eastAsia="黑体"/>
          <w:color w:val="auto"/>
          <w:sz w:val="24"/>
          <w:szCs w:val="24"/>
          <w:highlight w:val="none"/>
        </w:rPr>
        <w:t>推荐中标候选人</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p>
    <w:p w14:paraId="5D77E558">
      <w:pPr>
        <w:adjustRightInd w:val="0"/>
        <w:snapToGrid w:val="0"/>
        <w:spacing w:line="360" w:lineRule="auto"/>
        <w:ind w:firstLine="420" w:firstLineChars="200"/>
        <w:rPr>
          <w:rFonts w:ascii="宋体" w:hAnsi="宋体"/>
          <w:bCs/>
          <w:color w:val="auto"/>
          <w:szCs w:val="21"/>
          <w:highlight w:val="none"/>
        </w:rPr>
      </w:pPr>
      <w:r>
        <w:rPr>
          <w:rFonts w:hint="eastAsia" w:ascii="宋体" w:hAnsi="宋体"/>
          <w:color w:val="auto"/>
          <w:szCs w:val="21"/>
          <w:highlight w:val="none"/>
        </w:rPr>
        <w:t>6.1</w:t>
      </w:r>
      <w:r>
        <w:rPr>
          <w:rFonts w:hint="eastAsia" w:ascii="宋体" w:hAnsi="宋体"/>
          <w:bCs/>
          <w:color w:val="auto"/>
          <w:szCs w:val="21"/>
          <w:highlight w:val="none"/>
        </w:rPr>
        <w:t>评标结果按评审后得分由高到低顺序排列。得分相同的，按投标报价由低到高顺序排列。得分且投标报价相同的并列，按</w:t>
      </w:r>
      <w:r>
        <w:rPr>
          <w:rFonts w:hint="eastAsia" w:ascii="宋体" w:hAnsi="宋体"/>
          <w:b/>
          <w:bCs/>
          <w:color w:val="auto"/>
          <w:szCs w:val="21"/>
          <w:highlight w:val="none"/>
        </w:rPr>
        <w:t>【评标方法及标准前附表】</w:t>
      </w:r>
      <w:r>
        <w:rPr>
          <w:rFonts w:hint="eastAsia" w:ascii="宋体" w:hAnsi="宋体"/>
          <w:bCs/>
          <w:color w:val="auto"/>
          <w:szCs w:val="21"/>
          <w:highlight w:val="none"/>
        </w:rPr>
        <w:t>规定的方式确定中标人；招标文件未规定的，采取随机抽取的方式确定。</w:t>
      </w:r>
    </w:p>
    <w:p w14:paraId="3402F1DD">
      <w:pPr>
        <w:pStyle w:val="4"/>
        <w:adjustRightInd w:val="0"/>
        <w:snapToGrid w:val="0"/>
        <w:spacing w:before="0" w:after="0" w:line="360" w:lineRule="auto"/>
        <w:rPr>
          <w:rFonts w:ascii="宋体" w:hAnsi="宋体"/>
          <w:color w:val="auto"/>
          <w:sz w:val="24"/>
          <w:szCs w:val="24"/>
          <w:highlight w:val="none"/>
        </w:rPr>
      </w:pPr>
      <w:bookmarkStart w:id="853" w:name="_Toc154428417"/>
      <w:bookmarkStart w:id="854" w:name="_Toc75289576"/>
      <w:bookmarkStart w:id="855" w:name="_Toc100670449"/>
      <w:bookmarkStart w:id="856" w:name="_Toc27789"/>
      <w:bookmarkStart w:id="857" w:name="_Toc108341965"/>
      <w:bookmarkStart w:id="858" w:name="_Toc192951240"/>
      <w:bookmarkStart w:id="859" w:name="_Toc15888514"/>
      <w:bookmarkStart w:id="860" w:name="_Toc78314290"/>
      <w:bookmarkStart w:id="861" w:name="_Toc77199427"/>
      <w:bookmarkStart w:id="862" w:name="_Toc13145"/>
      <w:bookmarkStart w:id="863" w:name="_Toc78449983"/>
      <w:bookmarkStart w:id="864" w:name="_Toc171273698"/>
      <w:bookmarkStart w:id="865" w:name="_Toc9509"/>
      <w:bookmarkStart w:id="866" w:name="_Toc94367908"/>
      <w:bookmarkStart w:id="867" w:name="_Toc27431"/>
      <w:bookmarkStart w:id="868" w:name="_Toc114036740"/>
      <w:bookmarkStart w:id="869" w:name="_Toc85972958"/>
      <w:bookmarkStart w:id="870" w:name="_Toc1805"/>
      <w:bookmarkStart w:id="871" w:name="_Toc4001"/>
      <w:bookmarkStart w:id="872" w:name="_Toc117192476"/>
      <w:bookmarkStart w:id="873" w:name="_Toc26541"/>
      <w:bookmarkStart w:id="874" w:name="_Toc192949729"/>
      <w:bookmarkStart w:id="875" w:name="_Toc95601393"/>
      <w:bookmarkStart w:id="876" w:name="_Toc75289256"/>
      <w:bookmarkStart w:id="877" w:name="_Toc77676494"/>
      <w:bookmarkStart w:id="878" w:name="_Toc25137"/>
      <w:bookmarkStart w:id="879" w:name="_Toc112704961"/>
      <w:bookmarkStart w:id="880" w:name="_Toc100670696"/>
      <w:bookmarkStart w:id="881" w:name="_Toc192949630"/>
      <w:bookmarkStart w:id="882" w:name="_Toc30406"/>
      <w:r>
        <w:rPr>
          <w:rFonts w:hint="eastAsia" w:ascii="宋体" w:hAnsi="宋体"/>
          <w:bCs w:val="0"/>
          <w:color w:val="auto"/>
          <w:sz w:val="24"/>
          <w:szCs w:val="24"/>
          <w:highlight w:val="none"/>
        </w:rPr>
        <w:t>7．</w:t>
      </w:r>
      <w:r>
        <w:rPr>
          <w:rFonts w:hint="eastAsia" w:ascii="宋体" w:hAnsi="宋体"/>
          <w:color w:val="auto"/>
          <w:sz w:val="24"/>
          <w:szCs w:val="24"/>
          <w:highlight w:val="none"/>
        </w:rPr>
        <w:t>编写评标报告</w:t>
      </w:r>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p>
    <w:p w14:paraId="27F6C72B">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7.1评标</w:t>
      </w:r>
      <w:r>
        <w:rPr>
          <w:rFonts w:hint="eastAsia" w:ascii="宋体" w:hAnsi="宋体"/>
          <w:bCs/>
          <w:color w:val="auto"/>
          <w:szCs w:val="21"/>
          <w:highlight w:val="none"/>
        </w:rPr>
        <w:t>委员会</w:t>
      </w:r>
      <w:r>
        <w:rPr>
          <w:rFonts w:hint="eastAsia" w:ascii="宋体" w:hAnsi="宋体"/>
          <w:color w:val="auto"/>
          <w:szCs w:val="21"/>
          <w:highlight w:val="none"/>
        </w:rPr>
        <w:t>根据全体评标成员签字的原始评标记录和评标结果编写评标报告。</w:t>
      </w:r>
    </w:p>
    <w:p w14:paraId="74E67D6E">
      <w:pPr>
        <w:adjustRightInd w:val="0"/>
        <w:snapToGrid w:val="0"/>
        <w:spacing w:line="360" w:lineRule="auto"/>
        <w:ind w:firstLine="420" w:firstLineChars="200"/>
        <w:rPr>
          <w:rFonts w:ascii="宋体" w:hAnsi="宋体"/>
          <w:bCs/>
          <w:color w:val="auto"/>
          <w:szCs w:val="21"/>
          <w:highlight w:val="none"/>
        </w:rPr>
      </w:pPr>
      <w:r>
        <w:rPr>
          <w:rFonts w:hint="eastAsia" w:ascii="宋体" w:hAnsi="宋体"/>
          <w:color w:val="auto"/>
          <w:szCs w:val="21"/>
          <w:highlight w:val="none"/>
        </w:rPr>
        <w:t>7.2</w:t>
      </w:r>
      <w:r>
        <w:rPr>
          <w:rFonts w:hint="eastAsia" w:ascii="宋体" w:hAnsi="宋体"/>
          <w:bCs/>
          <w:color w:val="auto"/>
          <w:szCs w:val="21"/>
          <w:highlight w:val="none"/>
        </w:rPr>
        <w:t>评标委员会成员对需要共同认定的事项存在争议的，应当按照少数服从多数的原则作出结论。持不同意见的评标委员会成员应当在评标报告上签署不同意见及理由，否则视为同意评标报告。</w:t>
      </w:r>
    </w:p>
    <w:p w14:paraId="21EEEF8D">
      <w:pPr>
        <w:pStyle w:val="4"/>
        <w:adjustRightInd w:val="0"/>
        <w:snapToGrid w:val="0"/>
        <w:spacing w:before="0" w:after="0" w:line="360" w:lineRule="auto"/>
        <w:rPr>
          <w:rFonts w:ascii="宋体" w:hAnsi="宋体"/>
          <w:bCs w:val="0"/>
          <w:color w:val="auto"/>
          <w:sz w:val="24"/>
          <w:szCs w:val="24"/>
          <w:highlight w:val="none"/>
        </w:rPr>
      </w:pPr>
      <w:bookmarkStart w:id="883" w:name="_Toc75289577"/>
      <w:bookmarkStart w:id="884" w:name="_Toc17910"/>
      <w:bookmarkStart w:id="885" w:name="_Toc192951241"/>
      <w:bookmarkStart w:id="886" w:name="_Toc154428418"/>
      <w:bookmarkStart w:id="887" w:name="_Toc75289257"/>
      <w:bookmarkStart w:id="888" w:name="_Toc114036741"/>
      <w:bookmarkStart w:id="889" w:name="_Toc16264"/>
      <w:bookmarkStart w:id="890" w:name="_Toc100670450"/>
      <w:bookmarkStart w:id="891" w:name="_Toc171273699"/>
      <w:bookmarkStart w:id="892" w:name="_Toc4696"/>
      <w:bookmarkStart w:id="893" w:name="_Toc108341966"/>
      <w:bookmarkStart w:id="894" w:name="_Toc117192477"/>
      <w:bookmarkStart w:id="895" w:name="_Toc5438"/>
      <w:bookmarkStart w:id="896" w:name="_Toc7517"/>
      <w:bookmarkStart w:id="897" w:name="_Toc94367909"/>
      <w:bookmarkStart w:id="898" w:name="_Toc192949730"/>
      <w:bookmarkStart w:id="899" w:name="_Toc78314291"/>
      <w:bookmarkStart w:id="900" w:name="_Toc95601394"/>
      <w:bookmarkStart w:id="901" w:name="_Toc15888515"/>
      <w:bookmarkStart w:id="902" w:name="_Toc31514"/>
      <w:bookmarkStart w:id="903" w:name="_Toc29415"/>
      <w:bookmarkStart w:id="904" w:name="_Toc19859"/>
      <w:bookmarkStart w:id="905" w:name="_Toc77199428"/>
      <w:bookmarkStart w:id="906" w:name="_Toc77676495"/>
      <w:bookmarkStart w:id="907" w:name="_Toc78449984"/>
      <w:bookmarkStart w:id="908" w:name="_Toc85972959"/>
      <w:bookmarkStart w:id="909" w:name="_Toc112704962"/>
      <w:bookmarkStart w:id="910" w:name="_Toc18052"/>
      <w:bookmarkStart w:id="911" w:name="_Toc192949631"/>
      <w:bookmarkStart w:id="912" w:name="_Toc100670697"/>
      <w:r>
        <w:rPr>
          <w:rFonts w:hint="eastAsia" w:ascii="宋体" w:hAnsi="宋体"/>
          <w:bCs w:val="0"/>
          <w:color w:val="auto"/>
          <w:sz w:val="24"/>
          <w:szCs w:val="24"/>
          <w:highlight w:val="none"/>
        </w:rPr>
        <w:t>8．</w:t>
      </w:r>
      <w:r>
        <w:rPr>
          <w:rFonts w:hint="eastAsia" w:ascii="宋体" w:hAnsi="宋体"/>
          <w:color w:val="auto"/>
          <w:sz w:val="24"/>
          <w:szCs w:val="24"/>
          <w:highlight w:val="none"/>
        </w:rPr>
        <w:t>评标报告</w:t>
      </w:r>
      <w:r>
        <w:rPr>
          <w:rFonts w:hint="eastAsia" w:ascii="宋体" w:hAnsi="宋体"/>
          <w:bCs w:val="0"/>
          <w:color w:val="auto"/>
          <w:sz w:val="24"/>
          <w:szCs w:val="24"/>
          <w:highlight w:val="none"/>
        </w:rPr>
        <w:t>复核</w:t>
      </w:r>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p>
    <w:p w14:paraId="74F200D6">
      <w:pPr>
        <w:adjustRightInd w:val="0"/>
        <w:snapToGrid w:val="0"/>
        <w:spacing w:line="360" w:lineRule="auto"/>
        <w:ind w:firstLine="420" w:firstLineChars="200"/>
        <w:rPr>
          <w:rFonts w:ascii="宋体" w:hAnsi="宋体"/>
          <w:bCs/>
          <w:color w:val="auto"/>
          <w:szCs w:val="21"/>
          <w:highlight w:val="none"/>
        </w:rPr>
      </w:pPr>
      <w:r>
        <w:rPr>
          <w:rFonts w:hint="eastAsia" w:ascii="宋体" w:hAnsi="宋体"/>
          <w:bCs/>
          <w:color w:val="auto"/>
          <w:szCs w:val="21"/>
          <w:highlight w:val="none"/>
        </w:rPr>
        <w:t>8.1汇总结束后，评标委员会应当进行复核，特别要对拟推荐为中标候选供应商的、报价最低的、投标文件被认定为无效的进行重点复核。</w:t>
      </w:r>
    </w:p>
    <w:p w14:paraId="4823014D">
      <w:pPr>
        <w:adjustRightInd w:val="0"/>
        <w:snapToGrid w:val="0"/>
        <w:spacing w:line="360" w:lineRule="auto"/>
        <w:ind w:firstLine="420" w:firstLineChars="200"/>
        <w:rPr>
          <w:rFonts w:ascii="宋体" w:hAnsi="宋体"/>
          <w:bCs/>
          <w:color w:val="auto"/>
          <w:szCs w:val="21"/>
          <w:highlight w:val="none"/>
        </w:rPr>
      </w:pPr>
      <w:r>
        <w:rPr>
          <w:rFonts w:hint="eastAsia" w:ascii="宋体" w:hAnsi="宋体"/>
          <w:bCs/>
          <w:color w:val="auto"/>
          <w:szCs w:val="21"/>
          <w:highlight w:val="none"/>
        </w:rPr>
        <w:t>8.2汇总完成后，除下列情形外，任何人不得修改评标结果：</w:t>
      </w:r>
    </w:p>
    <w:p w14:paraId="392BC11E">
      <w:pPr>
        <w:adjustRightInd w:val="0"/>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（1）分值汇总计算错误的；</w:t>
      </w:r>
    </w:p>
    <w:p w14:paraId="1A8CA757">
      <w:pPr>
        <w:adjustRightInd w:val="0"/>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（2）分项评分超出评分标准范围的；</w:t>
      </w:r>
    </w:p>
    <w:p w14:paraId="693FDD4B">
      <w:pPr>
        <w:adjustRightInd w:val="0"/>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（3）评标委员会成员对客观评审因素评分不一致的；</w:t>
      </w:r>
    </w:p>
    <w:p w14:paraId="0DBE38DE">
      <w:pPr>
        <w:adjustRightInd w:val="0"/>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（4）经评标委员会认定评分畸高、畸低的。</w:t>
      </w:r>
    </w:p>
    <w:p w14:paraId="4E6BF9AD">
      <w:pPr>
        <w:adjustRightInd w:val="0"/>
        <w:snapToGrid w:val="0"/>
        <w:spacing w:line="360" w:lineRule="auto"/>
        <w:ind w:firstLine="420" w:firstLineChars="200"/>
        <w:rPr>
          <w:rFonts w:ascii="宋体" w:hAnsi="宋体"/>
          <w:bCs/>
          <w:color w:val="auto"/>
          <w:szCs w:val="21"/>
          <w:highlight w:val="none"/>
        </w:rPr>
      </w:pPr>
      <w:r>
        <w:rPr>
          <w:rFonts w:hint="eastAsia" w:ascii="宋体" w:hAnsi="宋体"/>
          <w:bCs/>
          <w:color w:val="auto"/>
          <w:szCs w:val="21"/>
          <w:highlight w:val="none"/>
        </w:rPr>
        <w:t>8.3评标报告签署前，经复核发现存在以上情形之一的，评标委员会应当当场修改评标结果，并在评标报告中记载；评标报告签署后，采购人或者采购代理机构发现存在以上情形之一的，应当组织原评标委员会进行重新评审。重新评审改变评标结果的，书面报告本级财政部门。</w:t>
      </w:r>
    </w:p>
    <w:p w14:paraId="7020F8E9">
      <w:pPr>
        <w:pStyle w:val="4"/>
        <w:adjustRightInd w:val="0"/>
        <w:snapToGrid w:val="0"/>
        <w:spacing w:before="0" w:after="0" w:line="360" w:lineRule="auto"/>
        <w:rPr>
          <w:rFonts w:ascii="宋体" w:hAnsi="宋体"/>
          <w:bCs w:val="0"/>
          <w:color w:val="auto"/>
          <w:sz w:val="24"/>
          <w:szCs w:val="24"/>
          <w:highlight w:val="none"/>
        </w:rPr>
      </w:pPr>
      <w:bookmarkStart w:id="913" w:name="_Toc85972960"/>
      <w:bookmarkStart w:id="914" w:name="_Toc94367910"/>
      <w:bookmarkStart w:id="915" w:name="_Toc4199"/>
      <w:bookmarkStart w:id="916" w:name="_Toc192951242"/>
      <w:bookmarkStart w:id="917" w:name="_Toc77199429"/>
      <w:bookmarkStart w:id="918" w:name="_Toc192949731"/>
      <w:bookmarkStart w:id="919" w:name="_Toc114036742"/>
      <w:bookmarkStart w:id="920" w:name="_Toc8186"/>
      <w:bookmarkStart w:id="921" w:name="_Toc15888516"/>
      <w:bookmarkStart w:id="922" w:name="_Toc95601395"/>
      <w:bookmarkStart w:id="923" w:name="_Toc25084"/>
      <w:bookmarkStart w:id="924" w:name="_Toc78314292"/>
      <w:bookmarkStart w:id="925" w:name="_Toc192949632"/>
      <w:bookmarkStart w:id="926" w:name="_Toc108341967"/>
      <w:bookmarkStart w:id="927" w:name="_Toc75289578"/>
      <w:bookmarkStart w:id="928" w:name="_Toc77676496"/>
      <w:bookmarkStart w:id="929" w:name="_Toc18897"/>
      <w:bookmarkStart w:id="930" w:name="_Toc100670451"/>
      <w:bookmarkStart w:id="931" w:name="_Toc1995"/>
      <w:bookmarkStart w:id="932" w:name="_Toc29760"/>
      <w:bookmarkStart w:id="933" w:name="_Toc171273700"/>
      <w:bookmarkStart w:id="934" w:name="_Toc13438"/>
      <w:bookmarkStart w:id="935" w:name="_Toc112704963"/>
      <w:bookmarkStart w:id="936" w:name="_Toc100670698"/>
      <w:bookmarkStart w:id="937" w:name="_Toc154428419"/>
      <w:bookmarkStart w:id="938" w:name="_Toc75289258"/>
      <w:bookmarkStart w:id="939" w:name="_Toc78449985"/>
      <w:bookmarkStart w:id="940" w:name="_Toc117192478"/>
      <w:bookmarkStart w:id="941" w:name="_Toc579"/>
      <w:bookmarkStart w:id="942" w:name="_Toc17938"/>
      <w:r>
        <w:rPr>
          <w:rFonts w:hint="eastAsia" w:ascii="宋体" w:hAnsi="宋体"/>
          <w:color w:val="auto"/>
          <w:sz w:val="24"/>
          <w:szCs w:val="24"/>
          <w:highlight w:val="none"/>
        </w:rPr>
        <w:t>9．</w:t>
      </w:r>
      <w:r>
        <w:rPr>
          <w:rFonts w:hint="eastAsia" w:ascii="宋体" w:hAnsi="宋体"/>
          <w:bCs w:val="0"/>
          <w:color w:val="auto"/>
          <w:sz w:val="24"/>
          <w:szCs w:val="24"/>
          <w:highlight w:val="none"/>
        </w:rPr>
        <w:t>停止评标</w:t>
      </w:r>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p>
    <w:p w14:paraId="0A2F3322">
      <w:pPr>
        <w:adjustRightInd w:val="0"/>
        <w:snapToGrid w:val="0"/>
        <w:spacing w:line="360" w:lineRule="auto"/>
        <w:ind w:firstLine="420" w:firstLineChars="200"/>
        <w:rPr>
          <w:rFonts w:ascii="宋体" w:hAnsi="宋体" w:cs="宋体"/>
          <w:color w:val="auto"/>
          <w:kern w:val="0"/>
          <w:szCs w:val="21"/>
          <w:highlight w:val="none"/>
        </w:rPr>
      </w:pPr>
      <w:r>
        <w:rPr>
          <w:rFonts w:hint="eastAsia" w:ascii="宋体" w:hAnsi="宋体"/>
          <w:bCs/>
          <w:color w:val="auto"/>
          <w:szCs w:val="21"/>
          <w:highlight w:val="none"/>
        </w:rPr>
        <w:t>9.1</w:t>
      </w:r>
      <w:r>
        <w:rPr>
          <w:rFonts w:hint="eastAsia" w:ascii="宋体" w:hAnsi="宋体" w:cs="宋体"/>
          <w:color w:val="auto"/>
          <w:kern w:val="0"/>
          <w:szCs w:val="21"/>
          <w:highlight w:val="none"/>
        </w:rPr>
        <w:t>评标委员会发现招标文件存在歧义、重大缺陷导致评标工作无法进行，或者招标文件内容违反国家有关强制性规定的，应当停止评标工作，与采购人、者采购代理机构沟通并作书面记录。采购人、采购代理机构确认后，应当修改招标文件，重新组织采购活动。</w:t>
      </w:r>
    </w:p>
    <w:p w14:paraId="53F4628F">
      <w:pPr>
        <w:pStyle w:val="4"/>
        <w:spacing w:before="0" w:after="0" w:line="360" w:lineRule="auto"/>
        <w:rPr>
          <w:rFonts w:ascii="宋体" w:hAnsi="宋体"/>
          <w:color w:val="auto"/>
          <w:sz w:val="24"/>
          <w:szCs w:val="24"/>
          <w:highlight w:val="none"/>
        </w:rPr>
      </w:pPr>
      <w:bookmarkStart w:id="943" w:name="_Toc20409"/>
      <w:bookmarkStart w:id="944" w:name="_Toc100670699"/>
      <w:bookmarkStart w:id="945" w:name="_Toc16752"/>
      <w:bookmarkStart w:id="946" w:name="_Toc114036743"/>
      <w:bookmarkStart w:id="947" w:name="_Toc5621"/>
      <w:bookmarkStart w:id="948" w:name="_Toc23574"/>
      <w:bookmarkStart w:id="949" w:name="_Toc154428420"/>
      <w:bookmarkStart w:id="950" w:name="_Toc8439"/>
      <w:bookmarkStart w:id="951" w:name="_Toc108341968"/>
      <w:bookmarkStart w:id="952" w:name="_Toc10068"/>
      <w:bookmarkStart w:id="953" w:name="_Toc192949732"/>
      <w:bookmarkStart w:id="954" w:name="_Toc9527"/>
      <w:bookmarkStart w:id="955" w:name="_Toc112704964"/>
      <w:bookmarkStart w:id="956" w:name="_Toc192949633"/>
      <w:bookmarkStart w:id="957" w:name="_Toc171273701"/>
      <w:bookmarkStart w:id="958" w:name="_Toc29704"/>
      <w:bookmarkStart w:id="959" w:name="_Toc117192479"/>
      <w:bookmarkStart w:id="960" w:name="_Toc22852"/>
      <w:bookmarkStart w:id="961" w:name="_Toc192951243"/>
      <w:r>
        <w:rPr>
          <w:rFonts w:hint="eastAsia" w:ascii="宋体" w:hAnsi="宋体"/>
          <w:color w:val="auto"/>
          <w:sz w:val="24"/>
          <w:szCs w:val="24"/>
          <w:highlight w:val="none"/>
        </w:rPr>
        <w:t>10.废标</w:t>
      </w:r>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p>
    <w:p w14:paraId="710DBEEA">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10.1 根据有关法律法规和招标文件的有关规定，如出现下列情况之一的，应予以废标：</w:t>
      </w:r>
    </w:p>
    <w:p w14:paraId="3FA0E592">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（1）符合专业条件的投标人或者对招标文件作实质响应的投标人不足三家的；</w:t>
      </w:r>
    </w:p>
    <w:p w14:paraId="3D89EC4E">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（2）出现影响采购公正的违法、违规行为的；</w:t>
      </w:r>
    </w:p>
    <w:p w14:paraId="631A1EF2">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（3）投标人的报价均超过招标人项目采购预算，采购人不能支付的；</w:t>
      </w:r>
    </w:p>
    <w:p w14:paraId="611C86D1">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（4）因重大变故，采购任务取消的。</w:t>
      </w:r>
    </w:p>
    <w:p w14:paraId="659D5606">
      <w:pPr>
        <w:pStyle w:val="4"/>
        <w:keepNext w:val="0"/>
        <w:keepLines w:val="0"/>
        <w:adjustRightInd w:val="0"/>
        <w:snapToGrid w:val="0"/>
        <w:spacing w:before="0" w:after="0" w:line="360" w:lineRule="auto"/>
        <w:rPr>
          <w:rFonts w:ascii="宋体" w:hAnsi="宋体"/>
          <w:bCs w:val="0"/>
          <w:color w:val="auto"/>
          <w:sz w:val="24"/>
          <w:szCs w:val="24"/>
          <w:highlight w:val="none"/>
        </w:rPr>
      </w:pPr>
      <w:bookmarkStart w:id="962" w:name="_Toc108341969"/>
      <w:bookmarkStart w:id="963" w:name="_Toc112704965"/>
      <w:bookmarkStart w:id="964" w:name="_Toc78449986"/>
      <w:bookmarkStart w:id="965" w:name="_Toc100670700"/>
      <w:bookmarkStart w:id="966" w:name="_Toc192951244"/>
      <w:bookmarkStart w:id="967" w:name="_Toc85972961"/>
      <w:bookmarkStart w:id="968" w:name="_Toc41"/>
      <w:bookmarkStart w:id="969" w:name="_Toc94367911"/>
      <w:bookmarkStart w:id="970" w:name="_Toc117192480"/>
      <w:bookmarkStart w:id="971" w:name="_Toc154428421"/>
      <w:bookmarkStart w:id="972" w:name="_Toc77676497"/>
      <w:bookmarkStart w:id="973" w:name="_Toc75289579"/>
      <w:bookmarkStart w:id="974" w:name="_Toc77199430"/>
      <w:bookmarkStart w:id="975" w:name="_Toc75289259"/>
      <w:bookmarkStart w:id="976" w:name="_Toc23842"/>
      <w:bookmarkStart w:id="977" w:name="_Toc3469"/>
      <w:bookmarkStart w:id="978" w:name="_Toc20651225"/>
      <w:bookmarkStart w:id="979" w:name="_Toc100670452"/>
      <w:bookmarkStart w:id="980" w:name="_Toc95601396"/>
      <w:bookmarkStart w:id="981" w:name="_Toc192949733"/>
      <w:bookmarkStart w:id="982" w:name="_Toc2334"/>
      <w:bookmarkStart w:id="983" w:name="_Toc114036744"/>
      <w:bookmarkStart w:id="984" w:name="_Toc23741"/>
      <w:bookmarkStart w:id="985" w:name="_Toc171273702"/>
      <w:bookmarkStart w:id="986" w:name="_Toc17868"/>
      <w:bookmarkStart w:id="987" w:name="_Toc2443"/>
      <w:bookmarkStart w:id="988" w:name="_Toc78314293"/>
      <w:bookmarkStart w:id="989" w:name="_Toc3589"/>
      <w:bookmarkStart w:id="990" w:name="_Toc192949634"/>
      <w:bookmarkStart w:id="991" w:name="_Toc16261"/>
      <w:r>
        <w:rPr>
          <w:rFonts w:hint="eastAsia" w:ascii="宋体" w:hAnsi="宋体" w:cs="宋体"/>
          <w:color w:val="auto"/>
          <w:sz w:val="24"/>
          <w:szCs w:val="24"/>
          <w:highlight w:val="none"/>
        </w:rPr>
        <w:t>11．重新组建评标委员会进行评标</w:t>
      </w:r>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p>
    <w:p w14:paraId="57A5B0F9">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11.1评标委员会或者其成员存在下列情形导致评标结果无效的，采购人、采购代理机构可以重新组建评标委员会进行评标，并书面报告本级财政部门，但采购合同已经履行的除外：</w:t>
      </w:r>
    </w:p>
    <w:p w14:paraId="179E3DD0">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（1）评标委员会组成不符合《政府采购货物和服务招标投标管理办法》规定的；</w:t>
      </w:r>
    </w:p>
    <w:p w14:paraId="6C361098">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（2）有《政府采购货物和服务招标投标管理办法》第六十二条第一至五项情形的；</w:t>
      </w:r>
    </w:p>
    <w:p w14:paraId="582A0774">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（3）评标委员会及其成员独立评标受到非法干预的；</w:t>
      </w:r>
    </w:p>
    <w:p w14:paraId="6496AB15">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（4）有政府采购法实施条例第七十五条规定的违法行为的。</w:t>
      </w:r>
    </w:p>
    <w:p w14:paraId="301A2D84">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11.2有违法违规行为的原评标委员会成员不得参加重新组建的评标委员会。</w:t>
      </w:r>
    </w:p>
    <w:p w14:paraId="32DD156F">
      <w:pPr>
        <w:pStyle w:val="2"/>
        <w:adjustRightInd w:val="0"/>
        <w:snapToGrid w:val="0"/>
        <w:spacing w:before="120" w:beforeLines="50"/>
        <w:jc w:val="center"/>
        <w:rPr>
          <w:rFonts w:ascii="黑体" w:hAnsi="华文中宋" w:eastAsia="黑体"/>
          <w:color w:val="auto"/>
          <w:sz w:val="28"/>
          <w:szCs w:val="28"/>
          <w:highlight w:val="none"/>
        </w:rPr>
      </w:pPr>
      <w:r>
        <w:rPr>
          <w:rFonts w:ascii="黑体" w:hAnsi="华文中宋" w:eastAsia="黑体"/>
          <w:b w:val="0"/>
          <w:color w:val="auto"/>
          <w:sz w:val="32"/>
          <w:highlight w:val="none"/>
        </w:rPr>
        <w:br w:type="page"/>
      </w:r>
      <w:bookmarkStart w:id="992" w:name="_Toc31160"/>
      <w:bookmarkStart w:id="993" w:name="_Toc28351"/>
      <w:bookmarkStart w:id="994" w:name="_Toc100670701"/>
      <w:bookmarkStart w:id="995" w:name="_Toc112704966"/>
      <w:bookmarkStart w:id="996" w:name="_Toc14254"/>
      <w:bookmarkStart w:id="997" w:name="_Toc192949734"/>
      <w:bookmarkStart w:id="998" w:name="_Toc85972962"/>
      <w:bookmarkStart w:id="999" w:name="_Toc77676498"/>
      <w:bookmarkStart w:id="1000" w:name="_Toc75289580"/>
      <w:bookmarkStart w:id="1001" w:name="_Toc95601397"/>
      <w:bookmarkStart w:id="1002" w:name="_Toc100670453"/>
      <w:bookmarkStart w:id="1003" w:name="_Toc477"/>
      <w:bookmarkStart w:id="1004" w:name="_Toc18586"/>
      <w:bookmarkStart w:id="1005" w:name="_Toc75289260"/>
      <w:bookmarkStart w:id="1006" w:name="_Toc78449987"/>
      <w:bookmarkStart w:id="1007" w:name="_Toc108341970"/>
      <w:bookmarkStart w:id="1008" w:name="_Toc114036745"/>
      <w:bookmarkStart w:id="1009" w:name="_Toc117192481"/>
      <w:bookmarkStart w:id="1010" w:name="_Toc78314294"/>
      <w:bookmarkStart w:id="1011" w:name="_Toc4097"/>
      <w:bookmarkStart w:id="1012" w:name="_Toc94367912"/>
      <w:bookmarkStart w:id="1013" w:name="_Toc154428422"/>
      <w:bookmarkStart w:id="1014" w:name="_Toc192951245"/>
      <w:bookmarkStart w:id="1015" w:name="_Toc171273703"/>
      <w:bookmarkStart w:id="1016" w:name="_Toc28432"/>
      <w:bookmarkStart w:id="1017" w:name="_Toc20651226"/>
      <w:bookmarkStart w:id="1018" w:name="_Toc17200"/>
      <w:bookmarkStart w:id="1019" w:name="_Toc192949635"/>
      <w:bookmarkStart w:id="1020" w:name="_Toc130264803"/>
      <w:bookmarkStart w:id="1021" w:name="_Toc77199431"/>
      <w:bookmarkStart w:id="1022" w:name="_Toc31670"/>
      <w:r>
        <w:rPr>
          <w:rFonts w:hint="eastAsia" w:ascii="黑体" w:hAnsi="华文中宋" w:eastAsia="黑体"/>
          <w:color w:val="auto"/>
          <w:sz w:val="28"/>
          <w:szCs w:val="28"/>
          <w:highlight w:val="none"/>
        </w:rPr>
        <w:t>第三节 投标文件的符合性审查</w:t>
      </w:r>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p>
    <w:p w14:paraId="1A2DF937">
      <w:pPr>
        <w:adjustRightInd w:val="0"/>
        <w:snapToGrid w:val="0"/>
        <w:spacing w:line="360" w:lineRule="auto"/>
        <w:rPr>
          <w:rFonts w:ascii="宋体" w:hAnsi="宋体"/>
          <w:b/>
          <w:color w:val="auto"/>
          <w:sz w:val="24"/>
          <w:highlight w:val="none"/>
        </w:rPr>
      </w:pPr>
      <w:r>
        <w:rPr>
          <w:rFonts w:hint="eastAsia" w:ascii="宋体" w:hAnsi="宋体"/>
          <w:b/>
          <w:color w:val="auto"/>
          <w:sz w:val="24"/>
          <w:highlight w:val="none"/>
        </w:rPr>
        <w:t>1.符合性审查</w:t>
      </w:r>
    </w:p>
    <w:p w14:paraId="7E7470CA">
      <w:pPr>
        <w:adjustRightInd w:val="0"/>
        <w:snapToGrid w:val="0"/>
        <w:spacing w:line="360" w:lineRule="auto"/>
        <w:ind w:firstLine="420" w:firstLineChars="200"/>
        <w:rPr>
          <w:rFonts w:ascii="宋体" w:hAnsi="宋体"/>
          <w:color w:val="auto"/>
          <w:highlight w:val="none"/>
        </w:rPr>
      </w:pPr>
      <w:r>
        <w:rPr>
          <w:rFonts w:hint="eastAsia" w:ascii="宋体" w:hAnsi="宋体"/>
          <w:color w:val="auto"/>
          <w:highlight w:val="none"/>
        </w:rPr>
        <w:t>1.1</w:t>
      </w:r>
      <w:r>
        <w:rPr>
          <w:rFonts w:hint="eastAsia" w:ascii="宋体" w:hAnsi="宋体"/>
          <w:color w:val="auto"/>
          <w:szCs w:val="21"/>
          <w:highlight w:val="none"/>
        </w:rPr>
        <w:t>评标委员会应按本章本节附表1“符合性审查表”所列审查项目及审查标准，</w:t>
      </w:r>
      <w:r>
        <w:rPr>
          <w:rFonts w:hint="eastAsia" w:ascii="宋体" w:hAnsi="宋体"/>
          <w:color w:val="auto"/>
          <w:highlight w:val="none"/>
        </w:rPr>
        <w:t>对符合资格条件的投标人的投标文件进行符合性审查，以确定其是否满足招标文件的实质性要求。</w:t>
      </w:r>
    </w:p>
    <w:p w14:paraId="1B3E1ECC">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依据招标文件的规定，从投标文件的有效性、完整性和对招标文件的响应程度进行审查，以确定是否对招标文件的实质性要求作出响应。评标委员会判断投标文件的响应性只根据投标文件的内容，而不依据外部的证据。</w:t>
      </w:r>
    </w:p>
    <w:p w14:paraId="30093D13">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（2）投标人不得通过修正或撤销不合要求的偏离从而使其投标成为实质上响应的投标。</w:t>
      </w:r>
    </w:p>
    <w:p w14:paraId="71E9DF13">
      <w:pPr>
        <w:adjustRightInd w:val="0"/>
        <w:snapToGrid w:val="0"/>
        <w:spacing w:line="360" w:lineRule="auto"/>
        <w:ind w:firstLine="420" w:firstLineChars="200"/>
        <w:rPr>
          <w:rFonts w:ascii="宋体" w:hAnsi="宋体"/>
          <w:color w:val="auto"/>
          <w:highlight w:val="none"/>
        </w:rPr>
      </w:pPr>
      <w:r>
        <w:rPr>
          <w:rFonts w:hint="eastAsia" w:ascii="宋体" w:hAnsi="宋体"/>
          <w:color w:val="auto"/>
          <w:kern w:val="0"/>
          <w:szCs w:val="21"/>
          <w:highlight w:val="none"/>
        </w:rPr>
        <w:t>1.2</w:t>
      </w:r>
      <w:r>
        <w:rPr>
          <w:rFonts w:hint="eastAsia" w:ascii="宋体" w:hAnsi="宋体"/>
          <w:color w:val="auto"/>
          <w:highlight w:val="none"/>
        </w:rPr>
        <w:t>未通过符合性审查的投标人，其投标将被认定为投标无效，不能进入下一阶段评审。通过符合性审查的投标人数量不足 3 家的，不得作进一步的比较和评价。</w:t>
      </w:r>
    </w:p>
    <w:p w14:paraId="333F2075">
      <w:pPr>
        <w:adjustRightInd w:val="0"/>
        <w:snapToGrid w:val="0"/>
        <w:spacing w:line="360" w:lineRule="auto"/>
        <w:rPr>
          <w:rFonts w:ascii="宋体" w:hAnsi="宋体"/>
          <w:b/>
          <w:color w:val="auto"/>
          <w:sz w:val="24"/>
          <w:highlight w:val="none"/>
        </w:rPr>
      </w:pPr>
      <w:r>
        <w:rPr>
          <w:rFonts w:hint="eastAsia" w:ascii="宋体" w:hAnsi="宋体"/>
          <w:b/>
          <w:color w:val="auto"/>
          <w:sz w:val="24"/>
          <w:highlight w:val="none"/>
        </w:rPr>
        <w:t>2.投标无效</w:t>
      </w:r>
    </w:p>
    <w:p w14:paraId="4F5F0A27">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2.1投标人存在下列情况之一的，符合性审查不合格，投标无效：</w:t>
      </w:r>
    </w:p>
    <w:p w14:paraId="24644554">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（1）投标文件中商务技术文件未按照招标文件规定要求签署、盖章的；</w:t>
      </w:r>
    </w:p>
    <w:p w14:paraId="332D0204">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（2）投标文件没有对招标文件的实质性要求和条件作出响应，或者对招标文件的偏离超出招标文件规定的偏离范围和幅度；</w:t>
      </w:r>
    </w:p>
    <w:p w14:paraId="4BB9D2AA">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（3）投标有效期不足的；</w:t>
      </w:r>
    </w:p>
    <w:p w14:paraId="59181C8D">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（4）投标文件含有采购人不能接受的附加条件的；</w:t>
      </w:r>
    </w:p>
    <w:p w14:paraId="601FF41E">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（5）不符合本节第1.1款规定符合性审查标准的；</w:t>
      </w:r>
    </w:p>
    <w:p w14:paraId="73712CA2">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（6）法律、法规和招标文件规定的其他投标无效情形的。</w:t>
      </w:r>
    </w:p>
    <w:p w14:paraId="392BD570">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2.2在评标过程中发现投标人有不遵循公平竞争的原则，恶意串通，妨碍其他投标人的竞争行为，损害采购人或者其他投标人的合法权益的，评标委员会应当认定其投标无效，并书面报告本级财政部门。</w:t>
      </w:r>
    </w:p>
    <w:p w14:paraId="17C8CFA5">
      <w:pPr>
        <w:pStyle w:val="4"/>
        <w:adjustRightInd w:val="0"/>
        <w:snapToGrid w:val="0"/>
        <w:spacing w:before="120" w:beforeLines="50" w:after="0" w:line="360" w:lineRule="auto"/>
        <w:rPr>
          <w:color w:val="auto"/>
          <w:sz w:val="21"/>
          <w:szCs w:val="21"/>
          <w:highlight w:val="none"/>
        </w:rPr>
      </w:pPr>
      <w:r>
        <w:rPr>
          <w:rFonts w:ascii="宋体" w:hAnsi="宋体"/>
          <w:color w:val="auto"/>
          <w:highlight w:val="none"/>
        </w:rPr>
        <w:br w:type="page"/>
      </w:r>
      <w:bookmarkStart w:id="1023" w:name="_Toc75289581"/>
      <w:bookmarkStart w:id="1024" w:name="_Toc78314295"/>
      <w:bookmarkStart w:id="1025" w:name="_Toc29308"/>
      <w:bookmarkStart w:id="1026" w:name="_Toc25232"/>
      <w:bookmarkStart w:id="1027" w:name="_Toc20651227"/>
      <w:bookmarkStart w:id="1028" w:name="_Toc108341971"/>
      <w:bookmarkStart w:id="1029" w:name="_Toc100670454"/>
      <w:bookmarkStart w:id="1030" w:name="_Toc171273704"/>
      <w:bookmarkStart w:id="1031" w:name="_Toc11979"/>
      <w:bookmarkStart w:id="1032" w:name="_Toc112704967"/>
      <w:bookmarkStart w:id="1033" w:name="_Toc78449988"/>
      <w:bookmarkStart w:id="1034" w:name="_Toc94367913"/>
      <w:bookmarkStart w:id="1035" w:name="_Toc77676499"/>
      <w:bookmarkStart w:id="1036" w:name="_Toc117192482"/>
      <w:bookmarkStart w:id="1037" w:name="_Toc13317"/>
      <w:bookmarkStart w:id="1038" w:name="_Toc114036746"/>
      <w:bookmarkStart w:id="1039" w:name="_Toc10772"/>
      <w:bookmarkStart w:id="1040" w:name="_Toc95601398"/>
      <w:bookmarkStart w:id="1041" w:name="_Toc27396"/>
      <w:bookmarkStart w:id="1042" w:name="_Toc75289261"/>
      <w:bookmarkStart w:id="1043" w:name="_Toc192949735"/>
      <w:bookmarkStart w:id="1044" w:name="_Toc7594"/>
      <w:bookmarkStart w:id="1045" w:name="_Toc100670702"/>
      <w:bookmarkStart w:id="1046" w:name="_Toc192951246"/>
      <w:bookmarkStart w:id="1047" w:name="_Toc77199432"/>
      <w:bookmarkStart w:id="1048" w:name="_Toc24187"/>
      <w:bookmarkStart w:id="1049" w:name="_Toc192949636"/>
      <w:bookmarkStart w:id="1050" w:name="_Toc3547"/>
      <w:bookmarkStart w:id="1051" w:name="_Toc85972963"/>
      <w:bookmarkStart w:id="1052" w:name="_Toc154428423"/>
      <w:r>
        <w:rPr>
          <w:rFonts w:hint="eastAsia"/>
          <w:color w:val="auto"/>
          <w:sz w:val="21"/>
          <w:szCs w:val="21"/>
          <w:highlight w:val="none"/>
        </w:rPr>
        <w:t>附表1 符合性审查表</w:t>
      </w:r>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p>
    <w:p w14:paraId="3543E8A0">
      <w:pPr>
        <w:adjustRightInd w:val="0"/>
        <w:snapToGrid w:val="0"/>
        <w:spacing w:before="156" w:beforeLines="50" w:line="360" w:lineRule="auto"/>
        <w:jc w:val="center"/>
        <w:rPr>
          <w:rFonts w:ascii="黑体" w:hAnsi="黑体" w:eastAsia="黑体"/>
          <w:b/>
          <w:color w:val="auto"/>
          <w:sz w:val="28"/>
          <w:szCs w:val="28"/>
          <w:highlight w:val="none"/>
        </w:rPr>
      </w:pPr>
      <w:r>
        <w:rPr>
          <w:rFonts w:hint="eastAsia" w:ascii="黑体" w:hAnsi="黑体" w:eastAsia="黑体"/>
          <w:b/>
          <w:color w:val="auto"/>
          <w:sz w:val="28"/>
          <w:szCs w:val="28"/>
          <w:highlight w:val="none"/>
        </w:rPr>
        <w:t>符合性审查表</w:t>
      </w:r>
    </w:p>
    <w:p w14:paraId="5D11FA4F">
      <w:pPr>
        <w:adjustRightInd w:val="0"/>
        <w:snapToGrid w:val="0"/>
        <w:spacing w:before="156" w:beforeLines="50" w:line="360" w:lineRule="auto"/>
        <w:rPr>
          <w:rFonts w:ascii="宋体" w:hAnsi="宋体"/>
          <w:color w:val="auto"/>
          <w:szCs w:val="21"/>
          <w:highlight w:val="none"/>
        </w:rPr>
      </w:pPr>
      <w:r>
        <w:rPr>
          <w:rFonts w:hint="eastAsia" w:ascii="宋体" w:hAnsi="宋体"/>
          <w:color w:val="auto"/>
          <w:szCs w:val="21"/>
          <w:highlight w:val="none"/>
        </w:rPr>
        <w:t xml:space="preserve">项目名称：                                           政府采购计划编号： </w:t>
      </w:r>
    </w:p>
    <w:tbl>
      <w:tblPr>
        <w:tblStyle w:val="476"/>
        <w:tblW w:w="9060" w:type="dxa"/>
        <w:tblInd w:w="0"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683"/>
        <w:gridCol w:w="4060"/>
        <w:gridCol w:w="4317"/>
      </w:tblGrid>
      <w:tr w14:paraId="297415B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32" w:hRule="atLeast"/>
        </w:trPr>
        <w:tc>
          <w:tcPr>
            <w:tcW w:w="683" w:type="dxa"/>
            <w:noWrap w:val="0"/>
            <w:vAlign w:val="center"/>
          </w:tcPr>
          <w:p w14:paraId="09EA22DB">
            <w:pPr>
              <w:snapToGrid w:val="0"/>
              <w:spacing w:before="156" w:line="360" w:lineRule="auto"/>
              <w:textAlignment w:val="baseline"/>
              <w:rPr>
                <w:rFonts w:ascii="宋体" w:hAnsi="宋体" w:cs="宋体"/>
                <w:b/>
                <w:color w:val="auto"/>
                <w:kern w:val="0"/>
                <w:sz w:val="20"/>
                <w:szCs w:val="21"/>
                <w:highlight w:val="none"/>
              </w:rPr>
            </w:pPr>
            <w:r>
              <w:rPr>
                <w:rFonts w:hint="eastAsia" w:ascii="宋体" w:hAnsi="宋体" w:cs="宋体"/>
                <w:b/>
                <w:color w:val="auto"/>
                <w:kern w:val="0"/>
                <w:szCs w:val="21"/>
                <w:highlight w:val="none"/>
              </w:rPr>
              <w:t>序号</w:t>
            </w:r>
          </w:p>
        </w:tc>
        <w:tc>
          <w:tcPr>
            <w:tcW w:w="4060" w:type="dxa"/>
            <w:noWrap w:val="0"/>
            <w:vAlign w:val="center"/>
          </w:tcPr>
          <w:p w14:paraId="6592B0EB">
            <w:pPr>
              <w:snapToGrid w:val="0"/>
              <w:spacing w:before="156" w:line="360" w:lineRule="auto"/>
              <w:textAlignment w:val="baseline"/>
              <w:rPr>
                <w:rFonts w:ascii="宋体" w:hAnsi="宋体" w:cs="宋体"/>
                <w:b/>
                <w:color w:val="auto"/>
                <w:kern w:val="0"/>
                <w:sz w:val="20"/>
                <w:szCs w:val="21"/>
                <w:highlight w:val="none"/>
              </w:rPr>
            </w:pPr>
            <w:r>
              <w:rPr>
                <w:rFonts w:hint="eastAsia" w:ascii="宋体" w:hAnsi="宋体" w:cs="宋体"/>
                <w:b/>
                <w:color w:val="auto"/>
                <w:kern w:val="0"/>
                <w:szCs w:val="21"/>
                <w:highlight w:val="none"/>
              </w:rPr>
              <w:t>审查项目</w:t>
            </w:r>
          </w:p>
        </w:tc>
        <w:tc>
          <w:tcPr>
            <w:tcW w:w="4317" w:type="dxa"/>
            <w:noWrap w:val="0"/>
            <w:vAlign w:val="center"/>
          </w:tcPr>
          <w:p w14:paraId="1C548B2E">
            <w:pPr>
              <w:snapToGrid w:val="0"/>
              <w:spacing w:before="156" w:line="360" w:lineRule="auto"/>
              <w:textAlignment w:val="baseline"/>
              <w:rPr>
                <w:rFonts w:ascii="宋体" w:hAnsi="宋体" w:cs="宋体"/>
                <w:b/>
                <w:color w:val="auto"/>
                <w:kern w:val="0"/>
                <w:sz w:val="20"/>
                <w:szCs w:val="21"/>
                <w:highlight w:val="none"/>
              </w:rPr>
            </w:pPr>
            <w:r>
              <w:rPr>
                <w:rFonts w:hint="eastAsia" w:ascii="宋体" w:hAnsi="宋体" w:cs="宋体"/>
                <w:b/>
                <w:color w:val="auto"/>
                <w:kern w:val="0"/>
                <w:szCs w:val="21"/>
                <w:highlight w:val="none"/>
              </w:rPr>
              <w:t>审查标准</w:t>
            </w:r>
          </w:p>
        </w:tc>
      </w:tr>
      <w:tr w14:paraId="46A551E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83" w:type="dxa"/>
            <w:noWrap w:val="0"/>
            <w:vAlign w:val="center"/>
          </w:tcPr>
          <w:p w14:paraId="65ECE9BD">
            <w:pPr>
              <w:snapToGrid w:val="0"/>
              <w:spacing w:before="156" w:line="360" w:lineRule="auto"/>
              <w:jc w:val="center"/>
              <w:textAlignment w:val="baseline"/>
              <w:rPr>
                <w:rFonts w:ascii="宋体" w:hAnsi="宋体" w:cs="宋体"/>
                <w:color w:val="auto"/>
                <w:kern w:val="0"/>
                <w:sz w:val="20"/>
                <w:szCs w:val="21"/>
                <w:highlight w:val="none"/>
              </w:rPr>
            </w:pPr>
            <w:r>
              <w:rPr>
                <w:rFonts w:hint="eastAsia" w:ascii="宋体" w:hAnsi="宋体" w:cs="宋体"/>
                <w:color w:val="auto"/>
                <w:kern w:val="0"/>
                <w:szCs w:val="21"/>
                <w:highlight w:val="none"/>
              </w:rPr>
              <w:t>1</w:t>
            </w:r>
          </w:p>
        </w:tc>
        <w:tc>
          <w:tcPr>
            <w:tcW w:w="4060" w:type="dxa"/>
            <w:noWrap w:val="0"/>
            <w:vAlign w:val="center"/>
          </w:tcPr>
          <w:p w14:paraId="1728677E">
            <w:pPr>
              <w:snapToGrid w:val="0"/>
              <w:spacing w:line="360" w:lineRule="exact"/>
              <w:textAlignment w:val="baseline"/>
              <w:rPr>
                <w:rFonts w:ascii="宋体" w:hAnsi="宋体" w:cs="宋体"/>
                <w:color w:val="auto"/>
                <w:kern w:val="0"/>
                <w:sz w:val="20"/>
                <w:szCs w:val="21"/>
                <w:highlight w:val="none"/>
              </w:rPr>
            </w:pPr>
            <w:r>
              <w:rPr>
                <w:rFonts w:hint="eastAsia" w:ascii="宋体" w:hAnsi="宋体"/>
                <w:color w:val="auto"/>
                <w:szCs w:val="21"/>
                <w:highlight w:val="none"/>
              </w:rPr>
              <w:t>投标文件中商务技术文件是否按照招标文件规定要求签署、盖章的</w:t>
            </w:r>
          </w:p>
        </w:tc>
        <w:tc>
          <w:tcPr>
            <w:tcW w:w="4317" w:type="dxa"/>
            <w:noWrap w:val="0"/>
            <w:vAlign w:val="center"/>
          </w:tcPr>
          <w:p w14:paraId="509AF1D9">
            <w:pPr>
              <w:snapToGrid w:val="0"/>
              <w:spacing w:before="156" w:line="360" w:lineRule="auto"/>
              <w:textAlignment w:val="baseline"/>
              <w:rPr>
                <w:rFonts w:ascii="宋体" w:hAnsi="宋体"/>
                <w:color w:val="auto"/>
                <w:sz w:val="20"/>
                <w:szCs w:val="21"/>
                <w:highlight w:val="none"/>
              </w:rPr>
            </w:pPr>
            <w:r>
              <w:rPr>
                <w:rFonts w:hint="eastAsia" w:ascii="宋体" w:hAnsi="宋体"/>
                <w:color w:val="auto"/>
                <w:szCs w:val="21"/>
                <w:highlight w:val="none"/>
              </w:rPr>
              <w:t>投标文件是否存在商务技术文件没有按照招标文件规定要求签署、盖章的</w:t>
            </w:r>
          </w:p>
        </w:tc>
      </w:tr>
      <w:tr w14:paraId="0C4F2B4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83" w:type="dxa"/>
            <w:noWrap w:val="0"/>
            <w:vAlign w:val="center"/>
          </w:tcPr>
          <w:p w14:paraId="700BAFDD">
            <w:pPr>
              <w:snapToGrid w:val="0"/>
              <w:spacing w:before="156" w:line="360" w:lineRule="auto"/>
              <w:jc w:val="center"/>
              <w:textAlignment w:val="baseline"/>
              <w:rPr>
                <w:rFonts w:ascii="宋体" w:hAnsi="宋体" w:cs="宋体"/>
                <w:color w:val="auto"/>
                <w:kern w:val="0"/>
                <w:sz w:val="20"/>
                <w:szCs w:val="21"/>
                <w:highlight w:val="none"/>
              </w:rPr>
            </w:pPr>
            <w:r>
              <w:rPr>
                <w:rFonts w:hint="eastAsia" w:ascii="宋体" w:hAnsi="宋体" w:cs="宋体"/>
                <w:color w:val="auto"/>
                <w:kern w:val="0"/>
                <w:szCs w:val="21"/>
                <w:highlight w:val="none"/>
              </w:rPr>
              <w:t>2</w:t>
            </w:r>
          </w:p>
        </w:tc>
        <w:tc>
          <w:tcPr>
            <w:tcW w:w="4060" w:type="dxa"/>
            <w:noWrap w:val="0"/>
            <w:vAlign w:val="center"/>
          </w:tcPr>
          <w:p w14:paraId="218FFE72">
            <w:pPr>
              <w:snapToGrid w:val="0"/>
              <w:spacing w:line="360" w:lineRule="exact"/>
              <w:textAlignment w:val="baseline"/>
              <w:rPr>
                <w:rFonts w:ascii="宋体" w:hAnsi="宋体" w:cs="宋体"/>
                <w:color w:val="auto"/>
                <w:kern w:val="0"/>
                <w:sz w:val="20"/>
                <w:szCs w:val="21"/>
                <w:highlight w:val="none"/>
              </w:rPr>
            </w:pPr>
            <w:r>
              <w:rPr>
                <w:rFonts w:hint="eastAsia" w:ascii="宋体" w:hAnsi="宋体"/>
                <w:color w:val="auto"/>
                <w:szCs w:val="21"/>
                <w:highlight w:val="none"/>
              </w:rPr>
              <w:t>投标有效期不足的</w:t>
            </w:r>
          </w:p>
        </w:tc>
        <w:tc>
          <w:tcPr>
            <w:tcW w:w="4317" w:type="dxa"/>
            <w:noWrap w:val="0"/>
            <w:vAlign w:val="center"/>
          </w:tcPr>
          <w:p w14:paraId="1D9DABC6">
            <w:pPr>
              <w:snapToGrid w:val="0"/>
              <w:spacing w:before="156" w:line="360" w:lineRule="auto"/>
              <w:textAlignment w:val="baseline"/>
              <w:rPr>
                <w:rFonts w:ascii="宋体" w:hAnsi="宋体"/>
                <w:color w:val="auto"/>
                <w:sz w:val="20"/>
                <w:szCs w:val="21"/>
                <w:highlight w:val="none"/>
              </w:rPr>
            </w:pPr>
            <w:r>
              <w:rPr>
                <w:rFonts w:hint="eastAsia" w:ascii="宋体" w:hAnsi="宋体"/>
                <w:color w:val="auto"/>
                <w:szCs w:val="21"/>
                <w:highlight w:val="none"/>
              </w:rPr>
              <w:t>90日（日历日）</w:t>
            </w:r>
          </w:p>
        </w:tc>
      </w:tr>
      <w:tr w14:paraId="7A91ABD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83" w:type="dxa"/>
            <w:noWrap w:val="0"/>
            <w:vAlign w:val="center"/>
          </w:tcPr>
          <w:p w14:paraId="3A09B295">
            <w:pPr>
              <w:snapToGrid w:val="0"/>
              <w:spacing w:before="156" w:line="360" w:lineRule="auto"/>
              <w:jc w:val="center"/>
              <w:textAlignment w:val="baseline"/>
              <w:rPr>
                <w:rFonts w:ascii="宋体" w:hAnsi="宋体" w:cs="宋体"/>
                <w:color w:val="auto"/>
                <w:kern w:val="0"/>
                <w:sz w:val="20"/>
                <w:szCs w:val="21"/>
                <w:highlight w:val="none"/>
              </w:rPr>
            </w:pPr>
            <w:r>
              <w:rPr>
                <w:rFonts w:hint="eastAsia" w:ascii="宋体" w:hAnsi="宋体" w:cs="宋体"/>
                <w:color w:val="auto"/>
                <w:kern w:val="0"/>
                <w:szCs w:val="21"/>
                <w:highlight w:val="none"/>
              </w:rPr>
              <w:t>3</w:t>
            </w:r>
          </w:p>
        </w:tc>
        <w:tc>
          <w:tcPr>
            <w:tcW w:w="4060" w:type="dxa"/>
            <w:noWrap w:val="0"/>
            <w:vAlign w:val="center"/>
          </w:tcPr>
          <w:p w14:paraId="56980E1A">
            <w:pPr>
              <w:snapToGrid w:val="0"/>
              <w:spacing w:line="360" w:lineRule="exact"/>
              <w:textAlignment w:val="baseline"/>
              <w:rPr>
                <w:rFonts w:ascii="宋体" w:hAnsi="宋体" w:cs="宋体"/>
                <w:color w:val="auto"/>
                <w:kern w:val="0"/>
                <w:sz w:val="20"/>
                <w:szCs w:val="21"/>
                <w:highlight w:val="none"/>
              </w:rPr>
            </w:pPr>
            <w:r>
              <w:rPr>
                <w:rFonts w:hint="eastAsia" w:ascii="宋体" w:hAnsi="宋体"/>
                <w:color w:val="auto"/>
                <w:szCs w:val="21"/>
                <w:highlight w:val="none"/>
              </w:rPr>
              <w:t>投标人递交的投标报价唯一性</w:t>
            </w:r>
          </w:p>
        </w:tc>
        <w:tc>
          <w:tcPr>
            <w:tcW w:w="4317" w:type="dxa"/>
            <w:noWrap w:val="0"/>
            <w:vAlign w:val="center"/>
          </w:tcPr>
          <w:p w14:paraId="16EAB4A3">
            <w:pPr>
              <w:snapToGrid w:val="0"/>
              <w:spacing w:before="156" w:line="360" w:lineRule="auto"/>
              <w:textAlignment w:val="baseline"/>
              <w:rPr>
                <w:rFonts w:ascii="宋体" w:hAnsi="宋体"/>
                <w:color w:val="auto"/>
                <w:sz w:val="20"/>
                <w:szCs w:val="21"/>
                <w:highlight w:val="none"/>
              </w:rPr>
            </w:pPr>
            <w:r>
              <w:rPr>
                <w:rFonts w:hint="eastAsia" w:ascii="宋体" w:hAnsi="宋体"/>
                <w:color w:val="auto"/>
                <w:szCs w:val="21"/>
                <w:highlight w:val="none"/>
              </w:rPr>
              <w:t>投标人是否存在递交的投标报价前后不一致</w:t>
            </w:r>
          </w:p>
        </w:tc>
      </w:tr>
      <w:tr w14:paraId="117CE42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83" w:type="dxa"/>
            <w:noWrap w:val="0"/>
            <w:vAlign w:val="center"/>
          </w:tcPr>
          <w:p w14:paraId="5E8633F7">
            <w:pPr>
              <w:snapToGrid w:val="0"/>
              <w:spacing w:before="156" w:line="360" w:lineRule="auto"/>
              <w:jc w:val="center"/>
              <w:textAlignment w:val="baseline"/>
              <w:rPr>
                <w:rFonts w:ascii="宋体" w:hAnsi="宋体" w:cs="宋体"/>
                <w:color w:val="auto"/>
                <w:kern w:val="0"/>
                <w:sz w:val="20"/>
                <w:szCs w:val="21"/>
                <w:highlight w:val="none"/>
              </w:rPr>
            </w:pPr>
            <w:r>
              <w:rPr>
                <w:rFonts w:hint="eastAsia" w:ascii="宋体" w:hAnsi="宋体" w:cs="宋体"/>
                <w:color w:val="auto"/>
                <w:kern w:val="0"/>
                <w:szCs w:val="21"/>
                <w:highlight w:val="none"/>
              </w:rPr>
              <w:t>4</w:t>
            </w:r>
          </w:p>
        </w:tc>
        <w:tc>
          <w:tcPr>
            <w:tcW w:w="4060" w:type="dxa"/>
            <w:noWrap w:val="0"/>
            <w:vAlign w:val="center"/>
          </w:tcPr>
          <w:p w14:paraId="052D00EE">
            <w:pPr>
              <w:snapToGrid w:val="0"/>
              <w:spacing w:line="360" w:lineRule="exact"/>
              <w:textAlignment w:val="baseline"/>
              <w:rPr>
                <w:rFonts w:ascii="宋体" w:hAnsi="宋体"/>
                <w:color w:val="auto"/>
                <w:kern w:val="0"/>
                <w:sz w:val="20"/>
                <w:szCs w:val="21"/>
                <w:highlight w:val="none"/>
              </w:rPr>
            </w:pPr>
            <w:r>
              <w:rPr>
                <w:rFonts w:hint="eastAsia" w:ascii="宋体" w:hAnsi="宋体" w:cs="宋体"/>
                <w:color w:val="auto"/>
                <w:szCs w:val="21"/>
                <w:highlight w:val="none"/>
              </w:rPr>
              <w:t>投标范围</w:t>
            </w:r>
            <w:r>
              <w:rPr>
                <w:rFonts w:hint="eastAsia" w:ascii="宋体" w:hAnsi="宋体" w:cs="宋体"/>
                <w:bCs/>
                <w:color w:val="auto"/>
                <w:szCs w:val="21"/>
                <w:highlight w:val="none"/>
              </w:rPr>
              <w:t>（服务要求及标准）</w:t>
            </w:r>
            <w:r>
              <w:rPr>
                <w:rFonts w:hint="eastAsia" w:ascii="宋体" w:hAnsi="宋体" w:cs="宋体"/>
                <w:color w:val="auto"/>
                <w:szCs w:val="21"/>
                <w:highlight w:val="none"/>
              </w:rPr>
              <w:t>满足招标文件要求</w:t>
            </w:r>
          </w:p>
        </w:tc>
        <w:tc>
          <w:tcPr>
            <w:tcW w:w="4317" w:type="dxa"/>
            <w:noWrap w:val="0"/>
            <w:vAlign w:val="center"/>
          </w:tcPr>
          <w:p w14:paraId="28AFDF35">
            <w:pPr>
              <w:snapToGrid w:val="0"/>
              <w:spacing w:before="156" w:line="360" w:lineRule="auto"/>
              <w:textAlignment w:val="baseline"/>
              <w:rPr>
                <w:rFonts w:ascii="宋体" w:hAnsi="宋体"/>
                <w:color w:val="auto"/>
                <w:sz w:val="20"/>
                <w:szCs w:val="21"/>
                <w:highlight w:val="none"/>
              </w:rPr>
            </w:pPr>
            <w:r>
              <w:rPr>
                <w:rFonts w:hint="eastAsia" w:ascii="宋体" w:hAnsi="宋体"/>
                <w:color w:val="auto"/>
                <w:szCs w:val="21"/>
                <w:highlight w:val="none"/>
              </w:rPr>
              <w:t>投标范围是否存在（服务要求及标准）不满足招标文件要求</w:t>
            </w:r>
          </w:p>
        </w:tc>
      </w:tr>
      <w:tr w14:paraId="6D009C9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83" w:type="dxa"/>
            <w:noWrap w:val="0"/>
            <w:vAlign w:val="center"/>
          </w:tcPr>
          <w:p w14:paraId="1291F99C">
            <w:pPr>
              <w:snapToGrid w:val="0"/>
              <w:spacing w:before="156" w:line="360" w:lineRule="auto"/>
              <w:jc w:val="center"/>
              <w:textAlignment w:val="baseline"/>
              <w:rPr>
                <w:rFonts w:ascii="宋体" w:hAnsi="宋体" w:cs="宋体"/>
                <w:color w:val="auto"/>
                <w:kern w:val="0"/>
                <w:sz w:val="20"/>
                <w:szCs w:val="21"/>
                <w:highlight w:val="none"/>
              </w:rPr>
            </w:pPr>
            <w:r>
              <w:rPr>
                <w:rFonts w:hint="eastAsia" w:ascii="宋体" w:hAnsi="宋体" w:cs="宋体"/>
                <w:color w:val="auto"/>
                <w:kern w:val="0"/>
                <w:szCs w:val="21"/>
                <w:highlight w:val="none"/>
              </w:rPr>
              <w:t>5</w:t>
            </w:r>
          </w:p>
        </w:tc>
        <w:tc>
          <w:tcPr>
            <w:tcW w:w="4060" w:type="dxa"/>
            <w:noWrap w:val="0"/>
            <w:vAlign w:val="center"/>
          </w:tcPr>
          <w:p w14:paraId="77DAC60C">
            <w:pPr>
              <w:snapToGrid w:val="0"/>
              <w:spacing w:line="360" w:lineRule="exact"/>
              <w:textAlignment w:val="baseline"/>
              <w:rPr>
                <w:rFonts w:ascii="宋体" w:hAnsi="宋体"/>
                <w:color w:val="auto"/>
                <w:kern w:val="0"/>
                <w:sz w:val="20"/>
                <w:szCs w:val="21"/>
                <w:highlight w:val="none"/>
              </w:rPr>
            </w:pPr>
            <w:r>
              <w:rPr>
                <w:rFonts w:hint="eastAsia" w:ascii="宋体" w:hAnsi="宋体"/>
                <w:color w:val="auto"/>
                <w:szCs w:val="21"/>
                <w:highlight w:val="none"/>
              </w:rPr>
              <w:t>投标文件没有对招标文件的实质性要求和条件作出响应，或者对招标文件的偏离超出招标文件规定的偏离范围和幅度</w:t>
            </w:r>
          </w:p>
        </w:tc>
        <w:tc>
          <w:tcPr>
            <w:tcW w:w="4317" w:type="dxa"/>
            <w:noWrap w:val="0"/>
            <w:vAlign w:val="center"/>
          </w:tcPr>
          <w:p w14:paraId="2D1488E9">
            <w:pPr>
              <w:snapToGrid w:val="0"/>
              <w:spacing w:before="156" w:line="360" w:lineRule="auto"/>
              <w:textAlignment w:val="baseline"/>
              <w:rPr>
                <w:rFonts w:ascii="宋体" w:hAnsi="宋体"/>
                <w:color w:val="auto"/>
                <w:sz w:val="20"/>
                <w:szCs w:val="21"/>
                <w:highlight w:val="none"/>
              </w:rPr>
            </w:pPr>
            <w:r>
              <w:rPr>
                <w:rFonts w:hint="eastAsia" w:ascii="宋体" w:hAnsi="宋体" w:eastAsia="宋体"/>
                <w:color w:val="auto"/>
                <w:szCs w:val="21"/>
                <w:highlight w:val="none"/>
              </w:rPr>
              <w:t>幅度：</w:t>
            </w:r>
            <w:r>
              <w:rPr>
                <w:rFonts w:hint="eastAsia" w:ascii="宋体" w:hAnsi="宋体"/>
                <w:color w:val="auto"/>
                <w:szCs w:val="21"/>
                <w:highlight w:val="none"/>
              </w:rPr>
              <w:t>一般商务和技术条款偏离项数之和≥</w:t>
            </w:r>
            <w:r>
              <w:rPr>
                <w:rFonts w:hint="eastAsia" w:ascii="宋体" w:hAnsi="宋体"/>
                <w:color w:val="auto"/>
                <w:szCs w:val="21"/>
                <w:highlight w:val="none"/>
                <w:u w:val="single"/>
                <w:lang w:val="en-US" w:eastAsia="zh-CN"/>
              </w:rPr>
              <w:t>11</w:t>
            </w:r>
            <w:r>
              <w:rPr>
                <w:rFonts w:ascii="宋体" w:hAnsi="宋体"/>
                <w:b/>
                <w:bCs/>
                <w:color w:val="auto"/>
                <w:szCs w:val="21"/>
                <w:highlight w:val="none"/>
                <w:u w:val="single"/>
                <w:lang w:val="en"/>
              </w:rPr>
              <w:t xml:space="preserve"> </w:t>
            </w:r>
            <w:r>
              <w:rPr>
                <w:rFonts w:hint="eastAsia" w:ascii="宋体" w:hAnsi="宋体"/>
                <w:color w:val="auto"/>
                <w:szCs w:val="21"/>
                <w:highlight w:val="none"/>
              </w:rPr>
              <w:t>项将导致无效投标。所称条款数（最高项数）的统计方法为：招标文件中，凡编排有单独的中文序数或阿拉伯数字等字符的条款算一项商务或技术要求项数，相同内容的条款不重复计算项数(不含评分因素)</w:t>
            </w:r>
          </w:p>
        </w:tc>
      </w:tr>
      <w:tr w14:paraId="5E0830E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83" w:type="dxa"/>
            <w:noWrap w:val="0"/>
            <w:vAlign w:val="center"/>
          </w:tcPr>
          <w:p w14:paraId="6017EACE">
            <w:pPr>
              <w:snapToGrid w:val="0"/>
              <w:spacing w:before="156" w:line="360" w:lineRule="auto"/>
              <w:jc w:val="center"/>
              <w:textAlignment w:val="baseline"/>
              <w:rPr>
                <w:rFonts w:ascii="宋体" w:hAnsi="宋体" w:cs="宋体"/>
                <w:color w:val="auto"/>
                <w:kern w:val="0"/>
                <w:sz w:val="20"/>
                <w:szCs w:val="21"/>
                <w:highlight w:val="none"/>
              </w:rPr>
            </w:pPr>
            <w:r>
              <w:rPr>
                <w:rFonts w:hint="eastAsia" w:ascii="宋体" w:hAnsi="宋体" w:cs="宋体"/>
                <w:color w:val="auto"/>
                <w:kern w:val="0"/>
                <w:szCs w:val="21"/>
                <w:highlight w:val="none"/>
              </w:rPr>
              <w:t>6</w:t>
            </w:r>
          </w:p>
        </w:tc>
        <w:tc>
          <w:tcPr>
            <w:tcW w:w="4060" w:type="dxa"/>
            <w:noWrap w:val="0"/>
            <w:vAlign w:val="center"/>
          </w:tcPr>
          <w:p w14:paraId="2DE52757">
            <w:pPr>
              <w:snapToGrid w:val="0"/>
              <w:spacing w:line="360" w:lineRule="exact"/>
              <w:textAlignment w:val="baseline"/>
              <w:rPr>
                <w:rFonts w:ascii="宋体" w:hAnsi="宋体" w:cs="宋体"/>
                <w:color w:val="auto"/>
                <w:kern w:val="0"/>
                <w:sz w:val="20"/>
                <w:szCs w:val="21"/>
                <w:highlight w:val="none"/>
              </w:rPr>
            </w:pPr>
            <w:r>
              <w:rPr>
                <w:rFonts w:hint="eastAsia" w:ascii="宋体" w:hAnsi="宋体"/>
                <w:color w:val="auto"/>
                <w:highlight w:val="none"/>
              </w:rPr>
              <w:t>招标文件中</w:t>
            </w:r>
            <w:r>
              <w:rPr>
                <w:rFonts w:hint="eastAsia" w:ascii="宋体" w:hAnsi="宋体" w:cs="宋体"/>
                <w:color w:val="auto"/>
                <w:szCs w:val="21"/>
                <w:highlight w:val="none"/>
              </w:rPr>
              <w:t>用“拒绝 ”、“不接受 ”、“无效 ”、“不得 ”等文件规定或标注 “★”符号的条款为实质性要求条款（即重要条款），对其中任何一条的偏离，在评标时将其视为无效投标</w:t>
            </w:r>
          </w:p>
        </w:tc>
        <w:tc>
          <w:tcPr>
            <w:tcW w:w="4317" w:type="dxa"/>
            <w:noWrap w:val="0"/>
            <w:vAlign w:val="center"/>
          </w:tcPr>
          <w:p w14:paraId="0AE95B0C">
            <w:pPr>
              <w:snapToGrid w:val="0"/>
              <w:spacing w:before="156" w:line="360" w:lineRule="auto"/>
              <w:textAlignment w:val="baseline"/>
              <w:rPr>
                <w:rFonts w:ascii="宋体" w:hAnsi="宋体"/>
                <w:color w:val="auto"/>
                <w:sz w:val="20"/>
                <w:szCs w:val="21"/>
                <w:highlight w:val="none"/>
              </w:rPr>
            </w:pPr>
            <w:r>
              <w:rPr>
                <w:rFonts w:hint="eastAsia" w:ascii="宋体" w:hAnsi="宋体"/>
                <w:color w:val="auto"/>
                <w:szCs w:val="21"/>
                <w:highlight w:val="none"/>
              </w:rPr>
              <w:t>投标文件是否对招标文件中所述的条款做出实质性响应</w:t>
            </w:r>
          </w:p>
        </w:tc>
      </w:tr>
      <w:tr w14:paraId="287D369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83" w:type="dxa"/>
            <w:noWrap w:val="0"/>
            <w:vAlign w:val="center"/>
          </w:tcPr>
          <w:p w14:paraId="237CB992">
            <w:pPr>
              <w:snapToGrid w:val="0"/>
              <w:spacing w:before="156" w:line="360" w:lineRule="auto"/>
              <w:jc w:val="center"/>
              <w:textAlignment w:val="baseline"/>
              <w:rPr>
                <w:rFonts w:ascii="宋体" w:hAnsi="宋体" w:cs="宋体"/>
                <w:color w:val="auto"/>
                <w:kern w:val="0"/>
                <w:sz w:val="20"/>
                <w:szCs w:val="21"/>
                <w:highlight w:val="none"/>
              </w:rPr>
            </w:pPr>
            <w:r>
              <w:rPr>
                <w:rFonts w:hint="eastAsia" w:ascii="宋体" w:hAnsi="宋体" w:cs="宋体"/>
                <w:color w:val="auto"/>
                <w:kern w:val="0"/>
                <w:szCs w:val="21"/>
                <w:highlight w:val="none"/>
              </w:rPr>
              <w:t>7</w:t>
            </w:r>
          </w:p>
        </w:tc>
        <w:tc>
          <w:tcPr>
            <w:tcW w:w="4060" w:type="dxa"/>
            <w:noWrap w:val="0"/>
            <w:vAlign w:val="center"/>
          </w:tcPr>
          <w:p w14:paraId="1E872F94">
            <w:pPr>
              <w:snapToGrid w:val="0"/>
              <w:spacing w:line="360" w:lineRule="exact"/>
              <w:textAlignment w:val="baseline"/>
              <w:rPr>
                <w:rFonts w:ascii="宋体" w:hAnsi="宋体" w:cs="宋体"/>
                <w:color w:val="auto"/>
                <w:kern w:val="0"/>
                <w:sz w:val="20"/>
                <w:szCs w:val="21"/>
                <w:highlight w:val="none"/>
              </w:rPr>
            </w:pPr>
            <w:r>
              <w:rPr>
                <w:rFonts w:hint="eastAsia" w:ascii="宋体" w:hAnsi="宋体"/>
                <w:color w:val="auto"/>
                <w:szCs w:val="21"/>
                <w:highlight w:val="none"/>
              </w:rPr>
              <w:t>投标文件含有采购人不能接受的附加条件的</w:t>
            </w:r>
          </w:p>
        </w:tc>
        <w:tc>
          <w:tcPr>
            <w:tcW w:w="4317" w:type="dxa"/>
            <w:noWrap w:val="0"/>
            <w:vAlign w:val="center"/>
          </w:tcPr>
          <w:p w14:paraId="0065F255">
            <w:pPr>
              <w:snapToGrid w:val="0"/>
              <w:spacing w:before="156" w:line="360" w:lineRule="auto"/>
              <w:textAlignment w:val="baseline"/>
              <w:rPr>
                <w:rFonts w:ascii="宋体" w:hAnsi="宋体"/>
                <w:color w:val="auto"/>
                <w:sz w:val="20"/>
                <w:szCs w:val="21"/>
                <w:highlight w:val="none"/>
              </w:rPr>
            </w:pPr>
            <w:r>
              <w:rPr>
                <w:rFonts w:ascii="宋体" w:hAnsi="宋体"/>
                <w:color w:val="auto"/>
                <w:szCs w:val="21"/>
                <w:highlight w:val="none"/>
              </w:rPr>
              <w:t>是否存在</w:t>
            </w:r>
            <w:r>
              <w:rPr>
                <w:rFonts w:hint="eastAsia" w:ascii="宋体" w:hAnsi="宋体"/>
                <w:color w:val="auto"/>
                <w:szCs w:val="21"/>
                <w:highlight w:val="none"/>
              </w:rPr>
              <w:t>投标文件含有采购人不能接受的附加条件的</w:t>
            </w:r>
          </w:p>
        </w:tc>
      </w:tr>
      <w:tr w14:paraId="2B8B755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83" w:type="dxa"/>
            <w:noWrap w:val="0"/>
            <w:vAlign w:val="center"/>
          </w:tcPr>
          <w:p w14:paraId="4BACBDD8">
            <w:pPr>
              <w:snapToGrid w:val="0"/>
              <w:spacing w:before="156" w:line="360" w:lineRule="auto"/>
              <w:jc w:val="center"/>
              <w:textAlignment w:val="baseline"/>
              <w:rPr>
                <w:rFonts w:ascii="宋体" w:hAnsi="宋体"/>
                <w:color w:val="auto"/>
                <w:kern w:val="0"/>
                <w:sz w:val="20"/>
                <w:szCs w:val="21"/>
                <w:highlight w:val="none"/>
              </w:rPr>
            </w:pPr>
            <w:r>
              <w:rPr>
                <w:rFonts w:hint="eastAsia" w:ascii="宋体" w:hAnsi="宋体"/>
                <w:color w:val="auto"/>
                <w:kern w:val="0"/>
                <w:szCs w:val="21"/>
                <w:highlight w:val="none"/>
              </w:rPr>
              <w:t>8</w:t>
            </w:r>
          </w:p>
        </w:tc>
        <w:tc>
          <w:tcPr>
            <w:tcW w:w="4060" w:type="dxa"/>
            <w:noWrap w:val="0"/>
            <w:vAlign w:val="center"/>
          </w:tcPr>
          <w:p w14:paraId="7B141B11">
            <w:pPr>
              <w:snapToGrid w:val="0"/>
              <w:spacing w:line="360" w:lineRule="exact"/>
              <w:textAlignment w:val="baseline"/>
              <w:rPr>
                <w:rFonts w:ascii="宋体" w:hAnsi="宋体" w:cs="宋体"/>
                <w:color w:val="auto"/>
                <w:kern w:val="0"/>
                <w:sz w:val="20"/>
                <w:szCs w:val="21"/>
                <w:highlight w:val="none"/>
              </w:rPr>
            </w:pPr>
            <w:r>
              <w:rPr>
                <w:rFonts w:hint="eastAsia" w:ascii="宋体" w:hAnsi="宋体"/>
                <w:color w:val="auto"/>
                <w:szCs w:val="21"/>
                <w:highlight w:val="none"/>
              </w:rPr>
              <w:t>法律、法规和招标文件规定的其他投标无效情形的</w:t>
            </w:r>
          </w:p>
        </w:tc>
        <w:tc>
          <w:tcPr>
            <w:tcW w:w="4317" w:type="dxa"/>
            <w:noWrap w:val="0"/>
            <w:vAlign w:val="center"/>
          </w:tcPr>
          <w:p w14:paraId="54EFEDEC">
            <w:pPr>
              <w:snapToGrid w:val="0"/>
              <w:spacing w:before="156" w:line="360" w:lineRule="auto"/>
              <w:textAlignment w:val="baseline"/>
              <w:rPr>
                <w:rFonts w:ascii="宋体" w:hAnsi="宋体"/>
                <w:color w:val="auto"/>
                <w:sz w:val="20"/>
                <w:szCs w:val="21"/>
                <w:highlight w:val="none"/>
              </w:rPr>
            </w:pPr>
            <w:r>
              <w:rPr>
                <w:rFonts w:hint="eastAsia" w:ascii="宋体" w:hAnsi="宋体"/>
                <w:color w:val="auto"/>
                <w:szCs w:val="21"/>
                <w:highlight w:val="none"/>
              </w:rPr>
              <w:t>是否存在有招标文件规定的其他投标无效情形</w:t>
            </w:r>
          </w:p>
        </w:tc>
      </w:tr>
      <w:tr w14:paraId="57157A0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83" w:type="dxa"/>
            <w:noWrap w:val="0"/>
            <w:vAlign w:val="center"/>
          </w:tcPr>
          <w:p w14:paraId="5E8B282E">
            <w:pPr>
              <w:snapToGrid w:val="0"/>
              <w:spacing w:before="156" w:line="360" w:lineRule="auto"/>
              <w:textAlignment w:val="baseline"/>
              <w:rPr>
                <w:rFonts w:ascii="宋体" w:hAnsi="宋体" w:cs="宋体"/>
                <w:color w:val="auto"/>
                <w:kern w:val="0"/>
                <w:sz w:val="20"/>
                <w:szCs w:val="21"/>
                <w:highlight w:val="none"/>
              </w:rPr>
            </w:pPr>
            <w:r>
              <w:rPr>
                <w:rFonts w:hint="eastAsia" w:ascii="宋体" w:hAnsi="宋体" w:cs="宋体"/>
                <w:color w:val="auto"/>
                <w:kern w:val="0"/>
                <w:sz w:val="20"/>
                <w:szCs w:val="21"/>
                <w:highlight w:val="none"/>
              </w:rPr>
              <w:t>结论</w:t>
            </w:r>
          </w:p>
        </w:tc>
        <w:tc>
          <w:tcPr>
            <w:tcW w:w="8377" w:type="dxa"/>
            <w:gridSpan w:val="2"/>
            <w:noWrap w:val="0"/>
            <w:vAlign w:val="center"/>
          </w:tcPr>
          <w:p w14:paraId="3C903EB2">
            <w:pPr>
              <w:snapToGrid w:val="0"/>
              <w:spacing w:before="156" w:line="360" w:lineRule="auto"/>
              <w:textAlignment w:val="baseline"/>
              <w:rPr>
                <w:rFonts w:ascii="宋体" w:hAnsi="宋体" w:cs="宋体"/>
                <w:color w:val="auto"/>
                <w:kern w:val="0"/>
                <w:sz w:val="20"/>
                <w:szCs w:val="21"/>
                <w:highlight w:val="none"/>
              </w:rPr>
            </w:pPr>
          </w:p>
        </w:tc>
      </w:tr>
    </w:tbl>
    <w:p w14:paraId="38A3A6C6">
      <w:pPr>
        <w:pStyle w:val="22"/>
        <w:adjustRightInd w:val="0"/>
        <w:snapToGrid w:val="0"/>
        <w:ind w:firstLine="422" w:firstLineChars="200"/>
        <w:rPr>
          <w:rFonts w:hAnsi="宋体"/>
          <w:b/>
          <w:color w:val="auto"/>
          <w:sz w:val="21"/>
          <w:highlight w:val="none"/>
        </w:rPr>
      </w:pPr>
      <w:r>
        <w:rPr>
          <w:rFonts w:hAnsi="宋体"/>
          <w:b/>
          <w:color w:val="auto"/>
          <w:sz w:val="21"/>
          <w:highlight w:val="none"/>
        </w:rPr>
        <w:br w:type="page"/>
      </w:r>
    </w:p>
    <w:p w14:paraId="2D3DA61C">
      <w:pPr>
        <w:pStyle w:val="5"/>
        <w:adjustRightInd w:val="0"/>
        <w:snapToGrid w:val="0"/>
        <w:spacing w:before="0" w:after="0" w:line="360" w:lineRule="auto"/>
        <w:rPr>
          <w:rFonts w:ascii="黑体" w:hAnsi="黑体"/>
          <w:b w:val="0"/>
          <w:color w:val="auto"/>
          <w:sz w:val="21"/>
          <w:szCs w:val="21"/>
          <w:highlight w:val="none"/>
        </w:rPr>
      </w:pPr>
      <w:bookmarkStart w:id="1053" w:name="_Toc15888518"/>
      <w:bookmarkStart w:id="1054" w:name="_Toc75289263"/>
      <w:r>
        <w:rPr>
          <w:rFonts w:hint="eastAsia" w:ascii="黑体" w:hAnsi="黑体"/>
          <w:b w:val="0"/>
          <w:color w:val="auto"/>
          <w:sz w:val="21"/>
          <w:szCs w:val="21"/>
          <w:highlight w:val="none"/>
        </w:rPr>
        <w:t>附表2 符合性审查结果一览表</w:t>
      </w:r>
      <w:bookmarkEnd w:id="1053"/>
      <w:bookmarkEnd w:id="1054"/>
    </w:p>
    <w:p w14:paraId="24162BC5">
      <w:pPr>
        <w:pStyle w:val="4"/>
        <w:jc w:val="center"/>
        <w:rPr>
          <w:rFonts w:ascii="黑体" w:hAnsi="黑体" w:eastAsia="黑体"/>
          <w:b w:val="0"/>
          <w:color w:val="auto"/>
          <w:sz w:val="28"/>
          <w:szCs w:val="28"/>
          <w:highlight w:val="none"/>
        </w:rPr>
      </w:pPr>
      <w:bookmarkStart w:id="1055" w:name="_Toc10299"/>
      <w:bookmarkStart w:id="1056" w:name="_Toc75289583"/>
      <w:bookmarkStart w:id="1057" w:name="_Toc77199434"/>
      <w:bookmarkStart w:id="1058" w:name="_Toc20968"/>
      <w:bookmarkStart w:id="1059" w:name="_Toc192949638"/>
      <w:bookmarkStart w:id="1060" w:name="_Toc94367915"/>
      <w:bookmarkStart w:id="1061" w:name="_Toc75289264"/>
      <w:bookmarkStart w:id="1062" w:name="_Toc117192484"/>
      <w:bookmarkStart w:id="1063" w:name="_Toc112704969"/>
      <w:bookmarkStart w:id="1064" w:name="_Toc192951248"/>
      <w:bookmarkStart w:id="1065" w:name="_Toc171273706"/>
      <w:bookmarkStart w:id="1066" w:name="_Toc192949737"/>
      <w:bookmarkStart w:id="1067" w:name="_Toc95601400"/>
      <w:bookmarkStart w:id="1068" w:name="_Toc77676501"/>
      <w:bookmarkStart w:id="1069" w:name="_Toc85972965"/>
      <w:bookmarkStart w:id="1070" w:name="_Toc108341973"/>
      <w:bookmarkStart w:id="1071" w:name="_Toc100670456"/>
      <w:bookmarkStart w:id="1072" w:name="_Toc32232"/>
      <w:bookmarkStart w:id="1073" w:name="_Toc154428425"/>
      <w:bookmarkStart w:id="1074" w:name="_Toc18135"/>
      <w:bookmarkStart w:id="1075" w:name="_Toc78449990"/>
      <w:bookmarkStart w:id="1076" w:name="_Toc100670704"/>
      <w:bookmarkStart w:id="1077" w:name="_Toc21099"/>
      <w:bookmarkStart w:id="1078" w:name="_Toc78314297"/>
      <w:bookmarkStart w:id="1079" w:name="_Toc13195"/>
      <w:bookmarkStart w:id="1080" w:name="_Toc15630"/>
      <w:bookmarkStart w:id="1081" w:name="_Toc114036748"/>
      <w:bookmarkStart w:id="1082" w:name="_Toc2995"/>
      <w:bookmarkStart w:id="1083" w:name="_Toc14390"/>
      <w:r>
        <w:rPr>
          <w:rFonts w:hint="eastAsia" w:ascii="黑体" w:hAnsi="黑体" w:eastAsia="黑体"/>
          <w:b w:val="0"/>
          <w:color w:val="auto"/>
          <w:sz w:val="28"/>
          <w:szCs w:val="28"/>
          <w:highlight w:val="none"/>
        </w:rPr>
        <w:t>符合性审查结果一览表</w:t>
      </w:r>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p>
    <w:p w14:paraId="75C531BF">
      <w:pPr>
        <w:adjustRightInd w:val="0"/>
        <w:snapToGrid w:val="0"/>
        <w:spacing w:line="360" w:lineRule="auto"/>
        <w:rPr>
          <w:rFonts w:ascii="宋体" w:hAnsi="宋体"/>
          <w:color w:val="auto"/>
          <w:szCs w:val="21"/>
          <w:highlight w:val="none"/>
        </w:rPr>
      </w:pPr>
      <w:r>
        <w:rPr>
          <w:rFonts w:hint="eastAsia" w:ascii="宋体" w:hAnsi="宋体"/>
          <w:color w:val="auto"/>
          <w:szCs w:val="21"/>
          <w:highlight w:val="none"/>
        </w:rPr>
        <w:t>项目名称：                                           政府采购计划编号：</w:t>
      </w:r>
    </w:p>
    <w:tbl>
      <w:tblPr>
        <w:tblStyle w:val="47"/>
        <w:tblW w:w="8798"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697"/>
        <w:gridCol w:w="2963"/>
        <w:gridCol w:w="2439"/>
        <w:gridCol w:w="2699"/>
      </w:tblGrid>
      <w:tr w14:paraId="4294F9E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697" w:type="dxa"/>
            <w:vAlign w:val="center"/>
          </w:tcPr>
          <w:p w14:paraId="1AE58724">
            <w:pPr>
              <w:jc w:val="center"/>
              <w:rPr>
                <w:rFonts w:ascii="宋体" w:hAnsi="宋体"/>
                <w:b/>
                <w:color w:val="auto"/>
                <w:kern w:val="0"/>
                <w:szCs w:val="21"/>
                <w:highlight w:val="none"/>
              </w:rPr>
            </w:pPr>
            <w:r>
              <w:rPr>
                <w:rFonts w:hint="eastAsia" w:ascii="宋体" w:hAnsi="宋体"/>
                <w:b/>
                <w:color w:val="auto"/>
                <w:kern w:val="0"/>
                <w:szCs w:val="21"/>
                <w:highlight w:val="none"/>
              </w:rPr>
              <w:t>序号</w:t>
            </w:r>
          </w:p>
        </w:tc>
        <w:tc>
          <w:tcPr>
            <w:tcW w:w="2963" w:type="dxa"/>
            <w:vAlign w:val="center"/>
          </w:tcPr>
          <w:p w14:paraId="1007E357">
            <w:pPr>
              <w:jc w:val="center"/>
              <w:rPr>
                <w:rFonts w:ascii="宋体" w:hAnsi="宋体"/>
                <w:b/>
                <w:color w:val="auto"/>
                <w:kern w:val="0"/>
                <w:szCs w:val="21"/>
                <w:highlight w:val="none"/>
              </w:rPr>
            </w:pPr>
            <w:r>
              <w:rPr>
                <w:rFonts w:hint="eastAsia" w:ascii="宋体" w:hAnsi="宋体"/>
                <w:b/>
                <w:color w:val="auto"/>
                <w:kern w:val="0"/>
                <w:szCs w:val="21"/>
                <w:highlight w:val="none"/>
              </w:rPr>
              <w:t>投标人名称</w:t>
            </w:r>
          </w:p>
        </w:tc>
        <w:tc>
          <w:tcPr>
            <w:tcW w:w="2439" w:type="dxa"/>
            <w:vAlign w:val="center"/>
          </w:tcPr>
          <w:p w14:paraId="4127FB01">
            <w:pPr>
              <w:jc w:val="center"/>
              <w:rPr>
                <w:rFonts w:ascii="宋体" w:hAnsi="宋体"/>
                <w:b/>
                <w:color w:val="auto"/>
                <w:kern w:val="0"/>
                <w:szCs w:val="21"/>
                <w:highlight w:val="none"/>
              </w:rPr>
            </w:pPr>
            <w:r>
              <w:rPr>
                <w:rFonts w:hint="eastAsia" w:ascii="宋体" w:hAnsi="宋体"/>
                <w:b/>
                <w:color w:val="auto"/>
                <w:kern w:val="0"/>
                <w:szCs w:val="21"/>
                <w:highlight w:val="none"/>
              </w:rPr>
              <w:t>符合性审查结果</w:t>
            </w:r>
          </w:p>
          <w:p w14:paraId="0A18C6C5">
            <w:pPr>
              <w:jc w:val="center"/>
              <w:rPr>
                <w:rFonts w:ascii="宋体" w:hAnsi="宋体"/>
                <w:b/>
                <w:color w:val="auto"/>
                <w:kern w:val="0"/>
                <w:szCs w:val="21"/>
                <w:highlight w:val="none"/>
              </w:rPr>
            </w:pPr>
            <w:r>
              <w:rPr>
                <w:rFonts w:hint="eastAsia" w:ascii="宋体" w:hAnsi="宋体"/>
                <w:b/>
                <w:color w:val="auto"/>
                <w:kern w:val="0"/>
                <w:szCs w:val="21"/>
                <w:highlight w:val="none"/>
              </w:rPr>
              <w:t>（合格/不合格）</w:t>
            </w:r>
          </w:p>
        </w:tc>
        <w:tc>
          <w:tcPr>
            <w:tcW w:w="2699" w:type="dxa"/>
            <w:vAlign w:val="center"/>
          </w:tcPr>
          <w:p w14:paraId="29CB002E">
            <w:pPr>
              <w:jc w:val="center"/>
              <w:rPr>
                <w:rFonts w:ascii="宋体" w:hAnsi="宋体"/>
                <w:b/>
                <w:color w:val="auto"/>
                <w:kern w:val="0"/>
                <w:szCs w:val="21"/>
                <w:highlight w:val="none"/>
              </w:rPr>
            </w:pPr>
            <w:r>
              <w:rPr>
                <w:rFonts w:hint="eastAsia" w:ascii="宋体" w:hAnsi="宋体"/>
                <w:b/>
                <w:color w:val="auto"/>
                <w:kern w:val="0"/>
                <w:szCs w:val="21"/>
                <w:highlight w:val="none"/>
              </w:rPr>
              <w:t>符合性审查不合格原因</w:t>
            </w:r>
          </w:p>
        </w:tc>
      </w:tr>
      <w:tr w14:paraId="71A9364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697" w:type="dxa"/>
          </w:tcPr>
          <w:p w14:paraId="47F325C4">
            <w:pPr>
              <w:adjustRightInd w:val="0"/>
              <w:snapToGrid w:val="0"/>
              <w:spacing w:line="360" w:lineRule="auto"/>
              <w:rPr>
                <w:rFonts w:ascii="宋体" w:hAnsi="宋体"/>
                <w:color w:val="auto"/>
                <w:kern w:val="0"/>
                <w:sz w:val="24"/>
                <w:highlight w:val="none"/>
              </w:rPr>
            </w:pPr>
          </w:p>
        </w:tc>
        <w:tc>
          <w:tcPr>
            <w:tcW w:w="2963" w:type="dxa"/>
          </w:tcPr>
          <w:p w14:paraId="684D389C">
            <w:pPr>
              <w:adjustRightInd w:val="0"/>
              <w:snapToGrid w:val="0"/>
              <w:spacing w:line="360" w:lineRule="auto"/>
              <w:rPr>
                <w:rFonts w:ascii="宋体" w:hAnsi="宋体"/>
                <w:color w:val="auto"/>
                <w:kern w:val="0"/>
                <w:sz w:val="24"/>
                <w:highlight w:val="none"/>
              </w:rPr>
            </w:pPr>
          </w:p>
        </w:tc>
        <w:tc>
          <w:tcPr>
            <w:tcW w:w="2439" w:type="dxa"/>
          </w:tcPr>
          <w:p w14:paraId="08FEA59F">
            <w:pPr>
              <w:adjustRightInd w:val="0"/>
              <w:snapToGrid w:val="0"/>
              <w:spacing w:line="360" w:lineRule="auto"/>
              <w:rPr>
                <w:rFonts w:ascii="宋体" w:hAnsi="宋体"/>
                <w:color w:val="auto"/>
                <w:kern w:val="0"/>
                <w:sz w:val="24"/>
                <w:highlight w:val="none"/>
              </w:rPr>
            </w:pPr>
          </w:p>
        </w:tc>
        <w:tc>
          <w:tcPr>
            <w:tcW w:w="2699" w:type="dxa"/>
          </w:tcPr>
          <w:p w14:paraId="7D1BCEE9">
            <w:pPr>
              <w:adjustRightInd w:val="0"/>
              <w:snapToGrid w:val="0"/>
              <w:spacing w:line="360" w:lineRule="auto"/>
              <w:rPr>
                <w:rFonts w:ascii="宋体" w:hAnsi="宋体"/>
                <w:color w:val="auto"/>
                <w:kern w:val="0"/>
                <w:sz w:val="24"/>
                <w:highlight w:val="none"/>
              </w:rPr>
            </w:pPr>
          </w:p>
        </w:tc>
      </w:tr>
      <w:tr w14:paraId="0857A76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697" w:type="dxa"/>
          </w:tcPr>
          <w:p w14:paraId="7A0B7F21">
            <w:pPr>
              <w:adjustRightInd w:val="0"/>
              <w:snapToGrid w:val="0"/>
              <w:spacing w:line="360" w:lineRule="auto"/>
              <w:rPr>
                <w:rFonts w:ascii="宋体" w:hAnsi="宋体"/>
                <w:color w:val="auto"/>
                <w:kern w:val="0"/>
                <w:sz w:val="24"/>
                <w:highlight w:val="none"/>
              </w:rPr>
            </w:pPr>
          </w:p>
        </w:tc>
        <w:tc>
          <w:tcPr>
            <w:tcW w:w="2963" w:type="dxa"/>
          </w:tcPr>
          <w:p w14:paraId="6924C130">
            <w:pPr>
              <w:adjustRightInd w:val="0"/>
              <w:snapToGrid w:val="0"/>
              <w:spacing w:line="360" w:lineRule="auto"/>
              <w:rPr>
                <w:rFonts w:ascii="宋体" w:hAnsi="宋体"/>
                <w:color w:val="auto"/>
                <w:kern w:val="0"/>
                <w:sz w:val="24"/>
                <w:highlight w:val="none"/>
              </w:rPr>
            </w:pPr>
          </w:p>
        </w:tc>
        <w:tc>
          <w:tcPr>
            <w:tcW w:w="2439" w:type="dxa"/>
          </w:tcPr>
          <w:p w14:paraId="6603C7DB">
            <w:pPr>
              <w:adjustRightInd w:val="0"/>
              <w:snapToGrid w:val="0"/>
              <w:spacing w:line="360" w:lineRule="auto"/>
              <w:rPr>
                <w:rFonts w:ascii="宋体" w:hAnsi="宋体"/>
                <w:color w:val="auto"/>
                <w:kern w:val="0"/>
                <w:sz w:val="24"/>
                <w:highlight w:val="none"/>
              </w:rPr>
            </w:pPr>
          </w:p>
        </w:tc>
        <w:tc>
          <w:tcPr>
            <w:tcW w:w="2699" w:type="dxa"/>
          </w:tcPr>
          <w:p w14:paraId="4A082F5C">
            <w:pPr>
              <w:adjustRightInd w:val="0"/>
              <w:snapToGrid w:val="0"/>
              <w:spacing w:line="360" w:lineRule="auto"/>
              <w:rPr>
                <w:rFonts w:ascii="宋体" w:hAnsi="宋体"/>
                <w:color w:val="auto"/>
                <w:kern w:val="0"/>
                <w:sz w:val="24"/>
                <w:highlight w:val="none"/>
              </w:rPr>
            </w:pPr>
          </w:p>
        </w:tc>
      </w:tr>
      <w:tr w14:paraId="364BC62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697" w:type="dxa"/>
          </w:tcPr>
          <w:p w14:paraId="1334D21B">
            <w:pPr>
              <w:adjustRightInd w:val="0"/>
              <w:snapToGrid w:val="0"/>
              <w:spacing w:line="360" w:lineRule="auto"/>
              <w:rPr>
                <w:rFonts w:ascii="宋体" w:hAnsi="宋体"/>
                <w:color w:val="auto"/>
                <w:kern w:val="0"/>
                <w:sz w:val="24"/>
                <w:highlight w:val="none"/>
              </w:rPr>
            </w:pPr>
          </w:p>
        </w:tc>
        <w:tc>
          <w:tcPr>
            <w:tcW w:w="2963" w:type="dxa"/>
          </w:tcPr>
          <w:p w14:paraId="58745AA1">
            <w:pPr>
              <w:adjustRightInd w:val="0"/>
              <w:snapToGrid w:val="0"/>
              <w:spacing w:line="360" w:lineRule="auto"/>
              <w:rPr>
                <w:rFonts w:ascii="宋体" w:hAnsi="宋体"/>
                <w:color w:val="auto"/>
                <w:kern w:val="0"/>
                <w:sz w:val="24"/>
                <w:highlight w:val="none"/>
              </w:rPr>
            </w:pPr>
          </w:p>
        </w:tc>
        <w:tc>
          <w:tcPr>
            <w:tcW w:w="2439" w:type="dxa"/>
          </w:tcPr>
          <w:p w14:paraId="4D1432A4">
            <w:pPr>
              <w:adjustRightInd w:val="0"/>
              <w:snapToGrid w:val="0"/>
              <w:spacing w:line="360" w:lineRule="auto"/>
              <w:rPr>
                <w:rFonts w:ascii="宋体" w:hAnsi="宋体"/>
                <w:color w:val="auto"/>
                <w:kern w:val="0"/>
                <w:sz w:val="24"/>
                <w:highlight w:val="none"/>
              </w:rPr>
            </w:pPr>
          </w:p>
        </w:tc>
        <w:tc>
          <w:tcPr>
            <w:tcW w:w="2699" w:type="dxa"/>
          </w:tcPr>
          <w:p w14:paraId="4A897BAF">
            <w:pPr>
              <w:adjustRightInd w:val="0"/>
              <w:snapToGrid w:val="0"/>
              <w:spacing w:line="360" w:lineRule="auto"/>
              <w:rPr>
                <w:rFonts w:ascii="宋体" w:hAnsi="宋体"/>
                <w:color w:val="auto"/>
                <w:kern w:val="0"/>
                <w:sz w:val="24"/>
                <w:highlight w:val="none"/>
              </w:rPr>
            </w:pPr>
          </w:p>
        </w:tc>
      </w:tr>
      <w:tr w14:paraId="04D8A9F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697" w:type="dxa"/>
          </w:tcPr>
          <w:p w14:paraId="50F34F64">
            <w:pPr>
              <w:adjustRightInd w:val="0"/>
              <w:snapToGrid w:val="0"/>
              <w:spacing w:line="360" w:lineRule="auto"/>
              <w:rPr>
                <w:rFonts w:ascii="宋体" w:hAnsi="宋体"/>
                <w:color w:val="auto"/>
                <w:kern w:val="0"/>
                <w:sz w:val="24"/>
                <w:highlight w:val="none"/>
              </w:rPr>
            </w:pPr>
          </w:p>
        </w:tc>
        <w:tc>
          <w:tcPr>
            <w:tcW w:w="2963" w:type="dxa"/>
          </w:tcPr>
          <w:p w14:paraId="0FC99CF5">
            <w:pPr>
              <w:adjustRightInd w:val="0"/>
              <w:snapToGrid w:val="0"/>
              <w:spacing w:line="360" w:lineRule="auto"/>
              <w:rPr>
                <w:rFonts w:ascii="宋体" w:hAnsi="宋体"/>
                <w:color w:val="auto"/>
                <w:kern w:val="0"/>
                <w:sz w:val="24"/>
                <w:highlight w:val="none"/>
              </w:rPr>
            </w:pPr>
          </w:p>
        </w:tc>
        <w:tc>
          <w:tcPr>
            <w:tcW w:w="2439" w:type="dxa"/>
          </w:tcPr>
          <w:p w14:paraId="6FE800C8">
            <w:pPr>
              <w:adjustRightInd w:val="0"/>
              <w:snapToGrid w:val="0"/>
              <w:spacing w:line="360" w:lineRule="auto"/>
              <w:rPr>
                <w:rFonts w:ascii="宋体" w:hAnsi="宋体"/>
                <w:color w:val="auto"/>
                <w:kern w:val="0"/>
                <w:sz w:val="24"/>
                <w:highlight w:val="none"/>
              </w:rPr>
            </w:pPr>
          </w:p>
        </w:tc>
        <w:tc>
          <w:tcPr>
            <w:tcW w:w="2699" w:type="dxa"/>
          </w:tcPr>
          <w:p w14:paraId="6E1E115C">
            <w:pPr>
              <w:adjustRightInd w:val="0"/>
              <w:snapToGrid w:val="0"/>
              <w:spacing w:line="360" w:lineRule="auto"/>
              <w:rPr>
                <w:rFonts w:ascii="宋体" w:hAnsi="宋体"/>
                <w:color w:val="auto"/>
                <w:kern w:val="0"/>
                <w:sz w:val="24"/>
                <w:highlight w:val="none"/>
              </w:rPr>
            </w:pPr>
          </w:p>
        </w:tc>
      </w:tr>
      <w:tr w14:paraId="6A50246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697" w:type="dxa"/>
          </w:tcPr>
          <w:p w14:paraId="106CD43C">
            <w:pPr>
              <w:adjustRightInd w:val="0"/>
              <w:snapToGrid w:val="0"/>
              <w:spacing w:line="360" w:lineRule="auto"/>
              <w:rPr>
                <w:rFonts w:ascii="宋体" w:hAnsi="宋体"/>
                <w:color w:val="auto"/>
                <w:kern w:val="0"/>
                <w:sz w:val="24"/>
                <w:highlight w:val="none"/>
              </w:rPr>
            </w:pPr>
          </w:p>
        </w:tc>
        <w:tc>
          <w:tcPr>
            <w:tcW w:w="2963" w:type="dxa"/>
          </w:tcPr>
          <w:p w14:paraId="25BA0A21">
            <w:pPr>
              <w:adjustRightInd w:val="0"/>
              <w:snapToGrid w:val="0"/>
              <w:spacing w:line="360" w:lineRule="auto"/>
              <w:rPr>
                <w:rFonts w:ascii="宋体" w:hAnsi="宋体"/>
                <w:color w:val="auto"/>
                <w:kern w:val="0"/>
                <w:sz w:val="24"/>
                <w:highlight w:val="none"/>
              </w:rPr>
            </w:pPr>
          </w:p>
        </w:tc>
        <w:tc>
          <w:tcPr>
            <w:tcW w:w="2439" w:type="dxa"/>
          </w:tcPr>
          <w:p w14:paraId="7234C7A0">
            <w:pPr>
              <w:adjustRightInd w:val="0"/>
              <w:snapToGrid w:val="0"/>
              <w:spacing w:line="360" w:lineRule="auto"/>
              <w:rPr>
                <w:rFonts w:ascii="宋体" w:hAnsi="宋体"/>
                <w:color w:val="auto"/>
                <w:kern w:val="0"/>
                <w:sz w:val="24"/>
                <w:highlight w:val="none"/>
              </w:rPr>
            </w:pPr>
          </w:p>
        </w:tc>
        <w:tc>
          <w:tcPr>
            <w:tcW w:w="2699" w:type="dxa"/>
          </w:tcPr>
          <w:p w14:paraId="0BE5E094">
            <w:pPr>
              <w:adjustRightInd w:val="0"/>
              <w:snapToGrid w:val="0"/>
              <w:spacing w:line="360" w:lineRule="auto"/>
              <w:rPr>
                <w:rFonts w:ascii="宋体" w:hAnsi="宋体"/>
                <w:color w:val="auto"/>
                <w:kern w:val="0"/>
                <w:sz w:val="24"/>
                <w:highlight w:val="none"/>
              </w:rPr>
            </w:pPr>
          </w:p>
        </w:tc>
      </w:tr>
      <w:tr w14:paraId="2ECAFBD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697" w:type="dxa"/>
          </w:tcPr>
          <w:p w14:paraId="7F3C694E">
            <w:pPr>
              <w:adjustRightInd w:val="0"/>
              <w:snapToGrid w:val="0"/>
              <w:spacing w:line="360" w:lineRule="auto"/>
              <w:rPr>
                <w:rFonts w:ascii="宋体" w:hAnsi="宋体"/>
                <w:color w:val="auto"/>
                <w:kern w:val="0"/>
                <w:sz w:val="24"/>
                <w:highlight w:val="none"/>
              </w:rPr>
            </w:pPr>
          </w:p>
        </w:tc>
        <w:tc>
          <w:tcPr>
            <w:tcW w:w="2963" w:type="dxa"/>
          </w:tcPr>
          <w:p w14:paraId="5652DBBD">
            <w:pPr>
              <w:adjustRightInd w:val="0"/>
              <w:snapToGrid w:val="0"/>
              <w:spacing w:line="360" w:lineRule="auto"/>
              <w:rPr>
                <w:rFonts w:ascii="宋体" w:hAnsi="宋体"/>
                <w:color w:val="auto"/>
                <w:kern w:val="0"/>
                <w:sz w:val="24"/>
                <w:highlight w:val="none"/>
              </w:rPr>
            </w:pPr>
          </w:p>
        </w:tc>
        <w:tc>
          <w:tcPr>
            <w:tcW w:w="2439" w:type="dxa"/>
          </w:tcPr>
          <w:p w14:paraId="4DAD341F">
            <w:pPr>
              <w:adjustRightInd w:val="0"/>
              <w:snapToGrid w:val="0"/>
              <w:spacing w:line="360" w:lineRule="auto"/>
              <w:rPr>
                <w:rFonts w:ascii="宋体" w:hAnsi="宋体"/>
                <w:color w:val="auto"/>
                <w:kern w:val="0"/>
                <w:sz w:val="24"/>
                <w:highlight w:val="none"/>
              </w:rPr>
            </w:pPr>
          </w:p>
        </w:tc>
        <w:tc>
          <w:tcPr>
            <w:tcW w:w="2699" w:type="dxa"/>
          </w:tcPr>
          <w:p w14:paraId="4F365FC9">
            <w:pPr>
              <w:adjustRightInd w:val="0"/>
              <w:snapToGrid w:val="0"/>
              <w:spacing w:line="360" w:lineRule="auto"/>
              <w:rPr>
                <w:rFonts w:ascii="宋体" w:hAnsi="宋体"/>
                <w:color w:val="auto"/>
                <w:kern w:val="0"/>
                <w:sz w:val="24"/>
                <w:highlight w:val="none"/>
              </w:rPr>
            </w:pPr>
          </w:p>
        </w:tc>
      </w:tr>
      <w:tr w14:paraId="308D45C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697" w:type="dxa"/>
          </w:tcPr>
          <w:p w14:paraId="5B4F6C9C">
            <w:pPr>
              <w:adjustRightInd w:val="0"/>
              <w:snapToGrid w:val="0"/>
              <w:spacing w:line="360" w:lineRule="auto"/>
              <w:rPr>
                <w:rFonts w:ascii="宋体" w:hAnsi="宋体"/>
                <w:color w:val="auto"/>
                <w:kern w:val="0"/>
                <w:sz w:val="24"/>
                <w:highlight w:val="none"/>
              </w:rPr>
            </w:pPr>
          </w:p>
        </w:tc>
        <w:tc>
          <w:tcPr>
            <w:tcW w:w="2963" w:type="dxa"/>
          </w:tcPr>
          <w:p w14:paraId="5AFF0625">
            <w:pPr>
              <w:adjustRightInd w:val="0"/>
              <w:snapToGrid w:val="0"/>
              <w:spacing w:line="360" w:lineRule="auto"/>
              <w:rPr>
                <w:rFonts w:ascii="宋体" w:hAnsi="宋体"/>
                <w:color w:val="auto"/>
                <w:kern w:val="0"/>
                <w:sz w:val="24"/>
                <w:highlight w:val="none"/>
              </w:rPr>
            </w:pPr>
          </w:p>
        </w:tc>
        <w:tc>
          <w:tcPr>
            <w:tcW w:w="2439" w:type="dxa"/>
          </w:tcPr>
          <w:p w14:paraId="67D82F50">
            <w:pPr>
              <w:adjustRightInd w:val="0"/>
              <w:snapToGrid w:val="0"/>
              <w:spacing w:line="360" w:lineRule="auto"/>
              <w:rPr>
                <w:rFonts w:ascii="宋体" w:hAnsi="宋体"/>
                <w:color w:val="auto"/>
                <w:kern w:val="0"/>
                <w:sz w:val="24"/>
                <w:highlight w:val="none"/>
              </w:rPr>
            </w:pPr>
          </w:p>
        </w:tc>
        <w:tc>
          <w:tcPr>
            <w:tcW w:w="2699" w:type="dxa"/>
          </w:tcPr>
          <w:p w14:paraId="14F8A6D8">
            <w:pPr>
              <w:adjustRightInd w:val="0"/>
              <w:snapToGrid w:val="0"/>
              <w:spacing w:line="360" w:lineRule="auto"/>
              <w:rPr>
                <w:rFonts w:ascii="宋体" w:hAnsi="宋体"/>
                <w:color w:val="auto"/>
                <w:kern w:val="0"/>
                <w:sz w:val="24"/>
                <w:highlight w:val="none"/>
              </w:rPr>
            </w:pPr>
          </w:p>
        </w:tc>
      </w:tr>
      <w:tr w14:paraId="0E01A06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697" w:type="dxa"/>
          </w:tcPr>
          <w:p w14:paraId="42DD802E">
            <w:pPr>
              <w:adjustRightInd w:val="0"/>
              <w:snapToGrid w:val="0"/>
              <w:spacing w:line="360" w:lineRule="auto"/>
              <w:rPr>
                <w:rFonts w:ascii="宋体" w:hAnsi="宋体"/>
                <w:color w:val="auto"/>
                <w:kern w:val="0"/>
                <w:sz w:val="24"/>
                <w:highlight w:val="none"/>
              </w:rPr>
            </w:pPr>
          </w:p>
        </w:tc>
        <w:tc>
          <w:tcPr>
            <w:tcW w:w="2963" w:type="dxa"/>
          </w:tcPr>
          <w:p w14:paraId="50B84163">
            <w:pPr>
              <w:adjustRightInd w:val="0"/>
              <w:snapToGrid w:val="0"/>
              <w:spacing w:line="360" w:lineRule="auto"/>
              <w:rPr>
                <w:rFonts w:ascii="宋体" w:hAnsi="宋体"/>
                <w:color w:val="auto"/>
                <w:kern w:val="0"/>
                <w:sz w:val="24"/>
                <w:highlight w:val="none"/>
              </w:rPr>
            </w:pPr>
          </w:p>
        </w:tc>
        <w:tc>
          <w:tcPr>
            <w:tcW w:w="2439" w:type="dxa"/>
          </w:tcPr>
          <w:p w14:paraId="0F86B3F5">
            <w:pPr>
              <w:adjustRightInd w:val="0"/>
              <w:snapToGrid w:val="0"/>
              <w:spacing w:line="360" w:lineRule="auto"/>
              <w:rPr>
                <w:rFonts w:ascii="宋体" w:hAnsi="宋体"/>
                <w:color w:val="auto"/>
                <w:kern w:val="0"/>
                <w:sz w:val="24"/>
                <w:highlight w:val="none"/>
              </w:rPr>
            </w:pPr>
          </w:p>
        </w:tc>
        <w:tc>
          <w:tcPr>
            <w:tcW w:w="2699" w:type="dxa"/>
          </w:tcPr>
          <w:p w14:paraId="5366EB5C">
            <w:pPr>
              <w:adjustRightInd w:val="0"/>
              <w:snapToGrid w:val="0"/>
              <w:spacing w:line="360" w:lineRule="auto"/>
              <w:rPr>
                <w:rFonts w:ascii="宋体" w:hAnsi="宋体"/>
                <w:color w:val="auto"/>
                <w:kern w:val="0"/>
                <w:sz w:val="24"/>
                <w:highlight w:val="none"/>
              </w:rPr>
            </w:pPr>
          </w:p>
        </w:tc>
      </w:tr>
      <w:tr w14:paraId="684C8FF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697" w:type="dxa"/>
          </w:tcPr>
          <w:p w14:paraId="6169753C">
            <w:pPr>
              <w:adjustRightInd w:val="0"/>
              <w:snapToGrid w:val="0"/>
              <w:spacing w:line="360" w:lineRule="auto"/>
              <w:rPr>
                <w:rFonts w:ascii="宋体" w:hAnsi="宋体"/>
                <w:color w:val="auto"/>
                <w:kern w:val="0"/>
                <w:sz w:val="24"/>
                <w:highlight w:val="none"/>
              </w:rPr>
            </w:pPr>
          </w:p>
        </w:tc>
        <w:tc>
          <w:tcPr>
            <w:tcW w:w="2963" w:type="dxa"/>
          </w:tcPr>
          <w:p w14:paraId="39C044DA">
            <w:pPr>
              <w:adjustRightInd w:val="0"/>
              <w:snapToGrid w:val="0"/>
              <w:spacing w:line="360" w:lineRule="auto"/>
              <w:rPr>
                <w:rFonts w:ascii="宋体" w:hAnsi="宋体"/>
                <w:color w:val="auto"/>
                <w:kern w:val="0"/>
                <w:sz w:val="24"/>
                <w:highlight w:val="none"/>
              </w:rPr>
            </w:pPr>
          </w:p>
        </w:tc>
        <w:tc>
          <w:tcPr>
            <w:tcW w:w="2439" w:type="dxa"/>
          </w:tcPr>
          <w:p w14:paraId="62054D1D">
            <w:pPr>
              <w:adjustRightInd w:val="0"/>
              <w:snapToGrid w:val="0"/>
              <w:spacing w:line="360" w:lineRule="auto"/>
              <w:rPr>
                <w:rFonts w:ascii="宋体" w:hAnsi="宋体"/>
                <w:color w:val="auto"/>
                <w:kern w:val="0"/>
                <w:sz w:val="24"/>
                <w:highlight w:val="none"/>
              </w:rPr>
            </w:pPr>
          </w:p>
        </w:tc>
        <w:tc>
          <w:tcPr>
            <w:tcW w:w="2699" w:type="dxa"/>
          </w:tcPr>
          <w:p w14:paraId="2F13B790">
            <w:pPr>
              <w:adjustRightInd w:val="0"/>
              <w:snapToGrid w:val="0"/>
              <w:spacing w:line="360" w:lineRule="auto"/>
              <w:rPr>
                <w:rFonts w:ascii="宋体" w:hAnsi="宋体"/>
                <w:color w:val="auto"/>
                <w:kern w:val="0"/>
                <w:sz w:val="24"/>
                <w:highlight w:val="none"/>
              </w:rPr>
            </w:pPr>
          </w:p>
        </w:tc>
      </w:tr>
    </w:tbl>
    <w:p w14:paraId="2E309014">
      <w:pPr>
        <w:adjustRightInd w:val="0"/>
        <w:snapToGrid w:val="0"/>
        <w:spacing w:line="360" w:lineRule="auto"/>
        <w:rPr>
          <w:rFonts w:ascii="宋体" w:hAnsi="宋体"/>
          <w:color w:val="auto"/>
          <w:szCs w:val="21"/>
          <w:highlight w:val="none"/>
        </w:rPr>
      </w:pPr>
    </w:p>
    <w:p w14:paraId="734A053F">
      <w:pPr>
        <w:adjustRightInd w:val="0"/>
        <w:snapToGrid w:val="0"/>
        <w:spacing w:line="360" w:lineRule="auto"/>
        <w:rPr>
          <w:rFonts w:ascii="宋体" w:hAnsi="宋体"/>
          <w:color w:val="auto"/>
          <w:szCs w:val="21"/>
          <w:highlight w:val="none"/>
        </w:rPr>
      </w:pPr>
      <w:r>
        <w:rPr>
          <w:rFonts w:hint="eastAsia" w:ascii="宋体" w:hAnsi="宋体"/>
          <w:color w:val="auto"/>
          <w:szCs w:val="21"/>
          <w:highlight w:val="none"/>
        </w:rPr>
        <w:t>评标委员会（签字）：</w:t>
      </w:r>
    </w:p>
    <w:p w14:paraId="29DE4696">
      <w:pPr>
        <w:adjustRightInd w:val="0"/>
        <w:snapToGrid w:val="0"/>
        <w:spacing w:line="360" w:lineRule="auto"/>
        <w:rPr>
          <w:rFonts w:ascii="宋体" w:hAnsi="宋体"/>
          <w:color w:val="auto"/>
          <w:szCs w:val="21"/>
          <w:highlight w:val="none"/>
        </w:rPr>
      </w:pPr>
      <w:r>
        <w:rPr>
          <w:rFonts w:hint="eastAsia" w:ascii="宋体" w:hAnsi="宋体"/>
          <w:color w:val="auto"/>
          <w:szCs w:val="21"/>
          <w:highlight w:val="none"/>
        </w:rPr>
        <w:t>日期：年月日</w:t>
      </w:r>
    </w:p>
    <w:p w14:paraId="21709B31">
      <w:pPr>
        <w:widowControl/>
        <w:jc w:val="left"/>
        <w:rPr>
          <w:rFonts w:ascii="宋体" w:hAnsi="宋体"/>
          <w:color w:val="auto"/>
          <w:sz w:val="24"/>
          <w:highlight w:val="none"/>
        </w:rPr>
      </w:pPr>
      <w:r>
        <w:rPr>
          <w:rFonts w:ascii="宋体" w:hAnsi="宋体"/>
          <w:color w:val="auto"/>
          <w:sz w:val="24"/>
          <w:highlight w:val="none"/>
        </w:rPr>
        <w:br w:type="page"/>
      </w:r>
    </w:p>
    <w:p w14:paraId="080C4395">
      <w:pPr>
        <w:pStyle w:val="5"/>
        <w:adjustRightInd w:val="0"/>
        <w:snapToGrid w:val="0"/>
        <w:spacing w:before="0" w:after="0" w:line="360" w:lineRule="auto"/>
        <w:rPr>
          <w:rFonts w:ascii="黑体" w:hAnsi="黑体"/>
          <w:b w:val="0"/>
          <w:color w:val="auto"/>
          <w:sz w:val="21"/>
          <w:szCs w:val="21"/>
          <w:highlight w:val="none"/>
        </w:rPr>
      </w:pPr>
      <w:bookmarkStart w:id="1084" w:name="_Toc75289265"/>
      <w:bookmarkStart w:id="1085" w:name="_Toc15888519"/>
      <w:r>
        <w:rPr>
          <w:rFonts w:hint="eastAsia" w:ascii="黑体" w:hAnsi="黑体"/>
          <w:b w:val="0"/>
          <w:color w:val="auto"/>
          <w:sz w:val="21"/>
          <w:szCs w:val="21"/>
          <w:highlight w:val="none"/>
        </w:rPr>
        <w:t>附表3 符合性审查合格投标人名单</w:t>
      </w:r>
      <w:bookmarkEnd w:id="1084"/>
      <w:bookmarkEnd w:id="1085"/>
    </w:p>
    <w:p w14:paraId="4C313CDD">
      <w:pPr>
        <w:pStyle w:val="4"/>
        <w:jc w:val="center"/>
        <w:rPr>
          <w:rFonts w:ascii="黑体" w:hAnsi="黑体" w:eastAsia="黑体"/>
          <w:b w:val="0"/>
          <w:color w:val="auto"/>
          <w:sz w:val="28"/>
          <w:szCs w:val="28"/>
          <w:highlight w:val="none"/>
        </w:rPr>
      </w:pPr>
      <w:bookmarkStart w:id="1086" w:name="_Toc9519"/>
      <w:bookmarkStart w:id="1087" w:name="_Toc4434"/>
      <w:bookmarkStart w:id="1088" w:name="_Toc192949639"/>
      <w:bookmarkStart w:id="1089" w:name="_Toc100670457"/>
      <w:bookmarkStart w:id="1090" w:name="_Toc154428426"/>
      <w:bookmarkStart w:id="1091" w:name="_Toc4129"/>
      <w:bookmarkStart w:id="1092" w:name="_Toc108341974"/>
      <w:bookmarkStart w:id="1093" w:name="_Toc23476"/>
      <w:bookmarkStart w:id="1094" w:name="_Toc75289266"/>
      <w:bookmarkStart w:id="1095" w:name="_Toc78314298"/>
      <w:bookmarkStart w:id="1096" w:name="_Toc85972966"/>
      <w:bookmarkStart w:id="1097" w:name="_Toc192949738"/>
      <w:bookmarkStart w:id="1098" w:name="_Toc13561"/>
      <w:bookmarkStart w:id="1099" w:name="_Toc29059"/>
      <w:bookmarkStart w:id="1100" w:name="_Toc23738"/>
      <w:bookmarkStart w:id="1101" w:name="_Toc29808"/>
      <w:bookmarkStart w:id="1102" w:name="_Toc94367916"/>
      <w:bookmarkStart w:id="1103" w:name="_Toc117192485"/>
      <w:bookmarkStart w:id="1104" w:name="_Toc75289584"/>
      <w:bookmarkStart w:id="1105" w:name="_Toc100670705"/>
      <w:bookmarkStart w:id="1106" w:name="_Toc112704970"/>
      <w:bookmarkStart w:id="1107" w:name="_Toc25949"/>
      <w:bookmarkStart w:id="1108" w:name="_Toc77676502"/>
      <w:bookmarkStart w:id="1109" w:name="_Toc171273707"/>
      <w:bookmarkStart w:id="1110" w:name="_Toc114036749"/>
      <w:bookmarkStart w:id="1111" w:name="_Toc95601401"/>
      <w:bookmarkStart w:id="1112" w:name="_Toc77199435"/>
      <w:bookmarkStart w:id="1113" w:name="_Toc78449991"/>
      <w:bookmarkStart w:id="1114" w:name="_Toc192951249"/>
      <w:r>
        <w:rPr>
          <w:rFonts w:hint="eastAsia" w:ascii="黑体" w:hAnsi="黑体" w:eastAsia="黑体"/>
          <w:b w:val="0"/>
          <w:color w:val="auto"/>
          <w:sz w:val="28"/>
          <w:szCs w:val="28"/>
          <w:highlight w:val="none"/>
        </w:rPr>
        <w:t>符合性审查合格投标人名单</w:t>
      </w:r>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p>
    <w:p w14:paraId="3E85534C">
      <w:pPr>
        <w:adjustRightInd w:val="0"/>
        <w:snapToGrid w:val="0"/>
        <w:spacing w:line="360" w:lineRule="auto"/>
        <w:rPr>
          <w:rFonts w:ascii="华文中宋" w:hAnsi="华文中宋" w:eastAsia="华文中宋"/>
          <w:color w:val="auto"/>
          <w:sz w:val="32"/>
          <w:szCs w:val="32"/>
          <w:highlight w:val="none"/>
        </w:rPr>
      </w:pPr>
      <w:r>
        <w:rPr>
          <w:rFonts w:hint="eastAsia" w:ascii="宋体" w:hAnsi="宋体"/>
          <w:color w:val="auto"/>
          <w:szCs w:val="21"/>
          <w:highlight w:val="none"/>
        </w:rPr>
        <w:t>项目名称：                                        政府采购计划编号：</w:t>
      </w:r>
    </w:p>
    <w:tbl>
      <w:tblPr>
        <w:tblStyle w:val="47"/>
        <w:tblW w:w="8586"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790"/>
        <w:gridCol w:w="7796"/>
      </w:tblGrid>
      <w:tr w14:paraId="4975CCE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790" w:type="dxa"/>
            <w:vAlign w:val="center"/>
          </w:tcPr>
          <w:p w14:paraId="311C5033">
            <w:pPr>
              <w:jc w:val="center"/>
              <w:rPr>
                <w:b/>
                <w:color w:val="auto"/>
                <w:kern w:val="0"/>
                <w:szCs w:val="21"/>
                <w:highlight w:val="none"/>
              </w:rPr>
            </w:pPr>
            <w:r>
              <w:rPr>
                <w:rFonts w:hint="eastAsia"/>
                <w:b/>
                <w:color w:val="auto"/>
                <w:kern w:val="0"/>
                <w:szCs w:val="21"/>
                <w:highlight w:val="none"/>
              </w:rPr>
              <w:t>序号</w:t>
            </w:r>
          </w:p>
        </w:tc>
        <w:tc>
          <w:tcPr>
            <w:tcW w:w="7796" w:type="dxa"/>
            <w:vAlign w:val="center"/>
          </w:tcPr>
          <w:p w14:paraId="1ECB40D2">
            <w:pPr>
              <w:jc w:val="center"/>
              <w:rPr>
                <w:b/>
                <w:color w:val="auto"/>
                <w:kern w:val="0"/>
                <w:szCs w:val="21"/>
                <w:highlight w:val="none"/>
              </w:rPr>
            </w:pPr>
            <w:r>
              <w:rPr>
                <w:rFonts w:hint="eastAsia"/>
                <w:b/>
                <w:color w:val="auto"/>
                <w:kern w:val="0"/>
                <w:szCs w:val="21"/>
                <w:highlight w:val="none"/>
              </w:rPr>
              <w:t>合格投标人名称</w:t>
            </w:r>
          </w:p>
        </w:tc>
      </w:tr>
      <w:tr w14:paraId="5F55A9D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790" w:type="dxa"/>
          </w:tcPr>
          <w:p w14:paraId="1B80A8D1">
            <w:pPr>
              <w:adjustRightInd w:val="0"/>
              <w:snapToGrid w:val="0"/>
              <w:spacing w:line="360" w:lineRule="auto"/>
              <w:rPr>
                <w:rFonts w:ascii="宋体" w:hAnsi="宋体"/>
                <w:color w:val="auto"/>
                <w:kern w:val="0"/>
                <w:szCs w:val="21"/>
                <w:highlight w:val="none"/>
              </w:rPr>
            </w:pPr>
          </w:p>
        </w:tc>
        <w:tc>
          <w:tcPr>
            <w:tcW w:w="7796" w:type="dxa"/>
          </w:tcPr>
          <w:p w14:paraId="18C36EF5">
            <w:pPr>
              <w:adjustRightInd w:val="0"/>
              <w:snapToGrid w:val="0"/>
              <w:spacing w:line="360" w:lineRule="auto"/>
              <w:rPr>
                <w:rFonts w:ascii="宋体" w:hAnsi="宋体"/>
                <w:color w:val="auto"/>
                <w:kern w:val="0"/>
                <w:szCs w:val="21"/>
                <w:highlight w:val="none"/>
              </w:rPr>
            </w:pPr>
          </w:p>
        </w:tc>
      </w:tr>
      <w:tr w14:paraId="704F63E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790" w:type="dxa"/>
          </w:tcPr>
          <w:p w14:paraId="4A05A6A9">
            <w:pPr>
              <w:adjustRightInd w:val="0"/>
              <w:snapToGrid w:val="0"/>
              <w:spacing w:line="360" w:lineRule="auto"/>
              <w:rPr>
                <w:rFonts w:ascii="宋体" w:hAnsi="宋体"/>
                <w:color w:val="auto"/>
                <w:kern w:val="0"/>
                <w:sz w:val="24"/>
                <w:highlight w:val="none"/>
              </w:rPr>
            </w:pPr>
          </w:p>
        </w:tc>
        <w:tc>
          <w:tcPr>
            <w:tcW w:w="7796" w:type="dxa"/>
          </w:tcPr>
          <w:p w14:paraId="005996F7">
            <w:pPr>
              <w:adjustRightInd w:val="0"/>
              <w:snapToGrid w:val="0"/>
              <w:spacing w:line="360" w:lineRule="auto"/>
              <w:rPr>
                <w:rFonts w:ascii="宋体" w:hAnsi="宋体"/>
                <w:color w:val="auto"/>
                <w:kern w:val="0"/>
                <w:sz w:val="24"/>
                <w:highlight w:val="none"/>
              </w:rPr>
            </w:pPr>
          </w:p>
        </w:tc>
      </w:tr>
      <w:tr w14:paraId="72C28E7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790" w:type="dxa"/>
          </w:tcPr>
          <w:p w14:paraId="5DDC9C28">
            <w:pPr>
              <w:adjustRightInd w:val="0"/>
              <w:snapToGrid w:val="0"/>
              <w:spacing w:line="360" w:lineRule="auto"/>
              <w:rPr>
                <w:rFonts w:ascii="宋体" w:hAnsi="宋体"/>
                <w:color w:val="auto"/>
                <w:kern w:val="0"/>
                <w:sz w:val="24"/>
                <w:highlight w:val="none"/>
              </w:rPr>
            </w:pPr>
          </w:p>
        </w:tc>
        <w:tc>
          <w:tcPr>
            <w:tcW w:w="7796" w:type="dxa"/>
          </w:tcPr>
          <w:p w14:paraId="024F084C">
            <w:pPr>
              <w:adjustRightInd w:val="0"/>
              <w:snapToGrid w:val="0"/>
              <w:spacing w:line="360" w:lineRule="auto"/>
              <w:rPr>
                <w:rFonts w:ascii="宋体" w:hAnsi="宋体"/>
                <w:color w:val="auto"/>
                <w:kern w:val="0"/>
                <w:sz w:val="24"/>
                <w:highlight w:val="none"/>
              </w:rPr>
            </w:pPr>
          </w:p>
        </w:tc>
      </w:tr>
      <w:tr w14:paraId="54DA495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790" w:type="dxa"/>
          </w:tcPr>
          <w:p w14:paraId="158A27F4">
            <w:pPr>
              <w:adjustRightInd w:val="0"/>
              <w:snapToGrid w:val="0"/>
              <w:spacing w:line="360" w:lineRule="auto"/>
              <w:rPr>
                <w:rFonts w:ascii="宋体" w:hAnsi="宋体"/>
                <w:color w:val="auto"/>
                <w:kern w:val="0"/>
                <w:sz w:val="24"/>
                <w:highlight w:val="none"/>
              </w:rPr>
            </w:pPr>
          </w:p>
        </w:tc>
        <w:tc>
          <w:tcPr>
            <w:tcW w:w="7796" w:type="dxa"/>
          </w:tcPr>
          <w:p w14:paraId="6FFB7937">
            <w:pPr>
              <w:adjustRightInd w:val="0"/>
              <w:snapToGrid w:val="0"/>
              <w:spacing w:line="360" w:lineRule="auto"/>
              <w:rPr>
                <w:rFonts w:ascii="宋体" w:hAnsi="宋体"/>
                <w:color w:val="auto"/>
                <w:kern w:val="0"/>
                <w:sz w:val="24"/>
                <w:highlight w:val="none"/>
              </w:rPr>
            </w:pPr>
          </w:p>
        </w:tc>
      </w:tr>
      <w:tr w14:paraId="0C60B4B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790" w:type="dxa"/>
          </w:tcPr>
          <w:p w14:paraId="17DD523A">
            <w:pPr>
              <w:adjustRightInd w:val="0"/>
              <w:snapToGrid w:val="0"/>
              <w:spacing w:line="360" w:lineRule="auto"/>
              <w:rPr>
                <w:rFonts w:ascii="宋体" w:hAnsi="宋体"/>
                <w:color w:val="auto"/>
                <w:kern w:val="0"/>
                <w:sz w:val="28"/>
                <w:szCs w:val="28"/>
                <w:highlight w:val="none"/>
              </w:rPr>
            </w:pPr>
          </w:p>
        </w:tc>
        <w:tc>
          <w:tcPr>
            <w:tcW w:w="7796" w:type="dxa"/>
          </w:tcPr>
          <w:p w14:paraId="70667645">
            <w:pPr>
              <w:adjustRightInd w:val="0"/>
              <w:snapToGrid w:val="0"/>
              <w:spacing w:line="360" w:lineRule="auto"/>
              <w:rPr>
                <w:rFonts w:ascii="宋体" w:hAnsi="宋体"/>
                <w:color w:val="auto"/>
                <w:kern w:val="0"/>
                <w:sz w:val="28"/>
                <w:szCs w:val="28"/>
                <w:highlight w:val="none"/>
              </w:rPr>
            </w:pPr>
          </w:p>
        </w:tc>
      </w:tr>
      <w:tr w14:paraId="456C140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790" w:type="dxa"/>
          </w:tcPr>
          <w:p w14:paraId="4E76CE24">
            <w:pPr>
              <w:adjustRightInd w:val="0"/>
              <w:snapToGrid w:val="0"/>
              <w:spacing w:line="360" w:lineRule="auto"/>
              <w:rPr>
                <w:rFonts w:ascii="宋体" w:hAnsi="宋体"/>
                <w:color w:val="auto"/>
                <w:kern w:val="0"/>
                <w:sz w:val="28"/>
                <w:szCs w:val="28"/>
                <w:highlight w:val="none"/>
              </w:rPr>
            </w:pPr>
          </w:p>
        </w:tc>
        <w:tc>
          <w:tcPr>
            <w:tcW w:w="7796" w:type="dxa"/>
          </w:tcPr>
          <w:p w14:paraId="05ECD64E">
            <w:pPr>
              <w:adjustRightInd w:val="0"/>
              <w:snapToGrid w:val="0"/>
              <w:spacing w:line="360" w:lineRule="auto"/>
              <w:rPr>
                <w:rFonts w:ascii="宋体" w:hAnsi="宋体"/>
                <w:color w:val="auto"/>
                <w:kern w:val="0"/>
                <w:sz w:val="28"/>
                <w:szCs w:val="28"/>
                <w:highlight w:val="none"/>
              </w:rPr>
            </w:pPr>
          </w:p>
        </w:tc>
      </w:tr>
    </w:tbl>
    <w:p w14:paraId="3F48CF91">
      <w:pPr>
        <w:adjustRightInd w:val="0"/>
        <w:snapToGrid w:val="0"/>
        <w:spacing w:line="360" w:lineRule="auto"/>
        <w:rPr>
          <w:rFonts w:ascii="宋体" w:hAnsi="宋体"/>
          <w:color w:val="auto"/>
          <w:sz w:val="22"/>
          <w:szCs w:val="22"/>
          <w:highlight w:val="none"/>
        </w:rPr>
      </w:pPr>
    </w:p>
    <w:p w14:paraId="71968A4F">
      <w:pPr>
        <w:adjustRightInd w:val="0"/>
        <w:snapToGrid w:val="0"/>
        <w:spacing w:line="360" w:lineRule="auto"/>
        <w:rPr>
          <w:rFonts w:ascii="宋体" w:hAnsi="宋体"/>
          <w:color w:val="auto"/>
          <w:sz w:val="22"/>
          <w:szCs w:val="22"/>
          <w:highlight w:val="none"/>
        </w:rPr>
      </w:pPr>
      <w:r>
        <w:rPr>
          <w:rFonts w:hint="eastAsia" w:ascii="宋体" w:hAnsi="宋体"/>
          <w:color w:val="auto"/>
          <w:sz w:val="22"/>
          <w:szCs w:val="22"/>
          <w:highlight w:val="none"/>
        </w:rPr>
        <w:t>评标委员会（签字）：</w:t>
      </w:r>
    </w:p>
    <w:p w14:paraId="6D932337">
      <w:pPr>
        <w:jc w:val="left"/>
        <w:rPr>
          <w:rFonts w:ascii="宋体" w:hAnsi="宋体"/>
          <w:color w:val="auto"/>
          <w:szCs w:val="21"/>
          <w:highlight w:val="none"/>
        </w:rPr>
      </w:pPr>
      <w:r>
        <w:rPr>
          <w:rFonts w:hint="eastAsia" w:ascii="宋体" w:hAnsi="宋体"/>
          <w:color w:val="auto"/>
          <w:szCs w:val="21"/>
          <w:highlight w:val="none"/>
        </w:rPr>
        <w:t>日期：  年  月   日</w:t>
      </w:r>
    </w:p>
    <w:p w14:paraId="4548A95F">
      <w:pPr>
        <w:pStyle w:val="2"/>
        <w:adjustRightInd w:val="0"/>
        <w:snapToGrid w:val="0"/>
        <w:spacing w:after="120" w:afterLines="50"/>
        <w:jc w:val="center"/>
        <w:rPr>
          <w:rFonts w:ascii="黑体" w:hAnsi="华文中宋" w:eastAsia="黑体"/>
          <w:color w:val="auto"/>
          <w:sz w:val="28"/>
          <w:szCs w:val="28"/>
          <w:highlight w:val="none"/>
        </w:rPr>
      </w:pPr>
      <w:r>
        <w:rPr>
          <w:rFonts w:ascii="宋体" w:hAnsi="宋体"/>
          <w:color w:val="auto"/>
          <w:highlight w:val="none"/>
        </w:rPr>
        <w:br w:type="page"/>
      </w:r>
      <w:bookmarkStart w:id="1115" w:name="_Toc154428427"/>
      <w:bookmarkStart w:id="1116" w:name="_Toc16158"/>
      <w:bookmarkStart w:id="1117" w:name="_Toc23220"/>
      <w:bookmarkStart w:id="1118" w:name="_Toc100670458"/>
      <w:bookmarkStart w:id="1119" w:name="_Toc78449992"/>
      <w:bookmarkStart w:id="1120" w:name="_Toc114036750"/>
      <w:bookmarkStart w:id="1121" w:name="_Toc29803"/>
      <w:bookmarkStart w:id="1122" w:name="_Toc85972967"/>
      <w:bookmarkStart w:id="1123" w:name="_Toc192951250"/>
      <w:bookmarkStart w:id="1124" w:name="_Toc17327"/>
      <w:bookmarkStart w:id="1125" w:name="_Toc94367917"/>
      <w:bookmarkStart w:id="1126" w:name="_Toc192949739"/>
      <w:bookmarkStart w:id="1127" w:name="_Toc32432"/>
      <w:bookmarkStart w:id="1128" w:name="_Toc77199436"/>
      <w:bookmarkStart w:id="1129" w:name="_Toc108341975"/>
      <w:bookmarkStart w:id="1130" w:name="_Toc171273708"/>
      <w:bookmarkStart w:id="1131" w:name="_Toc192949640"/>
      <w:bookmarkStart w:id="1132" w:name="_Toc75289585"/>
      <w:bookmarkStart w:id="1133" w:name="_Toc75289267"/>
      <w:bookmarkStart w:id="1134" w:name="_Toc18850"/>
      <w:bookmarkStart w:id="1135" w:name="_Toc314471737"/>
      <w:bookmarkStart w:id="1136" w:name="_Toc20651230"/>
      <w:bookmarkStart w:id="1137" w:name="_Toc77676503"/>
      <w:bookmarkStart w:id="1138" w:name="_Toc78314299"/>
      <w:bookmarkStart w:id="1139" w:name="_Toc27806"/>
      <w:bookmarkStart w:id="1140" w:name="_Toc7591"/>
      <w:bookmarkStart w:id="1141" w:name="_Toc95601402"/>
      <w:bookmarkStart w:id="1142" w:name="_Toc100670706"/>
      <w:bookmarkStart w:id="1143" w:name="_Toc12549"/>
      <w:bookmarkStart w:id="1144" w:name="_Toc112704971"/>
      <w:bookmarkStart w:id="1145" w:name="_Toc117192486"/>
      <w:r>
        <w:rPr>
          <w:rFonts w:hint="eastAsia" w:ascii="黑体" w:hAnsi="华文中宋" w:eastAsia="黑体"/>
          <w:color w:val="auto"/>
          <w:sz w:val="28"/>
          <w:szCs w:val="28"/>
          <w:highlight w:val="none"/>
        </w:rPr>
        <w:t>第四节 投标文件的比较与评价（综合评分法）</w:t>
      </w:r>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p>
    <w:p w14:paraId="67B07947">
      <w:pPr>
        <w:widowControl/>
        <w:adjustRightInd w:val="0"/>
        <w:snapToGrid w:val="0"/>
        <w:spacing w:line="360" w:lineRule="auto"/>
        <w:rPr>
          <w:rFonts w:ascii="宋体" w:hAnsi="宋体"/>
          <w:b/>
          <w:color w:val="auto"/>
          <w:sz w:val="24"/>
          <w:highlight w:val="none"/>
        </w:rPr>
      </w:pPr>
      <w:r>
        <w:rPr>
          <w:rFonts w:hint="eastAsia" w:ascii="宋体" w:hAnsi="宋体"/>
          <w:b/>
          <w:color w:val="auto"/>
          <w:sz w:val="24"/>
          <w:highlight w:val="none"/>
        </w:rPr>
        <w:t>1.综合评分法</w:t>
      </w:r>
    </w:p>
    <w:p w14:paraId="327FB115">
      <w:pPr>
        <w:adjustRightInd w:val="0"/>
        <w:snapToGrid w:val="0"/>
        <w:spacing w:line="360" w:lineRule="auto"/>
        <w:ind w:firstLine="420" w:firstLineChars="200"/>
        <w:rPr>
          <w:rFonts w:ascii="宋体" w:hAnsi="宋体"/>
          <w:bCs/>
          <w:color w:val="auto"/>
          <w:szCs w:val="21"/>
          <w:highlight w:val="none"/>
        </w:rPr>
      </w:pPr>
      <w:r>
        <w:rPr>
          <w:rFonts w:hint="eastAsia" w:ascii="宋体" w:hAnsi="宋体"/>
          <w:bCs/>
          <w:color w:val="auto"/>
          <w:szCs w:val="21"/>
          <w:highlight w:val="none"/>
        </w:rPr>
        <w:t>1.1综合评分法，指投标文件满足招标文件全部实质性要求，且按照评审因素的量化指标评审得分最高的投标人为中标候选人的评标方法。</w:t>
      </w:r>
    </w:p>
    <w:p w14:paraId="274694B8">
      <w:pPr>
        <w:adjustRightInd w:val="0"/>
        <w:snapToGrid w:val="0"/>
        <w:spacing w:line="360" w:lineRule="auto"/>
        <w:ind w:firstLine="420" w:firstLineChars="200"/>
        <w:rPr>
          <w:rFonts w:ascii="宋体" w:hAnsi="宋体"/>
          <w:bCs/>
          <w:color w:val="auto"/>
          <w:szCs w:val="21"/>
          <w:highlight w:val="none"/>
        </w:rPr>
      </w:pPr>
      <w:r>
        <w:rPr>
          <w:rFonts w:hint="eastAsia" w:ascii="宋体" w:hAnsi="宋体"/>
          <w:bCs/>
          <w:color w:val="auto"/>
          <w:szCs w:val="21"/>
          <w:highlight w:val="none"/>
        </w:rPr>
        <w:t>1.2评标因素：评审因素的设定应当与投标人所提供货物服务的质量相关，包括投标报价、技术或者服务水平、履约能力、售后服务等，但不包括第一章投标人的资格要求。本采购项目的评标因素和标准见本章本节附页1“评标方法及标准表”。</w:t>
      </w:r>
    </w:p>
    <w:p w14:paraId="2FE1E19F">
      <w:pPr>
        <w:adjustRightInd w:val="0"/>
        <w:snapToGrid w:val="0"/>
        <w:spacing w:line="360" w:lineRule="auto"/>
        <w:ind w:firstLine="420" w:firstLineChars="200"/>
        <w:rPr>
          <w:rFonts w:ascii="宋体" w:hAnsi="宋体"/>
          <w:bCs/>
          <w:color w:val="auto"/>
          <w:szCs w:val="21"/>
          <w:highlight w:val="none"/>
        </w:rPr>
      </w:pPr>
      <w:r>
        <w:rPr>
          <w:rFonts w:hint="eastAsia" w:ascii="宋体" w:hAnsi="宋体"/>
          <w:bCs/>
          <w:color w:val="auto"/>
          <w:szCs w:val="21"/>
          <w:highlight w:val="none"/>
        </w:rPr>
        <w:t>1.3未通过符合性审查的投标文件不得进入比较与评价。</w:t>
      </w:r>
    </w:p>
    <w:p w14:paraId="0637A04B">
      <w:pPr>
        <w:adjustRightInd w:val="0"/>
        <w:snapToGrid w:val="0"/>
        <w:spacing w:line="360" w:lineRule="auto"/>
        <w:rPr>
          <w:rFonts w:ascii="宋体" w:hAnsi="宋体"/>
          <w:b/>
          <w:bCs/>
          <w:color w:val="auto"/>
          <w:sz w:val="24"/>
          <w:highlight w:val="none"/>
        </w:rPr>
      </w:pPr>
      <w:r>
        <w:rPr>
          <w:rFonts w:hint="eastAsia" w:ascii="宋体" w:hAnsi="宋体"/>
          <w:b/>
          <w:bCs/>
          <w:color w:val="auto"/>
          <w:sz w:val="24"/>
          <w:highlight w:val="none"/>
        </w:rPr>
        <w:t>2.投标报价的算术修正及政府采购政策调整</w:t>
      </w:r>
    </w:p>
    <w:p w14:paraId="30F2000F">
      <w:pPr>
        <w:adjustRightInd w:val="0"/>
        <w:snapToGrid w:val="0"/>
        <w:spacing w:line="360" w:lineRule="auto"/>
        <w:ind w:firstLine="420" w:firstLineChars="200"/>
        <w:rPr>
          <w:rFonts w:ascii="宋体" w:hAnsi="宋体"/>
          <w:bCs/>
          <w:color w:val="auto"/>
          <w:szCs w:val="21"/>
          <w:highlight w:val="none"/>
        </w:rPr>
      </w:pPr>
      <w:r>
        <w:rPr>
          <w:rFonts w:hint="eastAsia" w:ascii="宋体" w:hAnsi="宋体"/>
          <w:bCs/>
          <w:color w:val="auto"/>
          <w:szCs w:val="21"/>
          <w:highlight w:val="none"/>
        </w:rPr>
        <w:t>2.1如果有算术错误，投标报价将按本章第二节第4.2款、第4.3款规定进行算术修正。</w:t>
      </w:r>
    </w:p>
    <w:p w14:paraId="404B6003">
      <w:pPr>
        <w:adjustRightInd w:val="0"/>
        <w:snapToGrid w:val="0"/>
        <w:spacing w:line="360" w:lineRule="auto"/>
        <w:ind w:firstLine="420" w:firstLineChars="200"/>
        <w:rPr>
          <w:rFonts w:ascii="宋体" w:hAnsi="宋体"/>
          <w:bCs/>
          <w:color w:val="auto"/>
          <w:szCs w:val="21"/>
          <w:highlight w:val="none"/>
        </w:rPr>
      </w:pPr>
      <w:r>
        <w:rPr>
          <w:rFonts w:hint="eastAsia" w:ascii="宋体" w:hAnsi="宋体"/>
          <w:bCs/>
          <w:color w:val="auto"/>
          <w:szCs w:val="21"/>
          <w:highlight w:val="none"/>
        </w:rPr>
        <w:t>2.2需落实政府采购政策（价格评审优惠）的，按第二章“投标须知”及本章第二节第</w:t>
      </w:r>
      <w:r>
        <w:rPr>
          <w:rFonts w:ascii="宋体" w:hAnsi="宋体"/>
          <w:bCs/>
          <w:color w:val="auto"/>
          <w:szCs w:val="21"/>
          <w:highlight w:val="none"/>
        </w:rPr>
        <w:t>5.</w:t>
      </w:r>
      <w:r>
        <w:rPr>
          <w:rFonts w:hint="eastAsia" w:ascii="宋体" w:hAnsi="宋体"/>
          <w:bCs/>
          <w:color w:val="auto"/>
          <w:szCs w:val="21"/>
          <w:highlight w:val="none"/>
        </w:rPr>
        <w:t>4（1）项的相关规定进行价格调整。</w:t>
      </w:r>
    </w:p>
    <w:p w14:paraId="6D72AB54">
      <w:pPr>
        <w:adjustRightInd w:val="0"/>
        <w:snapToGrid w:val="0"/>
        <w:spacing w:line="360" w:lineRule="auto"/>
        <w:ind w:firstLine="420" w:firstLineChars="200"/>
        <w:rPr>
          <w:rFonts w:ascii="宋体" w:hAnsi="宋体"/>
          <w:bCs/>
          <w:color w:val="auto"/>
          <w:szCs w:val="21"/>
          <w:highlight w:val="none"/>
        </w:rPr>
      </w:pPr>
      <w:r>
        <w:rPr>
          <w:rFonts w:hint="eastAsia" w:ascii="宋体" w:hAnsi="宋体"/>
          <w:bCs/>
          <w:color w:val="auto"/>
          <w:szCs w:val="21"/>
          <w:highlight w:val="none"/>
        </w:rPr>
        <w:t>2.3按本章本节第2.1款、第2.2款规定，以修正或调整后的价格确定投标人的投标报价和评标基准价，用于投标报价评价。</w:t>
      </w:r>
    </w:p>
    <w:p w14:paraId="021884B8">
      <w:pPr>
        <w:adjustRightInd w:val="0"/>
        <w:snapToGrid w:val="0"/>
        <w:spacing w:line="360" w:lineRule="auto"/>
        <w:rPr>
          <w:rFonts w:ascii="宋体" w:hAnsi="宋体"/>
          <w:b/>
          <w:bCs/>
          <w:color w:val="auto"/>
          <w:sz w:val="24"/>
          <w:highlight w:val="none"/>
        </w:rPr>
      </w:pPr>
      <w:r>
        <w:rPr>
          <w:rFonts w:hint="eastAsia" w:ascii="宋体" w:hAnsi="宋体"/>
          <w:b/>
          <w:bCs/>
          <w:color w:val="auto"/>
          <w:sz w:val="24"/>
          <w:highlight w:val="none"/>
        </w:rPr>
        <w:t>3.投标报价评价</w:t>
      </w:r>
    </w:p>
    <w:p w14:paraId="514CC12F">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3.1投标报价评价：价格分应当采用低价优先法计算，即满足招标文件要求且投标价格最低的投标报价为评标基准价，其价格分为满分（报价权重分）。其他投标人的价格分统一按照下列公式计算：</w:t>
      </w:r>
    </w:p>
    <w:p w14:paraId="3A73EF53">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投标报价得分=（评标基准价</w:t>
      </w:r>
      <w:r>
        <w:rPr>
          <w:rFonts w:hint="eastAsia" w:ascii="宋体" w:hAnsi="宋体"/>
          <w:color w:val="auto"/>
          <w:szCs w:val="21"/>
          <w:highlight w:val="none"/>
          <w:vertAlign w:val="subscript"/>
        </w:rPr>
        <w:t>修正或调整</w:t>
      </w:r>
      <w:r>
        <w:rPr>
          <w:rFonts w:hint="eastAsia" w:ascii="宋体" w:hAnsi="宋体"/>
          <w:color w:val="auto"/>
          <w:szCs w:val="21"/>
          <w:highlight w:val="none"/>
        </w:rPr>
        <w:t>／投标报价</w:t>
      </w:r>
      <w:r>
        <w:rPr>
          <w:rFonts w:hint="eastAsia" w:ascii="宋体" w:hAnsi="宋体"/>
          <w:color w:val="auto"/>
          <w:szCs w:val="21"/>
          <w:highlight w:val="none"/>
          <w:vertAlign w:val="subscript"/>
        </w:rPr>
        <w:t>修正或调整</w:t>
      </w:r>
      <w:r>
        <w:rPr>
          <w:rFonts w:hint="eastAsia" w:ascii="宋体" w:hAnsi="宋体"/>
          <w:color w:val="auto"/>
          <w:szCs w:val="21"/>
          <w:highlight w:val="none"/>
        </w:rPr>
        <w:t>） ×100×报价权重分</w:t>
      </w:r>
    </w:p>
    <w:p w14:paraId="5862CCBA">
      <w:pPr>
        <w:adjustRightInd w:val="0"/>
        <w:snapToGrid w:val="0"/>
        <w:spacing w:line="360" w:lineRule="auto"/>
        <w:rPr>
          <w:rFonts w:ascii="宋体" w:hAnsi="宋体"/>
          <w:b/>
          <w:color w:val="auto"/>
          <w:sz w:val="24"/>
          <w:highlight w:val="none"/>
        </w:rPr>
      </w:pPr>
      <w:r>
        <w:rPr>
          <w:rFonts w:hint="eastAsia" w:ascii="宋体" w:hAnsi="宋体"/>
          <w:b/>
          <w:bCs/>
          <w:color w:val="auto"/>
          <w:sz w:val="24"/>
          <w:highlight w:val="none"/>
        </w:rPr>
        <w:t>4.</w:t>
      </w:r>
      <w:r>
        <w:rPr>
          <w:rFonts w:hint="eastAsia" w:ascii="宋体" w:hAnsi="宋体"/>
          <w:b/>
          <w:color w:val="auto"/>
          <w:sz w:val="24"/>
          <w:highlight w:val="none"/>
        </w:rPr>
        <w:t>技术、商务等评分项响应评价及政府采购政策加分</w:t>
      </w:r>
    </w:p>
    <w:p w14:paraId="6C02F761">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4.1技术、商务等评分项响应评分。按</w:t>
      </w:r>
      <w:r>
        <w:rPr>
          <w:rFonts w:hint="eastAsia" w:ascii="宋体" w:hAnsi="宋体"/>
          <w:bCs/>
          <w:color w:val="auto"/>
          <w:szCs w:val="21"/>
          <w:highlight w:val="none"/>
        </w:rPr>
        <w:t>本章</w:t>
      </w:r>
      <w:r>
        <w:rPr>
          <w:rFonts w:hint="eastAsia" w:ascii="宋体" w:hAnsi="宋体"/>
          <w:color w:val="auto"/>
          <w:szCs w:val="21"/>
          <w:highlight w:val="none"/>
        </w:rPr>
        <w:t>本节附页1“评标方法及标准表”规定的评标因素和标准，对技术、商务等评分项计算得分。</w:t>
      </w:r>
    </w:p>
    <w:p w14:paraId="3CEB0457">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4.2需落实政府采购政策（优先采购）的，按第二章、本章第二节第5.4（2）项以及本节附页1“评标方法及标准表”的相关规定进行技术、价格、商务项得分(加分)计算。</w:t>
      </w:r>
    </w:p>
    <w:p w14:paraId="7B87F580">
      <w:pPr>
        <w:adjustRightInd w:val="0"/>
        <w:snapToGrid w:val="0"/>
        <w:spacing w:line="360" w:lineRule="auto"/>
        <w:rPr>
          <w:rFonts w:ascii="宋体" w:hAnsi="宋体"/>
          <w:b/>
          <w:color w:val="auto"/>
          <w:sz w:val="24"/>
          <w:highlight w:val="none"/>
        </w:rPr>
      </w:pPr>
      <w:r>
        <w:rPr>
          <w:rFonts w:hint="eastAsia" w:ascii="宋体" w:hAnsi="宋体"/>
          <w:b/>
          <w:color w:val="auto"/>
          <w:sz w:val="24"/>
          <w:highlight w:val="none"/>
        </w:rPr>
        <w:t>5.评标总得分</w:t>
      </w:r>
    </w:p>
    <w:p w14:paraId="6D2F2CA3">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5.1评标总得分为投标报价、技术、商务等评分项得分(含优先采购政策加分)之和。</w:t>
      </w:r>
    </w:p>
    <w:p w14:paraId="57B3A3F0">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评标总得分＝F1×A1＋F2×A2＋……＋Fn×An</w:t>
      </w:r>
    </w:p>
    <w:p w14:paraId="0FEE90D3">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F1、F2……Fn分别为各项评审因素的得分；</w:t>
      </w:r>
    </w:p>
    <w:p w14:paraId="19DCC34F">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A1、A2、……An分别为各项评审因素所占的权重（A1＋A2＋…＋An＝1）</w:t>
      </w:r>
    </w:p>
    <w:p w14:paraId="50B7CE55">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5.2评分分值计算保留小数点后两位，小数点后第三位“四舍五入”。</w:t>
      </w:r>
    </w:p>
    <w:p w14:paraId="1355AD0C">
      <w:pPr>
        <w:adjustRightInd w:val="0"/>
        <w:snapToGrid w:val="0"/>
        <w:spacing w:line="360" w:lineRule="auto"/>
        <w:ind w:firstLine="420" w:firstLineChars="200"/>
        <w:rPr>
          <w:rFonts w:ascii="宋体" w:hAnsi="宋体"/>
          <w:color w:val="auto"/>
          <w:szCs w:val="21"/>
          <w:highlight w:val="none"/>
        </w:rPr>
      </w:pPr>
      <w:r>
        <w:rPr>
          <w:rFonts w:hint="eastAsia" w:ascii="宋体" w:hAnsi="宋体" w:cs="宋体"/>
          <w:color w:val="auto"/>
          <w:kern w:val="0"/>
          <w:szCs w:val="21"/>
          <w:highlight w:val="none"/>
        </w:rPr>
        <w:t>5.3</w:t>
      </w:r>
      <w:r>
        <w:rPr>
          <w:rFonts w:hint="eastAsia" w:ascii="宋体" w:hAnsi="宋体"/>
          <w:color w:val="auto"/>
          <w:szCs w:val="21"/>
          <w:highlight w:val="none"/>
        </w:rPr>
        <w:t>评标时，评标委员会成员应当独立对满足招标文件全部实质性要求投标人的</w:t>
      </w:r>
      <w:r>
        <w:rPr>
          <w:rFonts w:hint="eastAsia" w:ascii="宋体" w:hAnsi="宋体"/>
          <w:bCs/>
          <w:color w:val="auto"/>
          <w:szCs w:val="21"/>
          <w:highlight w:val="none"/>
        </w:rPr>
        <w:t>投标文件</w:t>
      </w:r>
      <w:r>
        <w:rPr>
          <w:rFonts w:hint="eastAsia" w:ascii="宋体" w:hAnsi="宋体"/>
          <w:color w:val="auto"/>
          <w:szCs w:val="21"/>
          <w:highlight w:val="none"/>
        </w:rPr>
        <w:t>进行评价、评分，然后汇总每个投标人每项评分因素的得分。每个投标人的最终得分为所有评标委员会成员评分的算术平均值。</w:t>
      </w:r>
    </w:p>
    <w:p w14:paraId="044C1443">
      <w:pPr>
        <w:adjustRightInd w:val="0"/>
        <w:snapToGrid w:val="0"/>
        <w:spacing w:line="360" w:lineRule="auto"/>
        <w:rPr>
          <w:rFonts w:ascii="宋体" w:hAnsi="宋体"/>
          <w:b/>
          <w:bCs/>
          <w:color w:val="auto"/>
          <w:sz w:val="24"/>
          <w:highlight w:val="none"/>
        </w:rPr>
      </w:pPr>
      <w:r>
        <w:rPr>
          <w:rFonts w:hint="eastAsia" w:ascii="宋体" w:hAnsi="宋体"/>
          <w:b/>
          <w:bCs/>
          <w:color w:val="auto"/>
          <w:sz w:val="24"/>
          <w:highlight w:val="none"/>
        </w:rPr>
        <w:t>6.中标候选人的推荐方法</w:t>
      </w:r>
    </w:p>
    <w:p w14:paraId="2D3F9AD4">
      <w:pPr>
        <w:adjustRightInd w:val="0"/>
        <w:snapToGrid w:val="0"/>
        <w:spacing w:line="360" w:lineRule="auto"/>
        <w:ind w:firstLine="420" w:firstLineChars="200"/>
        <w:rPr>
          <w:rFonts w:ascii="宋体" w:hAnsi="宋体"/>
          <w:bCs/>
          <w:color w:val="auto"/>
          <w:szCs w:val="21"/>
          <w:highlight w:val="none"/>
        </w:rPr>
      </w:pPr>
      <w:r>
        <w:rPr>
          <w:rFonts w:hint="eastAsia" w:ascii="宋体" w:hAnsi="宋体"/>
          <w:bCs/>
          <w:color w:val="auto"/>
          <w:szCs w:val="21"/>
          <w:highlight w:val="none"/>
        </w:rPr>
        <w:t>6.1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14:paraId="78BEBA9A">
      <w:pPr>
        <w:spacing w:line="360" w:lineRule="auto"/>
        <w:ind w:firstLine="420" w:firstLineChars="200"/>
        <w:rPr>
          <w:rFonts w:ascii="宋体" w:hAnsi="宋体"/>
          <w:color w:val="auto"/>
          <w:highlight w:val="none"/>
        </w:rPr>
      </w:pPr>
      <w:r>
        <w:rPr>
          <w:rFonts w:hint="eastAsia" w:ascii="宋体" w:hAnsi="宋体"/>
          <w:bCs/>
          <w:color w:val="auto"/>
          <w:szCs w:val="21"/>
          <w:highlight w:val="none"/>
        </w:rPr>
        <w:t>6.2得分且投标报价相同的并列，按本章第二节规定确定中标侯选人。</w:t>
      </w:r>
    </w:p>
    <w:p w14:paraId="039FE50A">
      <w:pPr>
        <w:spacing w:line="360" w:lineRule="exact"/>
        <w:jc w:val="both"/>
        <w:rPr>
          <w:rFonts w:hint="eastAsia"/>
          <w:color w:val="auto"/>
          <w:szCs w:val="21"/>
          <w:highlight w:val="none"/>
        </w:rPr>
      </w:pPr>
      <w:r>
        <w:rPr>
          <w:rFonts w:ascii="宋体" w:hAnsi="宋体"/>
          <w:color w:val="auto"/>
          <w:highlight w:val="none"/>
        </w:rPr>
        <w:br w:type="page"/>
      </w:r>
      <w:bookmarkStart w:id="1146" w:name="_Toc75289268"/>
      <w:bookmarkStart w:id="1147" w:name="_Toc20651231"/>
      <w:bookmarkStart w:id="1148" w:name="_Toc77676504"/>
      <w:bookmarkStart w:id="1149" w:name="_Toc78314300"/>
      <w:bookmarkStart w:id="1150" w:name="_Toc75289586"/>
      <w:bookmarkStart w:id="1151" w:name="_Toc78449993"/>
      <w:bookmarkStart w:id="1152" w:name="_Toc77199437"/>
      <w:r>
        <w:rPr>
          <w:rFonts w:hint="eastAsia"/>
          <w:color w:val="auto"/>
          <w:szCs w:val="21"/>
          <w:highlight w:val="none"/>
        </w:rPr>
        <w:t>附页1 评标方法及标准表</w:t>
      </w:r>
      <w:bookmarkEnd w:id="1146"/>
      <w:bookmarkEnd w:id="1147"/>
      <w:bookmarkEnd w:id="1148"/>
      <w:bookmarkEnd w:id="1149"/>
      <w:bookmarkEnd w:id="1150"/>
      <w:bookmarkEnd w:id="1151"/>
      <w:bookmarkEnd w:id="1152"/>
      <w:bookmarkStart w:id="1153" w:name="_Toc14508"/>
      <w:bookmarkStart w:id="1154" w:name="_Toc95601404"/>
      <w:bookmarkStart w:id="1155" w:name="_Toc77199443"/>
      <w:bookmarkStart w:id="1156" w:name="_Toc75289271"/>
      <w:bookmarkStart w:id="1157" w:name="_Toc12140"/>
      <w:bookmarkStart w:id="1158" w:name="_Toc108341978"/>
      <w:bookmarkStart w:id="1159" w:name="_Toc77676507"/>
      <w:bookmarkStart w:id="1160" w:name="_Toc85972969"/>
      <w:bookmarkStart w:id="1161" w:name="_Toc100670712"/>
      <w:bookmarkStart w:id="1162" w:name="_Toc100670464"/>
      <w:bookmarkStart w:id="1163" w:name="_Toc75289589"/>
      <w:bookmarkStart w:id="1164" w:name="_Toc78449996"/>
      <w:bookmarkStart w:id="1165" w:name="_Toc112704981"/>
      <w:bookmarkStart w:id="1166" w:name="_Toc78314303"/>
      <w:bookmarkStart w:id="1167" w:name="_Toc94367919"/>
    </w:p>
    <w:bookmarkEnd w:id="1153"/>
    <w:p w14:paraId="2D22F474">
      <w:pPr>
        <w:adjustRightInd w:val="0"/>
        <w:snapToGrid w:val="0"/>
        <w:spacing w:before="156" w:beforeLines="50"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本采购项目的权值见下表</w:t>
      </w:r>
    </w:p>
    <w:tbl>
      <w:tblPr>
        <w:tblStyle w:val="47"/>
        <w:tblW w:w="8820"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321"/>
        <w:gridCol w:w="4079"/>
        <w:gridCol w:w="3420"/>
      </w:tblGrid>
      <w:tr w14:paraId="76D95A2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91" w:hRule="atLeast"/>
          <w:jc w:val="center"/>
        </w:trPr>
        <w:tc>
          <w:tcPr>
            <w:tcW w:w="1321" w:type="dxa"/>
            <w:tcBorders>
              <w:top w:val="double" w:color="auto" w:sz="4" w:space="0"/>
              <w:left w:val="double" w:color="auto" w:sz="4" w:space="0"/>
              <w:bottom w:val="single" w:color="auto" w:sz="6" w:space="0"/>
              <w:right w:val="single" w:color="auto" w:sz="6" w:space="0"/>
            </w:tcBorders>
            <w:vAlign w:val="center"/>
          </w:tcPr>
          <w:p w14:paraId="123F32CB">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4079" w:type="dxa"/>
            <w:tcBorders>
              <w:top w:val="double" w:color="auto" w:sz="4" w:space="0"/>
              <w:left w:val="single" w:color="auto" w:sz="6" w:space="0"/>
              <w:bottom w:val="single" w:color="auto" w:sz="6" w:space="0"/>
              <w:right w:val="single" w:color="auto" w:sz="6" w:space="0"/>
            </w:tcBorders>
            <w:vAlign w:val="center"/>
          </w:tcPr>
          <w:p w14:paraId="55F525AB">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项     目</w:t>
            </w:r>
          </w:p>
        </w:tc>
        <w:tc>
          <w:tcPr>
            <w:tcW w:w="3420" w:type="dxa"/>
            <w:tcBorders>
              <w:top w:val="double" w:color="auto" w:sz="4" w:space="0"/>
              <w:left w:val="single" w:color="auto" w:sz="6" w:space="0"/>
              <w:bottom w:val="single" w:color="auto" w:sz="6" w:space="0"/>
              <w:right w:val="double" w:color="auto" w:sz="4" w:space="0"/>
            </w:tcBorders>
            <w:vAlign w:val="center"/>
          </w:tcPr>
          <w:p w14:paraId="187E2378">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权值的取值</w:t>
            </w:r>
          </w:p>
        </w:tc>
      </w:tr>
      <w:tr w14:paraId="17606DC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91" w:hRule="atLeast"/>
          <w:jc w:val="center"/>
        </w:trPr>
        <w:tc>
          <w:tcPr>
            <w:tcW w:w="1321" w:type="dxa"/>
            <w:tcBorders>
              <w:top w:val="single" w:color="auto" w:sz="6" w:space="0"/>
              <w:left w:val="double" w:color="auto" w:sz="4" w:space="0"/>
              <w:bottom w:val="single" w:color="auto" w:sz="6" w:space="0"/>
              <w:right w:val="single" w:color="auto" w:sz="6" w:space="0"/>
            </w:tcBorders>
            <w:vAlign w:val="center"/>
          </w:tcPr>
          <w:p w14:paraId="36F4D8E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4079" w:type="dxa"/>
            <w:tcBorders>
              <w:top w:val="single" w:color="auto" w:sz="6" w:space="0"/>
              <w:left w:val="single" w:color="auto" w:sz="6" w:space="0"/>
              <w:bottom w:val="single" w:color="auto" w:sz="6" w:space="0"/>
              <w:right w:val="single" w:color="auto" w:sz="6" w:space="0"/>
            </w:tcBorders>
            <w:vAlign w:val="center"/>
          </w:tcPr>
          <w:p w14:paraId="3C4F595A">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报价（A1）</w:t>
            </w:r>
          </w:p>
        </w:tc>
        <w:tc>
          <w:tcPr>
            <w:tcW w:w="3420" w:type="dxa"/>
            <w:tcBorders>
              <w:top w:val="single" w:color="auto" w:sz="6" w:space="0"/>
              <w:left w:val="single" w:color="auto" w:sz="6" w:space="0"/>
              <w:bottom w:val="single" w:color="auto" w:sz="6" w:space="0"/>
              <w:right w:val="double" w:color="auto" w:sz="4" w:space="0"/>
            </w:tcBorders>
            <w:vAlign w:val="center"/>
          </w:tcPr>
          <w:p w14:paraId="4F3EEFE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50%</w:t>
            </w:r>
          </w:p>
        </w:tc>
      </w:tr>
      <w:tr w14:paraId="7270DD1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91" w:hRule="atLeast"/>
          <w:jc w:val="center"/>
        </w:trPr>
        <w:tc>
          <w:tcPr>
            <w:tcW w:w="1321" w:type="dxa"/>
            <w:tcBorders>
              <w:top w:val="single" w:color="auto" w:sz="6" w:space="0"/>
              <w:left w:val="double" w:color="auto" w:sz="4" w:space="0"/>
              <w:bottom w:val="single" w:color="auto" w:sz="6" w:space="0"/>
              <w:right w:val="single" w:color="auto" w:sz="6" w:space="0"/>
            </w:tcBorders>
            <w:vAlign w:val="center"/>
          </w:tcPr>
          <w:p w14:paraId="3661DA43">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4079" w:type="dxa"/>
            <w:tcBorders>
              <w:top w:val="single" w:color="auto" w:sz="6" w:space="0"/>
              <w:left w:val="single" w:color="auto" w:sz="6" w:space="0"/>
              <w:bottom w:val="single" w:color="auto" w:sz="6" w:space="0"/>
              <w:right w:val="single" w:color="auto" w:sz="6" w:space="0"/>
            </w:tcBorders>
            <w:vAlign w:val="center"/>
          </w:tcPr>
          <w:p w14:paraId="61221DA4">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技术（A2）</w:t>
            </w:r>
          </w:p>
        </w:tc>
        <w:tc>
          <w:tcPr>
            <w:tcW w:w="3420" w:type="dxa"/>
            <w:tcBorders>
              <w:top w:val="single" w:color="auto" w:sz="6" w:space="0"/>
              <w:left w:val="single" w:color="auto" w:sz="6" w:space="0"/>
              <w:bottom w:val="single" w:color="auto" w:sz="6" w:space="0"/>
              <w:right w:val="double" w:color="auto" w:sz="4" w:space="0"/>
            </w:tcBorders>
            <w:vAlign w:val="center"/>
          </w:tcPr>
          <w:p w14:paraId="4CE7340F">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40%</w:t>
            </w:r>
          </w:p>
        </w:tc>
      </w:tr>
      <w:tr w14:paraId="337BF70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91" w:hRule="atLeast"/>
          <w:jc w:val="center"/>
        </w:trPr>
        <w:tc>
          <w:tcPr>
            <w:tcW w:w="1321" w:type="dxa"/>
            <w:tcBorders>
              <w:top w:val="single" w:color="auto" w:sz="6" w:space="0"/>
              <w:left w:val="double" w:color="auto" w:sz="4" w:space="0"/>
              <w:bottom w:val="single" w:color="auto" w:sz="6" w:space="0"/>
              <w:right w:val="single" w:color="auto" w:sz="6" w:space="0"/>
            </w:tcBorders>
            <w:vAlign w:val="center"/>
          </w:tcPr>
          <w:p w14:paraId="12E71462">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p>
        </w:tc>
        <w:tc>
          <w:tcPr>
            <w:tcW w:w="4079" w:type="dxa"/>
            <w:tcBorders>
              <w:top w:val="single" w:color="auto" w:sz="6" w:space="0"/>
              <w:left w:val="single" w:color="auto" w:sz="6" w:space="0"/>
              <w:bottom w:val="single" w:color="auto" w:sz="6" w:space="0"/>
              <w:right w:val="single" w:color="auto" w:sz="6" w:space="0"/>
            </w:tcBorders>
            <w:vAlign w:val="center"/>
          </w:tcPr>
          <w:p w14:paraId="0B3F240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商务（A3）</w:t>
            </w:r>
          </w:p>
        </w:tc>
        <w:tc>
          <w:tcPr>
            <w:tcW w:w="3420" w:type="dxa"/>
            <w:tcBorders>
              <w:top w:val="single" w:color="auto" w:sz="6" w:space="0"/>
              <w:left w:val="single" w:color="auto" w:sz="6" w:space="0"/>
              <w:bottom w:val="single" w:color="auto" w:sz="6" w:space="0"/>
              <w:right w:val="double" w:color="auto" w:sz="4" w:space="0"/>
            </w:tcBorders>
            <w:vAlign w:val="center"/>
          </w:tcPr>
          <w:p w14:paraId="33969791">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10%</w:t>
            </w:r>
          </w:p>
        </w:tc>
      </w:tr>
      <w:tr w14:paraId="485F3B6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91" w:hRule="atLeast"/>
          <w:jc w:val="center"/>
        </w:trPr>
        <w:tc>
          <w:tcPr>
            <w:tcW w:w="5400" w:type="dxa"/>
            <w:gridSpan w:val="2"/>
            <w:tcBorders>
              <w:top w:val="single" w:color="auto" w:sz="6" w:space="0"/>
              <w:left w:val="double" w:color="auto" w:sz="4" w:space="0"/>
              <w:bottom w:val="double" w:color="auto" w:sz="4" w:space="0"/>
              <w:right w:val="single" w:color="auto" w:sz="6" w:space="0"/>
            </w:tcBorders>
            <w:vAlign w:val="center"/>
          </w:tcPr>
          <w:p w14:paraId="45C82796">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合计</w:t>
            </w:r>
          </w:p>
        </w:tc>
        <w:tc>
          <w:tcPr>
            <w:tcW w:w="3420" w:type="dxa"/>
            <w:tcBorders>
              <w:top w:val="single" w:color="auto" w:sz="6" w:space="0"/>
              <w:left w:val="single" w:color="auto" w:sz="6" w:space="0"/>
              <w:bottom w:val="double" w:color="auto" w:sz="4" w:space="0"/>
              <w:right w:val="double" w:color="auto" w:sz="4" w:space="0"/>
            </w:tcBorders>
            <w:vAlign w:val="center"/>
          </w:tcPr>
          <w:p w14:paraId="3A358053">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r>
    </w:tbl>
    <w:p w14:paraId="2EBA1053">
      <w:pPr>
        <w:widowControl/>
        <w:spacing w:line="440" w:lineRule="exact"/>
        <w:jc w:val="left"/>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附表1.1投标报价评审标准表</w:t>
      </w:r>
    </w:p>
    <w:tbl>
      <w:tblPr>
        <w:tblStyle w:val="47"/>
        <w:tblW w:w="8910"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02"/>
        <w:gridCol w:w="2159"/>
        <w:gridCol w:w="6249"/>
      </w:tblGrid>
      <w:tr w14:paraId="4AB1492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52" w:hRule="atLeast"/>
          <w:jc w:val="center"/>
        </w:trPr>
        <w:tc>
          <w:tcPr>
            <w:tcW w:w="502" w:type="dxa"/>
            <w:tcBorders>
              <w:top w:val="double" w:color="auto" w:sz="4" w:space="0"/>
              <w:left w:val="double" w:color="auto" w:sz="4" w:space="0"/>
              <w:bottom w:val="single" w:color="auto" w:sz="6" w:space="0"/>
              <w:right w:val="single" w:color="auto" w:sz="4" w:space="0"/>
            </w:tcBorders>
            <w:vAlign w:val="center"/>
          </w:tcPr>
          <w:p w14:paraId="21C78CF3">
            <w:pPr>
              <w:widowControl/>
              <w:spacing w:line="440" w:lineRule="exact"/>
              <w:jc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序号</w:t>
            </w:r>
          </w:p>
        </w:tc>
        <w:tc>
          <w:tcPr>
            <w:tcW w:w="2159" w:type="dxa"/>
            <w:tcBorders>
              <w:top w:val="double" w:color="auto" w:sz="4" w:space="0"/>
              <w:left w:val="single" w:color="auto" w:sz="4" w:space="0"/>
              <w:bottom w:val="single" w:color="auto" w:sz="6" w:space="0"/>
              <w:right w:val="single" w:color="auto" w:sz="4" w:space="0"/>
            </w:tcBorders>
            <w:vAlign w:val="center"/>
          </w:tcPr>
          <w:p w14:paraId="0524B41F">
            <w:pPr>
              <w:widowControl/>
              <w:spacing w:line="440" w:lineRule="exact"/>
              <w:jc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评标因素（分值）</w:t>
            </w:r>
          </w:p>
        </w:tc>
        <w:tc>
          <w:tcPr>
            <w:tcW w:w="6249" w:type="dxa"/>
            <w:tcBorders>
              <w:top w:val="double" w:color="auto" w:sz="4" w:space="0"/>
              <w:left w:val="single" w:color="auto" w:sz="4" w:space="0"/>
              <w:bottom w:val="single" w:color="auto" w:sz="6" w:space="0"/>
              <w:right w:val="double" w:color="auto" w:sz="4" w:space="0"/>
            </w:tcBorders>
            <w:vAlign w:val="center"/>
          </w:tcPr>
          <w:p w14:paraId="4F8CDB8B">
            <w:pPr>
              <w:widowControl/>
              <w:spacing w:line="440" w:lineRule="exact"/>
              <w:jc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评标标准</w:t>
            </w:r>
          </w:p>
        </w:tc>
      </w:tr>
      <w:tr w14:paraId="3957043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14" w:hRule="atLeast"/>
          <w:jc w:val="center"/>
        </w:trPr>
        <w:tc>
          <w:tcPr>
            <w:tcW w:w="502" w:type="dxa"/>
            <w:tcBorders>
              <w:top w:val="single" w:color="auto" w:sz="6" w:space="0"/>
              <w:left w:val="double" w:color="auto" w:sz="4" w:space="0"/>
              <w:bottom w:val="single" w:color="auto" w:sz="6" w:space="0"/>
              <w:right w:val="single" w:color="auto" w:sz="4" w:space="0"/>
            </w:tcBorders>
            <w:vAlign w:val="center"/>
          </w:tcPr>
          <w:p w14:paraId="7D50D879">
            <w:pPr>
              <w:widowControl/>
              <w:spacing w:line="440" w:lineRule="exact"/>
              <w:jc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1</w:t>
            </w:r>
          </w:p>
        </w:tc>
        <w:tc>
          <w:tcPr>
            <w:tcW w:w="2159" w:type="dxa"/>
            <w:tcBorders>
              <w:top w:val="single" w:color="auto" w:sz="6" w:space="0"/>
              <w:left w:val="single" w:color="auto" w:sz="4" w:space="0"/>
              <w:bottom w:val="single" w:color="auto" w:sz="6" w:space="0"/>
              <w:right w:val="single" w:color="auto" w:sz="4" w:space="0"/>
            </w:tcBorders>
            <w:vAlign w:val="center"/>
          </w:tcPr>
          <w:p w14:paraId="2A29985C">
            <w:pPr>
              <w:widowControl/>
              <w:spacing w:line="440" w:lineRule="exact"/>
              <w:jc w:val="left"/>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价格评价项</w:t>
            </w:r>
          </w:p>
          <w:p w14:paraId="1F5A6F47">
            <w:pPr>
              <w:widowControl/>
              <w:spacing w:line="440" w:lineRule="exact"/>
              <w:jc w:val="left"/>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（F=100分）</w:t>
            </w:r>
          </w:p>
        </w:tc>
        <w:tc>
          <w:tcPr>
            <w:tcW w:w="6249" w:type="dxa"/>
            <w:tcBorders>
              <w:top w:val="single" w:color="auto" w:sz="6" w:space="0"/>
              <w:left w:val="single" w:color="auto" w:sz="4" w:space="0"/>
              <w:bottom w:val="single" w:color="auto" w:sz="6" w:space="0"/>
              <w:right w:val="double" w:color="auto" w:sz="4" w:space="0"/>
            </w:tcBorders>
            <w:vAlign w:val="center"/>
          </w:tcPr>
          <w:p w14:paraId="710AB2D1">
            <w:pPr>
              <w:widowControl/>
              <w:spacing w:line="440" w:lineRule="exact"/>
              <w:rPr>
                <w:rFonts w:hint="eastAsia" w:ascii="宋体" w:hAnsi="宋体" w:eastAsia="宋体" w:cs="宋体"/>
                <w:i w:val="0"/>
                <w:iCs w:val="0"/>
                <w:caps w:val="0"/>
                <w:color w:val="auto"/>
                <w:spacing w:val="0"/>
                <w:kern w:val="0"/>
                <w:sz w:val="21"/>
                <w:szCs w:val="21"/>
                <w:highlight w:val="none"/>
                <w:shd w:val="clear" w:color="auto" w:fill="auto"/>
                <w:lang w:val="en-US" w:eastAsia="zh-CN" w:bidi="ar"/>
              </w:rPr>
            </w:pPr>
            <w:r>
              <w:rPr>
                <w:rFonts w:hint="eastAsia" w:ascii="宋体" w:hAnsi="宋体" w:eastAsia="宋体" w:cs="宋体"/>
                <w:i w:val="0"/>
                <w:iCs w:val="0"/>
                <w:caps w:val="0"/>
                <w:color w:val="auto"/>
                <w:spacing w:val="0"/>
                <w:kern w:val="0"/>
                <w:sz w:val="21"/>
                <w:szCs w:val="21"/>
                <w:highlight w:val="none"/>
                <w:shd w:val="clear" w:color="auto" w:fill="auto"/>
                <w:lang w:val="en-US" w:eastAsia="zh-CN" w:bidi="ar"/>
              </w:rPr>
              <w:t>1、投标报价调整（扶持中小企业发展优惠政策、监狱企业、残疾人福利性单位优惠政策）：本项目的具体扣除比例详见第二章。</w:t>
            </w:r>
          </w:p>
          <w:p w14:paraId="3B81A97C">
            <w:pPr>
              <w:widowControl/>
              <w:spacing w:line="440" w:lineRule="exact"/>
              <w:rPr>
                <w:rFonts w:hint="eastAsia" w:ascii="宋体" w:hAnsi="宋体" w:eastAsia="宋体" w:cs="宋体"/>
                <w:i w:val="0"/>
                <w:iCs w:val="0"/>
                <w:caps w:val="0"/>
                <w:color w:val="auto"/>
                <w:spacing w:val="0"/>
                <w:kern w:val="0"/>
                <w:sz w:val="21"/>
                <w:szCs w:val="21"/>
                <w:highlight w:val="none"/>
                <w:shd w:val="clear" w:color="auto" w:fill="auto"/>
                <w:lang w:val="en-US" w:eastAsia="zh-CN" w:bidi="ar"/>
              </w:rPr>
            </w:pPr>
            <w:r>
              <w:rPr>
                <w:rFonts w:hint="eastAsia" w:ascii="宋体" w:hAnsi="宋体" w:eastAsia="宋体" w:cs="宋体"/>
                <w:i w:val="0"/>
                <w:iCs w:val="0"/>
                <w:caps w:val="0"/>
                <w:color w:val="auto"/>
                <w:spacing w:val="0"/>
                <w:kern w:val="0"/>
                <w:sz w:val="21"/>
                <w:szCs w:val="21"/>
                <w:highlight w:val="none"/>
                <w:shd w:val="clear" w:color="auto" w:fill="auto"/>
                <w:lang w:val="en-US" w:eastAsia="zh-CN" w:bidi="ar"/>
              </w:rPr>
              <w:t>2、满足招标文件要求且投标报价中最低的投标报价为评标基准价其价格分为满分；其他投标人的价格分统一按照以下公式计算：</w:t>
            </w:r>
          </w:p>
          <w:p w14:paraId="7F5E2D4D">
            <w:pPr>
              <w:widowControl/>
              <w:spacing w:line="440" w:lineRule="exact"/>
              <w:ind w:firstLine="420" w:firstLineChars="200"/>
              <w:rPr>
                <w:rFonts w:hint="eastAsia" w:ascii="宋体" w:hAnsi="宋体" w:eastAsia="宋体" w:cs="宋体"/>
                <w:i w:val="0"/>
                <w:iCs w:val="0"/>
                <w:caps w:val="0"/>
                <w:color w:val="auto"/>
                <w:spacing w:val="0"/>
                <w:kern w:val="0"/>
                <w:sz w:val="21"/>
                <w:szCs w:val="21"/>
                <w:highlight w:val="none"/>
                <w:shd w:val="clear" w:color="auto" w:fill="auto"/>
                <w:lang w:val="en-US" w:eastAsia="zh-CN" w:bidi="ar"/>
              </w:rPr>
            </w:pPr>
            <w:r>
              <w:rPr>
                <w:rFonts w:hint="eastAsia" w:ascii="宋体" w:hAnsi="宋体" w:eastAsia="宋体" w:cs="宋体"/>
                <w:i w:val="0"/>
                <w:iCs w:val="0"/>
                <w:caps w:val="0"/>
                <w:color w:val="auto"/>
                <w:spacing w:val="0"/>
                <w:kern w:val="0"/>
                <w:sz w:val="21"/>
                <w:szCs w:val="21"/>
                <w:highlight w:val="none"/>
                <w:shd w:val="clear" w:color="auto" w:fill="auto"/>
                <w:lang w:val="en-US" w:eastAsia="zh-CN" w:bidi="ar"/>
              </w:rPr>
              <w:t>投标报价得分=（评标基准价/投标报价）×价格权值×100</w:t>
            </w:r>
          </w:p>
          <w:p w14:paraId="65C296C1">
            <w:pPr>
              <w:widowControl/>
              <w:spacing w:line="440" w:lineRule="exact"/>
              <w:rPr>
                <w:rFonts w:hint="eastAsia" w:ascii="宋体" w:hAnsi="宋体" w:eastAsia="宋体" w:cs="宋体"/>
                <w:i w:val="0"/>
                <w:iCs w:val="0"/>
                <w:caps w:val="0"/>
                <w:color w:val="auto"/>
                <w:spacing w:val="0"/>
                <w:kern w:val="0"/>
                <w:sz w:val="21"/>
                <w:szCs w:val="21"/>
                <w:highlight w:val="none"/>
                <w:shd w:val="clear" w:color="auto" w:fill="auto"/>
                <w:lang w:val="en-US" w:eastAsia="zh-CN" w:bidi="ar"/>
              </w:rPr>
            </w:pPr>
            <w:r>
              <w:rPr>
                <w:rFonts w:hint="eastAsia" w:ascii="宋体" w:hAnsi="宋体" w:eastAsia="宋体" w:cs="宋体"/>
                <w:i w:val="0"/>
                <w:iCs w:val="0"/>
                <w:caps w:val="0"/>
                <w:color w:val="auto"/>
                <w:spacing w:val="0"/>
                <w:kern w:val="0"/>
                <w:sz w:val="21"/>
                <w:szCs w:val="21"/>
                <w:highlight w:val="none"/>
                <w:shd w:val="clear" w:color="auto" w:fill="auto"/>
                <w:lang w:val="en-US" w:eastAsia="zh-CN" w:bidi="ar"/>
              </w:rPr>
              <w:t>3、最终投标价以人民币元为单位，计算保留至小数点后2位（百分比亦然），小数点后第3位采取4舍5入。</w:t>
            </w:r>
          </w:p>
          <w:p w14:paraId="5AEB7FC5">
            <w:pPr>
              <w:widowControl/>
              <w:spacing w:line="440" w:lineRule="exact"/>
              <w:rPr>
                <w:rFonts w:hint="eastAsia" w:ascii="宋体" w:hAnsi="宋体" w:eastAsia="宋体" w:cs="宋体"/>
                <w:i w:val="0"/>
                <w:iCs w:val="0"/>
                <w:caps w:val="0"/>
                <w:color w:val="auto"/>
                <w:spacing w:val="0"/>
                <w:kern w:val="0"/>
                <w:sz w:val="21"/>
                <w:szCs w:val="21"/>
                <w:highlight w:val="none"/>
                <w:shd w:val="clear" w:color="auto" w:fill="auto"/>
                <w:lang w:val="en-US" w:eastAsia="zh-CN" w:bidi="ar"/>
              </w:rPr>
            </w:pPr>
            <w:r>
              <w:rPr>
                <w:rFonts w:hint="eastAsia" w:ascii="宋体" w:hAnsi="宋体" w:eastAsia="宋体" w:cs="宋体"/>
                <w:i w:val="0"/>
                <w:iCs w:val="0"/>
                <w:caps w:val="0"/>
                <w:color w:val="auto"/>
                <w:spacing w:val="0"/>
                <w:kern w:val="0"/>
                <w:sz w:val="21"/>
                <w:szCs w:val="21"/>
                <w:highlight w:val="none"/>
                <w:shd w:val="clear" w:color="auto" w:fill="auto"/>
                <w:lang w:val="en-US" w:eastAsia="zh-CN" w:bidi="ar"/>
              </w:rPr>
              <w:t>4、根据财政部财库【2026】2号《关于推动解决政府采购异常低价问题的通知》的要求，评审过程中出现下列情形之一的，评标委员会应当启动异常低价投标审查程序：</w:t>
            </w:r>
          </w:p>
          <w:p w14:paraId="07C1CAEA">
            <w:pPr>
              <w:widowControl/>
              <w:spacing w:line="440" w:lineRule="exact"/>
              <w:rPr>
                <w:rFonts w:hint="eastAsia" w:ascii="宋体" w:hAnsi="宋体" w:eastAsia="宋体" w:cs="宋体"/>
                <w:i w:val="0"/>
                <w:iCs w:val="0"/>
                <w:caps w:val="0"/>
                <w:color w:val="auto"/>
                <w:spacing w:val="0"/>
                <w:kern w:val="0"/>
                <w:sz w:val="21"/>
                <w:szCs w:val="21"/>
                <w:highlight w:val="none"/>
                <w:shd w:val="clear" w:color="auto" w:fill="auto"/>
                <w:lang w:val="en-US" w:eastAsia="zh-CN" w:bidi="ar"/>
              </w:rPr>
            </w:pPr>
            <w:r>
              <w:rPr>
                <w:rFonts w:hint="eastAsia" w:ascii="宋体" w:hAnsi="宋体" w:eastAsia="宋体" w:cs="宋体"/>
                <w:i w:val="0"/>
                <w:iCs w:val="0"/>
                <w:caps w:val="0"/>
                <w:color w:val="auto"/>
                <w:spacing w:val="0"/>
                <w:kern w:val="0"/>
                <w:sz w:val="21"/>
                <w:szCs w:val="21"/>
                <w:highlight w:val="none"/>
                <w:shd w:val="clear" w:color="auto" w:fill="auto"/>
                <w:lang w:val="en-US" w:eastAsia="zh-CN" w:bidi="ar"/>
              </w:rPr>
              <w:t xml:space="preserve">4.1投标报价低于全部通过符合性审查供应商投标报价平均值50%的，即投标报价&lt;全部通过符合性审查供应商投标报价平均值×50%； </w:t>
            </w:r>
          </w:p>
          <w:p w14:paraId="32FEAC5E">
            <w:pPr>
              <w:widowControl/>
              <w:spacing w:line="440" w:lineRule="exact"/>
              <w:rPr>
                <w:rFonts w:hint="eastAsia" w:ascii="宋体" w:hAnsi="宋体" w:eastAsia="宋体" w:cs="宋体"/>
                <w:i w:val="0"/>
                <w:iCs w:val="0"/>
                <w:caps w:val="0"/>
                <w:color w:val="auto"/>
                <w:spacing w:val="0"/>
                <w:kern w:val="0"/>
                <w:sz w:val="21"/>
                <w:szCs w:val="21"/>
                <w:highlight w:val="none"/>
                <w:shd w:val="clear" w:color="auto" w:fill="auto"/>
                <w:lang w:val="en-US" w:eastAsia="zh-CN" w:bidi="ar"/>
              </w:rPr>
            </w:pPr>
            <w:r>
              <w:rPr>
                <w:rFonts w:hint="eastAsia" w:ascii="宋体" w:hAnsi="宋体" w:eastAsia="宋体" w:cs="宋体"/>
                <w:i w:val="0"/>
                <w:iCs w:val="0"/>
                <w:caps w:val="0"/>
                <w:color w:val="auto"/>
                <w:spacing w:val="0"/>
                <w:kern w:val="0"/>
                <w:sz w:val="21"/>
                <w:szCs w:val="21"/>
                <w:highlight w:val="none"/>
                <w:shd w:val="clear" w:color="auto" w:fill="auto"/>
                <w:lang w:val="en-US" w:eastAsia="zh-CN" w:bidi="ar"/>
              </w:rPr>
              <w:t xml:space="preserve">4.2投标报价低于通过符合性审查的次低报价供应商投标报价50%的，即投标报价&lt;通过符合性审查的次低报价供应商投标报价×50%； </w:t>
            </w:r>
          </w:p>
          <w:p w14:paraId="69A1DAA6">
            <w:pPr>
              <w:widowControl/>
              <w:spacing w:line="440" w:lineRule="exact"/>
              <w:rPr>
                <w:rFonts w:hint="eastAsia" w:ascii="宋体" w:hAnsi="宋体" w:eastAsia="宋体" w:cs="宋体"/>
                <w:i w:val="0"/>
                <w:iCs w:val="0"/>
                <w:caps w:val="0"/>
                <w:color w:val="auto"/>
                <w:spacing w:val="0"/>
                <w:kern w:val="0"/>
                <w:sz w:val="21"/>
                <w:szCs w:val="21"/>
                <w:highlight w:val="none"/>
                <w:shd w:val="clear" w:color="auto" w:fill="auto"/>
                <w:lang w:val="en-US" w:eastAsia="zh-CN" w:bidi="ar"/>
              </w:rPr>
            </w:pPr>
            <w:r>
              <w:rPr>
                <w:rFonts w:hint="eastAsia" w:ascii="宋体" w:hAnsi="宋体" w:eastAsia="宋体" w:cs="宋体"/>
                <w:i w:val="0"/>
                <w:iCs w:val="0"/>
                <w:caps w:val="0"/>
                <w:color w:val="auto"/>
                <w:spacing w:val="0"/>
                <w:kern w:val="0"/>
                <w:sz w:val="21"/>
                <w:szCs w:val="21"/>
                <w:highlight w:val="none"/>
                <w:shd w:val="clear" w:color="auto" w:fill="auto"/>
                <w:lang w:val="en-US" w:eastAsia="zh-CN" w:bidi="ar"/>
              </w:rPr>
              <w:t xml:space="preserve">4.3投标报价低于采购项目最高限价45%的，即投标报价&lt;采购项目最高限价×45%； </w:t>
            </w:r>
          </w:p>
          <w:p w14:paraId="483B043E">
            <w:pPr>
              <w:widowControl/>
              <w:spacing w:line="440" w:lineRule="exact"/>
              <w:rPr>
                <w:rFonts w:hint="eastAsia" w:ascii="宋体" w:hAnsi="宋体" w:eastAsia="宋体" w:cs="宋体"/>
                <w:i w:val="0"/>
                <w:iCs w:val="0"/>
                <w:caps w:val="0"/>
                <w:color w:val="auto"/>
                <w:spacing w:val="0"/>
                <w:kern w:val="0"/>
                <w:sz w:val="21"/>
                <w:szCs w:val="21"/>
                <w:highlight w:val="none"/>
                <w:shd w:val="clear" w:color="auto" w:fill="auto"/>
                <w:lang w:val="en-US" w:eastAsia="zh-CN" w:bidi="ar"/>
              </w:rPr>
            </w:pPr>
            <w:r>
              <w:rPr>
                <w:rFonts w:hint="eastAsia" w:ascii="宋体" w:hAnsi="宋体" w:eastAsia="宋体" w:cs="宋体"/>
                <w:i w:val="0"/>
                <w:iCs w:val="0"/>
                <w:caps w:val="0"/>
                <w:color w:val="auto"/>
                <w:spacing w:val="0"/>
                <w:kern w:val="0"/>
                <w:sz w:val="21"/>
                <w:szCs w:val="21"/>
                <w:highlight w:val="none"/>
                <w:shd w:val="clear" w:color="auto" w:fill="auto"/>
                <w:lang w:val="en-US" w:eastAsia="zh-CN" w:bidi="ar"/>
              </w:rPr>
              <w:t>4.4评审委员会基于专业判断，认为供应商报价过低，有可能影响产品质量或者不能诚信履约的其他情形</w:t>
            </w:r>
          </w:p>
          <w:p w14:paraId="7748DC31">
            <w:pPr>
              <w:widowControl/>
              <w:spacing w:line="440" w:lineRule="exact"/>
              <w:rPr>
                <w:rFonts w:hint="eastAsia" w:ascii="宋体" w:hAnsi="宋体" w:eastAsia="宋体" w:cs="宋体"/>
                <w:i w:val="0"/>
                <w:iCs w:val="0"/>
                <w:caps w:val="0"/>
                <w:color w:val="auto"/>
                <w:spacing w:val="0"/>
                <w:kern w:val="0"/>
                <w:sz w:val="21"/>
                <w:szCs w:val="21"/>
                <w:highlight w:val="none"/>
                <w:shd w:val="clear" w:color="auto" w:fill="auto"/>
                <w:lang w:val="en-US" w:eastAsia="zh-CN" w:bidi="ar"/>
              </w:rPr>
            </w:pPr>
            <w:r>
              <w:rPr>
                <w:rFonts w:hint="eastAsia" w:ascii="宋体" w:hAnsi="宋体" w:eastAsia="宋体" w:cs="宋体"/>
                <w:i w:val="0"/>
                <w:iCs w:val="0"/>
                <w:caps w:val="0"/>
                <w:color w:val="auto"/>
                <w:spacing w:val="0"/>
                <w:kern w:val="0"/>
                <w:sz w:val="21"/>
                <w:szCs w:val="21"/>
                <w:highlight w:val="none"/>
                <w:shd w:val="clear" w:color="auto" w:fill="auto"/>
                <w:lang w:val="en-US" w:eastAsia="zh-CN" w:bidi="ar"/>
              </w:rPr>
              <w:t>5、评审委员会启动异常低价投标审查后，若投标供应商不能提供书面说明、证明材料，或者提供的书面说明、证明材料不能证明其报价合理性的，评标委员会应当将其作为无效投标（响应）处理。</w:t>
            </w:r>
          </w:p>
        </w:tc>
      </w:tr>
      <w:tr w14:paraId="40AC44B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70" w:hRule="atLeast"/>
          <w:jc w:val="center"/>
        </w:trPr>
        <w:tc>
          <w:tcPr>
            <w:tcW w:w="502" w:type="dxa"/>
            <w:tcBorders>
              <w:top w:val="single" w:color="auto" w:sz="6" w:space="0"/>
              <w:left w:val="double" w:color="auto" w:sz="4" w:space="0"/>
              <w:bottom w:val="single" w:color="auto" w:sz="6" w:space="0"/>
              <w:right w:val="single" w:color="auto" w:sz="4" w:space="0"/>
            </w:tcBorders>
            <w:vAlign w:val="center"/>
          </w:tcPr>
          <w:p w14:paraId="74C0B6AD">
            <w:pPr>
              <w:widowControl/>
              <w:spacing w:line="440" w:lineRule="exact"/>
              <w:jc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2</w:t>
            </w:r>
          </w:p>
        </w:tc>
        <w:tc>
          <w:tcPr>
            <w:tcW w:w="2159" w:type="dxa"/>
            <w:tcBorders>
              <w:top w:val="single" w:color="auto" w:sz="6" w:space="0"/>
              <w:left w:val="single" w:color="auto" w:sz="4" w:space="0"/>
              <w:bottom w:val="single" w:color="auto" w:sz="6" w:space="0"/>
              <w:right w:val="single" w:color="auto" w:sz="6" w:space="0"/>
            </w:tcBorders>
            <w:vAlign w:val="center"/>
          </w:tcPr>
          <w:p w14:paraId="636466BB">
            <w:pPr>
              <w:widowControl/>
              <w:spacing w:line="440" w:lineRule="exact"/>
              <w:jc w:val="left"/>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优先采购加分（F优先采购加分）</w:t>
            </w:r>
          </w:p>
        </w:tc>
        <w:tc>
          <w:tcPr>
            <w:tcW w:w="6249" w:type="dxa"/>
            <w:tcBorders>
              <w:top w:val="single" w:color="auto" w:sz="6" w:space="0"/>
              <w:left w:val="single" w:color="auto" w:sz="6" w:space="0"/>
              <w:bottom w:val="single" w:color="auto" w:sz="4" w:space="0"/>
              <w:right w:val="double" w:color="auto" w:sz="4" w:space="0"/>
            </w:tcBorders>
            <w:vAlign w:val="center"/>
          </w:tcPr>
          <w:p w14:paraId="127CD8B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right="0"/>
              <w:jc w:val="left"/>
              <w:textAlignment w:val="auto"/>
              <w:rPr>
                <w:rFonts w:hint="eastAsia" w:ascii="宋体" w:hAnsi="宋体" w:eastAsia="宋体" w:cs="宋体"/>
                <w:i w:val="0"/>
                <w:iCs w:val="0"/>
                <w:caps w:val="0"/>
                <w:color w:val="auto"/>
                <w:spacing w:val="0"/>
                <w:kern w:val="0"/>
                <w:sz w:val="21"/>
                <w:szCs w:val="21"/>
                <w:highlight w:val="none"/>
                <w:shd w:val="clear" w:color="auto" w:fill="auto"/>
                <w:lang w:val="en-US" w:eastAsia="zh-CN" w:bidi="ar"/>
              </w:rPr>
            </w:pPr>
            <w:r>
              <w:rPr>
                <w:rFonts w:hint="eastAsia" w:ascii="宋体" w:hAnsi="宋体" w:eastAsia="宋体" w:cs="宋体"/>
                <w:i w:val="0"/>
                <w:iCs w:val="0"/>
                <w:caps w:val="0"/>
                <w:color w:val="auto"/>
                <w:spacing w:val="0"/>
                <w:kern w:val="0"/>
                <w:sz w:val="21"/>
                <w:szCs w:val="21"/>
                <w:highlight w:val="none"/>
                <w:shd w:val="clear" w:color="auto" w:fill="auto"/>
                <w:lang w:val="en-US" w:eastAsia="zh-CN" w:bidi="ar"/>
              </w:rPr>
              <w:t xml:space="preserve">节能产品或环境标志产品加分(此仅限于节能产品或环境标志政府采购品目清单内产品，不是品目清单内的产品，在评审时不予以考虑)： </w:t>
            </w:r>
          </w:p>
          <w:p w14:paraId="2E6BBE6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right="0"/>
              <w:jc w:val="left"/>
              <w:textAlignment w:val="auto"/>
              <w:rPr>
                <w:rFonts w:hint="eastAsia" w:ascii="宋体" w:hAnsi="宋体" w:eastAsia="宋体" w:cs="宋体"/>
                <w:i w:val="0"/>
                <w:iCs w:val="0"/>
                <w:caps w:val="0"/>
                <w:color w:val="auto"/>
                <w:spacing w:val="0"/>
                <w:kern w:val="0"/>
                <w:sz w:val="21"/>
                <w:szCs w:val="21"/>
                <w:highlight w:val="none"/>
                <w:shd w:val="clear" w:color="auto" w:fill="auto"/>
                <w:lang w:val="en-US" w:eastAsia="zh-CN" w:bidi="ar"/>
              </w:rPr>
            </w:pPr>
            <w:r>
              <w:rPr>
                <w:rFonts w:hint="eastAsia" w:ascii="宋体" w:hAnsi="宋体" w:eastAsia="宋体" w:cs="宋体"/>
                <w:i w:val="0"/>
                <w:iCs w:val="0"/>
                <w:caps w:val="0"/>
                <w:color w:val="auto"/>
                <w:spacing w:val="0"/>
                <w:kern w:val="0"/>
                <w:sz w:val="21"/>
                <w:szCs w:val="21"/>
                <w:highlight w:val="none"/>
                <w:shd w:val="clear" w:color="auto" w:fill="auto"/>
                <w:lang w:val="en-US" w:eastAsia="zh-CN" w:bidi="ar"/>
              </w:rPr>
              <w:t>所投节能产品或环境标志产品的价格</w:t>
            </w:r>
          </w:p>
          <w:p w14:paraId="30C42F6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right="0"/>
              <w:jc w:val="left"/>
              <w:textAlignment w:val="auto"/>
              <w:rPr>
                <w:rFonts w:hint="eastAsia" w:ascii="宋体" w:hAnsi="宋体" w:eastAsia="宋体" w:cs="宋体"/>
                <w:i w:val="0"/>
                <w:iCs w:val="0"/>
                <w:caps w:val="0"/>
                <w:color w:val="auto"/>
                <w:spacing w:val="0"/>
                <w:kern w:val="0"/>
                <w:sz w:val="21"/>
                <w:szCs w:val="21"/>
                <w:highlight w:val="none"/>
                <w:shd w:val="clear" w:color="auto" w:fill="auto"/>
                <w:lang w:val="en-US" w:eastAsia="zh-CN" w:bidi="ar"/>
              </w:rPr>
            </w:pPr>
            <w:r>
              <w:rPr>
                <w:rFonts w:hint="eastAsia" w:ascii="宋体" w:hAnsi="宋体" w:eastAsia="宋体" w:cs="宋体"/>
                <w:i w:val="0"/>
                <w:iCs w:val="0"/>
                <w:caps w:val="0"/>
                <w:color w:val="auto"/>
                <w:spacing w:val="0"/>
                <w:kern w:val="0"/>
                <w:sz w:val="21"/>
                <w:szCs w:val="21"/>
                <w:highlight w:val="none"/>
                <w:shd w:val="clear" w:color="auto" w:fill="auto"/>
                <w:lang w:val="en-US" w:eastAsia="zh-CN" w:bidi="ar"/>
              </w:rPr>
              <w:t>————————×价格权值×100×本项目加分比例= 应加分数</w:t>
            </w:r>
          </w:p>
          <w:p w14:paraId="19EFC3A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right="0"/>
              <w:jc w:val="left"/>
              <w:textAlignment w:val="auto"/>
              <w:rPr>
                <w:rFonts w:hint="eastAsia" w:ascii="宋体" w:hAnsi="宋体" w:eastAsia="宋体" w:cs="宋体"/>
                <w:i w:val="0"/>
                <w:iCs w:val="0"/>
                <w:caps w:val="0"/>
                <w:color w:val="auto"/>
                <w:spacing w:val="0"/>
                <w:kern w:val="0"/>
                <w:sz w:val="21"/>
                <w:szCs w:val="21"/>
                <w:highlight w:val="none"/>
                <w:shd w:val="clear" w:color="auto" w:fill="auto"/>
                <w:lang w:val="en-US" w:eastAsia="zh-CN" w:bidi="ar"/>
              </w:rPr>
            </w:pPr>
            <w:r>
              <w:rPr>
                <w:rFonts w:hint="eastAsia" w:ascii="宋体" w:hAnsi="宋体" w:eastAsia="宋体" w:cs="宋体"/>
                <w:i w:val="0"/>
                <w:iCs w:val="0"/>
                <w:caps w:val="0"/>
                <w:color w:val="auto"/>
                <w:spacing w:val="0"/>
                <w:kern w:val="0"/>
                <w:sz w:val="21"/>
                <w:szCs w:val="21"/>
                <w:highlight w:val="none"/>
                <w:shd w:val="clear" w:color="auto" w:fill="auto"/>
                <w:lang w:val="en-US" w:eastAsia="zh-CN" w:bidi="ar"/>
              </w:rPr>
              <w:t>项目总价格</w:t>
            </w:r>
          </w:p>
          <w:p w14:paraId="3B5ECCC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right="0"/>
              <w:jc w:val="left"/>
              <w:textAlignment w:val="auto"/>
              <w:rPr>
                <w:rFonts w:hint="eastAsia" w:ascii="宋体" w:hAnsi="宋体" w:eastAsia="宋体" w:cs="宋体"/>
                <w:color w:val="auto"/>
                <w:kern w:val="0"/>
                <w:sz w:val="21"/>
                <w:szCs w:val="21"/>
                <w:highlight w:val="none"/>
                <w:lang w:bidi="ar"/>
              </w:rPr>
            </w:pPr>
            <w:r>
              <w:rPr>
                <w:rFonts w:hint="eastAsia" w:ascii="宋体" w:hAnsi="宋体" w:eastAsia="宋体" w:cs="宋体"/>
                <w:i w:val="0"/>
                <w:iCs w:val="0"/>
                <w:caps w:val="0"/>
                <w:color w:val="auto"/>
                <w:spacing w:val="0"/>
                <w:kern w:val="0"/>
                <w:sz w:val="21"/>
                <w:szCs w:val="21"/>
                <w:highlight w:val="none"/>
                <w:shd w:val="clear" w:color="auto" w:fill="auto"/>
                <w:lang w:val="en-US" w:eastAsia="zh-CN" w:bidi="ar"/>
              </w:rPr>
              <w:t>注：整包中某一品目为节能、环境标志政府采购品目清单内产品时只对该品目报价加分，并合计到报价最终得分。</w:t>
            </w:r>
          </w:p>
        </w:tc>
      </w:tr>
      <w:tr w14:paraId="5D7E0A8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10" w:hRule="atLeast"/>
          <w:jc w:val="center"/>
        </w:trPr>
        <w:tc>
          <w:tcPr>
            <w:tcW w:w="502" w:type="dxa"/>
            <w:tcBorders>
              <w:top w:val="single" w:color="auto" w:sz="6" w:space="0"/>
              <w:left w:val="double" w:color="auto" w:sz="4" w:space="0"/>
              <w:bottom w:val="double" w:color="auto" w:sz="4" w:space="0"/>
              <w:right w:val="single" w:color="auto" w:sz="4" w:space="0"/>
            </w:tcBorders>
            <w:vAlign w:val="center"/>
          </w:tcPr>
          <w:p w14:paraId="40A04FA4">
            <w:pPr>
              <w:widowControl/>
              <w:spacing w:line="440" w:lineRule="exact"/>
              <w:jc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w:t>
            </w:r>
          </w:p>
        </w:tc>
        <w:tc>
          <w:tcPr>
            <w:tcW w:w="8408" w:type="dxa"/>
            <w:gridSpan w:val="2"/>
            <w:tcBorders>
              <w:top w:val="single" w:color="auto" w:sz="6" w:space="0"/>
              <w:left w:val="single" w:color="auto" w:sz="4" w:space="0"/>
              <w:bottom w:val="double" w:color="auto" w:sz="4" w:space="0"/>
              <w:right w:val="double" w:color="auto" w:sz="4" w:space="0"/>
            </w:tcBorders>
            <w:vAlign w:val="center"/>
          </w:tcPr>
          <w:p w14:paraId="4E593158">
            <w:pPr>
              <w:widowControl/>
              <w:spacing w:line="440" w:lineRule="exact"/>
              <w:jc w:val="left"/>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F1=F+ F优先采购加分</w:t>
            </w:r>
          </w:p>
        </w:tc>
      </w:tr>
    </w:tbl>
    <w:p w14:paraId="4DE2965A">
      <w:pPr>
        <w:widowControl/>
        <w:spacing w:line="440" w:lineRule="exact"/>
        <w:ind w:firstLine="640"/>
        <w:jc w:val="left"/>
        <w:rPr>
          <w:rFonts w:hint="eastAsia" w:ascii="宋体" w:hAnsi="宋体" w:eastAsia="宋体" w:cs="宋体"/>
          <w:color w:val="auto"/>
          <w:kern w:val="0"/>
          <w:sz w:val="21"/>
          <w:szCs w:val="21"/>
          <w:highlight w:val="none"/>
          <w:lang w:bidi="ar"/>
        </w:rPr>
      </w:pPr>
    </w:p>
    <w:p w14:paraId="07EF5169">
      <w:pPr>
        <w:widowControl/>
        <w:spacing w:line="440" w:lineRule="exact"/>
        <w:ind w:firstLine="640"/>
        <w:jc w:val="left"/>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附表1.2技术部分评审标准表</w:t>
      </w:r>
    </w:p>
    <w:tbl>
      <w:tblPr>
        <w:tblStyle w:val="47"/>
        <w:tblW w:w="8940"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03"/>
        <w:gridCol w:w="2160"/>
        <w:gridCol w:w="773"/>
        <w:gridCol w:w="772"/>
        <w:gridCol w:w="4732"/>
      </w:tblGrid>
      <w:tr w14:paraId="30FE135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52" w:hRule="atLeast"/>
          <w:jc w:val="center"/>
        </w:trPr>
        <w:tc>
          <w:tcPr>
            <w:tcW w:w="503" w:type="dxa"/>
            <w:tcBorders>
              <w:top w:val="double" w:color="auto" w:sz="4" w:space="0"/>
              <w:left w:val="double" w:color="auto" w:sz="4" w:space="0"/>
              <w:bottom w:val="single" w:color="auto" w:sz="6" w:space="0"/>
              <w:right w:val="single" w:color="auto" w:sz="4" w:space="0"/>
            </w:tcBorders>
            <w:vAlign w:val="center"/>
          </w:tcPr>
          <w:p w14:paraId="5CC495AB">
            <w:pPr>
              <w:widowControl/>
              <w:spacing w:line="440" w:lineRule="exact"/>
              <w:jc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序号</w:t>
            </w:r>
          </w:p>
        </w:tc>
        <w:tc>
          <w:tcPr>
            <w:tcW w:w="2160" w:type="dxa"/>
            <w:tcBorders>
              <w:top w:val="double" w:color="auto" w:sz="4" w:space="0"/>
              <w:left w:val="single" w:color="auto" w:sz="4" w:space="0"/>
              <w:bottom w:val="single" w:color="auto" w:sz="6" w:space="0"/>
              <w:right w:val="single" w:color="auto" w:sz="4" w:space="0"/>
            </w:tcBorders>
            <w:vAlign w:val="center"/>
          </w:tcPr>
          <w:p w14:paraId="58E85CB5">
            <w:pPr>
              <w:widowControl/>
              <w:spacing w:line="440" w:lineRule="exact"/>
              <w:jc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评标因素（分值）</w:t>
            </w:r>
          </w:p>
        </w:tc>
        <w:tc>
          <w:tcPr>
            <w:tcW w:w="6277" w:type="dxa"/>
            <w:gridSpan w:val="3"/>
            <w:tcBorders>
              <w:top w:val="double" w:color="auto" w:sz="4" w:space="0"/>
              <w:left w:val="single" w:color="auto" w:sz="4" w:space="0"/>
              <w:bottom w:val="single" w:color="auto" w:sz="6" w:space="0"/>
              <w:right w:val="double" w:color="auto" w:sz="4" w:space="0"/>
            </w:tcBorders>
            <w:vAlign w:val="center"/>
          </w:tcPr>
          <w:p w14:paraId="05ED086A">
            <w:pPr>
              <w:widowControl/>
              <w:spacing w:line="440" w:lineRule="exact"/>
              <w:jc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评标标准</w:t>
            </w:r>
          </w:p>
        </w:tc>
      </w:tr>
      <w:tr w14:paraId="5FF39BF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503" w:type="dxa"/>
            <w:tcBorders>
              <w:top w:val="single" w:color="auto" w:sz="6" w:space="0"/>
              <w:left w:val="double" w:color="auto" w:sz="4" w:space="0"/>
              <w:bottom w:val="single" w:color="auto" w:sz="6" w:space="0"/>
              <w:right w:val="single" w:color="auto" w:sz="4" w:space="0"/>
            </w:tcBorders>
            <w:vAlign w:val="center"/>
          </w:tcPr>
          <w:p w14:paraId="19B2F438">
            <w:pPr>
              <w:widowControl/>
              <w:spacing w:line="440" w:lineRule="exact"/>
              <w:jc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1</w:t>
            </w:r>
          </w:p>
        </w:tc>
        <w:tc>
          <w:tcPr>
            <w:tcW w:w="2160" w:type="dxa"/>
            <w:tcBorders>
              <w:top w:val="single" w:color="auto" w:sz="6" w:space="0"/>
              <w:left w:val="single" w:color="auto" w:sz="4" w:space="0"/>
              <w:bottom w:val="single" w:color="auto" w:sz="6" w:space="0"/>
              <w:right w:val="single" w:color="auto" w:sz="6" w:space="0"/>
            </w:tcBorders>
            <w:vAlign w:val="center"/>
          </w:tcPr>
          <w:p w14:paraId="171DE210">
            <w:pPr>
              <w:widowControl/>
              <w:spacing w:line="440" w:lineRule="exact"/>
              <w:jc w:val="left"/>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技术评价项</w:t>
            </w:r>
          </w:p>
          <w:p w14:paraId="7B6EA27F">
            <w:pPr>
              <w:widowControl/>
              <w:spacing w:line="440" w:lineRule="exact"/>
              <w:jc w:val="left"/>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（F=100分）</w:t>
            </w:r>
          </w:p>
        </w:tc>
        <w:tc>
          <w:tcPr>
            <w:tcW w:w="773" w:type="dxa"/>
            <w:tcBorders>
              <w:top w:val="single" w:color="auto" w:sz="6" w:space="0"/>
              <w:left w:val="single" w:color="auto" w:sz="6" w:space="0"/>
              <w:bottom w:val="single" w:color="auto" w:sz="6" w:space="0"/>
              <w:right w:val="single" w:color="auto" w:sz="4" w:space="0"/>
            </w:tcBorders>
            <w:vAlign w:val="center"/>
          </w:tcPr>
          <w:p w14:paraId="3AB4193B">
            <w:pPr>
              <w:widowControl/>
              <w:spacing w:line="440" w:lineRule="exact"/>
              <w:jc w:val="left"/>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技术参数</w:t>
            </w:r>
          </w:p>
        </w:tc>
        <w:tc>
          <w:tcPr>
            <w:tcW w:w="772" w:type="dxa"/>
            <w:tcBorders>
              <w:top w:val="single" w:color="auto" w:sz="6" w:space="0"/>
              <w:left w:val="single" w:color="auto" w:sz="4" w:space="0"/>
              <w:bottom w:val="single" w:color="auto" w:sz="6" w:space="0"/>
              <w:right w:val="single" w:color="auto" w:sz="6" w:space="0"/>
            </w:tcBorders>
            <w:vAlign w:val="center"/>
          </w:tcPr>
          <w:p w14:paraId="10B5267D">
            <w:pPr>
              <w:widowControl/>
              <w:spacing w:line="440" w:lineRule="exact"/>
              <w:jc w:val="left"/>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100</w:t>
            </w:r>
          </w:p>
        </w:tc>
        <w:tc>
          <w:tcPr>
            <w:tcW w:w="4732" w:type="dxa"/>
            <w:tcBorders>
              <w:top w:val="single" w:color="auto" w:sz="6" w:space="0"/>
              <w:left w:val="single" w:color="auto" w:sz="6" w:space="0"/>
              <w:bottom w:val="single" w:color="auto" w:sz="6" w:space="0"/>
              <w:right w:val="double" w:color="auto" w:sz="4" w:space="0"/>
            </w:tcBorders>
            <w:vAlign w:val="center"/>
          </w:tcPr>
          <w:p w14:paraId="5939E64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right="0"/>
              <w:jc w:val="both"/>
              <w:textAlignment w:val="auto"/>
              <w:rPr>
                <w:rFonts w:hint="eastAsia" w:ascii="宋体" w:hAnsi="宋体" w:eastAsia="宋体" w:cs="宋体"/>
                <w:i w:val="0"/>
                <w:iCs w:val="0"/>
                <w:caps w:val="0"/>
                <w:color w:val="auto"/>
                <w:spacing w:val="0"/>
                <w:kern w:val="0"/>
                <w:sz w:val="21"/>
                <w:szCs w:val="21"/>
                <w:highlight w:val="none"/>
                <w:shd w:val="clear" w:color="auto" w:fill="auto"/>
                <w:lang w:val="en-US" w:eastAsia="zh-CN" w:bidi="ar"/>
              </w:rPr>
            </w:pPr>
            <w:r>
              <w:rPr>
                <w:rFonts w:hint="eastAsia" w:ascii="宋体" w:hAnsi="宋体" w:eastAsia="宋体" w:cs="宋体"/>
                <w:i w:val="0"/>
                <w:iCs w:val="0"/>
                <w:caps w:val="0"/>
                <w:color w:val="auto"/>
                <w:spacing w:val="0"/>
                <w:kern w:val="0"/>
                <w:sz w:val="21"/>
                <w:szCs w:val="21"/>
                <w:highlight w:val="none"/>
                <w:shd w:val="clear" w:color="auto" w:fill="auto"/>
                <w:lang w:val="en-US" w:eastAsia="zh-CN" w:bidi="ar"/>
              </w:rPr>
              <w:t>投标文件无技术条款响应/偏离表的本项计0分；</w:t>
            </w:r>
          </w:p>
          <w:p w14:paraId="68DAEF5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right="0"/>
              <w:jc w:val="both"/>
              <w:textAlignment w:val="auto"/>
              <w:rPr>
                <w:rFonts w:hint="eastAsia" w:ascii="宋体" w:hAnsi="宋体" w:eastAsia="宋体" w:cs="宋体"/>
                <w:i w:val="0"/>
                <w:iCs w:val="0"/>
                <w:caps w:val="0"/>
                <w:color w:val="auto"/>
                <w:spacing w:val="0"/>
                <w:kern w:val="0"/>
                <w:sz w:val="21"/>
                <w:szCs w:val="21"/>
                <w:highlight w:val="none"/>
                <w:shd w:val="clear" w:color="auto" w:fill="auto"/>
                <w:lang w:val="en-US" w:eastAsia="zh-CN" w:bidi="ar"/>
              </w:rPr>
            </w:pPr>
            <w:r>
              <w:rPr>
                <w:rFonts w:hint="eastAsia" w:ascii="宋体" w:hAnsi="宋体" w:eastAsia="宋体" w:cs="宋体"/>
                <w:i w:val="0"/>
                <w:iCs w:val="0"/>
                <w:caps w:val="0"/>
                <w:color w:val="auto"/>
                <w:spacing w:val="0"/>
                <w:kern w:val="0"/>
                <w:sz w:val="21"/>
                <w:szCs w:val="21"/>
                <w:highlight w:val="none"/>
                <w:shd w:val="clear" w:color="auto" w:fill="auto"/>
                <w:lang w:val="en-US" w:eastAsia="zh-CN" w:bidi="ar"/>
              </w:rPr>
              <w:t>1、技术参数满足招标文件要求无负偏离的本项计100分；</w:t>
            </w:r>
          </w:p>
          <w:p w14:paraId="3A50AD5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right="0"/>
              <w:jc w:val="both"/>
              <w:textAlignment w:val="auto"/>
              <w:rPr>
                <w:rFonts w:hint="eastAsia" w:ascii="宋体" w:hAnsi="宋体" w:eastAsia="宋体" w:cs="宋体"/>
                <w:i w:val="0"/>
                <w:iCs w:val="0"/>
                <w:caps w:val="0"/>
                <w:color w:val="auto"/>
                <w:spacing w:val="0"/>
                <w:kern w:val="0"/>
                <w:sz w:val="21"/>
                <w:szCs w:val="21"/>
                <w:highlight w:val="none"/>
                <w:shd w:val="clear" w:color="auto" w:fill="auto"/>
                <w:lang w:val="en-US" w:eastAsia="zh-CN" w:bidi="ar"/>
              </w:rPr>
            </w:pPr>
            <w:r>
              <w:rPr>
                <w:rFonts w:hint="eastAsia" w:ascii="宋体" w:hAnsi="宋体" w:eastAsia="宋体" w:cs="宋体"/>
                <w:i w:val="0"/>
                <w:iCs w:val="0"/>
                <w:caps w:val="0"/>
                <w:color w:val="auto"/>
                <w:spacing w:val="0"/>
                <w:kern w:val="0"/>
                <w:sz w:val="21"/>
                <w:szCs w:val="21"/>
                <w:highlight w:val="none"/>
                <w:shd w:val="clear" w:color="auto" w:fill="auto"/>
                <w:lang w:val="en-US" w:eastAsia="zh-CN" w:bidi="ar"/>
              </w:rPr>
              <w:t>2、标注“▲”的参数为重要参数，每一项负偏离或缺漏扣10分；</w:t>
            </w:r>
          </w:p>
          <w:p w14:paraId="3BDD631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right="0"/>
              <w:jc w:val="both"/>
              <w:textAlignment w:val="auto"/>
              <w:rPr>
                <w:rFonts w:hint="eastAsia" w:ascii="宋体" w:hAnsi="宋体" w:eastAsia="宋体" w:cs="宋体"/>
                <w:i w:val="0"/>
                <w:iCs w:val="0"/>
                <w:caps w:val="0"/>
                <w:color w:val="auto"/>
                <w:spacing w:val="0"/>
                <w:kern w:val="0"/>
                <w:sz w:val="21"/>
                <w:szCs w:val="21"/>
                <w:highlight w:val="none"/>
                <w:shd w:val="clear" w:color="auto" w:fill="auto"/>
                <w:lang w:val="en-US" w:eastAsia="zh-CN" w:bidi="ar"/>
              </w:rPr>
            </w:pPr>
            <w:r>
              <w:rPr>
                <w:rFonts w:hint="eastAsia" w:ascii="宋体" w:hAnsi="宋体" w:eastAsia="宋体" w:cs="宋体"/>
                <w:i w:val="0"/>
                <w:iCs w:val="0"/>
                <w:caps w:val="0"/>
                <w:color w:val="auto"/>
                <w:spacing w:val="0"/>
                <w:kern w:val="0"/>
                <w:sz w:val="21"/>
                <w:szCs w:val="21"/>
                <w:highlight w:val="none"/>
                <w:shd w:val="clear" w:color="auto" w:fill="auto"/>
                <w:lang w:val="en-US" w:eastAsia="zh-CN" w:bidi="ar"/>
              </w:rPr>
              <w:t>3、一般技术参数（即非“★”非“▲”号参数）存在负偏离，每条负偏离扣6分。</w:t>
            </w:r>
          </w:p>
          <w:p w14:paraId="425A7CEC">
            <w:pPr>
              <w:pStyle w:val="2"/>
              <w:rPr>
                <w:rFonts w:hint="default"/>
                <w:b w:val="0"/>
                <w:bCs w:val="0"/>
                <w:lang w:val="en-US" w:eastAsia="zh-CN"/>
              </w:rPr>
            </w:pPr>
            <w:r>
              <w:rPr>
                <w:rFonts w:hint="eastAsia" w:ascii="宋体" w:hAnsi="宋体" w:cs="宋体"/>
                <w:b w:val="0"/>
                <w:bCs w:val="0"/>
                <w:i w:val="0"/>
                <w:iCs w:val="0"/>
                <w:caps w:val="0"/>
                <w:color w:val="auto"/>
                <w:spacing w:val="0"/>
                <w:kern w:val="0"/>
                <w:sz w:val="21"/>
                <w:szCs w:val="21"/>
                <w:highlight w:val="none"/>
                <w:shd w:val="clear" w:color="auto" w:fill="auto"/>
                <w:lang w:val="en-US" w:eastAsia="zh-CN" w:bidi="ar"/>
              </w:rPr>
              <w:t>4、非实质性技术和商务条款≥11项，将导致投标无效。</w:t>
            </w:r>
          </w:p>
          <w:p w14:paraId="41F495EE">
            <w:pPr>
              <w:widowControl/>
              <w:spacing w:line="440" w:lineRule="exact"/>
              <w:rPr>
                <w:rFonts w:hint="eastAsia" w:ascii="宋体" w:hAnsi="宋体" w:eastAsia="宋体" w:cs="宋体"/>
                <w:color w:val="auto"/>
                <w:kern w:val="0"/>
                <w:sz w:val="21"/>
                <w:szCs w:val="21"/>
                <w:highlight w:val="none"/>
                <w:lang w:bidi="ar"/>
              </w:rPr>
            </w:pPr>
            <w:r>
              <w:rPr>
                <w:rFonts w:hint="eastAsia" w:ascii="宋体" w:hAnsi="宋体" w:eastAsia="宋体" w:cs="宋体"/>
                <w:i w:val="0"/>
                <w:iCs w:val="0"/>
                <w:caps w:val="0"/>
                <w:color w:val="auto"/>
                <w:spacing w:val="0"/>
                <w:kern w:val="0"/>
                <w:sz w:val="21"/>
                <w:szCs w:val="21"/>
                <w:highlight w:val="none"/>
                <w:shd w:val="clear" w:color="auto" w:fill="auto"/>
                <w:lang w:val="en-US" w:eastAsia="zh-CN" w:bidi="ar"/>
              </w:rPr>
              <w:t>（注：标注“▲”技术参数以及技术规格中要求该项参数提供有关证明文件的一般参数，投标人应提供证明材料，包括但不限于技术白皮书、产品彩页、检测报告等形式。如无相关证明文件或相关证明文件不完整，则按相应负偏离计算；此项只做评分因素，不做废标条件）</w:t>
            </w:r>
          </w:p>
        </w:tc>
      </w:tr>
      <w:tr w14:paraId="7FA33B7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70" w:hRule="atLeast"/>
          <w:jc w:val="center"/>
        </w:trPr>
        <w:tc>
          <w:tcPr>
            <w:tcW w:w="503" w:type="dxa"/>
            <w:tcBorders>
              <w:top w:val="single" w:color="auto" w:sz="6" w:space="0"/>
              <w:left w:val="double" w:color="auto" w:sz="4" w:space="0"/>
              <w:bottom w:val="single" w:color="auto" w:sz="6" w:space="0"/>
              <w:right w:val="single" w:color="auto" w:sz="4" w:space="0"/>
            </w:tcBorders>
            <w:vAlign w:val="center"/>
          </w:tcPr>
          <w:p w14:paraId="1AE76DCE">
            <w:pPr>
              <w:widowControl/>
              <w:spacing w:line="440" w:lineRule="exact"/>
              <w:jc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2</w:t>
            </w:r>
          </w:p>
        </w:tc>
        <w:tc>
          <w:tcPr>
            <w:tcW w:w="2160" w:type="dxa"/>
            <w:tcBorders>
              <w:top w:val="single" w:color="auto" w:sz="6" w:space="0"/>
              <w:left w:val="single" w:color="auto" w:sz="4" w:space="0"/>
              <w:bottom w:val="single" w:color="auto" w:sz="6" w:space="0"/>
              <w:right w:val="single" w:color="auto" w:sz="6" w:space="0"/>
            </w:tcBorders>
            <w:vAlign w:val="center"/>
          </w:tcPr>
          <w:p w14:paraId="29D7EA27">
            <w:pPr>
              <w:widowControl/>
              <w:spacing w:line="440" w:lineRule="exact"/>
              <w:jc w:val="left"/>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优先采购加分（F优先采购加分）</w:t>
            </w:r>
          </w:p>
        </w:tc>
        <w:tc>
          <w:tcPr>
            <w:tcW w:w="6277" w:type="dxa"/>
            <w:gridSpan w:val="3"/>
            <w:tcBorders>
              <w:top w:val="single" w:color="auto" w:sz="6" w:space="0"/>
              <w:left w:val="single" w:color="auto" w:sz="6" w:space="0"/>
              <w:bottom w:val="single" w:color="auto" w:sz="4" w:space="0"/>
              <w:right w:val="double" w:color="auto" w:sz="4" w:space="0"/>
            </w:tcBorders>
            <w:vAlign w:val="center"/>
          </w:tcPr>
          <w:p w14:paraId="60CD5B2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640"/>
              <w:jc w:val="left"/>
              <w:textAlignment w:val="auto"/>
              <w:rPr>
                <w:rFonts w:hint="eastAsia" w:ascii="宋体" w:hAnsi="宋体" w:eastAsia="宋体" w:cs="宋体"/>
                <w:i w:val="0"/>
                <w:iCs w:val="0"/>
                <w:caps w:val="0"/>
                <w:color w:val="auto"/>
                <w:spacing w:val="0"/>
                <w:kern w:val="0"/>
                <w:sz w:val="21"/>
                <w:szCs w:val="21"/>
                <w:highlight w:val="none"/>
                <w:shd w:val="clear" w:color="auto" w:fill="auto"/>
                <w:lang w:val="en-US" w:eastAsia="zh-CN" w:bidi="ar"/>
              </w:rPr>
            </w:pPr>
            <w:r>
              <w:rPr>
                <w:rFonts w:hint="eastAsia" w:ascii="宋体" w:hAnsi="宋体" w:eastAsia="宋体" w:cs="宋体"/>
                <w:i w:val="0"/>
                <w:iCs w:val="0"/>
                <w:caps w:val="0"/>
                <w:color w:val="auto"/>
                <w:spacing w:val="0"/>
                <w:kern w:val="0"/>
                <w:sz w:val="21"/>
                <w:szCs w:val="21"/>
                <w:highlight w:val="none"/>
                <w:shd w:val="clear" w:color="auto" w:fill="auto"/>
                <w:lang w:val="en-US" w:eastAsia="zh-CN" w:bidi="ar"/>
              </w:rPr>
              <w:t xml:space="preserve">节能产品或环境标志产品加分(此仅限于节能产品或环境标志政府采购品目清单内产品，不是品目清单内的产品，在评审时不予加分)： </w:t>
            </w:r>
          </w:p>
          <w:p w14:paraId="1BD6B70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right="0"/>
              <w:jc w:val="left"/>
              <w:textAlignment w:val="auto"/>
              <w:rPr>
                <w:rFonts w:hint="eastAsia" w:ascii="宋体" w:hAnsi="宋体" w:eastAsia="宋体" w:cs="宋体"/>
                <w:i w:val="0"/>
                <w:iCs w:val="0"/>
                <w:caps w:val="0"/>
                <w:color w:val="auto"/>
                <w:spacing w:val="0"/>
                <w:kern w:val="0"/>
                <w:sz w:val="21"/>
                <w:szCs w:val="21"/>
                <w:highlight w:val="none"/>
                <w:shd w:val="clear" w:color="auto" w:fill="auto"/>
                <w:lang w:val="en-US" w:eastAsia="zh-CN" w:bidi="ar"/>
              </w:rPr>
            </w:pPr>
            <w:r>
              <w:rPr>
                <w:rFonts w:hint="eastAsia" w:ascii="宋体" w:hAnsi="宋体" w:eastAsia="宋体" w:cs="宋体"/>
                <w:i w:val="0"/>
                <w:iCs w:val="0"/>
                <w:caps w:val="0"/>
                <w:color w:val="auto"/>
                <w:spacing w:val="0"/>
                <w:kern w:val="0"/>
                <w:sz w:val="21"/>
                <w:szCs w:val="21"/>
                <w:highlight w:val="none"/>
                <w:shd w:val="clear" w:color="auto" w:fill="auto"/>
                <w:lang w:val="en-US" w:eastAsia="zh-CN" w:bidi="ar"/>
              </w:rPr>
              <w:t>所投节能产品或环境标志产品的价格</w:t>
            </w:r>
          </w:p>
          <w:p w14:paraId="2811719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right="0"/>
              <w:jc w:val="left"/>
              <w:textAlignment w:val="auto"/>
              <w:rPr>
                <w:rFonts w:hint="eastAsia" w:ascii="宋体" w:hAnsi="宋体" w:eastAsia="宋体" w:cs="宋体"/>
                <w:i w:val="0"/>
                <w:iCs w:val="0"/>
                <w:caps w:val="0"/>
                <w:color w:val="auto"/>
                <w:spacing w:val="0"/>
                <w:kern w:val="0"/>
                <w:sz w:val="21"/>
                <w:szCs w:val="21"/>
                <w:highlight w:val="none"/>
                <w:shd w:val="clear" w:color="auto" w:fill="auto"/>
                <w:lang w:val="en-US" w:eastAsia="zh-CN" w:bidi="ar"/>
              </w:rPr>
            </w:pPr>
            <w:r>
              <w:rPr>
                <w:rFonts w:hint="eastAsia" w:ascii="宋体" w:hAnsi="宋体" w:eastAsia="宋体" w:cs="宋体"/>
                <w:i w:val="0"/>
                <w:iCs w:val="0"/>
                <w:caps w:val="0"/>
                <w:color w:val="auto"/>
                <w:spacing w:val="0"/>
                <w:kern w:val="0"/>
                <w:sz w:val="21"/>
                <w:szCs w:val="21"/>
                <w:highlight w:val="none"/>
                <w:shd w:val="clear" w:color="auto" w:fill="auto"/>
                <w:lang w:val="en-US" w:eastAsia="zh-CN" w:bidi="ar"/>
              </w:rPr>
              <w:t>——————×技术权值×100×本项目加分比例= 应加分数</w:t>
            </w:r>
          </w:p>
          <w:p w14:paraId="0FDBE86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right="0"/>
              <w:jc w:val="left"/>
              <w:textAlignment w:val="auto"/>
              <w:rPr>
                <w:rFonts w:hint="eastAsia" w:ascii="宋体" w:hAnsi="宋体" w:eastAsia="宋体" w:cs="宋体"/>
                <w:i w:val="0"/>
                <w:iCs w:val="0"/>
                <w:caps w:val="0"/>
                <w:color w:val="auto"/>
                <w:spacing w:val="0"/>
                <w:kern w:val="0"/>
                <w:sz w:val="21"/>
                <w:szCs w:val="21"/>
                <w:highlight w:val="none"/>
                <w:shd w:val="clear" w:color="auto" w:fill="auto"/>
                <w:lang w:val="en-US" w:eastAsia="zh-CN" w:bidi="ar"/>
              </w:rPr>
            </w:pPr>
            <w:r>
              <w:rPr>
                <w:rFonts w:hint="eastAsia" w:ascii="宋体" w:hAnsi="宋体" w:eastAsia="宋体" w:cs="宋体"/>
                <w:i w:val="0"/>
                <w:iCs w:val="0"/>
                <w:caps w:val="0"/>
                <w:color w:val="auto"/>
                <w:spacing w:val="0"/>
                <w:kern w:val="0"/>
                <w:sz w:val="21"/>
                <w:szCs w:val="21"/>
                <w:highlight w:val="none"/>
                <w:shd w:val="clear" w:color="auto" w:fill="auto"/>
                <w:lang w:val="en-US" w:eastAsia="zh-CN" w:bidi="ar"/>
              </w:rPr>
              <w:t>项目总价格</w:t>
            </w:r>
          </w:p>
          <w:p w14:paraId="1AE3141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right="0"/>
              <w:jc w:val="left"/>
              <w:textAlignment w:val="auto"/>
              <w:rPr>
                <w:rFonts w:hint="eastAsia" w:ascii="宋体" w:hAnsi="宋体" w:eastAsia="宋体" w:cs="宋体"/>
                <w:color w:val="auto"/>
                <w:kern w:val="0"/>
                <w:sz w:val="21"/>
                <w:szCs w:val="21"/>
                <w:highlight w:val="none"/>
                <w:lang w:bidi="ar"/>
              </w:rPr>
            </w:pPr>
            <w:r>
              <w:rPr>
                <w:rFonts w:hint="eastAsia" w:ascii="宋体" w:hAnsi="宋体" w:eastAsia="宋体" w:cs="宋体"/>
                <w:i w:val="0"/>
                <w:iCs w:val="0"/>
                <w:caps w:val="0"/>
                <w:color w:val="auto"/>
                <w:spacing w:val="0"/>
                <w:kern w:val="0"/>
                <w:sz w:val="21"/>
                <w:szCs w:val="21"/>
                <w:highlight w:val="none"/>
                <w:shd w:val="clear" w:color="auto" w:fill="auto"/>
                <w:lang w:val="en-US" w:eastAsia="zh-CN" w:bidi="ar"/>
              </w:rPr>
              <w:t>注：整包中某一品目为节能、环境标志政府采购品目清单内产品时只对该品目技术加分，并合计到技术最终得分。</w:t>
            </w:r>
          </w:p>
        </w:tc>
      </w:tr>
      <w:tr w14:paraId="0709103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10" w:hRule="atLeast"/>
          <w:jc w:val="center"/>
        </w:trPr>
        <w:tc>
          <w:tcPr>
            <w:tcW w:w="503" w:type="dxa"/>
            <w:tcBorders>
              <w:top w:val="single" w:color="auto" w:sz="6" w:space="0"/>
              <w:left w:val="double" w:color="auto" w:sz="4" w:space="0"/>
              <w:bottom w:val="double" w:color="auto" w:sz="4" w:space="0"/>
              <w:right w:val="single" w:color="auto" w:sz="4" w:space="0"/>
            </w:tcBorders>
            <w:vAlign w:val="center"/>
          </w:tcPr>
          <w:p w14:paraId="4599F8C3">
            <w:pPr>
              <w:widowControl/>
              <w:spacing w:line="440" w:lineRule="exact"/>
              <w:jc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w:t>
            </w:r>
          </w:p>
        </w:tc>
        <w:tc>
          <w:tcPr>
            <w:tcW w:w="8437" w:type="dxa"/>
            <w:gridSpan w:val="4"/>
            <w:tcBorders>
              <w:top w:val="single" w:color="auto" w:sz="6" w:space="0"/>
              <w:left w:val="single" w:color="auto" w:sz="4" w:space="0"/>
              <w:bottom w:val="double" w:color="auto" w:sz="4" w:space="0"/>
              <w:right w:val="double" w:color="auto" w:sz="4" w:space="0"/>
            </w:tcBorders>
            <w:vAlign w:val="center"/>
          </w:tcPr>
          <w:p w14:paraId="47754707">
            <w:pPr>
              <w:widowControl/>
              <w:spacing w:line="440" w:lineRule="exact"/>
              <w:ind w:firstLine="640"/>
              <w:jc w:val="left"/>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F2=F+ F优先采购加分</w:t>
            </w:r>
          </w:p>
        </w:tc>
      </w:tr>
    </w:tbl>
    <w:p w14:paraId="528F57A6">
      <w:pPr>
        <w:widowControl/>
        <w:spacing w:line="440" w:lineRule="exact"/>
        <w:ind w:firstLine="640"/>
        <w:jc w:val="left"/>
        <w:rPr>
          <w:rFonts w:hint="eastAsia" w:ascii="宋体" w:hAnsi="宋体" w:eastAsia="宋体" w:cs="宋体"/>
          <w:color w:val="auto"/>
          <w:kern w:val="0"/>
          <w:sz w:val="21"/>
          <w:szCs w:val="21"/>
          <w:highlight w:val="none"/>
          <w:lang w:bidi="ar"/>
        </w:rPr>
      </w:pPr>
    </w:p>
    <w:p w14:paraId="106970C7">
      <w:pPr>
        <w:widowControl/>
        <w:spacing w:line="440" w:lineRule="exact"/>
        <w:ind w:firstLine="640"/>
        <w:jc w:val="left"/>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附表1.3商务部分评审标准表</w:t>
      </w:r>
    </w:p>
    <w:tbl>
      <w:tblPr>
        <w:tblStyle w:val="47"/>
        <w:tblW w:w="8985"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03"/>
        <w:gridCol w:w="1946"/>
        <w:gridCol w:w="1308"/>
        <w:gridCol w:w="709"/>
        <w:gridCol w:w="4519"/>
      </w:tblGrid>
      <w:tr w14:paraId="6C678AB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52" w:hRule="atLeast"/>
          <w:jc w:val="center"/>
        </w:trPr>
        <w:tc>
          <w:tcPr>
            <w:tcW w:w="503" w:type="dxa"/>
            <w:vAlign w:val="center"/>
          </w:tcPr>
          <w:p w14:paraId="65AD156C">
            <w:pPr>
              <w:widowControl/>
              <w:spacing w:line="440" w:lineRule="exact"/>
              <w:jc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序号</w:t>
            </w:r>
          </w:p>
        </w:tc>
        <w:tc>
          <w:tcPr>
            <w:tcW w:w="1946" w:type="dxa"/>
            <w:vAlign w:val="center"/>
          </w:tcPr>
          <w:p w14:paraId="63A22B81">
            <w:pPr>
              <w:widowControl/>
              <w:spacing w:line="440" w:lineRule="exact"/>
              <w:jc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评标因素</w:t>
            </w:r>
          </w:p>
          <w:p w14:paraId="36725136">
            <w:pPr>
              <w:widowControl/>
              <w:spacing w:line="440" w:lineRule="exact"/>
              <w:jc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（分值）</w:t>
            </w:r>
          </w:p>
        </w:tc>
        <w:tc>
          <w:tcPr>
            <w:tcW w:w="6536" w:type="dxa"/>
            <w:gridSpan w:val="3"/>
            <w:vAlign w:val="center"/>
          </w:tcPr>
          <w:p w14:paraId="6EE3F5C5">
            <w:pPr>
              <w:widowControl/>
              <w:spacing w:line="440" w:lineRule="exact"/>
              <w:jc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评标标准</w:t>
            </w:r>
          </w:p>
        </w:tc>
      </w:tr>
      <w:tr w14:paraId="0757AFD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503" w:type="dxa"/>
            <w:vMerge w:val="restart"/>
            <w:vAlign w:val="center"/>
          </w:tcPr>
          <w:p w14:paraId="1C44316C">
            <w:pPr>
              <w:widowControl/>
              <w:spacing w:line="440" w:lineRule="exact"/>
              <w:jc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1</w:t>
            </w:r>
          </w:p>
        </w:tc>
        <w:tc>
          <w:tcPr>
            <w:tcW w:w="1946" w:type="dxa"/>
            <w:vMerge w:val="restart"/>
            <w:vAlign w:val="center"/>
          </w:tcPr>
          <w:p w14:paraId="64C29214">
            <w:pPr>
              <w:widowControl/>
              <w:spacing w:line="440" w:lineRule="exact"/>
              <w:jc w:val="left"/>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商务评价项</w:t>
            </w:r>
          </w:p>
          <w:p w14:paraId="6CE8F7B8">
            <w:pPr>
              <w:widowControl/>
              <w:spacing w:line="440" w:lineRule="exact"/>
              <w:jc w:val="left"/>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（F=100分）</w:t>
            </w:r>
          </w:p>
        </w:tc>
        <w:tc>
          <w:tcPr>
            <w:tcW w:w="1308" w:type="dxa"/>
            <w:vAlign w:val="center"/>
          </w:tcPr>
          <w:p w14:paraId="6AE0B07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right="0" w:rightChars="0"/>
              <w:jc w:val="left"/>
              <w:textAlignment w:val="auto"/>
              <w:rPr>
                <w:rFonts w:hint="eastAsia" w:ascii="宋体" w:hAnsi="宋体" w:eastAsia="宋体" w:cs="宋体"/>
                <w:color w:val="auto"/>
                <w:kern w:val="0"/>
                <w:sz w:val="21"/>
                <w:szCs w:val="21"/>
                <w:highlight w:val="none"/>
                <w:lang w:bidi="ar"/>
              </w:rPr>
            </w:pPr>
            <w:r>
              <w:rPr>
                <w:rFonts w:hint="eastAsia" w:ascii="宋体" w:hAnsi="宋体" w:eastAsia="宋体" w:cs="宋体"/>
                <w:i w:val="0"/>
                <w:iCs w:val="0"/>
                <w:caps w:val="0"/>
                <w:color w:val="auto"/>
                <w:spacing w:val="0"/>
                <w:kern w:val="0"/>
                <w:sz w:val="21"/>
                <w:szCs w:val="21"/>
                <w:highlight w:val="none"/>
                <w:shd w:val="clear" w:color="auto" w:fill="auto"/>
                <w:lang w:val="en-US" w:eastAsia="zh-CN" w:bidi="ar"/>
              </w:rPr>
              <w:t>售后服务</w:t>
            </w:r>
          </w:p>
        </w:tc>
        <w:tc>
          <w:tcPr>
            <w:tcW w:w="709" w:type="dxa"/>
            <w:vAlign w:val="center"/>
          </w:tcPr>
          <w:p w14:paraId="6568D77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right="0" w:rightChars="0"/>
              <w:jc w:val="left"/>
              <w:textAlignment w:val="auto"/>
              <w:rPr>
                <w:rFonts w:hint="eastAsia" w:ascii="宋体" w:hAnsi="宋体" w:eastAsia="宋体" w:cs="宋体"/>
                <w:color w:val="auto"/>
                <w:kern w:val="0"/>
                <w:sz w:val="21"/>
                <w:szCs w:val="21"/>
                <w:highlight w:val="none"/>
                <w:lang w:bidi="ar"/>
              </w:rPr>
            </w:pPr>
            <w:r>
              <w:rPr>
                <w:rFonts w:hint="eastAsia" w:ascii="宋体" w:hAnsi="宋体" w:eastAsia="宋体" w:cs="宋体"/>
                <w:i w:val="0"/>
                <w:iCs w:val="0"/>
                <w:caps w:val="0"/>
                <w:color w:val="auto"/>
                <w:spacing w:val="0"/>
                <w:kern w:val="0"/>
                <w:sz w:val="21"/>
                <w:szCs w:val="21"/>
                <w:highlight w:val="none"/>
                <w:shd w:val="clear" w:color="auto" w:fill="auto"/>
                <w:lang w:val="en-US" w:eastAsia="zh-CN" w:bidi="ar"/>
              </w:rPr>
              <w:t>55</w:t>
            </w:r>
          </w:p>
        </w:tc>
        <w:tc>
          <w:tcPr>
            <w:tcW w:w="4519" w:type="dxa"/>
            <w:vAlign w:val="center"/>
          </w:tcPr>
          <w:p w14:paraId="20BB6A3E">
            <w:pPr>
              <w:keepNext w:val="0"/>
              <w:keepLines w:val="0"/>
              <w:pageBreakBefore w:val="0"/>
              <w:widowControl/>
              <w:numPr>
                <w:ilvl w:val="0"/>
                <w:numId w:val="7"/>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right="0" w:rightChars="0"/>
              <w:jc w:val="left"/>
              <w:textAlignment w:val="auto"/>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针对本项目有明确的售后服务方案，包括但不限于：①设备配送、安装、检验等；②发生故障后的补救措施及巡检服务；③售后服务维修人员详细情况；④维修的响应时间；⑤备品配件的清单及供应保障措施。上述小项方案具有针对性和可行性，符合采购实际需求，内容完整合理满足招标文件要求的每项得7分。存在一般缺陷的每项方案得3.5分（一般缺陷是指方案内容前后不一致或前后逻辑错误或内容有缺失，不影响项目的实施）。未提供或存在重大缺陷的每项方案不得分（重大缺陷是指方案凭空编造或与采购项目和采购需求无关，无法指导项目实施）。</w:t>
            </w:r>
          </w:p>
          <w:p w14:paraId="1032346E">
            <w:pPr>
              <w:keepNext w:val="0"/>
              <w:keepLines w:val="0"/>
              <w:pageBreakBefore w:val="0"/>
              <w:widowControl/>
              <w:numPr>
                <w:ilvl w:val="0"/>
                <w:numId w:val="7"/>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right="0" w:rightChars="0"/>
              <w:jc w:val="left"/>
              <w:textAlignment w:val="auto"/>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质保期在招标要求基础上再增加1年的加10分，增加2年以上的加20分，最高可加20分。</w:t>
            </w:r>
          </w:p>
        </w:tc>
      </w:tr>
      <w:tr w14:paraId="012B2C6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503" w:type="dxa"/>
            <w:vMerge w:val="continue"/>
            <w:vAlign w:val="center"/>
          </w:tcPr>
          <w:p w14:paraId="7489F80C">
            <w:pPr>
              <w:widowControl/>
              <w:jc w:val="left"/>
              <w:rPr>
                <w:rFonts w:hint="eastAsia" w:ascii="宋体" w:hAnsi="宋体" w:eastAsia="宋体" w:cs="宋体"/>
                <w:color w:val="auto"/>
                <w:kern w:val="0"/>
                <w:sz w:val="21"/>
                <w:szCs w:val="21"/>
                <w:highlight w:val="none"/>
                <w:lang w:bidi="ar"/>
              </w:rPr>
            </w:pPr>
          </w:p>
        </w:tc>
        <w:tc>
          <w:tcPr>
            <w:tcW w:w="1946" w:type="dxa"/>
            <w:vMerge w:val="continue"/>
            <w:vAlign w:val="center"/>
          </w:tcPr>
          <w:p w14:paraId="0FE186D2">
            <w:pPr>
              <w:widowControl/>
              <w:jc w:val="left"/>
              <w:rPr>
                <w:rFonts w:hint="eastAsia" w:ascii="宋体" w:hAnsi="宋体" w:eastAsia="宋体" w:cs="宋体"/>
                <w:color w:val="auto"/>
                <w:kern w:val="0"/>
                <w:sz w:val="21"/>
                <w:szCs w:val="21"/>
                <w:highlight w:val="none"/>
                <w:lang w:bidi="ar"/>
              </w:rPr>
            </w:pPr>
          </w:p>
        </w:tc>
        <w:tc>
          <w:tcPr>
            <w:tcW w:w="1308" w:type="dxa"/>
            <w:vAlign w:val="center"/>
          </w:tcPr>
          <w:p w14:paraId="368727F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right="0" w:rightChars="0"/>
              <w:jc w:val="left"/>
              <w:textAlignment w:val="auto"/>
              <w:rPr>
                <w:rFonts w:hint="eastAsia" w:ascii="宋体" w:hAnsi="宋体" w:eastAsia="宋体" w:cs="宋体"/>
                <w:i w:val="0"/>
                <w:iCs w:val="0"/>
                <w:caps w:val="0"/>
                <w:color w:val="auto"/>
                <w:spacing w:val="0"/>
                <w:kern w:val="0"/>
                <w:sz w:val="21"/>
                <w:szCs w:val="21"/>
                <w:highlight w:val="none"/>
                <w:shd w:val="clear" w:color="auto" w:fill="auto"/>
                <w:lang w:val="en-US" w:eastAsia="zh-CN" w:bidi="ar"/>
              </w:rPr>
            </w:pPr>
            <w:r>
              <w:rPr>
                <w:rFonts w:hint="eastAsia" w:ascii="宋体" w:hAnsi="宋体" w:eastAsia="宋体" w:cs="宋体"/>
                <w:i w:val="0"/>
                <w:iCs w:val="0"/>
                <w:caps w:val="0"/>
                <w:color w:val="auto"/>
                <w:spacing w:val="0"/>
                <w:kern w:val="0"/>
                <w:sz w:val="21"/>
                <w:szCs w:val="21"/>
                <w:highlight w:val="none"/>
                <w:shd w:val="clear" w:color="auto" w:fill="auto"/>
                <w:lang w:val="en-US" w:eastAsia="zh-CN" w:bidi="ar"/>
              </w:rPr>
              <w:t>培训方案</w:t>
            </w:r>
          </w:p>
        </w:tc>
        <w:tc>
          <w:tcPr>
            <w:tcW w:w="709" w:type="dxa"/>
            <w:vAlign w:val="center"/>
          </w:tcPr>
          <w:p w14:paraId="353ED42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right="0" w:rightChars="0"/>
              <w:jc w:val="left"/>
              <w:textAlignment w:val="auto"/>
              <w:rPr>
                <w:rFonts w:hint="eastAsia" w:ascii="宋体" w:hAnsi="宋体" w:eastAsia="宋体" w:cs="宋体"/>
                <w:i w:val="0"/>
                <w:iCs w:val="0"/>
                <w:caps w:val="0"/>
                <w:color w:val="auto"/>
                <w:spacing w:val="0"/>
                <w:kern w:val="0"/>
                <w:sz w:val="21"/>
                <w:szCs w:val="21"/>
                <w:highlight w:val="none"/>
                <w:shd w:val="clear" w:color="auto" w:fill="auto"/>
                <w:lang w:val="en-US" w:eastAsia="zh-CN" w:bidi="ar"/>
              </w:rPr>
            </w:pPr>
            <w:r>
              <w:rPr>
                <w:rFonts w:hint="eastAsia" w:ascii="宋体" w:hAnsi="宋体" w:eastAsia="宋体" w:cs="宋体"/>
                <w:i w:val="0"/>
                <w:iCs w:val="0"/>
                <w:caps w:val="0"/>
                <w:color w:val="auto"/>
                <w:spacing w:val="0"/>
                <w:kern w:val="0"/>
                <w:sz w:val="21"/>
                <w:szCs w:val="21"/>
                <w:highlight w:val="none"/>
                <w:shd w:val="clear" w:color="auto" w:fill="auto"/>
                <w:lang w:val="en-US" w:eastAsia="zh-CN" w:bidi="ar"/>
              </w:rPr>
              <w:t>15</w:t>
            </w:r>
          </w:p>
        </w:tc>
        <w:tc>
          <w:tcPr>
            <w:tcW w:w="4519" w:type="dxa"/>
            <w:vAlign w:val="center"/>
          </w:tcPr>
          <w:p w14:paraId="09DCBF4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right="0" w:rightChars="0"/>
              <w:jc w:val="left"/>
              <w:textAlignment w:val="auto"/>
              <w:rPr>
                <w:rFonts w:hint="eastAsia" w:ascii="宋体" w:hAnsi="宋体" w:eastAsia="宋体" w:cs="宋体"/>
                <w:i w:val="0"/>
                <w:iCs w:val="0"/>
                <w:caps w:val="0"/>
                <w:color w:val="auto"/>
                <w:spacing w:val="0"/>
                <w:kern w:val="0"/>
                <w:sz w:val="21"/>
                <w:szCs w:val="21"/>
                <w:highlight w:val="none"/>
                <w:shd w:val="clear" w:color="auto" w:fill="auto"/>
                <w:lang w:val="en-US" w:eastAsia="zh-CN" w:bidi="ar"/>
              </w:rPr>
            </w:pPr>
            <w:r>
              <w:rPr>
                <w:rFonts w:hint="eastAsia" w:ascii="宋体" w:hAnsi="宋体" w:eastAsia="宋体" w:cs="宋体"/>
                <w:i w:val="0"/>
                <w:iCs w:val="0"/>
                <w:caps w:val="0"/>
                <w:color w:val="auto"/>
                <w:spacing w:val="0"/>
                <w:kern w:val="0"/>
                <w:sz w:val="21"/>
                <w:szCs w:val="21"/>
                <w:highlight w:val="none"/>
                <w:shd w:val="clear" w:color="auto" w:fill="auto"/>
                <w:lang w:val="en-US" w:eastAsia="zh-CN" w:bidi="ar"/>
              </w:rPr>
              <w:t>针对本项目具有可行的技术培训方案，包括但不限于：①所提供设备的原理和技术性能；②操作维护方法；③安装调试、排除故障等各个方面；④培训计划安排；⑤培训效果等。</w:t>
            </w:r>
          </w:p>
          <w:p w14:paraId="0C4C600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right="0" w:rightChars="0"/>
              <w:jc w:val="left"/>
              <w:textAlignment w:val="auto"/>
              <w:rPr>
                <w:rFonts w:hint="eastAsia" w:ascii="宋体" w:hAnsi="宋体" w:eastAsia="宋体" w:cs="宋体"/>
                <w:i w:val="0"/>
                <w:iCs w:val="0"/>
                <w:caps w:val="0"/>
                <w:color w:val="auto"/>
                <w:spacing w:val="0"/>
                <w:kern w:val="0"/>
                <w:sz w:val="21"/>
                <w:szCs w:val="21"/>
                <w:highlight w:val="none"/>
                <w:shd w:val="clear" w:color="auto" w:fill="auto"/>
                <w:lang w:val="en-US" w:eastAsia="zh-CN" w:bidi="ar"/>
              </w:rPr>
            </w:pPr>
            <w:r>
              <w:rPr>
                <w:rFonts w:hint="eastAsia" w:ascii="宋体" w:hAnsi="宋体" w:eastAsia="宋体" w:cs="宋体"/>
                <w:i w:val="0"/>
                <w:iCs w:val="0"/>
                <w:caps w:val="0"/>
                <w:color w:val="auto"/>
                <w:spacing w:val="0"/>
                <w:kern w:val="0"/>
                <w:sz w:val="21"/>
                <w:szCs w:val="21"/>
                <w:highlight w:val="none"/>
                <w:shd w:val="clear" w:color="auto" w:fill="auto"/>
                <w:lang w:val="en-US" w:eastAsia="zh-CN" w:bidi="ar"/>
              </w:rPr>
              <w:t>上述小项方案具有针对性和可行性，符合采购实际需求，内容完整合理满足招标文件要求的每项得3分。存在一般缺陷的每项方案得1.5分（一般缺陷是指方案内容前后不一致或前后逻辑错误或内容有缺失，不影响项目的实施）。未提供或存在重大缺陷的每项方案不得分（重大缺陷是指方案凭空编造或与采购项目和采购需求无关，无法指导项目实施）。</w:t>
            </w:r>
          </w:p>
        </w:tc>
      </w:tr>
      <w:tr w14:paraId="7E6F6E2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503" w:type="dxa"/>
            <w:vMerge w:val="continue"/>
            <w:vAlign w:val="center"/>
          </w:tcPr>
          <w:p w14:paraId="2C39BED1">
            <w:pPr>
              <w:widowControl/>
              <w:jc w:val="left"/>
              <w:rPr>
                <w:rFonts w:hint="eastAsia" w:ascii="宋体" w:hAnsi="宋体" w:eastAsia="宋体" w:cs="宋体"/>
                <w:color w:val="auto"/>
                <w:kern w:val="0"/>
                <w:sz w:val="21"/>
                <w:szCs w:val="21"/>
                <w:highlight w:val="none"/>
                <w:lang w:bidi="ar"/>
              </w:rPr>
            </w:pPr>
          </w:p>
        </w:tc>
        <w:tc>
          <w:tcPr>
            <w:tcW w:w="1946" w:type="dxa"/>
            <w:vMerge w:val="continue"/>
            <w:vAlign w:val="center"/>
          </w:tcPr>
          <w:p w14:paraId="5B6966F1">
            <w:pPr>
              <w:widowControl/>
              <w:jc w:val="left"/>
              <w:rPr>
                <w:rFonts w:hint="eastAsia" w:ascii="宋体" w:hAnsi="宋体" w:eastAsia="宋体" w:cs="宋体"/>
                <w:color w:val="auto"/>
                <w:kern w:val="0"/>
                <w:sz w:val="21"/>
                <w:szCs w:val="21"/>
                <w:highlight w:val="none"/>
                <w:lang w:bidi="ar"/>
              </w:rPr>
            </w:pPr>
          </w:p>
        </w:tc>
        <w:tc>
          <w:tcPr>
            <w:tcW w:w="1308" w:type="dxa"/>
            <w:vAlign w:val="center"/>
          </w:tcPr>
          <w:p w14:paraId="7F0EBCA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right="0" w:rightChars="0"/>
              <w:jc w:val="left"/>
              <w:textAlignment w:val="auto"/>
              <w:rPr>
                <w:rFonts w:hint="eastAsia" w:ascii="宋体" w:hAnsi="宋体" w:eastAsia="宋体" w:cs="宋体"/>
                <w:color w:val="auto"/>
                <w:kern w:val="0"/>
                <w:sz w:val="21"/>
                <w:szCs w:val="21"/>
                <w:highlight w:val="none"/>
                <w:lang w:bidi="ar"/>
              </w:rPr>
            </w:pPr>
            <w:r>
              <w:rPr>
                <w:rFonts w:hint="eastAsia" w:ascii="宋体" w:hAnsi="宋体" w:eastAsia="宋体" w:cs="宋体"/>
                <w:i w:val="0"/>
                <w:iCs w:val="0"/>
                <w:caps w:val="0"/>
                <w:color w:val="auto"/>
                <w:spacing w:val="0"/>
                <w:kern w:val="0"/>
                <w:sz w:val="21"/>
                <w:szCs w:val="21"/>
                <w:highlight w:val="none"/>
                <w:shd w:val="clear" w:color="auto" w:fill="auto"/>
                <w:lang w:val="en-US" w:eastAsia="zh-CN" w:bidi="ar"/>
              </w:rPr>
              <w:t>类似业绩</w:t>
            </w:r>
          </w:p>
        </w:tc>
        <w:tc>
          <w:tcPr>
            <w:tcW w:w="709" w:type="dxa"/>
            <w:vAlign w:val="center"/>
          </w:tcPr>
          <w:p w14:paraId="60DA255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right="0" w:rightChars="0"/>
              <w:jc w:val="left"/>
              <w:textAlignment w:val="auto"/>
              <w:rPr>
                <w:rFonts w:hint="eastAsia" w:ascii="宋体" w:hAnsi="宋体" w:eastAsia="宋体" w:cs="宋体"/>
                <w:color w:val="auto"/>
                <w:kern w:val="0"/>
                <w:sz w:val="21"/>
                <w:szCs w:val="21"/>
                <w:highlight w:val="none"/>
                <w:lang w:bidi="ar"/>
              </w:rPr>
            </w:pPr>
            <w:r>
              <w:rPr>
                <w:rFonts w:hint="eastAsia" w:ascii="宋体" w:hAnsi="宋体" w:eastAsia="宋体" w:cs="宋体"/>
                <w:i w:val="0"/>
                <w:iCs w:val="0"/>
                <w:caps w:val="0"/>
                <w:color w:val="auto"/>
                <w:spacing w:val="0"/>
                <w:kern w:val="0"/>
                <w:sz w:val="21"/>
                <w:szCs w:val="21"/>
                <w:highlight w:val="none"/>
                <w:shd w:val="clear" w:color="auto" w:fill="auto"/>
                <w:lang w:val="en-US" w:eastAsia="zh-CN" w:bidi="ar"/>
              </w:rPr>
              <w:t>30</w:t>
            </w:r>
          </w:p>
        </w:tc>
        <w:tc>
          <w:tcPr>
            <w:tcW w:w="4519" w:type="dxa"/>
            <w:vAlign w:val="center"/>
          </w:tcPr>
          <w:p w14:paraId="274C4B6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right="0" w:rightChars="0"/>
              <w:jc w:val="left"/>
              <w:textAlignment w:val="auto"/>
              <w:rPr>
                <w:rFonts w:hint="eastAsia" w:ascii="宋体" w:hAnsi="宋体" w:eastAsia="宋体" w:cs="宋体"/>
                <w:color w:val="auto"/>
                <w:kern w:val="0"/>
                <w:sz w:val="21"/>
                <w:szCs w:val="21"/>
                <w:highlight w:val="none"/>
                <w:lang w:bidi="ar"/>
              </w:rPr>
            </w:pPr>
            <w:r>
              <w:rPr>
                <w:rFonts w:hint="eastAsia" w:ascii="宋体" w:hAnsi="宋体" w:eastAsia="宋体" w:cs="宋体"/>
                <w:i w:val="0"/>
                <w:iCs w:val="0"/>
                <w:caps w:val="0"/>
                <w:color w:val="auto"/>
                <w:spacing w:val="0"/>
                <w:kern w:val="0"/>
                <w:sz w:val="21"/>
                <w:szCs w:val="21"/>
                <w:highlight w:val="none"/>
                <w:shd w:val="clear" w:color="auto" w:fill="auto"/>
                <w:lang w:val="en-US" w:eastAsia="zh-CN" w:bidi="ar"/>
              </w:rPr>
              <w:t>提供近两年以来设备销售业绩证明材料（证明材料</w:t>
            </w:r>
            <w:r>
              <w:rPr>
                <w:rFonts w:hint="eastAsia" w:ascii="宋体" w:hAnsi="宋体" w:cs="宋体"/>
                <w:i w:val="0"/>
                <w:iCs w:val="0"/>
                <w:caps w:val="0"/>
                <w:color w:val="auto"/>
                <w:spacing w:val="0"/>
                <w:kern w:val="0"/>
                <w:sz w:val="21"/>
                <w:szCs w:val="21"/>
                <w:highlight w:val="none"/>
                <w:shd w:val="clear" w:color="auto" w:fill="auto"/>
                <w:lang w:val="en-US" w:eastAsia="zh-CN" w:bidi="ar"/>
              </w:rPr>
              <w:t>为合同复印件</w:t>
            </w:r>
            <w:r>
              <w:rPr>
                <w:rFonts w:hint="eastAsia" w:ascii="宋体" w:hAnsi="宋体" w:eastAsia="宋体" w:cs="宋体"/>
                <w:i w:val="0"/>
                <w:iCs w:val="0"/>
                <w:caps w:val="0"/>
                <w:color w:val="auto"/>
                <w:spacing w:val="0"/>
                <w:kern w:val="0"/>
                <w:sz w:val="21"/>
                <w:szCs w:val="21"/>
                <w:highlight w:val="none"/>
                <w:shd w:val="clear" w:color="auto" w:fill="auto"/>
                <w:lang w:val="en-US" w:eastAsia="zh-CN" w:bidi="ar"/>
              </w:rPr>
              <w:t>，且要体现中标设备的型号），每提供一份计15分，计满30分为止，未按要求提供不得分。</w:t>
            </w:r>
          </w:p>
        </w:tc>
      </w:tr>
    </w:tbl>
    <w:p w14:paraId="7BEDBC5C">
      <w:pPr>
        <w:rPr>
          <w:color w:val="auto"/>
          <w:highlight w:val="none"/>
        </w:rPr>
      </w:pPr>
    </w:p>
    <w:p w14:paraId="21136804">
      <w:pPr>
        <w:widowControl/>
        <w:numPr>
          <w:ilvl w:val="0"/>
          <w:numId w:val="0"/>
        </w:numPr>
        <w:ind w:firstLine="2570" w:firstLineChars="800"/>
        <w:jc w:val="both"/>
        <w:rPr>
          <w:rFonts w:hint="eastAsia" w:ascii="黑体" w:hAnsi="华文中宋" w:eastAsia="黑体" w:cs="Courier New"/>
          <w:b/>
          <w:color w:val="auto"/>
          <w:sz w:val="32"/>
          <w:szCs w:val="32"/>
          <w:highlight w:val="none"/>
          <w:lang w:val="en-US" w:eastAsia="zh-CN"/>
        </w:rPr>
      </w:pPr>
      <w:bookmarkStart w:id="1168" w:name="_Toc32148"/>
      <w:bookmarkStart w:id="1169" w:name="_Toc6964"/>
      <w:bookmarkStart w:id="1170" w:name="_Toc10895"/>
      <w:bookmarkStart w:id="1171" w:name="_Toc30635"/>
      <w:bookmarkStart w:id="1172" w:name="_Toc154428428"/>
      <w:bookmarkStart w:id="1173" w:name="_Toc171273710"/>
      <w:bookmarkStart w:id="1174" w:name="_Toc28795"/>
      <w:bookmarkStart w:id="1175" w:name="_Toc114036753"/>
      <w:bookmarkStart w:id="1176" w:name="_Toc21646"/>
      <w:bookmarkStart w:id="1177" w:name="_Toc19465"/>
      <w:bookmarkStart w:id="1178" w:name="_Toc117192489"/>
    </w:p>
    <w:p w14:paraId="0EE9B4E0">
      <w:pPr>
        <w:widowControl/>
        <w:numPr>
          <w:ilvl w:val="0"/>
          <w:numId w:val="0"/>
        </w:numPr>
        <w:ind w:firstLine="2570" w:firstLineChars="800"/>
        <w:jc w:val="both"/>
        <w:rPr>
          <w:rFonts w:hint="eastAsia" w:ascii="黑体" w:hAnsi="华文中宋" w:eastAsia="黑体" w:cs="Courier New"/>
          <w:b/>
          <w:color w:val="auto"/>
          <w:sz w:val="32"/>
          <w:szCs w:val="32"/>
          <w:highlight w:val="none"/>
          <w:lang w:val="en-US" w:eastAsia="zh-CN"/>
        </w:rPr>
      </w:pPr>
    </w:p>
    <w:p w14:paraId="63A41A63">
      <w:pPr>
        <w:widowControl/>
        <w:numPr>
          <w:ilvl w:val="0"/>
          <w:numId w:val="0"/>
        </w:numPr>
        <w:ind w:firstLine="2570" w:firstLineChars="800"/>
        <w:jc w:val="both"/>
        <w:rPr>
          <w:rFonts w:hint="eastAsia" w:ascii="黑体" w:hAnsi="华文中宋" w:eastAsia="黑体" w:cs="Courier New"/>
          <w:b/>
          <w:color w:val="auto"/>
          <w:sz w:val="32"/>
          <w:szCs w:val="32"/>
          <w:highlight w:val="none"/>
          <w:lang w:val="en-US" w:eastAsia="zh-CN"/>
        </w:rPr>
      </w:pPr>
    </w:p>
    <w:p w14:paraId="29326D90">
      <w:pPr>
        <w:widowControl/>
        <w:numPr>
          <w:ilvl w:val="0"/>
          <w:numId w:val="0"/>
        </w:numPr>
        <w:ind w:firstLine="2570" w:firstLineChars="800"/>
        <w:jc w:val="both"/>
        <w:rPr>
          <w:rFonts w:hint="eastAsia" w:ascii="黑体" w:hAnsi="华文中宋" w:eastAsia="黑体" w:cs="Courier New"/>
          <w:b/>
          <w:color w:val="auto"/>
          <w:sz w:val="32"/>
          <w:szCs w:val="32"/>
          <w:highlight w:val="none"/>
          <w:lang w:val="en-US" w:eastAsia="zh-CN"/>
        </w:rPr>
      </w:pPr>
    </w:p>
    <w:p w14:paraId="0E51C0F3">
      <w:pPr>
        <w:rPr>
          <w:rFonts w:hint="eastAsia" w:ascii="黑体" w:hAnsi="华文中宋" w:eastAsia="黑体" w:cs="Courier New"/>
          <w:b/>
          <w:color w:val="auto"/>
          <w:sz w:val="32"/>
          <w:szCs w:val="32"/>
          <w:highlight w:val="none"/>
          <w:lang w:val="en-US" w:eastAsia="zh-CN"/>
        </w:rPr>
      </w:pPr>
      <w:r>
        <w:rPr>
          <w:rFonts w:hint="eastAsia" w:ascii="黑体" w:hAnsi="华文中宋" w:eastAsia="黑体" w:cs="Courier New"/>
          <w:b/>
          <w:color w:val="auto"/>
          <w:sz w:val="32"/>
          <w:szCs w:val="32"/>
          <w:highlight w:val="none"/>
          <w:lang w:val="en-US" w:eastAsia="zh-CN"/>
        </w:rPr>
        <w:br w:type="page"/>
      </w:r>
    </w:p>
    <w:p w14:paraId="58830FA3">
      <w:pPr>
        <w:widowControl/>
        <w:numPr>
          <w:ilvl w:val="0"/>
          <w:numId w:val="0"/>
        </w:numPr>
        <w:ind w:firstLine="2570" w:firstLineChars="800"/>
        <w:jc w:val="both"/>
        <w:outlineLvl w:val="0"/>
        <w:rPr>
          <w:color w:val="auto"/>
          <w:highlight w:val="none"/>
        </w:rPr>
      </w:pPr>
      <w:bookmarkStart w:id="1179" w:name="_Toc751738634"/>
      <w:r>
        <w:rPr>
          <w:rFonts w:hint="eastAsia" w:ascii="黑体" w:hAnsi="华文中宋" w:eastAsia="黑体" w:cs="Courier New"/>
          <w:b/>
          <w:color w:val="auto"/>
          <w:sz w:val="32"/>
          <w:szCs w:val="32"/>
          <w:highlight w:val="none"/>
          <w:lang w:val="en-US" w:eastAsia="zh-CN"/>
        </w:rPr>
        <w:t xml:space="preserve">第五章 </w:t>
      </w:r>
      <w:r>
        <w:rPr>
          <w:rFonts w:hint="eastAsia" w:ascii="黑体" w:hAnsi="华文中宋" w:eastAsia="黑体" w:cs="Courier New"/>
          <w:b/>
          <w:color w:val="auto"/>
          <w:sz w:val="32"/>
          <w:szCs w:val="32"/>
          <w:highlight w:val="none"/>
        </w:rPr>
        <w:t xml:space="preserve"> 采购需求</w:t>
      </w:r>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p>
    <w:p w14:paraId="4FFA48AA">
      <w:pPr>
        <w:keepNext w:val="0"/>
        <w:keepLines w:val="0"/>
        <w:pageBreakBefore w:val="0"/>
        <w:widowControl/>
        <w:kinsoku/>
        <w:wordWrap/>
        <w:overflowPunct/>
        <w:topLinePunct w:val="0"/>
        <w:autoSpaceDE/>
        <w:autoSpaceDN/>
        <w:bidi w:val="0"/>
        <w:adjustRightInd/>
        <w:snapToGrid/>
        <w:spacing w:line="560" w:lineRule="atLeast"/>
        <w:jc w:val="left"/>
        <w:textAlignment w:val="auto"/>
        <w:outlineLvl w:val="1"/>
        <w:rPr>
          <w:rFonts w:hint="eastAsia" w:asciiTheme="majorEastAsia" w:hAnsiTheme="majorEastAsia" w:eastAsiaTheme="majorEastAsia" w:cstheme="majorEastAsia"/>
          <w:color w:val="auto"/>
          <w:kern w:val="0"/>
          <w:sz w:val="21"/>
          <w:szCs w:val="21"/>
          <w:highlight w:val="none"/>
          <w:lang w:val="en-US" w:eastAsia="zh-CN" w:bidi="ar"/>
        </w:rPr>
      </w:pPr>
      <w:bookmarkStart w:id="1180" w:name="_Toc404876072"/>
      <w:bookmarkStart w:id="1181" w:name="_Toc192949743"/>
      <w:bookmarkStart w:id="1182" w:name="_Toc9583"/>
      <w:bookmarkStart w:id="1183" w:name="_Toc95601407"/>
      <w:bookmarkStart w:id="1184" w:name="_Toc154428431"/>
      <w:bookmarkStart w:id="1185" w:name="_Toc171273713"/>
      <w:bookmarkStart w:id="1186" w:name="_Toc5772"/>
      <w:bookmarkStart w:id="1187" w:name="_Toc78314306"/>
      <w:bookmarkStart w:id="1188" w:name="_Toc32354"/>
      <w:bookmarkStart w:id="1189" w:name="_Toc24507"/>
      <w:bookmarkStart w:id="1190" w:name="_Toc100670715"/>
      <w:bookmarkStart w:id="1191" w:name="_Toc15888522"/>
      <w:bookmarkStart w:id="1192" w:name="_Toc21944"/>
      <w:bookmarkStart w:id="1193" w:name="_Toc108341982"/>
      <w:bookmarkStart w:id="1194" w:name="_Toc13626"/>
      <w:bookmarkStart w:id="1195" w:name="_Toc192951254"/>
      <w:bookmarkStart w:id="1196" w:name="_Toc75289274"/>
      <w:bookmarkStart w:id="1197" w:name="_Toc85972972"/>
      <w:bookmarkStart w:id="1198" w:name="_Toc24854"/>
      <w:bookmarkStart w:id="1199" w:name="_Toc112704985"/>
      <w:bookmarkStart w:id="1200" w:name="_Toc77199446"/>
      <w:bookmarkStart w:id="1201" w:name="_Toc192949644"/>
      <w:bookmarkStart w:id="1202" w:name="_Toc94367922"/>
      <w:bookmarkStart w:id="1203" w:name="_Toc114036756"/>
      <w:bookmarkStart w:id="1204" w:name="_Toc78449999"/>
      <w:bookmarkStart w:id="1205" w:name="_Toc77676510"/>
      <w:bookmarkStart w:id="1206" w:name="_Toc117192492"/>
      <w:bookmarkStart w:id="1207" w:name="_Toc100670467"/>
      <w:bookmarkStart w:id="1208" w:name="_Toc25215"/>
      <w:bookmarkStart w:id="1209" w:name="_Toc75289592"/>
      <w:r>
        <w:rPr>
          <w:rFonts w:hint="eastAsia" w:asciiTheme="majorEastAsia" w:hAnsiTheme="majorEastAsia" w:eastAsiaTheme="majorEastAsia" w:cstheme="majorEastAsia"/>
          <w:color w:val="auto"/>
          <w:kern w:val="0"/>
          <w:sz w:val="21"/>
          <w:szCs w:val="21"/>
          <w:highlight w:val="none"/>
          <w:lang w:bidi="ar"/>
        </w:rPr>
        <w:t>（</w:t>
      </w:r>
      <w:r>
        <w:rPr>
          <w:rFonts w:hint="eastAsia" w:asciiTheme="majorEastAsia" w:hAnsiTheme="majorEastAsia" w:eastAsiaTheme="majorEastAsia" w:cstheme="majorEastAsia"/>
          <w:color w:val="auto"/>
          <w:kern w:val="0"/>
          <w:sz w:val="21"/>
          <w:szCs w:val="21"/>
          <w:highlight w:val="none"/>
          <w:lang w:eastAsia="zh-CN" w:bidi="ar"/>
        </w:rPr>
        <w:t>一</w:t>
      </w:r>
      <w:r>
        <w:rPr>
          <w:rFonts w:hint="eastAsia" w:asciiTheme="majorEastAsia" w:hAnsiTheme="majorEastAsia" w:eastAsiaTheme="majorEastAsia" w:cstheme="majorEastAsia"/>
          <w:color w:val="auto"/>
          <w:kern w:val="0"/>
          <w:sz w:val="21"/>
          <w:szCs w:val="21"/>
          <w:highlight w:val="none"/>
          <w:lang w:bidi="ar"/>
        </w:rPr>
        <w:t>）采购项目预（概）算：</w:t>
      </w:r>
      <w:r>
        <w:rPr>
          <w:rFonts w:hint="eastAsia" w:asciiTheme="majorEastAsia" w:hAnsiTheme="majorEastAsia" w:eastAsiaTheme="majorEastAsia" w:cstheme="majorEastAsia"/>
          <w:color w:val="auto"/>
          <w:kern w:val="0"/>
          <w:sz w:val="21"/>
          <w:szCs w:val="21"/>
          <w:highlight w:val="none"/>
          <w:lang w:val="en-US" w:eastAsia="zh-CN" w:bidi="ar"/>
        </w:rPr>
        <w:t>1667000元</w:t>
      </w:r>
      <w:bookmarkEnd w:id="1180"/>
    </w:p>
    <w:p w14:paraId="088DCDBF">
      <w:pPr>
        <w:keepNext w:val="0"/>
        <w:keepLines w:val="0"/>
        <w:pageBreakBefore w:val="0"/>
        <w:widowControl/>
        <w:kinsoku/>
        <w:wordWrap/>
        <w:overflowPunct/>
        <w:topLinePunct w:val="0"/>
        <w:autoSpaceDE/>
        <w:autoSpaceDN/>
        <w:bidi w:val="0"/>
        <w:adjustRightInd/>
        <w:snapToGrid/>
        <w:spacing w:line="560" w:lineRule="atLeast"/>
        <w:jc w:val="left"/>
        <w:textAlignment w:val="auto"/>
        <w:outlineLvl w:val="1"/>
        <w:rPr>
          <w:rFonts w:hint="eastAsia" w:asciiTheme="majorEastAsia" w:hAnsiTheme="majorEastAsia" w:eastAsiaTheme="majorEastAsia" w:cstheme="majorEastAsia"/>
          <w:color w:val="auto"/>
          <w:kern w:val="0"/>
          <w:sz w:val="21"/>
          <w:szCs w:val="21"/>
          <w:highlight w:val="none"/>
          <w:lang w:bidi="ar"/>
        </w:rPr>
      </w:pPr>
      <w:bookmarkStart w:id="1210" w:name="_Toc1860868216"/>
      <w:r>
        <w:rPr>
          <w:rFonts w:hint="eastAsia" w:asciiTheme="majorEastAsia" w:hAnsiTheme="majorEastAsia" w:eastAsiaTheme="majorEastAsia" w:cstheme="majorEastAsia"/>
          <w:color w:val="auto"/>
          <w:kern w:val="0"/>
          <w:sz w:val="21"/>
          <w:szCs w:val="21"/>
          <w:highlight w:val="none"/>
          <w:lang w:bidi="ar"/>
        </w:rPr>
        <w:t>（</w:t>
      </w:r>
      <w:r>
        <w:rPr>
          <w:rFonts w:hint="eastAsia" w:asciiTheme="majorEastAsia" w:hAnsiTheme="majorEastAsia" w:eastAsiaTheme="majorEastAsia" w:cstheme="majorEastAsia"/>
          <w:color w:val="auto"/>
          <w:kern w:val="0"/>
          <w:sz w:val="21"/>
          <w:szCs w:val="21"/>
          <w:highlight w:val="none"/>
          <w:lang w:eastAsia="zh-CN" w:bidi="ar"/>
        </w:rPr>
        <w:t>二</w:t>
      </w:r>
      <w:r>
        <w:rPr>
          <w:rFonts w:hint="eastAsia" w:asciiTheme="majorEastAsia" w:hAnsiTheme="majorEastAsia" w:eastAsiaTheme="majorEastAsia" w:cstheme="majorEastAsia"/>
          <w:color w:val="auto"/>
          <w:kern w:val="0"/>
          <w:sz w:val="21"/>
          <w:szCs w:val="21"/>
          <w:highlight w:val="none"/>
          <w:lang w:bidi="ar"/>
        </w:rPr>
        <w:t>）采购标的汇总表</w:t>
      </w:r>
      <w:bookmarkEnd w:id="1210"/>
    </w:p>
    <w:tbl>
      <w:tblPr>
        <w:tblStyle w:val="47"/>
        <w:tblW w:w="8518" w:type="dxa"/>
        <w:jc w:val="center"/>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autofit"/>
        <w:tblCellMar>
          <w:top w:w="0" w:type="dxa"/>
          <w:left w:w="0" w:type="dxa"/>
          <w:bottom w:w="0" w:type="dxa"/>
          <w:right w:w="0" w:type="dxa"/>
        </w:tblCellMar>
      </w:tblPr>
      <w:tblGrid>
        <w:gridCol w:w="568"/>
        <w:gridCol w:w="651"/>
        <w:gridCol w:w="1326"/>
        <w:gridCol w:w="1326"/>
        <w:gridCol w:w="958"/>
        <w:gridCol w:w="638"/>
        <w:gridCol w:w="1017"/>
        <w:gridCol w:w="1017"/>
        <w:gridCol w:w="1017"/>
      </w:tblGrid>
      <w:tr w14:paraId="69F4C4AF">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735" w:hRule="atLeast"/>
          <w:jc w:val="center"/>
        </w:trPr>
        <w:tc>
          <w:tcPr>
            <w:tcW w:w="568" w:type="dxa"/>
            <w:tcBorders>
              <w:top w:val="single" w:color="auto" w:sz="8" w:space="0"/>
              <w:left w:val="single" w:color="auto" w:sz="8" w:space="0"/>
              <w:bottom w:val="single" w:color="auto" w:sz="4" w:space="0"/>
              <w:right w:val="single" w:color="auto" w:sz="8" w:space="0"/>
            </w:tcBorders>
            <w:shd w:val="clear" w:color="auto" w:fill="auto"/>
            <w:tcMar>
              <w:left w:w="108" w:type="dxa"/>
              <w:right w:w="108" w:type="dxa"/>
            </w:tcMar>
            <w:vAlign w:val="center"/>
          </w:tcPr>
          <w:p w14:paraId="5ED992AD">
            <w:pPr>
              <w:widowControl/>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b/>
                <w:bCs/>
                <w:color w:val="auto"/>
                <w:kern w:val="0"/>
                <w:sz w:val="21"/>
                <w:szCs w:val="21"/>
                <w:highlight w:val="none"/>
                <w:lang w:bidi="ar"/>
              </w:rPr>
              <w:t>包号</w:t>
            </w:r>
          </w:p>
        </w:tc>
        <w:tc>
          <w:tcPr>
            <w:tcW w:w="651" w:type="dxa"/>
            <w:tcBorders>
              <w:top w:val="single" w:color="auto" w:sz="8" w:space="0"/>
              <w:left w:val="nil"/>
              <w:bottom w:val="single" w:color="auto" w:sz="4" w:space="0"/>
              <w:right w:val="single" w:color="auto" w:sz="8" w:space="0"/>
            </w:tcBorders>
            <w:shd w:val="clear" w:color="auto" w:fill="auto"/>
            <w:tcMar>
              <w:left w:w="108" w:type="dxa"/>
              <w:right w:w="108" w:type="dxa"/>
            </w:tcMar>
            <w:vAlign w:val="center"/>
          </w:tcPr>
          <w:p w14:paraId="64836F90">
            <w:pPr>
              <w:widowControl/>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b/>
                <w:bCs/>
                <w:color w:val="auto"/>
                <w:kern w:val="0"/>
                <w:sz w:val="21"/>
                <w:szCs w:val="21"/>
                <w:highlight w:val="none"/>
                <w:lang w:bidi="ar"/>
              </w:rPr>
              <w:t>序号</w:t>
            </w:r>
          </w:p>
        </w:tc>
        <w:tc>
          <w:tcPr>
            <w:tcW w:w="1326" w:type="dxa"/>
            <w:tcBorders>
              <w:top w:val="single" w:color="auto" w:sz="8" w:space="0"/>
              <w:left w:val="nil"/>
              <w:bottom w:val="single" w:color="auto" w:sz="4" w:space="0"/>
              <w:right w:val="single" w:color="auto" w:sz="8" w:space="0"/>
            </w:tcBorders>
            <w:shd w:val="clear" w:color="auto" w:fill="auto"/>
            <w:tcMar>
              <w:left w:w="108" w:type="dxa"/>
              <w:right w:w="108" w:type="dxa"/>
            </w:tcMar>
            <w:vAlign w:val="center"/>
          </w:tcPr>
          <w:p w14:paraId="10C8E97A">
            <w:pPr>
              <w:widowControl/>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b/>
                <w:bCs/>
                <w:color w:val="auto"/>
                <w:kern w:val="0"/>
                <w:sz w:val="21"/>
                <w:szCs w:val="21"/>
                <w:highlight w:val="none"/>
                <w:lang w:val="en-US" w:eastAsia="zh-CN" w:bidi="ar"/>
              </w:rPr>
              <w:t>设备</w:t>
            </w:r>
            <w:r>
              <w:rPr>
                <w:rFonts w:hint="eastAsia" w:ascii="宋体" w:hAnsi="宋体" w:eastAsia="宋体" w:cs="宋体"/>
                <w:b/>
                <w:bCs/>
                <w:color w:val="auto"/>
                <w:kern w:val="0"/>
                <w:sz w:val="21"/>
                <w:szCs w:val="21"/>
                <w:highlight w:val="none"/>
                <w:lang w:bidi="ar"/>
              </w:rPr>
              <w:t>名称</w:t>
            </w:r>
          </w:p>
        </w:tc>
        <w:tc>
          <w:tcPr>
            <w:tcW w:w="1326" w:type="dxa"/>
            <w:tcBorders>
              <w:top w:val="single" w:color="auto" w:sz="8" w:space="0"/>
              <w:left w:val="nil"/>
              <w:bottom w:val="single" w:color="auto" w:sz="4" w:space="0"/>
              <w:right w:val="single" w:color="auto" w:sz="8" w:space="0"/>
            </w:tcBorders>
            <w:shd w:val="clear" w:color="auto" w:fill="auto"/>
            <w:tcMar>
              <w:left w:w="108" w:type="dxa"/>
              <w:right w:w="108" w:type="dxa"/>
            </w:tcMar>
            <w:vAlign w:val="center"/>
          </w:tcPr>
          <w:p w14:paraId="6D64DB61">
            <w:pPr>
              <w:widowControl/>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b/>
                <w:bCs/>
                <w:color w:val="auto"/>
                <w:kern w:val="0"/>
                <w:sz w:val="21"/>
                <w:szCs w:val="21"/>
                <w:highlight w:val="none"/>
                <w:lang w:bidi="ar"/>
              </w:rPr>
              <w:t>品目分类编码</w:t>
            </w:r>
          </w:p>
        </w:tc>
        <w:tc>
          <w:tcPr>
            <w:tcW w:w="958" w:type="dxa"/>
            <w:tcBorders>
              <w:top w:val="single" w:color="auto" w:sz="8" w:space="0"/>
              <w:left w:val="nil"/>
              <w:bottom w:val="single" w:color="auto" w:sz="4" w:space="0"/>
              <w:right w:val="single" w:color="auto" w:sz="8" w:space="0"/>
            </w:tcBorders>
            <w:shd w:val="clear" w:color="auto" w:fill="auto"/>
            <w:tcMar>
              <w:left w:w="108" w:type="dxa"/>
              <w:right w:w="108" w:type="dxa"/>
            </w:tcMar>
            <w:vAlign w:val="center"/>
          </w:tcPr>
          <w:p w14:paraId="2D2B7734">
            <w:pPr>
              <w:widowControl/>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b/>
                <w:bCs/>
                <w:color w:val="auto"/>
                <w:kern w:val="0"/>
                <w:sz w:val="21"/>
                <w:szCs w:val="21"/>
                <w:highlight w:val="none"/>
                <w:lang w:bidi="ar"/>
              </w:rPr>
              <w:t>计量单位</w:t>
            </w:r>
          </w:p>
        </w:tc>
        <w:tc>
          <w:tcPr>
            <w:tcW w:w="638" w:type="dxa"/>
            <w:tcBorders>
              <w:top w:val="single" w:color="auto" w:sz="8" w:space="0"/>
              <w:left w:val="nil"/>
              <w:bottom w:val="single" w:color="auto" w:sz="4" w:space="0"/>
              <w:right w:val="single" w:color="auto" w:sz="8" w:space="0"/>
            </w:tcBorders>
            <w:shd w:val="clear" w:color="auto" w:fill="auto"/>
            <w:tcMar>
              <w:left w:w="108" w:type="dxa"/>
              <w:right w:w="108" w:type="dxa"/>
            </w:tcMar>
            <w:vAlign w:val="center"/>
          </w:tcPr>
          <w:p w14:paraId="76141F16">
            <w:pPr>
              <w:widowControl/>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b/>
                <w:bCs/>
                <w:color w:val="auto"/>
                <w:kern w:val="0"/>
                <w:sz w:val="21"/>
                <w:szCs w:val="21"/>
                <w:highlight w:val="none"/>
                <w:lang w:bidi="ar"/>
              </w:rPr>
              <w:t>数量</w:t>
            </w:r>
          </w:p>
        </w:tc>
        <w:tc>
          <w:tcPr>
            <w:tcW w:w="1017" w:type="dxa"/>
            <w:tcBorders>
              <w:top w:val="single" w:color="auto" w:sz="8" w:space="0"/>
              <w:left w:val="nil"/>
              <w:bottom w:val="single" w:color="auto" w:sz="4" w:space="0"/>
              <w:right w:val="single" w:color="auto" w:sz="8" w:space="0"/>
            </w:tcBorders>
            <w:shd w:val="clear" w:color="auto" w:fill="auto"/>
            <w:tcMar>
              <w:left w:w="108" w:type="dxa"/>
              <w:right w:w="108" w:type="dxa"/>
            </w:tcMar>
            <w:vAlign w:val="center"/>
          </w:tcPr>
          <w:p w14:paraId="7CBAE245">
            <w:pPr>
              <w:keepNext w:val="0"/>
              <w:keepLines w:val="0"/>
              <w:widowControl/>
              <w:suppressLineNumbers w:val="0"/>
              <w:spacing w:line="240" w:lineRule="auto"/>
              <w:jc w:val="center"/>
              <w:textAlignment w:val="center"/>
              <w:rPr>
                <w:rFonts w:hint="eastAsia" w:ascii="宋体" w:hAnsi="宋体" w:eastAsia="宋体" w:cs="宋体"/>
                <w:b/>
                <w:bCs/>
                <w:color w:val="auto"/>
                <w:kern w:val="0"/>
                <w:sz w:val="21"/>
                <w:szCs w:val="21"/>
                <w:highlight w:val="none"/>
                <w:lang w:bidi="ar"/>
              </w:rPr>
            </w:pPr>
            <w:r>
              <w:rPr>
                <w:rFonts w:hint="eastAsia" w:ascii="宋体" w:hAnsi="宋体" w:eastAsia="宋体" w:cs="宋体"/>
                <w:b/>
                <w:bCs/>
                <w:i w:val="0"/>
                <w:iCs w:val="0"/>
                <w:color w:val="auto"/>
                <w:kern w:val="0"/>
                <w:sz w:val="21"/>
                <w:szCs w:val="21"/>
                <w:highlight w:val="none"/>
                <w:u w:val="none"/>
                <w:lang w:val="en-US" w:eastAsia="zh-CN" w:bidi="ar"/>
              </w:rPr>
              <w:t>预算金额（元）</w:t>
            </w:r>
          </w:p>
        </w:tc>
        <w:tc>
          <w:tcPr>
            <w:tcW w:w="1017" w:type="dxa"/>
            <w:tcBorders>
              <w:top w:val="single" w:color="auto" w:sz="8" w:space="0"/>
              <w:left w:val="nil"/>
              <w:bottom w:val="single" w:color="auto" w:sz="4" w:space="0"/>
              <w:right w:val="single" w:color="auto" w:sz="8" w:space="0"/>
            </w:tcBorders>
            <w:shd w:val="clear" w:color="auto" w:fill="auto"/>
            <w:tcMar>
              <w:left w:w="108" w:type="dxa"/>
              <w:right w:w="108" w:type="dxa"/>
            </w:tcMar>
            <w:vAlign w:val="center"/>
          </w:tcPr>
          <w:p w14:paraId="58786BD1">
            <w:pPr>
              <w:keepNext w:val="0"/>
              <w:keepLines w:val="0"/>
              <w:widowControl/>
              <w:suppressLineNumbers w:val="0"/>
              <w:spacing w:line="240" w:lineRule="auto"/>
              <w:jc w:val="center"/>
              <w:textAlignment w:val="center"/>
              <w:rPr>
                <w:rFonts w:hint="eastAsia" w:ascii="宋体" w:hAnsi="宋体" w:eastAsia="宋体" w:cs="宋体"/>
                <w:b/>
                <w:bCs/>
                <w:color w:val="auto"/>
                <w:kern w:val="0"/>
                <w:sz w:val="21"/>
                <w:szCs w:val="21"/>
                <w:highlight w:val="none"/>
                <w:lang w:bidi="ar"/>
              </w:rPr>
            </w:pPr>
            <w:r>
              <w:rPr>
                <w:rFonts w:hint="eastAsia" w:ascii="宋体" w:hAnsi="宋体" w:cs="宋体"/>
                <w:b/>
                <w:bCs/>
                <w:i w:val="0"/>
                <w:iCs w:val="0"/>
                <w:color w:val="auto"/>
                <w:kern w:val="0"/>
                <w:sz w:val="21"/>
                <w:szCs w:val="21"/>
                <w:highlight w:val="none"/>
                <w:u w:val="none"/>
                <w:lang w:val="en-US" w:eastAsia="zh-CN" w:bidi="ar"/>
              </w:rPr>
              <w:t>最高限价</w:t>
            </w:r>
            <w:r>
              <w:rPr>
                <w:rFonts w:hint="eastAsia" w:ascii="宋体" w:hAnsi="宋体" w:eastAsia="宋体" w:cs="宋体"/>
                <w:b/>
                <w:bCs/>
                <w:i w:val="0"/>
                <w:iCs w:val="0"/>
                <w:color w:val="auto"/>
                <w:kern w:val="0"/>
                <w:sz w:val="21"/>
                <w:szCs w:val="21"/>
                <w:highlight w:val="none"/>
                <w:u w:val="none"/>
                <w:lang w:val="en-US" w:eastAsia="zh-CN" w:bidi="ar"/>
              </w:rPr>
              <w:t>（元）</w:t>
            </w:r>
          </w:p>
        </w:tc>
        <w:tc>
          <w:tcPr>
            <w:tcW w:w="1017" w:type="dxa"/>
            <w:tcBorders>
              <w:top w:val="single" w:color="auto" w:sz="8" w:space="0"/>
              <w:left w:val="nil"/>
              <w:bottom w:val="single" w:color="auto" w:sz="4" w:space="0"/>
              <w:right w:val="single" w:color="auto" w:sz="8" w:space="0"/>
            </w:tcBorders>
            <w:shd w:val="clear" w:color="auto" w:fill="auto"/>
            <w:tcMar>
              <w:left w:w="108" w:type="dxa"/>
              <w:right w:w="108" w:type="dxa"/>
            </w:tcMar>
            <w:vAlign w:val="center"/>
          </w:tcPr>
          <w:p w14:paraId="3D1593D1">
            <w:pPr>
              <w:widowControl/>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b/>
                <w:bCs/>
                <w:color w:val="auto"/>
                <w:kern w:val="0"/>
                <w:sz w:val="21"/>
                <w:szCs w:val="21"/>
                <w:highlight w:val="none"/>
                <w:lang w:bidi="ar"/>
              </w:rPr>
              <w:t>是否进口</w:t>
            </w:r>
          </w:p>
        </w:tc>
      </w:tr>
      <w:tr w14:paraId="670110A4">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520" w:hRule="atLeast"/>
          <w:jc w:val="center"/>
        </w:trPr>
        <w:tc>
          <w:tcPr>
            <w:tcW w:w="568" w:type="dxa"/>
            <w:vMerge w:val="restart"/>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14:paraId="3FE1988B">
            <w:pPr>
              <w:widowControl/>
              <w:spacing w:line="240" w:lineRule="auto"/>
              <w:jc w:val="center"/>
              <w:rPr>
                <w:rFonts w:hint="eastAsia" w:ascii="宋体" w:hAnsi="宋体" w:eastAsia="宋体" w:cs="宋体"/>
                <w:color w:val="auto"/>
                <w:kern w:val="0"/>
                <w:sz w:val="21"/>
                <w:szCs w:val="21"/>
                <w:highlight w:val="none"/>
                <w:lang w:val="en-US" w:eastAsia="zh-CN" w:bidi="ar"/>
              </w:rPr>
            </w:pPr>
            <w:r>
              <w:rPr>
                <w:rFonts w:hint="eastAsia" w:ascii="宋体" w:hAnsi="宋体" w:cs="宋体"/>
                <w:color w:val="auto"/>
                <w:kern w:val="0"/>
                <w:sz w:val="21"/>
                <w:szCs w:val="21"/>
                <w:highlight w:val="none"/>
                <w:lang w:val="en-US" w:eastAsia="zh-CN" w:bidi="ar"/>
              </w:rPr>
              <w:t>1</w:t>
            </w:r>
          </w:p>
        </w:tc>
        <w:tc>
          <w:tcPr>
            <w:tcW w:w="651"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14:paraId="6E6DD858">
            <w:pPr>
              <w:widowControl/>
              <w:spacing w:line="240" w:lineRule="auto"/>
              <w:jc w:val="center"/>
              <w:rPr>
                <w:rFonts w:hint="default" w:ascii="宋体" w:hAnsi="宋体" w:eastAsia="宋体" w:cs="宋体"/>
                <w:color w:val="auto"/>
                <w:kern w:val="0"/>
                <w:sz w:val="21"/>
                <w:szCs w:val="21"/>
                <w:highlight w:val="none"/>
                <w:lang w:val="en-US" w:eastAsia="zh-CN" w:bidi="ar"/>
              </w:rPr>
            </w:pPr>
            <w:r>
              <w:rPr>
                <w:rFonts w:hint="eastAsia" w:ascii="宋体" w:hAnsi="宋体" w:cs="宋体"/>
                <w:color w:val="auto"/>
                <w:kern w:val="0"/>
                <w:sz w:val="21"/>
                <w:szCs w:val="21"/>
                <w:highlight w:val="none"/>
                <w:lang w:val="en-US" w:eastAsia="zh-CN" w:bidi="ar"/>
              </w:rPr>
              <w:t>1</w:t>
            </w:r>
          </w:p>
        </w:tc>
        <w:tc>
          <w:tcPr>
            <w:tcW w:w="132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14:paraId="783F3C87">
            <w:pPr>
              <w:widowControl/>
              <w:spacing w:line="240" w:lineRule="auto"/>
              <w:jc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val="en-US" w:eastAsia="zh-CN" w:bidi="ar"/>
              </w:rPr>
              <w:t>便携式彩色多普勒超声诊断仪</w:t>
            </w:r>
          </w:p>
        </w:tc>
        <w:tc>
          <w:tcPr>
            <w:tcW w:w="132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14:paraId="43EDEFF1">
            <w:pPr>
              <w:widowControl/>
              <w:spacing w:line="240" w:lineRule="auto"/>
              <w:jc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val="en-US" w:eastAsia="zh-CN" w:bidi="ar"/>
              </w:rPr>
              <w:t>A02320500医用超声波仪器及设备</w:t>
            </w:r>
          </w:p>
        </w:tc>
        <w:tc>
          <w:tcPr>
            <w:tcW w:w="958"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14:paraId="05EA97E9">
            <w:pPr>
              <w:widowControl/>
              <w:spacing w:line="240" w:lineRule="auto"/>
              <w:jc w:val="center"/>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台</w:t>
            </w:r>
          </w:p>
        </w:tc>
        <w:tc>
          <w:tcPr>
            <w:tcW w:w="638"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14:paraId="68ED14D4">
            <w:pPr>
              <w:widowControl/>
              <w:spacing w:line="440" w:lineRule="exact"/>
              <w:jc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color w:val="auto"/>
                <w:kern w:val="0"/>
                <w:sz w:val="21"/>
                <w:szCs w:val="21"/>
                <w:highlight w:val="none"/>
                <w:lang w:val="en-US" w:eastAsia="zh-CN" w:bidi="ar"/>
              </w:rPr>
              <w:t>1</w:t>
            </w:r>
          </w:p>
        </w:tc>
        <w:tc>
          <w:tcPr>
            <w:tcW w:w="10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14:paraId="591141E8">
            <w:pPr>
              <w:keepNext w:val="0"/>
              <w:keepLines w:val="0"/>
              <w:widowControl/>
              <w:suppressLineNumbers w:val="0"/>
              <w:jc w:val="center"/>
              <w:textAlignment w:val="center"/>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260000</w:t>
            </w:r>
          </w:p>
        </w:tc>
        <w:tc>
          <w:tcPr>
            <w:tcW w:w="10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14:paraId="691AD077">
            <w:pPr>
              <w:keepNext w:val="0"/>
              <w:keepLines w:val="0"/>
              <w:widowControl/>
              <w:suppressLineNumbers w:val="0"/>
              <w:jc w:val="center"/>
              <w:textAlignment w:val="center"/>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260000</w:t>
            </w:r>
          </w:p>
        </w:tc>
        <w:tc>
          <w:tcPr>
            <w:tcW w:w="10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14:paraId="6657BB65">
            <w:pPr>
              <w:widowControl/>
              <w:spacing w:line="240" w:lineRule="auto"/>
              <w:jc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否</w:t>
            </w:r>
          </w:p>
        </w:tc>
      </w:tr>
      <w:tr w14:paraId="10806B67">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520" w:hRule="atLeast"/>
          <w:jc w:val="center"/>
        </w:trPr>
        <w:tc>
          <w:tcPr>
            <w:tcW w:w="568" w:type="dxa"/>
            <w:vMerge w:val="continue"/>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14:paraId="210FCFFF">
            <w:pPr>
              <w:widowControl/>
              <w:spacing w:line="240" w:lineRule="auto"/>
              <w:jc w:val="center"/>
              <w:rPr>
                <w:rFonts w:hint="eastAsia" w:ascii="宋体" w:hAnsi="宋体" w:eastAsia="宋体" w:cs="宋体"/>
                <w:color w:val="auto"/>
                <w:kern w:val="0"/>
                <w:sz w:val="21"/>
                <w:szCs w:val="21"/>
                <w:highlight w:val="none"/>
                <w:lang w:bidi="ar"/>
              </w:rPr>
            </w:pPr>
          </w:p>
        </w:tc>
        <w:tc>
          <w:tcPr>
            <w:tcW w:w="651"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14:paraId="2792FAFC">
            <w:pPr>
              <w:widowControl/>
              <w:spacing w:line="240" w:lineRule="auto"/>
              <w:jc w:val="center"/>
              <w:rPr>
                <w:rFonts w:hint="default" w:ascii="宋体" w:hAnsi="宋体" w:eastAsia="宋体" w:cs="宋体"/>
                <w:color w:val="auto"/>
                <w:kern w:val="0"/>
                <w:sz w:val="21"/>
                <w:szCs w:val="21"/>
                <w:highlight w:val="none"/>
                <w:lang w:val="en-US" w:eastAsia="zh-CN" w:bidi="ar"/>
              </w:rPr>
            </w:pPr>
            <w:r>
              <w:rPr>
                <w:rFonts w:hint="eastAsia" w:ascii="宋体" w:hAnsi="宋体" w:cs="宋体"/>
                <w:color w:val="auto"/>
                <w:kern w:val="0"/>
                <w:sz w:val="21"/>
                <w:szCs w:val="21"/>
                <w:highlight w:val="none"/>
                <w:lang w:val="en-US" w:eastAsia="zh-CN" w:bidi="ar"/>
              </w:rPr>
              <w:t>2</w:t>
            </w:r>
          </w:p>
        </w:tc>
        <w:tc>
          <w:tcPr>
            <w:tcW w:w="132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14:paraId="657D6F86">
            <w:pPr>
              <w:widowControl/>
              <w:spacing w:line="240" w:lineRule="auto"/>
              <w:jc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val="en-US" w:eastAsia="zh-CN" w:bidi="ar"/>
              </w:rPr>
              <w:t>便携式彩色多普勒超声诊断仪</w:t>
            </w:r>
          </w:p>
        </w:tc>
        <w:tc>
          <w:tcPr>
            <w:tcW w:w="132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14:paraId="1C61B8B2">
            <w:pPr>
              <w:widowControl/>
              <w:spacing w:line="240" w:lineRule="auto"/>
              <w:jc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val="en-US" w:eastAsia="zh-CN" w:bidi="ar"/>
              </w:rPr>
              <w:t>A02320500医用超声波仪器及设备</w:t>
            </w:r>
          </w:p>
        </w:tc>
        <w:tc>
          <w:tcPr>
            <w:tcW w:w="958"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14:paraId="2649515E">
            <w:pPr>
              <w:widowControl/>
              <w:spacing w:line="240" w:lineRule="auto"/>
              <w:jc w:val="center"/>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台</w:t>
            </w:r>
          </w:p>
        </w:tc>
        <w:tc>
          <w:tcPr>
            <w:tcW w:w="638"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14:paraId="7B9E3515">
            <w:pPr>
              <w:widowControl/>
              <w:spacing w:line="440" w:lineRule="exact"/>
              <w:jc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color w:val="auto"/>
                <w:kern w:val="0"/>
                <w:sz w:val="21"/>
                <w:szCs w:val="21"/>
                <w:highlight w:val="none"/>
                <w:lang w:val="en-US" w:eastAsia="zh-CN" w:bidi="ar"/>
              </w:rPr>
              <w:t>1</w:t>
            </w:r>
          </w:p>
        </w:tc>
        <w:tc>
          <w:tcPr>
            <w:tcW w:w="10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14:paraId="1080ED60">
            <w:pPr>
              <w:keepNext w:val="0"/>
              <w:keepLines w:val="0"/>
              <w:widowControl/>
              <w:suppressLineNumbers w:val="0"/>
              <w:jc w:val="center"/>
              <w:textAlignment w:val="center"/>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240000</w:t>
            </w:r>
          </w:p>
        </w:tc>
        <w:tc>
          <w:tcPr>
            <w:tcW w:w="10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14:paraId="3F93B3A4">
            <w:pPr>
              <w:keepNext w:val="0"/>
              <w:keepLines w:val="0"/>
              <w:widowControl/>
              <w:suppressLineNumbers w:val="0"/>
              <w:jc w:val="center"/>
              <w:textAlignment w:val="center"/>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2</w:t>
            </w:r>
            <w:r>
              <w:rPr>
                <w:rFonts w:hint="eastAsia" w:ascii="宋体" w:hAnsi="宋体" w:cs="宋体"/>
                <w:i w:val="0"/>
                <w:iCs w:val="0"/>
                <w:color w:val="auto"/>
                <w:kern w:val="0"/>
                <w:sz w:val="21"/>
                <w:szCs w:val="21"/>
                <w:highlight w:val="none"/>
                <w:u w:val="none"/>
                <w:lang w:val="en-US" w:eastAsia="zh-CN" w:bidi="ar"/>
              </w:rPr>
              <w:t>0</w:t>
            </w:r>
            <w:r>
              <w:rPr>
                <w:rFonts w:hint="eastAsia" w:ascii="宋体" w:hAnsi="宋体" w:eastAsia="宋体" w:cs="宋体"/>
                <w:i w:val="0"/>
                <w:iCs w:val="0"/>
                <w:color w:val="auto"/>
                <w:kern w:val="0"/>
                <w:sz w:val="21"/>
                <w:szCs w:val="21"/>
                <w:highlight w:val="none"/>
                <w:u w:val="none"/>
                <w:lang w:val="en-US" w:eastAsia="zh-CN" w:bidi="ar"/>
              </w:rPr>
              <w:t>0000</w:t>
            </w:r>
          </w:p>
        </w:tc>
        <w:tc>
          <w:tcPr>
            <w:tcW w:w="10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14:paraId="69FDE750">
            <w:pPr>
              <w:widowControl/>
              <w:spacing w:line="240" w:lineRule="auto"/>
              <w:jc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否</w:t>
            </w:r>
          </w:p>
        </w:tc>
      </w:tr>
      <w:tr w14:paraId="4315A15C">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520" w:hRule="atLeast"/>
          <w:jc w:val="center"/>
        </w:trPr>
        <w:tc>
          <w:tcPr>
            <w:tcW w:w="568" w:type="dxa"/>
            <w:vMerge w:val="continue"/>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14:paraId="0351B082">
            <w:pPr>
              <w:widowControl/>
              <w:spacing w:line="240" w:lineRule="auto"/>
              <w:jc w:val="center"/>
              <w:rPr>
                <w:rFonts w:hint="eastAsia" w:ascii="宋体" w:hAnsi="宋体" w:eastAsia="宋体" w:cs="宋体"/>
                <w:color w:val="auto"/>
                <w:kern w:val="0"/>
                <w:sz w:val="21"/>
                <w:szCs w:val="21"/>
                <w:highlight w:val="none"/>
                <w:lang w:bidi="ar"/>
              </w:rPr>
            </w:pPr>
          </w:p>
        </w:tc>
        <w:tc>
          <w:tcPr>
            <w:tcW w:w="651"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14:paraId="1526F812">
            <w:pPr>
              <w:widowControl/>
              <w:spacing w:line="240" w:lineRule="auto"/>
              <w:jc w:val="center"/>
              <w:rPr>
                <w:rFonts w:hint="default" w:ascii="宋体" w:hAnsi="宋体" w:eastAsia="宋体" w:cs="宋体"/>
                <w:color w:val="auto"/>
                <w:kern w:val="0"/>
                <w:sz w:val="21"/>
                <w:szCs w:val="21"/>
                <w:highlight w:val="none"/>
                <w:lang w:val="en-US" w:eastAsia="zh-CN" w:bidi="ar"/>
              </w:rPr>
            </w:pPr>
            <w:r>
              <w:rPr>
                <w:rFonts w:hint="eastAsia" w:ascii="宋体" w:hAnsi="宋体" w:cs="宋体"/>
                <w:color w:val="auto"/>
                <w:kern w:val="0"/>
                <w:sz w:val="21"/>
                <w:szCs w:val="21"/>
                <w:highlight w:val="none"/>
                <w:lang w:val="en-US" w:eastAsia="zh-CN" w:bidi="ar"/>
              </w:rPr>
              <w:t>3</w:t>
            </w:r>
          </w:p>
        </w:tc>
        <w:tc>
          <w:tcPr>
            <w:tcW w:w="132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14:paraId="2EEC5130">
            <w:pPr>
              <w:widowControl/>
              <w:spacing w:line="240" w:lineRule="auto"/>
              <w:jc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val="en-US" w:eastAsia="zh-CN" w:bidi="ar"/>
              </w:rPr>
              <w:t>便携式彩色多普勒超声诊断仪</w:t>
            </w:r>
          </w:p>
        </w:tc>
        <w:tc>
          <w:tcPr>
            <w:tcW w:w="132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14:paraId="09CC9DBD">
            <w:pPr>
              <w:widowControl/>
              <w:spacing w:line="240" w:lineRule="auto"/>
              <w:jc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val="en-US" w:eastAsia="zh-CN" w:bidi="ar"/>
              </w:rPr>
              <w:t>A02320500医用超声波仪器及设备</w:t>
            </w:r>
          </w:p>
        </w:tc>
        <w:tc>
          <w:tcPr>
            <w:tcW w:w="958"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14:paraId="36CD7580">
            <w:pPr>
              <w:widowControl/>
              <w:spacing w:line="240" w:lineRule="auto"/>
              <w:jc w:val="center"/>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台</w:t>
            </w:r>
          </w:p>
        </w:tc>
        <w:tc>
          <w:tcPr>
            <w:tcW w:w="638"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14:paraId="2BF3C0CB">
            <w:pPr>
              <w:widowControl/>
              <w:spacing w:line="440" w:lineRule="exact"/>
              <w:jc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color w:val="auto"/>
                <w:kern w:val="0"/>
                <w:sz w:val="21"/>
                <w:szCs w:val="21"/>
                <w:highlight w:val="none"/>
                <w:lang w:val="en-US" w:eastAsia="zh-CN" w:bidi="ar"/>
              </w:rPr>
              <w:t>1</w:t>
            </w:r>
          </w:p>
        </w:tc>
        <w:tc>
          <w:tcPr>
            <w:tcW w:w="10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14:paraId="1DA4CBD8">
            <w:pPr>
              <w:keepNext w:val="0"/>
              <w:keepLines w:val="0"/>
              <w:widowControl/>
              <w:suppressLineNumbers w:val="0"/>
              <w:jc w:val="center"/>
              <w:textAlignment w:val="center"/>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117000</w:t>
            </w:r>
          </w:p>
        </w:tc>
        <w:tc>
          <w:tcPr>
            <w:tcW w:w="10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14:paraId="0C4C3408">
            <w:pPr>
              <w:keepNext w:val="0"/>
              <w:keepLines w:val="0"/>
              <w:widowControl/>
              <w:suppressLineNumbers w:val="0"/>
              <w:jc w:val="center"/>
              <w:textAlignment w:val="center"/>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117000</w:t>
            </w:r>
          </w:p>
        </w:tc>
        <w:tc>
          <w:tcPr>
            <w:tcW w:w="10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14:paraId="7C958EC0">
            <w:pPr>
              <w:widowControl/>
              <w:spacing w:line="240" w:lineRule="auto"/>
              <w:jc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否</w:t>
            </w:r>
          </w:p>
        </w:tc>
      </w:tr>
      <w:tr w14:paraId="75D17992">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520" w:hRule="atLeast"/>
          <w:jc w:val="center"/>
        </w:trPr>
        <w:tc>
          <w:tcPr>
            <w:tcW w:w="568" w:type="dxa"/>
            <w:vMerge w:val="continue"/>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14:paraId="53878441">
            <w:pPr>
              <w:widowControl/>
              <w:spacing w:line="240" w:lineRule="auto"/>
              <w:jc w:val="center"/>
              <w:rPr>
                <w:rFonts w:hint="eastAsia" w:ascii="宋体" w:hAnsi="宋体" w:eastAsia="宋体" w:cs="宋体"/>
                <w:color w:val="auto"/>
                <w:kern w:val="0"/>
                <w:sz w:val="21"/>
                <w:szCs w:val="21"/>
                <w:highlight w:val="none"/>
                <w:lang w:bidi="ar"/>
              </w:rPr>
            </w:pPr>
          </w:p>
        </w:tc>
        <w:tc>
          <w:tcPr>
            <w:tcW w:w="651"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14:paraId="036D735A">
            <w:pPr>
              <w:widowControl/>
              <w:spacing w:line="240" w:lineRule="auto"/>
              <w:jc w:val="center"/>
              <w:rPr>
                <w:rFonts w:hint="default" w:ascii="宋体" w:hAnsi="宋体" w:eastAsia="宋体" w:cs="宋体"/>
                <w:color w:val="auto"/>
                <w:kern w:val="0"/>
                <w:sz w:val="21"/>
                <w:szCs w:val="21"/>
                <w:highlight w:val="none"/>
                <w:lang w:val="en-US" w:eastAsia="zh-CN" w:bidi="ar"/>
              </w:rPr>
            </w:pPr>
            <w:r>
              <w:rPr>
                <w:rFonts w:hint="eastAsia" w:ascii="宋体" w:hAnsi="宋体" w:cs="宋体"/>
                <w:color w:val="auto"/>
                <w:kern w:val="0"/>
                <w:sz w:val="21"/>
                <w:szCs w:val="21"/>
                <w:highlight w:val="none"/>
                <w:lang w:val="en-US" w:eastAsia="zh-CN" w:bidi="ar"/>
              </w:rPr>
              <w:t>4</w:t>
            </w:r>
          </w:p>
        </w:tc>
        <w:tc>
          <w:tcPr>
            <w:tcW w:w="132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14:paraId="36B6241C">
            <w:pPr>
              <w:widowControl/>
              <w:spacing w:line="240" w:lineRule="auto"/>
              <w:jc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val="en-US" w:eastAsia="zh-CN" w:bidi="ar"/>
              </w:rPr>
              <w:t>便携式彩色多普勒超声诊断仪（心脏用）</w:t>
            </w:r>
          </w:p>
        </w:tc>
        <w:tc>
          <w:tcPr>
            <w:tcW w:w="132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14:paraId="528434B6">
            <w:pPr>
              <w:widowControl/>
              <w:spacing w:line="240" w:lineRule="auto"/>
              <w:jc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val="en-US" w:eastAsia="zh-CN" w:bidi="ar"/>
              </w:rPr>
              <w:t>A02320500医用超声波仪器及设备</w:t>
            </w:r>
          </w:p>
        </w:tc>
        <w:tc>
          <w:tcPr>
            <w:tcW w:w="958"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14:paraId="605D6D29">
            <w:pPr>
              <w:widowControl/>
              <w:spacing w:line="240" w:lineRule="auto"/>
              <w:jc w:val="center"/>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台</w:t>
            </w:r>
          </w:p>
        </w:tc>
        <w:tc>
          <w:tcPr>
            <w:tcW w:w="638"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14:paraId="561B46AE">
            <w:pPr>
              <w:widowControl/>
              <w:spacing w:line="240" w:lineRule="auto"/>
              <w:jc w:val="center"/>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1</w:t>
            </w:r>
          </w:p>
        </w:tc>
        <w:tc>
          <w:tcPr>
            <w:tcW w:w="10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14:paraId="19BD3AE5">
            <w:pPr>
              <w:keepNext w:val="0"/>
              <w:keepLines w:val="0"/>
              <w:widowControl/>
              <w:suppressLineNumbers w:val="0"/>
              <w:jc w:val="center"/>
              <w:textAlignment w:val="center"/>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570000</w:t>
            </w:r>
          </w:p>
        </w:tc>
        <w:tc>
          <w:tcPr>
            <w:tcW w:w="10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14:paraId="13F7A7F0">
            <w:pPr>
              <w:keepNext w:val="0"/>
              <w:keepLines w:val="0"/>
              <w:widowControl/>
              <w:suppressLineNumbers w:val="0"/>
              <w:jc w:val="center"/>
              <w:textAlignment w:val="center"/>
              <w:rPr>
                <w:rFonts w:hint="eastAsia" w:ascii="宋体" w:hAnsi="宋体" w:eastAsia="宋体" w:cs="宋体"/>
                <w:color w:val="auto"/>
                <w:kern w:val="0"/>
                <w:sz w:val="21"/>
                <w:szCs w:val="21"/>
                <w:highlight w:val="none"/>
                <w:lang w:val="en-US" w:eastAsia="zh-CN" w:bidi="ar"/>
              </w:rPr>
            </w:pPr>
            <w:r>
              <w:rPr>
                <w:rFonts w:hint="eastAsia" w:ascii="宋体" w:hAnsi="宋体" w:cs="宋体"/>
                <w:i w:val="0"/>
                <w:iCs w:val="0"/>
                <w:color w:val="auto"/>
                <w:kern w:val="0"/>
                <w:sz w:val="21"/>
                <w:szCs w:val="21"/>
                <w:highlight w:val="none"/>
                <w:u w:val="none"/>
                <w:lang w:val="en-US" w:eastAsia="zh-CN" w:bidi="ar"/>
              </w:rPr>
              <w:t>48</w:t>
            </w:r>
            <w:r>
              <w:rPr>
                <w:rFonts w:hint="eastAsia" w:ascii="宋体" w:hAnsi="宋体" w:eastAsia="宋体" w:cs="宋体"/>
                <w:i w:val="0"/>
                <w:iCs w:val="0"/>
                <w:color w:val="auto"/>
                <w:kern w:val="0"/>
                <w:sz w:val="21"/>
                <w:szCs w:val="21"/>
                <w:highlight w:val="none"/>
                <w:u w:val="none"/>
                <w:lang w:val="en-US" w:eastAsia="zh-CN" w:bidi="ar"/>
              </w:rPr>
              <w:t>0000</w:t>
            </w:r>
          </w:p>
        </w:tc>
        <w:tc>
          <w:tcPr>
            <w:tcW w:w="10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14:paraId="294C0E93">
            <w:pPr>
              <w:widowControl/>
              <w:spacing w:line="240" w:lineRule="auto"/>
              <w:jc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否</w:t>
            </w:r>
          </w:p>
        </w:tc>
      </w:tr>
      <w:tr w14:paraId="5358490D">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520" w:hRule="atLeast"/>
          <w:jc w:val="center"/>
        </w:trPr>
        <w:tc>
          <w:tcPr>
            <w:tcW w:w="568" w:type="dxa"/>
            <w:vMerge w:val="continue"/>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14:paraId="31AADEB3">
            <w:pPr>
              <w:widowControl/>
              <w:spacing w:line="240" w:lineRule="auto"/>
              <w:jc w:val="center"/>
              <w:rPr>
                <w:rFonts w:hint="eastAsia" w:ascii="宋体" w:hAnsi="宋体" w:eastAsia="宋体" w:cs="宋体"/>
                <w:color w:val="auto"/>
                <w:kern w:val="0"/>
                <w:sz w:val="21"/>
                <w:szCs w:val="21"/>
                <w:highlight w:val="none"/>
                <w:lang w:bidi="ar"/>
              </w:rPr>
            </w:pPr>
          </w:p>
        </w:tc>
        <w:tc>
          <w:tcPr>
            <w:tcW w:w="651"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14:paraId="06C69C38">
            <w:pPr>
              <w:widowControl/>
              <w:spacing w:line="240" w:lineRule="auto"/>
              <w:jc w:val="center"/>
              <w:rPr>
                <w:rFonts w:hint="default" w:ascii="宋体" w:hAnsi="宋体" w:eastAsia="宋体" w:cs="宋体"/>
                <w:color w:val="auto"/>
                <w:kern w:val="0"/>
                <w:sz w:val="21"/>
                <w:szCs w:val="21"/>
                <w:highlight w:val="none"/>
                <w:lang w:val="en-US" w:eastAsia="zh-CN" w:bidi="ar"/>
              </w:rPr>
            </w:pPr>
            <w:r>
              <w:rPr>
                <w:rFonts w:hint="eastAsia" w:ascii="宋体" w:hAnsi="宋体" w:cs="宋体"/>
                <w:color w:val="auto"/>
                <w:kern w:val="0"/>
                <w:sz w:val="21"/>
                <w:szCs w:val="21"/>
                <w:highlight w:val="none"/>
                <w:lang w:val="en-US" w:eastAsia="zh-CN" w:bidi="ar"/>
              </w:rPr>
              <w:t>5</w:t>
            </w:r>
          </w:p>
        </w:tc>
        <w:tc>
          <w:tcPr>
            <w:tcW w:w="132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14:paraId="498E1916">
            <w:pPr>
              <w:widowControl/>
              <w:spacing w:line="240" w:lineRule="auto"/>
              <w:jc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val="en-US" w:eastAsia="zh-CN" w:bidi="ar"/>
              </w:rPr>
              <w:t>便携式彩色多普勒超声诊断仪</w:t>
            </w:r>
          </w:p>
        </w:tc>
        <w:tc>
          <w:tcPr>
            <w:tcW w:w="132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14:paraId="715246F3">
            <w:pPr>
              <w:widowControl/>
              <w:spacing w:line="240" w:lineRule="auto"/>
              <w:jc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val="en-US" w:eastAsia="zh-CN" w:bidi="ar"/>
              </w:rPr>
              <w:t>A02320500医用超声波仪器及设备</w:t>
            </w:r>
          </w:p>
        </w:tc>
        <w:tc>
          <w:tcPr>
            <w:tcW w:w="958"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14:paraId="371AABAE">
            <w:pPr>
              <w:widowControl/>
              <w:spacing w:line="240" w:lineRule="auto"/>
              <w:jc w:val="center"/>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台</w:t>
            </w:r>
          </w:p>
        </w:tc>
        <w:tc>
          <w:tcPr>
            <w:tcW w:w="638"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14:paraId="49193B20">
            <w:pPr>
              <w:widowControl/>
              <w:spacing w:line="240" w:lineRule="auto"/>
              <w:jc w:val="center"/>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1</w:t>
            </w:r>
          </w:p>
        </w:tc>
        <w:tc>
          <w:tcPr>
            <w:tcW w:w="10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14:paraId="592CC852">
            <w:pPr>
              <w:keepNext w:val="0"/>
              <w:keepLines w:val="0"/>
              <w:widowControl/>
              <w:suppressLineNumbers w:val="0"/>
              <w:jc w:val="center"/>
              <w:textAlignment w:val="center"/>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240000</w:t>
            </w:r>
          </w:p>
        </w:tc>
        <w:tc>
          <w:tcPr>
            <w:tcW w:w="10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14:paraId="32B1CBCD">
            <w:pPr>
              <w:keepNext w:val="0"/>
              <w:keepLines w:val="0"/>
              <w:widowControl/>
              <w:suppressLineNumbers w:val="0"/>
              <w:jc w:val="center"/>
              <w:textAlignment w:val="center"/>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2</w:t>
            </w:r>
            <w:r>
              <w:rPr>
                <w:rFonts w:hint="eastAsia" w:ascii="宋体" w:hAnsi="宋体" w:cs="宋体"/>
                <w:i w:val="0"/>
                <w:iCs w:val="0"/>
                <w:color w:val="auto"/>
                <w:kern w:val="0"/>
                <w:sz w:val="21"/>
                <w:szCs w:val="21"/>
                <w:highlight w:val="none"/>
                <w:u w:val="none"/>
                <w:lang w:val="en-US" w:eastAsia="zh-CN" w:bidi="ar"/>
              </w:rPr>
              <w:t>0</w:t>
            </w:r>
            <w:r>
              <w:rPr>
                <w:rFonts w:hint="eastAsia" w:ascii="宋体" w:hAnsi="宋体" w:eastAsia="宋体" w:cs="宋体"/>
                <w:i w:val="0"/>
                <w:iCs w:val="0"/>
                <w:color w:val="auto"/>
                <w:kern w:val="0"/>
                <w:sz w:val="21"/>
                <w:szCs w:val="21"/>
                <w:highlight w:val="none"/>
                <w:u w:val="none"/>
                <w:lang w:val="en-US" w:eastAsia="zh-CN" w:bidi="ar"/>
              </w:rPr>
              <w:t>0000</w:t>
            </w:r>
          </w:p>
        </w:tc>
        <w:tc>
          <w:tcPr>
            <w:tcW w:w="10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14:paraId="4381C9C9">
            <w:pPr>
              <w:widowControl/>
              <w:spacing w:line="240" w:lineRule="auto"/>
              <w:jc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否</w:t>
            </w:r>
          </w:p>
        </w:tc>
      </w:tr>
      <w:tr w14:paraId="4A707619">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520" w:hRule="atLeast"/>
          <w:jc w:val="center"/>
        </w:trPr>
        <w:tc>
          <w:tcPr>
            <w:tcW w:w="568" w:type="dxa"/>
            <w:vMerge w:val="continue"/>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14:paraId="0B00AB77">
            <w:pPr>
              <w:widowControl/>
              <w:spacing w:line="240" w:lineRule="auto"/>
              <w:jc w:val="center"/>
              <w:rPr>
                <w:rFonts w:hint="eastAsia" w:ascii="宋体" w:hAnsi="宋体" w:eastAsia="宋体" w:cs="宋体"/>
                <w:color w:val="auto"/>
                <w:kern w:val="0"/>
                <w:sz w:val="21"/>
                <w:szCs w:val="21"/>
                <w:highlight w:val="none"/>
                <w:lang w:bidi="ar"/>
              </w:rPr>
            </w:pPr>
          </w:p>
        </w:tc>
        <w:tc>
          <w:tcPr>
            <w:tcW w:w="651"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14:paraId="1A236E80">
            <w:pPr>
              <w:widowControl/>
              <w:spacing w:line="240" w:lineRule="auto"/>
              <w:jc w:val="center"/>
              <w:rPr>
                <w:rFonts w:hint="default" w:ascii="宋体" w:hAnsi="宋体" w:eastAsia="宋体" w:cs="宋体"/>
                <w:color w:val="auto"/>
                <w:kern w:val="0"/>
                <w:sz w:val="21"/>
                <w:szCs w:val="21"/>
                <w:highlight w:val="none"/>
                <w:lang w:val="en-US" w:eastAsia="zh-CN" w:bidi="ar"/>
              </w:rPr>
            </w:pPr>
            <w:r>
              <w:rPr>
                <w:rFonts w:hint="eastAsia" w:ascii="宋体" w:hAnsi="宋体" w:cs="宋体"/>
                <w:color w:val="auto"/>
                <w:kern w:val="0"/>
                <w:sz w:val="21"/>
                <w:szCs w:val="21"/>
                <w:highlight w:val="none"/>
                <w:lang w:val="en-US" w:eastAsia="zh-CN" w:bidi="ar"/>
              </w:rPr>
              <w:t>6</w:t>
            </w:r>
          </w:p>
        </w:tc>
        <w:tc>
          <w:tcPr>
            <w:tcW w:w="132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14:paraId="622BB241">
            <w:pPr>
              <w:widowControl/>
              <w:spacing w:line="240" w:lineRule="auto"/>
              <w:jc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val="en-US" w:eastAsia="zh-CN" w:bidi="ar"/>
              </w:rPr>
              <w:t>便携式彩色多普勒超声诊断仪</w:t>
            </w:r>
          </w:p>
        </w:tc>
        <w:tc>
          <w:tcPr>
            <w:tcW w:w="132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14:paraId="2BDEB91B">
            <w:pPr>
              <w:widowControl/>
              <w:spacing w:line="240" w:lineRule="auto"/>
              <w:jc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val="en-US" w:eastAsia="zh-CN" w:bidi="ar"/>
              </w:rPr>
              <w:t>A02320500医用超声波仪器及设备</w:t>
            </w:r>
          </w:p>
        </w:tc>
        <w:tc>
          <w:tcPr>
            <w:tcW w:w="958"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14:paraId="20F58246">
            <w:pPr>
              <w:widowControl/>
              <w:spacing w:line="240" w:lineRule="auto"/>
              <w:jc w:val="center"/>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台</w:t>
            </w:r>
          </w:p>
        </w:tc>
        <w:tc>
          <w:tcPr>
            <w:tcW w:w="638"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14:paraId="27D8966B">
            <w:pPr>
              <w:widowControl/>
              <w:spacing w:line="240" w:lineRule="auto"/>
              <w:jc w:val="center"/>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1</w:t>
            </w:r>
          </w:p>
        </w:tc>
        <w:tc>
          <w:tcPr>
            <w:tcW w:w="10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14:paraId="1ECA5D34">
            <w:pPr>
              <w:keepNext w:val="0"/>
              <w:keepLines w:val="0"/>
              <w:widowControl/>
              <w:suppressLineNumbers w:val="0"/>
              <w:jc w:val="center"/>
              <w:textAlignment w:val="center"/>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240000</w:t>
            </w:r>
          </w:p>
        </w:tc>
        <w:tc>
          <w:tcPr>
            <w:tcW w:w="10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14:paraId="78B723DD">
            <w:pPr>
              <w:keepNext w:val="0"/>
              <w:keepLines w:val="0"/>
              <w:widowControl/>
              <w:suppressLineNumbers w:val="0"/>
              <w:jc w:val="center"/>
              <w:textAlignment w:val="center"/>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2</w:t>
            </w:r>
            <w:r>
              <w:rPr>
                <w:rFonts w:hint="eastAsia" w:ascii="宋体" w:hAnsi="宋体" w:cs="宋体"/>
                <w:i w:val="0"/>
                <w:iCs w:val="0"/>
                <w:color w:val="auto"/>
                <w:kern w:val="0"/>
                <w:sz w:val="21"/>
                <w:szCs w:val="21"/>
                <w:highlight w:val="none"/>
                <w:u w:val="none"/>
                <w:lang w:val="en-US" w:eastAsia="zh-CN" w:bidi="ar"/>
              </w:rPr>
              <w:t>0</w:t>
            </w:r>
            <w:r>
              <w:rPr>
                <w:rFonts w:hint="eastAsia" w:ascii="宋体" w:hAnsi="宋体" w:eastAsia="宋体" w:cs="宋体"/>
                <w:i w:val="0"/>
                <w:iCs w:val="0"/>
                <w:color w:val="auto"/>
                <w:kern w:val="0"/>
                <w:sz w:val="21"/>
                <w:szCs w:val="21"/>
                <w:highlight w:val="none"/>
                <w:u w:val="none"/>
                <w:lang w:val="en-US" w:eastAsia="zh-CN" w:bidi="ar"/>
              </w:rPr>
              <w:t>0000</w:t>
            </w:r>
          </w:p>
        </w:tc>
        <w:tc>
          <w:tcPr>
            <w:tcW w:w="10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14:paraId="211FF13C">
            <w:pPr>
              <w:widowControl/>
              <w:spacing w:line="240" w:lineRule="auto"/>
              <w:jc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否</w:t>
            </w:r>
          </w:p>
        </w:tc>
      </w:tr>
    </w:tbl>
    <w:p w14:paraId="5075E813">
      <w:pPr>
        <w:rPr>
          <w:rFonts w:hint="eastAsia" w:ascii="宋体" w:hAnsi="宋体" w:eastAsia="宋体" w:cs="宋体"/>
          <w:color w:val="auto"/>
          <w:kern w:val="0"/>
          <w:sz w:val="21"/>
          <w:szCs w:val="21"/>
          <w:highlight w:val="none"/>
          <w:lang w:bidi="ar"/>
        </w:rPr>
      </w:pPr>
    </w:p>
    <w:p w14:paraId="7BA6BE08">
      <w:pPr>
        <w:spacing w:line="360" w:lineRule="auto"/>
        <w:jc w:val="left"/>
        <w:rPr>
          <w:rFonts w:ascii="宋体" w:hAnsi="宋体"/>
          <w:szCs w:val="21"/>
        </w:rPr>
      </w:pPr>
      <w:r>
        <w:rPr>
          <w:rFonts w:hint="eastAsia" w:ascii="宋体" w:hAnsi="宋体"/>
          <w:szCs w:val="21"/>
        </w:rPr>
        <w:t>注：1.“包”为最小合同单位（最小投标单位）。每“包”内容应细化到具体标的。</w:t>
      </w:r>
    </w:p>
    <w:p w14:paraId="78858BF3">
      <w:pPr>
        <w:spacing w:line="360" w:lineRule="auto"/>
        <w:jc w:val="left"/>
        <w:rPr>
          <w:rFonts w:ascii="宋体" w:hAnsi="宋体"/>
          <w:b/>
          <w:szCs w:val="21"/>
        </w:rPr>
      </w:pPr>
      <w:r>
        <w:rPr>
          <w:rFonts w:hint="eastAsia" w:ascii="宋体" w:hAnsi="宋体"/>
          <w:szCs w:val="21"/>
        </w:rPr>
        <w:t>2.投标人必须对一个完整、独立的包进行投标，不得仅对一个包中的部分标的投标，</w:t>
      </w:r>
      <w:r>
        <w:rPr>
          <w:rFonts w:hint="eastAsia" w:ascii="宋体" w:hAnsi="宋体"/>
          <w:b/>
          <w:szCs w:val="21"/>
        </w:rPr>
        <w:t>否则投标无效。</w:t>
      </w:r>
    </w:p>
    <w:p w14:paraId="4BE20ED4">
      <w:pPr>
        <w:spacing w:line="360" w:lineRule="auto"/>
        <w:jc w:val="left"/>
        <w:rPr>
          <w:rFonts w:ascii="宋体" w:hAnsi="宋体"/>
          <w:szCs w:val="21"/>
        </w:rPr>
      </w:pPr>
      <w:r>
        <w:rPr>
          <w:rFonts w:hint="eastAsia" w:ascii="宋体" w:hAnsi="宋体"/>
          <w:szCs w:val="21"/>
        </w:rPr>
        <w:t>3.货物的主要技术参数或规格：</w:t>
      </w:r>
      <w:r>
        <w:rPr>
          <w:rFonts w:ascii="宋体" w:hAnsi="宋体"/>
          <w:szCs w:val="21"/>
        </w:rPr>
        <w:t>详见“技术要求”中的具体技术参数</w:t>
      </w:r>
      <w:r>
        <w:rPr>
          <w:rFonts w:hint="eastAsia" w:ascii="宋体" w:hAnsi="宋体"/>
          <w:szCs w:val="21"/>
        </w:rPr>
        <w:t>。</w:t>
      </w:r>
    </w:p>
    <w:p w14:paraId="2F0A5550">
      <w:pPr>
        <w:spacing w:line="360" w:lineRule="auto"/>
        <w:jc w:val="left"/>
        <w:rPr>
          <w:rFonts w:hint="eastAsia" w:ascii="宋体" w:hAnsi="宋体"/>
          <w:szCs w:val="21"/>
        </w:rPr>
      </w:pPr>
      <w:r>
        <w:rPr>
          <w:rFonts w:hint="eastAsia" w:ascii="宋体" w:hAnsi="宋体"/>
          <w:szCs w:val="21"/>
        </w:rPr>
        <w:t>4.投标人应在投标文件《分项报价明细表》中按标的名称顺序逐项填写，且每个标的中的条目均需按招标文件规定报价。如有缺项、漏项，其投标无效。</w:t>
      </w:r>
    </w:p>
    <w:p w14:paraId="4C40CC14">
      <w:pPr>
        <w:spacing w:line="360" w:lineRule="auto"/>
        <w:jc w:val="left"/>
        <w:rPr>
          <w:rFonts w:hint="eastAsia" w:ascii="宋体" w:hAnsi="宋体" w:eastAsia="宋体" w:cs="宋体"/>
          <w:color w:val="auto"/>
          <w:kern w:val="0"/>
          <w:sz w:val="21"/>
          <w:szCs w:val="21"/>
          <w:highlight w:val="none"/>
          <w:lang w:bidi="ar"/>
        </w:rPr>
      </w:pPr>
      <w:r>
        <w:rPr>
          <w:rFonts w:hint="eastAsia" w:ascii="宋体" w:hAnsi="宋体"/>
          <w:szCs w:val="21"/>
        </w:rPr>
        <w:t xml:space="preserve"> 5.</w:t>
      </w:r>
      <w:r>
        <w:rPr>
          <w:rFonts w:hint="eastAsia" w:ascii="宋体" w:hAnsi="宋体"/>
          <w:szCs w:val="21"/>
          <w:lang w:val="en-US" w:eastAsia="zh-CN"/>
        </w:rPr>
        <w:t>本项目</w:t>
      </w:r>
      <w:r>
        <w:rPr>
          <w:rFonts w:hint="eastAsia" w:ascii="宋体" w:hAnsi="宋体"/>
          <w:szCs w:val="21"/>
        </w:rPr>
        <w:t>总</w:t>
      </w:r>
      <w:r>
        <w:rPr>
          <w:rFonts w:hint="eastAsia" w:ascii="宋体" w:hAnsi="宋体"/>
          <w:szCs w:val="21"/>
          <w:lang w:val="en-US" w:eastAsia="zh-CN"/>
        </w:rPr>
        <w:t>预算</w:t>
      </w:r>
      <w:r>
        <w:rPr>
          <w:rFonts w:hint="eastAsia" w:ascii="宋体" w:hAnsi="宋体"/>
          <w:szCs w:val="21"/>
        </w:rPr>
        <w:t>价为</w:t>
      </w:r>
      <w:r>
        <w:rPr>
          <w:rFonts w:hint="eastAsia" w:ascii="宋体" w:hAnsi="宋体" w:eastAsia="宋体" w:cs="Times New Roman"/>
          <w:color w:val="auto"/>
          <w:szCs w:val="21"/>
          <w:highlight w:val="none"/>
          <w:lang w:val="en-US" w:eastAsia="zh-CN"/>
        </w:rPr>
        <w:t>1667000</w:t>
      </w:r>
      <w:r>
        <w:rPr>
          <w:rFonts w:hint="eastAsia" w:ascii="宋体" w:hAnsi="宋体"/>
          <w:szCs w:val="21"/>
        </w:rPr>
        <w:t>元</w:t>
      </w:r>
      <w:r>
        <w:rPr>
          <w:rFonts w:hint="eastAsia" w:ascii="宋体" w:hAnsi="宋体"/>
          <w:szCs w:val="21"/>
          <w:lang w:eastAsia="zh-CN"/>
        </w:rPr>
        <w:t>，</w:t>
      </w:r>
      <w:r>
        <w:rPr>
          <w:rFonts w:hint="eastAsia" w:ascii="宋体" w:hAnsi="宋体"/>
          <w:szCs w:val="21"/>
        </w:rPr>
        <w:t>最高</w:t>
      </w:r>
      <w:r>
        <w:rPr>
          <w:rFonts w:hint="eastAsia" w:ascii="宋体" w:hAnsi="宋体"/>
          <w:szCs w:val="21"/>
          <w:lang w:val="en-US" w:eastAsia="zh-CN"/>
        </w:rPr>
        <w:t>限价为</w:t>
      </w:r>
      <w:r>
        <w:rPr>
          <w:rFonts w:hint="eastAsia" w:ascii="宋体" w:hAnsi="宋体" w:eastAsia="宋体" w:cs="Times New Roman"/>
          <w:color w:val="auto"/>
          <w:kern w:val="2"/>
          <w:sz w:val="21"/>
          <w:szCs w:val="21"/>
          <w:highlight w:val="none"/>
          <w:lang w:val="en-US" w:eastAsia="zh-CN" w:bidi="ar-SA"/>
        </w:rPr>
        <w:t>1</w:t>
      </w:r>
      <w:r>
        <w:rPr>
          <w:rFonts w:hint="eastAsia" w:ascii="宋体" w:hAnsi="宋体" w:cs="Times New Roman"/>
          <w:color w:val="auto"/>
          <w:kern w:val="2"/>
          <w:sz w:val="21"/>
          <w:szCs w:val="21"/>
          <w:highlight w:val="none"/>
          <w:lang w:val="en-US" w:eastAsia="zh-CN" w:bidi="ar-SA"/>
        </w:rPr>
        <w:t>45</w:t>
      </w:r>
      <w:r>
        <w:rPr>
          <w:rFonts w:hint="eastAsia" w:ascii="宋体" w:hAnsi="宋体" w:eastAsia="宋体" w:cs="Times New Roman"/>
          <w:color w:val="auto"/>
          <w:kern w:val="2"/>
          <w:sz w:val="21"/>
          <w:szCs w:val="21"/>
          <w:highlight w:val="none"/>
          <w:lang w:val="en-US" w:eastAsia="zh-CN" w:bidi="ar-SA"/>
        </w:rPr>
        <w:t>7000</w:t>
      </w:r>
      <w:r>
        <w:rPr>
          <w:rFonts w:hint="eastAsia" w:ascii="宋体" w:hAnsi="宋体"/>
          <w:szCs w:val="21"/>
          <w:lang w:val="en-US" w:eastAsia="zh-CN"/>
        </w:rPr>
        <w:t>元，</w:t>
      </w:r>
      <w:r>
        <w:rPr>
          <w:rFonts w:hint="eastAsia" w:ascii="宋体" w:hAnsi="宋体"/>
          <w:szCs w:val="21"/>
        </w:rPr>
        <w:t>投标人报价不得超过最高总价限价和最高单价限价，否则投标无效。</w:t>
      </w:r>
    </w:p>
    <w:p w14:paraId="510416F9">
      <w:pPr>
        <w:keepNext w:val="0"/>
        <w:keepLines w:val="0"/>
        <w:pageBreakBefore w:val="0"/>
        <w:widowControl/>
        <w:kinsoku/>
        <w:wordWrap/>
        <w:overflowPunct/>
        <w:topLinePunct w:val="0"/>
        <w:autoSpaceDE/>
        <w:autoSpaceDN/>
        <w:bidi w:val="0"/>
        <w:adjustRightInd/>
        <w:snapToGrid/>
        <w:spacing w:line="560" w:lineRule="atLeast"/>
        <w:jc w:val="left"/>
        <w:textAlignment w:val="auto"/>
        <w:outlineLvl w:val="1"/>
        <w:rPr>
          <w:rFonts w:hint="eastAsia" w:asciiTheme="majorEastAsia" w:hAnsiTheme="majorEastAsia" w:eastAsiaTheme="majorEastAsia" w:cstheme="majorEastAsia"/>
          <w:color w:val="auto"/>
          <w:sz w:val="21"/>
          <w:szCs w:val="21"/>
          <w:highlight w:val="none"/>
        </w:rPr>
      </w:pPr>
      <w:bookmarkStart w:id="1211" w:name="_Toc661318052"/>
      <w:r>
        <w:rPr>
          <w:rFonts w:hint="eastAsia" w:asciiTheme="majorEastAsia" w:hAnsiTheme="majorEastAsia" w:eastAsiaTheme="majorEastAsia" w:cstheme="majorEastAsia"/>
          <w:color w:val="auto"/>
          <w:kern w:val="0"/>
          <w:sz w:val="21"/>
          <w:szCs w:val="21"/>
          <w:highlight w:val="none"/>
          <w:lang w:bidi="ar"/>
        </w:rPr>
        <w:t>（</w:t>
      </w:r>
      <w:r>
        <w:rPr>
          <w:rFonts w:hint="eastAsia" w:asciiTheme="majorEastAsia" w:hAnsiTheme="majorEastAsia" w:eastAsiaTheme="majorEastAsia" w:cstheme="majorEastAsia"/>
          <w:color w:val="auto"/>
          <w:kern w:val="0"/>
          <w:sz w:val="21"/>
          <w:szCs w:val="21"/>
          <w:highlight w:val="none"/>
          <w:lang w:eastAsia="zh-CN" w:bidi="ar"/>
        </w:rPr>
        <w:t>三</w:t>
      </w:r>
      <w:r>
        <w:rPr>
          <w:rFonts w:hint="eastAsia" w:asciiTheme="majorEastAsia" w:hAnsiTheme="majorEastAsia" w:eastAsiaTheme="majorEastAsia" w:cstheme="majorEastAsia"/>
          <w:color w:val="auto"/>
          <w:kern w:val="0"/>
          <w:sz w:val="21"/>
          <w:szCs w:val="21"/>
          <w:highlight w:val="none"/>
          <w:lang w:bidi="ar"/>
        </w:rPr>
        <w:t>）技术商务要求</w:t>
      </w:r>
      <w:bookmarkEnd w:id="1211"/>
    </w:p>
    <w:p w14:paraId="59B48F3C">
      <w:pPr>
        <w:pStyle w:val="22"/>
        <w:adjustRightInd w:val="0"/>
        <w:snapToGrid w:val="0"/>
        <w:spacing w:line="360" w:lineRule="auto"/>
        <w:jc w:val="both"/>
        <w:outlineLvl w:val="9"/>
        <w:rPr>
          <w:rFonts w:hint="eastAsia" w:ascii="宋体" w:hAnsi="宋体" w:eastAsia="宋体" w:cs="宋体"/>
          <w:b/>
          <w:bCs/>
          <w:color w:val="auto"/>
          <w:sz w:val="21"/>
          <w:szCs w:val="21"/>
          <w:highlight w:val="none"/>
          <w:lang w:val="en-US" w:eastAsia="zh-CN"/>
        </w:rPr>
      </w:pPr>
    </w:p>
    <w:p w14:paraId="12B6F51E">
      <w:pPr>
        <w:keepNext w:val="0"/>
        <w:keepLines w:val="0"/>
        <w:pageBreakBefore w:val="0"/>
        <w:widowControl w:val="0"/>
        <w:kinsoku/>
        <w:wordWrap/>
        <w:overflowPunct/>
        <w:topLinePunct w:val="0"/>
        <w:autoSpaceDE/>
        <w:autoSpaceDN/>
        <w:bidi w:val="0"/>
        <w:adjustRightInd/>
        <w:snapToGrid/>
        <w:jc w:val="center"/>
        <w:textAlignment w:val="auto"/>
        <w:outlineLvl w:val="1"/>
        <w:rPr>
          <w:rFonts w:hint="eastAsia" w:asciiTheme="majorEastAsia" w:hAnsiTheme="majorEastAsia" w:eastAsiaTheme="majorEastAsia" w:cstheme="majorEastAsia"/>
          <w:b/>
          <w:bCs/>
          <w:color w:val="auto"/>
          <w:kern w:val="2"/>
          <w:sz w:val="21"/>
          <w:szCs w:val="21"/>
          <w:highlight w:val="none"/>
          <w:lang w:val="en-US" w:eastAsia="zh-CN" w:bidi="ar-SA"/>
        </w:rPr>
      </w:pPr>
      <w:bookmarkStart w:id="1212" w:name="_Toc1817913849"/>
      <w:r>
        <w:rPr>
          <w:rFonts w:hint="eastAsia" w:asciiTheme="majorEastAsia" w:hAnsiTheme="majorEastAsia" w:eastAsiaTheme="majorEastAsia" w:cstheme="majorEastAsia"/>
          <w:b/>
          <w:bCs/>
          <w:color w:val="auto"/>
          <w:sz w:val="21"/>
          <w:szCs w:val="21"/>
          <w:highlight w:val="none"/>
          <w:lang w:val="en-US" w:eastAsia="zh-CN"/>
        </w:rPr>
        <w:t>序号</w:t>
      </w:r>
      <w:r>
        <w:rPr>
          <w:rFonts w:hint="eastAsia" w:asciiTheme="majorEastAsia" w:hAnsiTheme="majorEastAsia" w:eastAsiaTheme="majorEastAsia" w:cstheme="majorEastAsia"/>
          <w:b/>
          <w:bCs/>
          <w:color w:val="auto"/>
          <w:kern w:val="2"/>
          <w:sz w:val="21"/>
          <w:szCs w:val="21"/>
          <w:highlight w:val="none"/>
          <w:lang w:val="en-US" w:eastAsia="zh-CN" w:bidi="ar-SA"/>
        </w:rPr>
        <w:t>1</w:t>
      </w:r>
      <w:r>
        <w:rPr>
          <w:rFonts w:hint="eastAsia" w:asciiTheme="majorEastAsia" w:hAnsiTheme="majorEastAsia" w:eastAsiaTheme="majorEastAsia" w:cstheme="majorEastAsia"/>
          <w:b/>
          <w:bCs/>
          <w:color w:val="auto"/>
          <w:kern w:val="2"/>
          <w:sz w:val="21"/>
          <w:szCs w:val="21"/>
          <w:highlight w:val="none"/>
          <w:lang w:val="en-US" w:eastAsia="zh-CN" w:bidi="ar-SA"/>
        </w:rPr>
        <w:tab/>
      </w:r>
      <w:r>
        <w:rPr>
          <w:rFonts w:hint="eastAsia" w:asciiTheme="majorEastAsia" w:hAnsiTheme="majorEastAsia" w:eastAsiaTheme="majorEastAsia" w:cstheme="majorEastAsia"/>
          <w:b/>
          <w:bCs/>
          <w:color w:val="auto"/>
          <w:kern w:val="2"/>
          <w:sz w:val="21"/>
          <w:szCs w:val="21"/>
          <w:highlight w:val="none"/>
          <w:lang w:val="en-US" w:eastAsia="zh-CN" w:bidi="ar-SA"/>
        </w:rPr>
        <w:t>便携式彩色多普勒超声诊断仪</w:t>
      </w:r>
      <w:bookmarkEnd w:id="1212"/>
    </w:p>
    <w:p w14:paraId="756CBF4D">
      <w:pPr>
        <w:pStyle w:val="102"/>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一、货物名称: 便携式彩色多普勒超声诊断仪</w:t>
      </w:r>
    </w:p>
    <w:p w14:paraId="7CE72791">
      <w:pPr>
        <w:pStyle w:val="102"/>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二、设备用途: 用于新生儿颅脑可视化引导，心肺功能监测及血流动力学评估应用，以及介入操作的可视化引导，血管通路搭建，诊断和治疗引导，满足腹部、新生儿科、心脏、小器官、血管、肺部等检查需要。</w:t>
      </w:r>
    </w:p>
    <w:p w14:paraId="5CEB7439">
      <w:pPr>
        <w:pStyle w:val="102"/>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三、主要技术及系统概述：</w:t>
      </w:r>
    </w:p>
    <w:p w14:paraId="7B050F46">
      <w:pPr>
        <w:pStyle w:val="102"/>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3.1技术参数及要求：</w:t>
      </w:r>
    </w:p>
    <w:p w14:paraId="61892428">
      <w:pPr>
        <w:pStyle w:val="102"/>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▲3.1.1触控面板操作，防泼溅、防尘、防异物;（非轨迹球操作方式），</w:t>
      </w:r>
    </w:p>
    <w:p w14:paraId="467EA48B">
      <w:pPr>
        <w:pStyle w:val="102"/>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3.1.2主机重量≤4kg（含电池）</w:t>
      </w:r>
    </w:p>
    <w:p w14:paraId="0BBA433E">
      <w:pPr>
        <w:pStyle w:val="102"/>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3.1.3显示器≥15英寸高分辨率LED 显示器</w:t>
      </w:r>
    </w:p>
    <w:p w14:paraId="392CC683">
      <w:pPr>
        <w:pStyle w:val="102"/>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3.1.4显示器可视角度≥170度 （左/右）</w:t>
      </w:r>
    </w:p>
    <w:p w14:paraId="3CBF6D7F">
      <w:pPr>
        <w:pStyle w:val="102"/>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3.1.</w:t>
      </w:r>
      <w:r>
        <w:rPr>
          <w:rFonts w:hint="eastAsia" w:ascii="宋体" w:hAnsi="宋体" w:cs="宋体"/>
          <w:color w:val="auto"/>
          <w:kern w:val="0"/>
          <w:sz w:val="21"/>
          <w:szCs w:val="21"/>
          <w:highlight w:val="none"/>
          <w:lang w:val="en-US" w:eastAsia="zh-CN" w:bidi="ar"/>
        </w:rPr>
        <w:t>5</w:t>
      </w:r>
      <w:r>
        <w:rPr>
          <w:rFonts w:hint="eastAsia" w:ascii="宋体" w:hAnsi="宋体" w:eastAsia="宋体" w:cs="宋体"/>
          <w:color w:val="auto"/>
          <w:kern w:val="0"/>
          <w:sz w:val="21"/>
          <w:szCs w:val="21"/>
          <w:highlight w:val="none"/>
          <w:lang w:val="en-US" w:eastAsia="zh-CN" w:bidi="ar"/>
        </w:rPr>
        <w:t xml:space="preserve"> 解剖M型模式 ，要求M取样线≥3条</w:t>
      </w:r>
    </w:p>
    <w:p w14:paraId="4FF0BA6B">
      <w:pPr>
        <w:pStyle w:val="102"/>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3.1.</w:t>
      </w:r>
      <w:r>
        <w:rPr>
          <w:rFonts w:hint="eastAsia" w:ascii="宋体" w:hAnsi="宋体" w:cs="宋体"/>
          <w:color w:val="auto"/>
          <w:kern w:val="0"/>
          <w:sz w:val="21"/>
          <w:szCs w:val="21"/>
          <w:highlight w:val="none"/>
          <w:lang w:val="en-US" w:eastAsia="zh-CN" w:bidi="ar"/>
        </w:rPr>
        <w:t>6</w:t>
      </w:r>
      <w:r>
        <w:rPr>
          <w:rFonts w:hint="eastAsia" w:ascii="宋体" w:hAnsi="宋体" w:eastAsia="宋体" w:cs="宋体"/>
          <w:color w:val="auto"/>
          <w:kern w:val="0"/>
          <w:sz w:val="21"/>
          <w:szCs w:val="21"/>
          <w:highlight w:val="none"/>
          <w:lang w:val="en-US" w:eastAsia="zh-CN" w:bidi="ar"/>
        </w:rPr>
        <w:t xml:space="preserve"> ≥12英寸触摸操作屏，按键支持自定义设置，包括移动、增加、删除</w:t>
      </w:r>
    </w:p>
    <w:p w14:paraId="1244CA0A">
      <w:pPr>
        <w:pStyle w:val="102"/>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3.1.</w:t>
      </w:r>
      <w:r>
        <w:rPr>
          <w:rFonts w:hint="eastAsia" w:ascii="宋体" w:hAnsi="宋体" w:cs="宋体"/>
          <w:color w:val="auto"/>
          <w:kern w:val="0"/>
          <w:sz w:val="21"/>
          <w:szCs w:val="21"/>
          <w:highlight w:val="none"/>
          <w:lang w:val="en-US" w:eastAsia="zh-CN" w:bidi="ar"/>
        </w:rPr>
        <w:t>7</w:t>
      </w:r>
      <w:r>
        <w:rPr>
          <w:rFonts w:hint="eastAsia" w:ascii="宋体" w:hAnsi="宋体" w:eastAsia="宋体" w:cs="宋体"/>
          <w:color w:val="auto"/>
          <w:kern w:val="0"/>
          <w:sz w:val="21"/>
          <w:szCs w:val="21"/>
          <w:highlight w:val="none"/>
          <w:lang w:val="en-US" w:eastAsia="zh-CN" w:bidi="ar"/>
        </w:rPr>
        <w:t>可自定义物理按键≥3个</w:t>
      </w:r>
    </w:p>
    <w:p w14:paraId="7D1E8EEE">
      <w:pPr>
        <w:pStyle w:val="102"/>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▲3.1.</w:t>
      </w:r>
      <w:r>
        <w:rPr>
          <w:rFonts w:hint="eastAsia" w:ascii="宋体" w:hAnsi="宋体" w:cs="宋体"/>
          <w:color w:val="auto"/>
          <w:kern w:val="0"/>
          <w:sz w:val="21"/>
          <w:szCs w:val="21"/>
          <w:highlight w:val="none"/>
          <w:lang w:val="en-US" w:eastAsia="zh-CN" w:bidi="ar"/>
        </w:rPr>
        <w:t>8</w:t>
      </w:r>
      <w:r>
        <w:rPr>
          <w:rFonts w:hint="eastAsia" w:ascii="宋体" w:hAnsi="宋体" w:eastAsia="宋体" w:cs="宋体"/>
          <w:color w:val="auto"/>
          <w:kern w:val="0"/>
          <w:sz w:val="21"/>
          <w:szCs w:val="21"/>
          <w:highlight w:val="none"/>
          <w:lang w:val="en-US" w:eastAsia="zh-CN" w:bidi="ar"/>
        </w:rPr>
        <w:t>机器内置超声教学助手，可用于辅助医生进行神经阻滞的练习、操作，同时也可用于腹部、心脏及小器官的教学指导</w:t>
      </w:r>
    </w:p>
    <w:p w14:paraId="0A8D3A27">
      <w:pPr>
        <w:pStyle w:val="102"/>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3.1.11所配软件为该机型的最新版本，并且具有升级能力</w:t>
      </w:r>
    </w:p>
    <w:p w14:paraId="4F7D38D6">
      <w:pPr>
        <w:pStyle w:val="102"/>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3.2、成像模式</w:t>
      </w:r>
    </w:p>
    <w:p w14:paraId="1C5DFA3C">
      <w:pPr>
        <w:pStyle w:val="102"/>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3.2.1二维灰阶模式</w:t>
      </w:r>
    </w:p>
    <w:p w14:paraId="0A1DFF4D">
      <w:pPr>
        <w:pStyle w:val="102"/>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3.2.2组织谐波成像技术</w:t>
      </w:r>
    </w:p>
    <w:p w14:paraId="2B124AEB">
      <w:pPr>
        <w:pStyle w:val="102"/>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3.2.3穿刺针显影增强技术</w:t>
      </w:r>
    </w:p>
    <w:p w14:paraId="7F2BAF6F">
      <w:pPr>
        <w:pStyle w:val="102"/>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3.2.4彩色多普勒模式</w:t>
      </w:r>
    </w:p>
    <w:p w14:paraId="18C751CE">
      <w:pPr>
        <w:pStyle w:val="102"/>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3.2.5能量多普勒模式</w:t>
      </w:r>
    </w:p>
    <w:p w14:paraId="47A47BDB">
      <w:pPr>
        <w:pStyle w:val="102"/>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3.2.6脉冲多普勒模式（PW）</w:t>
      </w:r>
    </w:p>
    <w:p w14:paraId="593B9261">
      <w:pPr>
        <w:pStyle w:val="102"/>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3.2.7连续多普勒模式（CW）</w:t>
      </w:r>
    </w:p>
    <w:p w14:paraId="355ADA19">
      <w:pPr>
        <w:pStyle w:val="102"/>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▲3.2.8穿刺针显影增强技术</w:t>
      </w:r>
    </w:p>
    <w:p w14:paraId="0B70DF5C">
      <w:pPr>
        <w:pStyle w:val="102"/>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3.2.9支持凸阵探头、线阵探头</w:t>
      </w:r>
    </w:p>
    <w:p w14:paraId="653AB832">
      <w:pPr>
        <w:pStyle w:val="102"/>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3.2.10提供最佳角度提示信息</w:t>
      </w:r>
    </w:p>
    <w:p w14:paraId="050A4774">
      <w:pPr>
        <w:pStyle w:val="102"/>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3.2.11支持双幅对比显示</w:t>
      </w:r>
    </w:p>
    <w:p w14:paraId="5ED331B6">
      <w:pPr>
        <w:pStyle w:val="102"/>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▲3.2.12支持自动速度时间积分测量</w:t>
      </w:r>
    </w:p>
    <w:p w14:paraId="27420278">
      <w:pPr>
        <w:pStyle w:val="102"/>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3.2.13支持自动下腔静脉定量分析</w:t>
      </w:r>
    </w:p>
    <w:p w14:paraId="26EBA69F">
      <w:pPr>
        <w:pStyle w:val="102"/>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3.3、B模式成像</w:t>
      </w:r>
    </w:p>
    <w:p w14:paraId="360CCB85">
      <w:pPr>
        <w:pStyle w:val="102"/>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3.3.1组织谐波成像模式</w:t>
      </w:r>
    </w:p>
    <w:p w14:paraId="7E05A9F8">
      <w:pPr>
        <w:pStyle w:val="102"/>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3.3.2组织特异性成像</w:t>
      </w:r>
    </w:p>
    <w:p w14:paraId="5F778DDB">
      <w:pPr>
        <w:pStyle w:val="102"/>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3.3.3多角度空间复合成像技术，支持≥3条偏转线，多级可调，支持线阵和凸阵探头</w:t>
      </w:r>
    </w:p>
    <w:p w14:paraId="6D551E92">
      <w:pPr>
        <w:pStyle w:val="102"/>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3.3.4斑点噪声抑制成像</w:t>
      </w:r>
    </w:p>
    <w:p w14:paraId="2E1D2B6F">
      <w:pPr>
        <w:pStyle w:val="102"/>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3.3.5回波增强技术，提高心脏图像质量</w:t>
      </w:r>
    </w:p>
    <w:p w14:paraId="2FFC2FF1">
      <w:pPr>
        <w:pStyle w:val="102"/>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3.3.6锐眼技术，增强局部分辨率</w:t>
      </w:r>
    </w:p>
    <w:p w14:paraId="45A0547A">
      <w:pPr>
        <w:pStyle w:val="102"/>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3.4、彩色多普勒成像（包括彩色、能量、方向能量多普勒模式）</w:t>
      </w:r>
    </w:p>
    <w:p w14:paraId="683153C3">
      <w:pPr>
        <w:pStyle w:val="102"/>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3.4.1高分辨率血流成像</w:t>
      </w:r>
    </w:p>
    <w:p w14:paraId="3667EFEB">
      <w:pPr>
        <w:pStyle w:val="102"/>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3.4.2双实时同屏对比显示</w:t>
      </w:r>
    </w:p>
    <w:p w14:paraId="278B8382">
      <w:pPr>
        <w:pStyle w:val="102"/>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3.4.3自动调节取样框的角度及位置</w:t>
      </w:r>
    </w:p>
    <w:p w14:paraId="2E7E8F59">
      <w:pPr>
        <w:pStyle w:val="102"/>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3.5、频谱多普勒成像</w:t>
      </w:r>
    </w:p>
    <w:p w14:paraId="153F1A6F">
      <w:pPr>
        <w:pStyle w:val="102"/>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3.5.1脉冲多普勒、高脉冲重复频率</w:t>
      </w:r>
    </w:p>
    <w:p w14:paraId="2317490F">
      <w:pPr>
        <w:pStyle w:val="102"/>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3.5.2连续多普勒</w:t>
      </w:r>
    </w:p>
    <w:p w14:paraId="0B3F1883">
      <w:pPr>
        <w:pStyle w:val="102"/>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3.6、测量分析和报告</w:t>
      </w:r>
    </w:p>
    <w:p w14:paraId="6350D8B0">
      <w:pPr>
        <w:pStyle w:val="102"/>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3.6.1常规测量软件包</w:t>
      </w:r>
    </w:p>
    <w:p w14:paraId="7D1440EE">
      <w:pPr>
        <w:pStyle w:val="102"/>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3.6.2多普勒测量（自动或手动包络测量，自动计算测量参数）</w:t>
      </w:r>
    </w:p>
    <w:p w14:paraId="58011A9B">
      <w:pPr>
        <w:pStyle w:val="102"/>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3.6.3神经专用测量软件包</w:t>
      </w:r>
    </w:p>
    <w:p w14:paraId="4BCD6B33">
      <w:pPr>
        <w:pStyle w:val="102"/>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3.6.4心脏功能专用测量软件包</w:t>
      </w:r>
    </w:p>
    <w:p w14:paraId="149FA189">
      <w:pPr>
        <w:pStyle w:val="102"/>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3.6.5急重诊应用测量软件包</w:t>
      </w:r>
    </w:p>
    <w:p w14:paraId="0096DB14">
      <w:pPr>
        <w:pStyle w:val="102"/>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3.6.6血管内中膜自动测量，可同时进行血管前、后壁的内中膜一段距离的自动描记、自动生成测量数据结果</w:t>
      </w:r>
    </w:p>
    <w:p w14:paraId="6AEBC0AA">
      <w:pPr>
        <w:pStyle w:val="102"/>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3.6.7Auto EF射血分数自动测量</w:t>
      </w:r>
    </w:p>
    <w:p w14:paraId="7A11E716">
      <w:pPr>
        <w:pStyle w:val="102"/>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3.7、连通性和外部数据管理</w:t>
      </w:r>
    </w:p>
    <w:p w14:paraId="21C816E3">
      <w:pPr>
        <w:pStyle w:val="102"/>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3.7.1具备DICOM基础功能，可通过网络将图像传输到DICOM服务器</w:t>
      </w:r>
    </w:p>
    <w:p w14:paraId="733AC9BC">
      <w:pPr>
        <w:pStyle w:val="102"/>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3.7.2 4个USB 3.0端口</w:t>
      </w:r>
    </w:p>
    <w:p w14:paraId="397F39F8">
      <w:pPr>
        <w:pStyle w:val="102"/>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3.7.3以太网端口，内置无线网卡，借助网络，可在机器上一键将动态或静态图像传输至移动应用端群组内；超声设备上具备可自行设置的隐私数据脱敏传输开关，用户可选择传输图像是否包含病人信息</w:t>
      </w:r>
    </w:p>
    <w:p w14:paraId="25C8FB1A">
      <w:pPr>
        <w:pStyle w:val="102"/>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3.7.4、HDMI、S-Video视频输出接口</w:t>
      </w:r>
    </w:p>
    <w:p w14:paraId="464A97D3">
      <w:pPr>
        <w:pStyle w:val="102"/>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3.7.5电源供应</w:t>
      </w:r>
    </w:p>
    <w:p w14:paraId="4D04C262">
      <w:pPr>
        <w:pStyle w:val="102"/>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3.7.6系统通过电池或交流电源运行</w:t>
      </w:r>
    </w:p>
    <w:p w14:paraId="46747E57">
      <w:pPr>
        <w:pStyle w:val="102"/>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3.7.7可充电锂电池，连续使用时间≥90分钟</w:t>
      </w:r>
    </w:p>
    <w:p w14:paraId="429573BA">
      <w:pPr>
        <w:pStyle w:val="102"/>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3.7.</w:t>
      </w:r>
      <w:r>
        <w:rPr>
          <w:rFonts w:hint="eastAsia" w:ascii="宋体" w:hAnsi="宋体" w:cs="宋体"/>
          <w:color w:val="auto"/>
          <w:kern w:val="0"/>
          <w:sz w:val="21"/>
          <w:szCs w:val="21"/>
          <w:highlight w:val="none"/>
          <w:lang w:val="en-US" w:eastAsia="zh-CN" w:bidi="ar"/>
        </w:rPr>
        <w:t>8</w:t>
      </w:r>
      <w:r>
        <w:rPr>
          <w:rFonts w:hint="eastAsia" w:ascii="宋体" w:hAnsi="宋体" w:eastAsia="宋体" w:cs="宋体"/>
          <w:color w:val="auto"/>
          <w:kern w:val="0"/>
          <w:sz w:val="21"/>
          <w:szCs w:val="21"/>
          <w:highlight w:val="none"/>
          <w:lang w:val="en-US" w:eastAsia="zh-CN" w:bidi="ar"/>
        </w:rPr>
        <w:t>专用台车，支持交流供电</w:t>
      </w:r>
    </w:p>
    <w:p w14:paraId="235AE856">
      <w:pPr>
        <w:pStyle w:val="102"/>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color w:val="auto"/>
          <w:highlight w:val="none"/>
          <w:lang w:eastAsia="zh-CN"/>
        </w:rPr>
      </w:pPr>
      <w:r>
        <w:rPr>
          <w:rFonts w:hint="eastAsia"/>
          <w:color w:val="auto"/>
          <w:highlight w:val="none"/>
          <w:lang w:eastAsia="zh-CN"/>
        </w:rPr>
        <w:t>▲</w:t>
      </w:r>
      <w:r>
        <w:rPr>
          <w:rFonts w:hint="eastAsia"/>
          <w:color w:val="auto"/>
          <w:highlight w:val="none"/>
          <w:lang w:val="en-US" w:eastAsia="zh-CN"/>
        </w:rPr>
        <w:t>3.8浅表线阵探</w:t>
      </w:r>
      <w:r>
        <w:rPr>
          <w:rFonts w:hint="eastAsia"/>
          <w:color w:val="auto"/>
          <w:highlight w:val="none"/>
          <w:lang w:eastAsia="zh-CN"/>
        </w:rPr>
        <w:t>头</w:t>
      </w:r>
      <w:r>
        <w:rPr>
          <w:rFonts w:hint="eastAsia" w:ascii="宋体" w:hAnsi="宋体" w:eastAsia="宋体" w:cs="宋体"/>
          <w:color w:val="auto"/>
          <w:sz w:val="21"/>
          <w:szCs w:val="21"/>
          <w:highlight w:val="none"/>
        </w:rPr>
        <w:t>1把</w:t>
      </w:r>
      <w:r>
        <w:rPr>
          <w:rFonts w:hint="eastAsia"/>
          <w:color w:val="auto"/>
          <w:highlight w:val="none"/>
          <w:lang w:eastAsia="zh-CN"/>
        </w:rPr>
        <w:t>，频率范围：3.0-1</w:t>
      </w:r>
      <w:r>
        <w:rPr>
          <w:rFonts w:hint="eastAsia"/>
          <w:color w:val="auto"/>
          <w:highlight w:val="none"/>
          <w:lang w:val="en-US" w:eastAsia="zh-CN"/>
        </w:rPr>
        <w:t>2</w:t>
      </w:r>
      <w:r>
        <w:rPr>
          <w:rFonts w:hint="eastAsia"/>
          <w:color w:val="auto"/>
          <w:highlight w:val="none"/>
          <w:lang w:eastAsia="zh-CN"/>
        </w:rPr>
        <w:t>.0MHZ</w:t>
      </w:r>
    </w:p>
    <w:p w14:paraId="2BEBF125">
      <w:pPr>
        <w:pStyle w:val="14"/>
        <w:rPr>
          <w:rFonts w:hint="eastAsia" w:ascii="宋体" w:hAnsi="宋体" w:eastAsia="宋体" w:cs="宋体"/>
          <w:color w:val="auto"/>
          <w:kern w:val="0"/>
          <w:sz w:val="21"/>
          <w:szCs w:val="21"/>
          <w:highlight w:val="none"/>
          <w:lang w:val="en-US" w:eastAsia="zh-CN" w:bidi="ar"/>
        </w:rPr>
      </w:pPr>
      <w:r>
        <w:rPr>
          <w:rFonts w:hint="eastAsia" w:ascii="宋体" w:hAnsi="宋体" w:cs="宋体"/>
          <w:color w:val="auto"/>
          <w:sz w:val="21"/>
          <w:szCs w:val="21"/>
          <w:highlight w:val="none"/>
          <w:lang w:val="en-US" w:eastAsia="zh-CN"/>
        </w:rPr>
        <w:t>3.9</w:t>
      </w:r>
      <w:r>
        <w:rPr>
          <w:rFonts w:hint="eastAsia" w:ascii="宋体" w:hAnsi="宋体" w:eastAsia="宋体" w:cs="宋体"/>
          <w:color w:val="auto"/>
          <w:sz w:val="21"/>
          <w:szCs w:val="21"/>
          <w:highlight w:val="none"/>
        </w:rPr>
        <w:t>心脏探头1把</w:t>
      </w:r>
      <w:r>
        <w:rPr>
          <w:rFonts w:hint="eastAsia" w:ascii="宋体" w:hAnsi="宋体" w:cs="宋体"/>
          <w:color w:val="auto"/>
          <w:sz w:val="21"/>
          <w:szCs w:val="21"/>
          <w:highlight w:val="none"/>
          <w:lang w:eastAsia="zh-CN"/>
        </w:rPr>
        <w:t>，</w:t>
      </w:r>
      <w:r>
        <w:rPr>
          <w:rFonts w:hint="eastAsia" w:ascii="宋体" w:hAnsi="宋体" w:eastAsia="宋体" w:cs="宋体"/>
          <w:color w:val="auto"/>
          <w:sz w:val="21"/>
          <w:szCs w:val="21"/>
          <w:highlight w:val="none"/>
        </w:rPr>
        <w:t>频率范围：</w:t>
      </w:r>
      <w:r>
        <w:rPr>
          <w:rFonts w:hint="eastAsia" w:ascii="宋体" w:hAnsi="宋体" w:eastAsia="宋体" w:cs="宋体"/>
          <w:color w:val="auto"/>
          <w:sz w:val="21"/>
          <w:szCs w:val="21"/>
          <w:highlight w:val="none"/>
          <w:lang w:eastAsia="zh-CN"/>
        </w:rPr>
        <w:t>4.0</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eastAsia="zh-CN"/>
        </w:rPr>
        <w:t>10.0</w:t>
      </w:r>
      <w:r>
        <w:rPr>
          <w:rFonts w:hint="eastAsia" w:ascii="宋体" w:hAnsi="宋体" w:eastAsia="宋体" w:cs="宋体"/>
          <w:color w:val="auto"/>
          <w:sz w:val="21"/>
          <w:szCs w:val="21"/>
          <w:highlight w:val="none"/>
        </w:rPr>
        <w:t>MHZ</w:t>
      </w:r>
    </w:p>
    <w:p w14:paraId="1CB063B7">
      <w:pPr>
        <w:pStyle w:val="102"/>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四、资证要求：提供SFDA注册证，需为2020年后（含2020年）注册的最新产品</w:t>
      </w:r>
    </w:p>
    <w:p w14:paraId="4936A8CB">
      <w:pPr>
        <w:pStyle w:val="102"/>
        <w:keepNext w:val="0"/>
        <w:keepLines w:val="0"/>
        <w:pageBreakBefore w:val="0"/>
        <w:widowControl w:val="0"/>
        <w:numPr>
          <w:ilvl w:val="0"/>
          <w:numId w:val="0"/>
        </w:numPr>
        <w:kinsoku/>
        <w:wordWrap/>
        <w:overflowPunct/>
        <w:topLinePunct w:val="0"/>
        <w:autoSpaceDE/>
        <w:autoSpaceDN/>
        <w:bidi w:val="0"/>
        <w:adjustRightInd/>
        <w:snapToGrid/>
        <w:spacing w:line="360" w:lineRule="auto"/>
        <w:ind w:left="105" w:leftChars="0"/>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highlight w:val="none"/>
        </w:rPr>
        <w:t>★</w:t>
      </w:r>
      <w:r>
        <w:rPr>
          <w:rFonts w:hint="eastAsia" w:ascii="宋体" w:hAnsi="宋体" w:cs="宋体"/>
          <w:color w:val="auto"/>
          <w:kern w:val="0"/>
          <w:sz w:val="21"/>
          <w:szCs w:val="21"/>
          <w:highlight w:val="none"/>
          <w:lang w:val="en-US" w:eastAsia="zh-CN" w:bidi="ar"/>
        </w:rPr>
        <w:t>五</w:t>
      </w:r>
      <w:r>
        <w:rPr>
          <w:rFonts w:hint="eastAsia" w:ascii="宋体" w:hAnsi="宋体" w:eastAsia="宋体" w:cs="宋体"/>
          <w:color w:val="auto"/>
          <w:kern w:val="0"/>
          <w:sz w:val="21"/>
          <w:szCs w:val="21"/>
          <w:highlight w:val="none"/>
          <w:lang w:val="en-US" w:eastAsia="zh-CN" w:bidi="ar"/>
        </w:rPr>
        <w:t>、配置要求</w:t>
      </w:r>
    </w:p>
    <w:tbl>
      <w:tblPr>
        <w:tblStyle w:val="48"/>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24"/>
        <w:gridCol w:w="2296"/>
      </w:tblGrid>
      <w:tr w14:paraId="7105D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pct"/>
            <w:noWrap w:val="0"/>
            <w:vAlign w:val="top"/>
          </w:tcPr>
          <w:p w14:paraId="7850D2F7">
            <w:pPr>
              <w:pStyle w:val="102"/>
              <w:pageBreakBefore w:val="0"/>
              <w:kinsoku/>
              <w:wordWrap/>
              <w:overflowPunct/>
              <w:topLinePunct w:val="0"/>
              <w:autoSpaceDE/>
              <w:autoSpaceDN/>
              <w:bidi w:val="0"/>
              <w:spacing w:line="360" w:lineRule="auto"/>
              <w:jc w:val="center"/>
              <w:textAlignment w:val="auto"/>
              <w:rPr>
                <w:rFonts w:hint="eastAsia" w:ascii="宋体" w:hAnsi="宋体" w:eastAsia="宋体" w:cs="宋体"/>
                <w:b/>
                <w:bCs/>
                <w:color w:val="auto"/>
                <w:sz w:val="21"/>
                <w:szCs w:val="21"/>
                <w:highlight w:val="none"/>
                <w:vertAlign w:val="baseline"/>
                <w:lang w:val="en-US" w:eastAsia="zh-CN"/>
              </w:rPr>
            </w:pPr>
            <w:r>
              <w:rPr>
                <w:rFonts w:hint="eastAsia" w:ascii="宋体" w:hAnsi="宋体" w:eastAsia="宋体" w:cs="宋体"/>
                <w:b/>
                <w:bCs/>
                <w:color w:val="auto"/>
                <w:sz w:val="21"/>
                <w:szCs w:val="21"/>
                <w:highlight w:val="none"/>
                <w:vertAlign w:val="baseline"/>
                <w:lang w:val="en-US" w:eastAsia="zh-CN"/>
              </w:rPr>
              <w:t>名称</w:t>
            </w:r>
          </w:p>
        </w:tc>
        <w:tc>
          <w:tcPr>
            <w:tcW w:w="1347" w:type="pct"/>
            <w:noWrap w:val="0"/>
            <w:vAlign w:val="top"/>
          </w:tcPr>
          <w:p w14:paraId="7F0106FF">
            <w:pPr>
              <w:pStyle w:val="102"/>
              <w:pageBreakBefore w:val="0"/>
              <w:kinsoku/>
              <w:wordWrap/>
              <w:overflowPunct/>
              <w:topLinePunct w:val="0"/>
              <w:autoSpaceDE/>
              <w:autoSpaceDN/>
              <w:bidi w:val="0"/>
              <w:spacing w:line="360" w:lineRule="auto"/>
              <w:jc w:val="center"/>
              <w:textAlignment w:val="auto"/>
              <w:rPr>
                <w:rFonts w:hint="eastAsia" w:ascii="宋体" w:hAnsi="宋体" w:eastAsia="宋体" w:cs="宋体"/>
                <w:b/>
                <w:bCs/>
                <w:color w:val="auto"/>
                <w:sz w:val="21"/>
                <w:szCs w:val="21"/>
                <w:highlight w:val="none"/>
                <w:vertAlign w:val="baseline"/>
                <w:lang w:val="en-US" w:eastAsia="zh-CN"/>
              </w:rPr>
            </w:pPr>
            <w:r>
              <w:rPr>
                <w:rFonts w:hint="eastAsia" w:ascii="宋体" w:hAnsi="宋体" w:eastAsia="宋体" w:cs="宋体"/>
                <w:b/>
                <w:bCs/>
                <w:color w:val="auto"/>
                <w:sz w:val="21"/>
                <w:szCs w:val="21"/>
                <w:highlight w:val="none"/>
                <w:vertAlign w:val="baseline"/>
                <w:lang w:val="en-US" w:eastAsia="zh-CN"/>
              </w:rPr>
              <w:t>数量</w:t>
            </w:r>
          </w:p>
        </w:tc>
      </w:tr>
      <w:tr w14:paraId="41EF93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pct"/>
            <w:noWrap w:val="0"/>
            <w:vAlign w:val="center"/>
          </w:tcPr>
          <w:p w14:paraId="24D4E9F8">
            <w:pPr>
              <w:pStyle w:val="102"/>
              <w:pageBreakBefore w:val="0"/>
              <w:kinsoku/>
              <w:wordWrap/>
              <w:overflowPunct/>
              <w:topLinePunct w:val="0"/>
              <w:autoSpaceDE/>
              <w:autoSpaceDN/>
              <w:bidi w:val="0"/>
              <w:spacing w:line="360" w:lineRule="auto"/>
              <w:ind w:firstLineChars="0"/>
              <w:jc w:val="center"/>
              <w:textAlignment w:val="auto"/>
              <w:rPr>
                <w:rFonts w:hint="eastAsia" w:ascii="宋体" w:hAnsi="宋体" w:eastAsia="宋体" w:cs="宋体"/>
                <w:color w:val="auto"/>
                <w:kern w:val="2"/>
                <w:sz w:val="21"/>
                <w:szCs w:val="21"/>
                <w:highlight w:val="none"/>
                <w:vertAlign w:val="baseline"/>
                <w:lang w:val="en-US" w:eastAsia="zh-CN" w:bidi="ar-SA"/>
              </w:rPr>
            </w:pPr>
            <w:r>
              <w:rPr>
                <w:rFonts w:hint="eastAsia" w:ascii="宋体" w:hAnsi="宋体" w:eastAsia="宋体" w:cs="宋体"/>
                <w:color w:val="auto"/>
                <w:kern w:val="0"/>
                <w:sz w:val="21"/>
                <w:szCs w:val="21"/>
                <w:highlight w:val="none"/>
                <w:lang w:val="en-US" w:eastAsia="zh-CN" w:bidi="ar"/>
              </w:rPr>
              <w:t>便携式彩色多普勒超声诊断仪</w:t>
            </w:r>
          </w:p>
        </w:tc>
        <w:tc>
          <w:tcPr>
            <w:tcW w:w="1347" w:type="pct"/>
            <w:noWrap w:val="0"/>
            <w:vAlign w:val="center"/>
          </w:tcPr>
          <w:p w14:paraId="1FFCC551">
            <w:pPr>
              <w:pStyle w:val="102"/>
              <w:pageBreakBefore w:val="0"/>
              <w:kinsoku/>
              <w:wordWrap/>
              <w:overflowPunct/>
              <w:topLinePunct w:val="0"/>
              <w:autoSpaceDE/>
              <w:autoSpaceDN/>
              <w:bidi w:val="0"/>
              <w:spacing w:line="360" w:lineRule="auto"/>
              <w:jc w:val="center"/>
              <w:textAlignment w:val="auto"/>
              <w:rPr>
                <w:rFonts w:hint="eastAsia" w:ascii="宋体" w:hAnsi="宋体" w:eastAsia="宋体" w:cs="宋体"/>
                <w:color w:val="auto"/>
                <w:sz w:val="21"/>
                <w:szCs w:val="21"/>
                <w:highlight w:val="none"/>
                <w:vertAlign w:val="baseline"/>
              </w:rPr>
            </w:pPr>
            <w:r>
              <w:rPr>
                <w:rFonts w:hint="eastAsia" w:ascii="宋体" w:hAnsi="宋体" w:eastAsia="宋体" w:cs="宋体"/>
                <w:color w:val="auto"/>
                <w:sz w:val="21"/>
                <w:szCs w:val="21"/>
                <w:highlight w:val="none"/>
              </w:rPr>
              <w:t>1 台</w:t>
            </w:r>
          </w:p>
        </w:tc>
      </w:tr>
      <w:tr w14:paraId="7E4D2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trPr>
        <w:tc>
          <w:tcPr>
            <w:tcW w:w="3652" w:type="pct"/>
            <w:noWrap w:val="0"/>
            <w:vAlign w:val="center"/>
          </w:tcPr>
          <w:p w14:paraId="3AFF8B49">
            <w:pPr>
              <w:pStyle w:val="102"/>
              <w:pageBreakBefore w:val="0"/>
              <w:kinsoku/>
              <w:wordWrap/>
              <w:overflowPunct/>
              <w:topLinePunct w:val="0"/>
              <w:autoSpaceDE/>
              <w:autoSpaceDN/>
              <w:bidi w:val="0"/>
              <w:spacing w:line="360" w:lineRule="auto"/>
              <w:ind w:firstLineChars="0"/>
              <w:jc w:val="center"/>
              <w:textAlignment w:val="auto"/>
              <w:rPr>
                <w:rFonts w:hint="eastAsia" w:ascii="宋体" w:hAnsi="宋体" w:eastAsia="宋体" w:cs="宋体"/>
                <w:color w:val="auto"/>
                <w:kern w:val="2"/>
                <w:sz w:val="21"/>
                <w:szCs w:val="21"/>
                <w:highlight w:val="none"/>
                <w:vertAlign w:val="baseline"/>
                <w:lang w:val="en-US" w:eastAsia="zh-CN" w:bidi="ar-SA"/>
              </w:rPr>
            </w:pPr>
            <w:r>
              <w:rPr>
                <w:rFonts w:hint="eastAsia" w:ascii="宋体" w:hAnsi="宋体" w:eastAsia="宋体" w:cs="宋体"/>
                <w:color w:val="auto"/>
                <w:sz w:val="21"/>
                <w:szCs w:val="21"/>
                <w:highlight w:val="none"/>
              </w:rPr>
              <w:t>台车</w:t>
            </w:r>
          </w:p>
        </w:tc>
        <w:tc>
          <w:tcPr>
            <w:tcW w:w="1347" w:type="pct"/>
            <w:noWrap w:val="0"/>
            <w:vAlign w:val="center"/>
          </w:tcPr>
          <w:p w14:paraId="42036E8D">
            <w:pPr>
              <w:pStyle w:val="102"/>
              <w:pageBreakBefore w:val="0"/>
              <w:kinsoku/>
              <w:wordWrap/>
              <w:overflowPunct/>
              <w:topLinePunct w:val="0"/>
              <w:autoSpaceDE/>
              <w:autoSpaceDN/>
              <w:bidi w:val="0"/>
              <w:spacing w:line="360" w:lineRule="auto"/>
              <w:ind w:firstLineChars="0"/>
              <w:jc w:val="center"/>
              <w:textAlignment w:val="auto"/>
              <w:rPr>
                <w:rFonts w:hint="eastAsia" w:ascii="宋体" w:hAnsi="宋体" w:eastAsia="宋体" w:cs="宋体"/>
                <w:color w:val="auto"/>
                <w:sz w:val="21"/>
                <w:szCs w:val="21"/>
                <w:highlight w:val="none"/>
                <w:vertAlign w:val="baseline"/>
              </w:rPr>
            </w:pPr>
            <w:r>
              <w:rPr>
                <w:rFonts w:hint="eastAsia" w:ascii="宋体" w:hAnsi="宋体" w:eastAsia="宋体" w:cs="宋体"/>
                <w:color w:val="auto"/>
                <w:sz w:val="21"/>
                <w:szCs w:val="21"/>
                <w:highlight w:val="none"/>
              </w:rPr>
              <w:t>1个</w:t>
            </w:r>
          </w:p>
        </w:tc>
      </w:tr>
      <w:tr w14:paraId="433A8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pct"/>
            <w:noWrap w:val="0"/>
            <w:vAlign w:val="center"/>
          </w:tcPr>
          <w:p w14:paraId="308B71B6">
            <w:pPr>
              <w:pStyle w:val="102"/>
              <w:pageBreakBefore w:val="0"/>
              <w:kinsoku/>
              <w:wordWrap/>
              <w:overflowPunct/>
              <w:topLinePunct w:val="0"/>
              <w:autoSpaceDE/>
              <w:autoSpaceDN/>
              <w:bidi w:val="0"/>
              <w:spacing w:line="360" w:lineRule="auto"/>
              <w:ind w:firstLine="420" w:firstLineChars="200"/>
              <w:jc w:val="center"/>
              <w:textAlignment w:val="auto"/>
              <w:rPr>
                <w:rFonts w:hint="default" w:ascii="宋体" w:hAnsi="宋体" w:eastAsia="宋体" w:cs="宋体"/>
                <w:color w:val="auto"/>
                <w:kern w:val="2"/>
                <w:sz w:val="21"/>
                <w:szCs w:val="21"/>
                <w:highlight w:val="none"/>
                <w:vertAlign w:val="baseline"/>
                <w:lang w:val="en-US" w:eastAsia="zh-CN" w:bidi="ar-SA"/>
              </w:rPr>
            </w:pPr>
            <w:r>
              <w:rPr>
                <w:rFonts w:hint="eastAsia" w:ascii="宋体" w:hAnsi="宋体" w:cs="宋体"/>
                <w:color w:val="auto"/>
                <w:sz w:val="21"/>
                <w:szCs w:val="21"/>
                <w:highlight w:val="none"/>
                <w:lang w:val="en-US" w:eastAsia="zh-CN"/>
              </w:rPr>
              <w:t>浅表线阵探头</w:t>
            </w:r>
          </w:p>
        </w:tc>
        <w:tc>
          <w:tcPr>
            <w:tcW w:w="1347" w:type="pct"/>
            <w:noWrap w:val="0"/>
            <w:vAlign w:val="center"/>
          </w:tcPr>
          <w:p w14:paraId="19ECBAEB">
            <w:pPr>
              <w:pStyle w:val="102"/>
              <w:pageBreakBefore w:val="0"/>
              <w:kinsoku/>
              <w:wordWrap/>
              <w:overflowPunct/>
              <w:topLinePunct w:val="0"/>
              <w:autoSpaceDE/>
              <w:autoSpaceDN/>
              <w:bidi w:val="0"/>
              <w:spacing w:line="360" w:lineRule="auto"/>
              <w:jc w:val="center"/>
              <w:textAlignment w:val="auto"/>
              <w:rPr>
                <w:rFonts w:hint="eastAsia" w:ascii="宋体" w:hAnsi="宋体" w:eastAsia="宋体" w:cs="宋体"/>
                <w:color w:val="auto"/>
                <w:sz w:val="21"/>
                <w:szCs w:val="21"/>
                <w:highlight w:val="none"/>
                <w:vertAlign w:val="baseline"/>
              </w:rPr>
            </w:pPr>
            <w:r>
              <w:rPr>
                <w:rFonts w:hint="eastAsia" w:ascii="宋体" w:hAnsi="宋体" w:eastAsia="宋体" w:cs="宋体"/>
                <w:color w:val="auto"/>
                <w:sz w:val="21"/>
                <w:szCs w:val="21"/>
                <w:highlight w:val="none"/>
              </w:rPr>
              <w:t>1把</w:t>
            </w:r>
          </w:p>
        </w:tc>
      </w:tr>
      <w:tr w14:paraId="0D28A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pct"/>
            <w:noWrap w:val="0"/>
            <w:vAlign w:val="center"/>
          </w:tcPr>
          <w:p w14:paraId="341BEFA4">
            <w:pPr>
              <w:pStyle w:val="102"/>
              <w:pageBreakBefore w:val="0"/>
              <w:kinsoku/>
              <w:wordWrap/>
              <w:overflowPunct/>
              <w:topLinePunct w:val="0"/>
              <w:autoSpaceDE/>
              <w:autoSpaceDN/>
              <w:bidi w:val="0"/>
              <w:spacing w:line="360" w:lineRule="auto"/>
              <w:ind w:firstLineChars="0"/>
              <w:jc w:val="center"/>
              <w:textAlignment w:val="auto"/>
              <w:rPr>
                <w:rFonts w:hint="eastAsia" w:ascii="宋体" w:hAnsi="宋体" w:eastAsia="宋体" w:cs="宋体"/>
                <w:color w:val="auto"/>
                <w:kern w:val="2"/>
                <w:sz w:val="21"/>
                <w:szCs w:val="21"/>
                <w:highlight w:val="none"/>
                <w:vertAlign w:val="baseline"/>
                <w:lang w:val="en-US" w:eastAsia="zh-CN" w:bidi="ar-SA"/>
              </w:rPr>
            </w:pPr>
            <w:r>
              <w:rPr>
                <w:rFonts w:hint="eastAsia" w:ascii="宋体" w:hAnsi="宋体" w:eastAsia="宋体" w:cs="宋体"/>
                <w:color w:val="auto"/>
                <w:sz w:val="21"/>
                <w:szCs w:val="21"/>
                <w:highlight w:val="none"/>
              </w:rPr>
              <w:t>心脏探头</w:t>
            </w:r>
          </w:p>
        </w:tc>
        <w:tc>
          <w:tcPr>
            <w:tcW w:w="1347" w:type="pct"/>
            <w:noWrap w:val="0"/>
            <w:vAlign w:val="center"/>
          </w:tcPr>
          <w:p w14:paraId="53B1B981">
            <w:pPr>
              <w:pStyle w:val="102"/>
              <w:pageBreakBefore w:val="0"/>
              <w:kinsoku/>
              <w:wordWrap/>
              <w:overflowPunct/>
              <w:topLinePunct w:val="0"/>
              <w:autoSpaceDE/>
              <w:autoSpaceDN/>
              <w:bidi w:val="0"/>
              <w:spacing w:line="360" w:lineRule="auto"/>
              <w:jc w:val="center"/>
              <w:textAlignment w:val="auto"/>
              <w:rPr>
                <w:rFonts w:hint="eastAsia" w:ascii="宋体" w:hAnsi="宋体" w:eastAsia="宋体" w:cs="宋体"/>
                <w:color w:val="auto"/>
                <w:sz w:val="21"/>
                <w:szCs w:val="21"/>
                <w:highlight w:val="none"/>
                <w:vertAlign w:val="baseline"/>
              </w:rPr>
            </w:pPr>
            <w:r>
              <w:rPr>
                <w:rFonts w:hint="eastAsia" w:ascii="宋体" w:hAnsi="宋体" w:eastAsia="宋体" w:cs="宋体"/>
                <w:color w:val="auto"/>
                <w:sz w:val="21"/>
                <w:szCs w:val="21"/>
                <w:highlight w:val="none"/>
              </w:rPr>
              <w:t>1把</w:t>
            </w:r>
          </w:p>
        </w:tc>
      </w:tr>
    </w:tbl>
    <w:p w14:paraId="6E40CDB8">
      <w:pPr>
        <w:pStyle w:val="102"/>
        <w:keepNext w:val="0"/>
        <w:keepLines w:val="0"/>
        <w:pageBreakBefore w:val="0"/>
        <w:widowControl w:val="0"/>
        <w:numPr>
          <w:ilvl w:val="0"/>
          <w:numId w:val="0"/>
        </w:numPr>
        <w:kinsoku/>
        <w:wordWrap/>
        <w:overflowPunct/>
        <w:topLinePunct w:val="0"/>
        <w:autoSpaceDE/>
        <w:autoSpaceDN/>
        <w:bidi w:val="0"/>
        <w:adjustRightInd/>
        <w:snapToGrid/>
        <w:spacing w:line="360" w:lineRule="auto"/>
        <w:ind w:left="108" w:leftChars="0"/>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cs="宋体"/>
          <w:color w:val="auto"/>
          <w:kern w:val="0"/>
          <w:sz w:val="21"/>
          <w:szCs w:val="21"/>
          <w:highlight w:val="none"/>
          <w:lang w:val="en-US" w:eastAsia="zh-CN" w:bidi="ar"/>
        </w:rPr>
        <w:t>六</w:t>
      </w:r>
      <w:r>
        <w:rPr>
          <w:rFonts w:hint="eastAsia" w:ascii="宋体" w:hAnsi="宋体" w:eastAsia="宋体" w:cs="宋体"/>
          <w:color w:val="auto"/>
          <w:kern w:val="0"/>
          <w:sz w:val="21"/>
          <w:szCs w:val="21"/>
          <w:highlight w:val="none"/>
          <w:lang w:val="en-US" w:eastAsia="zh-CN" w:bidi="ar"/>
        </w:rPr>
        <w:t>、商务要求</w:t>
      </w:r>
    </w:p>
    <w:p w14:paraId="7FA92B18">
      <w:pPr>
        <w:pStyle w:val="102"/>
        <w:keepNext w:val="0"/>
        <w:keepLines w:val="0"/>
        <w:pageBreakBefore w:val="0"/>
        <w:widowControl w:val="0"/>
        <w:numPr>
          <w:ilvl w:val="0"/>
          <w:numId w:val="0"/>
        </w:numPr>
        <w:kinsoku/>
        <w:wordWrap/>
        <w:overflowPunct/>
        <w:topLinePunct w:val="0"/>
        <w:autoSpaceDE/>
        <w:autoSpaceDN/>
        <w:bidi w:val="0"/>
        <w:adjustRightInd/>
        <w:snapToGrid/>
        <w:spacing w:line="360" w:lineRule="auto"/>
        <w:ind w:left="108" w:leftChars="0"/>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7.1、运输、装卸、培训、安装调试：由中标人负责承担，最终通过使用科室、设备科及相关部门确认验收交付使用。国产设备交付，设备必须为6个月内生产的产品；进口设备交付，设备必须为一年内生产的产品。</w:t>
      </w:r>
      <w:r>
        <w:rPr>
          <w:rFonts w:hint="eastAsia" w:ascii="宋体" w:hAnsi="宋体" w:eastAsia="宋体" w:cs="宋体"/>
          <w:color w:val="auto"/>
          <w:kern w:val="0"/>
          <w:sz w:val="21"/>
          <w:szCs w:val="21"/>
          <w:highlight w:val="none"/>
          <w:lang w:val="en-US" w:eastAsia="zh-CN" w:bidi="ar"/>
        </w:rPr>
        <w:cr/>
      </w:r>
      <w:r>
        <w:rPr>
          <w:rFonts w:hint="eastAsia" w:ascii="宋体" w:hAnsi="宋体" w:eastAsia="宋体" w:cs="宋体"/>
          <w:color w:val="auto"/>
          <w:kern w:val="0"/>
          <w:sz w:val="21"/>
          <w:szCs w:val="21"/>
          <w:highlight w:val="none"/>
          <w:lang w:val="en-US" w:eastAsia="zh-CN" w:bidi="ar"/>
        </w:rPr>
        <w:t>★7.2、交货时间：按合同约定的日期交货。</w:t>
      </w:r>
    </w:p>
    <w:p w14:paraId="659920D6">
      <w:pPr>
        <w:pStyle w:val="102"/>
        <w:keepNext w:val="0"/>
        <w:keepLines w:val="0"/>
        <w:pageBreakBefore w:val="0"/>
        <w:widowControl w:val="0"/>
        <w:numPr>
          <w:ilvl w:val="0"/>
          <w:numId w:val="0"/>
        </w:numPr>
        <w:kinsoku/>
        <w:wordWrap/>
        <w:overflowPunct/>
        <w:topLinePunct w:val="0"/>
        <w:autoSpaceDE/>
        <w:autoSpaceDN/>
        <w:bidi w:val="0"/>
        <w:adjustRightInd/>
        <w:snapToGrid/>
        <w:spacing w:line="360" w:lineRule="auto"/>
        <w:ind w:left="108" w:leftChars="0"/>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★7.3、交货地点：娄底市中心医院指定地点。</w:t>
      </w:r>
    </w:p>
    <w:p w14:paraId="6FE4DBF2">
      <w:pPr>
        <w:pStyle w:val="102"/>
        <w:keepNext w:val="0"/>
        <w:keepLines w:val="0"/>
        <w:pageBreakBefore w:val="0"/>
        <w:widowControl w:val="0"/>
        <w:numPr>
          <w:ilvl w:val="0"/>
          <w:numId w:val="0"/>
        </w:numPr>
        <w:kinsoku/>
        <w:wordWrap/>
        <w:overflowPunct/>
        <w:topLinePunct w:val="0"/>
        <w:autoSpaceDE/>
        <w:autoSpaceDN/>
        <w:bidi w:val="0"/>
        <w:adjustRightInd/>
        <w:snapToGrid/>
        <w:spacing w:line="360" w:lineRule="auto"/>
        <w:ind w:left="108" w:leftChars="0"/>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7.4、付款方式：设备验收合格后，供应商将发票交到娄底市中心医院后按程序支付货款90%（按医院财务制度一般情况下4个月内支付、特殊情况下最多不超过6个月），甲方在设备验收合格满5年后支付10%余款给乙方。</w:t>
      </w:r>
      <w:r>
        <w:rPr>
          <w:rFonts w:hint="eastAsia" w:ascii="宋体" w:hAnsi="宋体" w:eastAsia="宋体" w:cs="宋体"/>
          <w:color w:val="auto"/>
          <w:kern w:val="0"/>
          <w:sz w:val="21"/>
          <w:szCs w:val="21"/>
          <w:highlight w:val="none"/>
          <w:lang w:val="en-US" w:eastAsia="zh-CN" w:bidi="ar"/>
        </w:rPr>
        <w:cr/>
      </w:r>
      <w:r>
        <w:rPr>
          <w:rFonts w:hint="eastAsia" w:ascii="宋体" w:hAnsi="宋体" w:eastAsia="宋体" w:cs="宋体"/>
          <w:color w:val="auto"/>
          <w:kern w:val="0"/>
          <w:sz w:val="21"/>
          <w:szCs w:val="21"/>
          <w:highlight w:val="none"/>
          <w:lang w:val="en-US" w:eastAsia="zh-CN" w:bidi="ar"/>
        </w:rPr>
        <w:t>★7.5、质保与售后：整机保修5 年（含探头），终身维修。验收时出具原厂售后质保承诺书，质保期内每年巡检一次，并提交巡检记录。</w:t>
      </w:r>
      <w:r>
        <w:rPr>
          <w:rFonts w:hint="eastAsia" w:ascii="宋体" w:hAnsi="宋体" w:eastAsia="宋体" w:cs="宋体"/>
          <w:color w:val="auto"/>
          <w:kern w:val="0"/>
          <w:sz w:val="21"/>
          <w:szCs w:val="21"/>
          <w:highlight w:val="none"/>
          <w:lang w:val="zh-CN" w:eastAsia="zh-CN" w:bidi="ar"/>
        </w:rPr>
        <w:t>质保期内</w:t>
      </w:r>
      <w:r>
        <w:rPr>
          <w:rFonts w:hint="eastAsia" w:ascii="宋体" w:hAnsi="宋体" w:eastAsia="宋体" w:cs="宋体"/>
          <w:color w:val="auto"/>
          <w:kern w:val="0"/>
          <w:sz w:val="21"/>
          <w:szCs w:val="21"/>
          <w:highlight w:val="none"/>
          <w:lang w:val="en-US" w:eastAsia="zh-CN" w:bidi="ar"/>
        </w:rPr>
        <w:t>出现故障，1小时响应，响应后24小时上门服务。</w:t>
      </w:r>
    </w:p>
    <w:p w14:paraId="4515775C">
      <w:pPr>
        <w:pStyle w:val="102"/>
        <w:keepNext w:val="0"/>
        <w:keepLines w:val="0"/>
        <w:pageBreakBefore w:val="0"/>
        <w:widowControl w:val="0"/>
        <w:numPr>
          <w:ilvl w:val="0"/>
          <w:numId w:val="0"/>
        </w:numPr>
        <w:kinsoku/>
        <w:wordWrap/>
        <w:overflowPunct/>
        <w:topLinePunct w:val="0"/>
        <w:autoSpaceDE/>
        <w:autoSpaceDN/>
        <w:bidi w:val="0"/>
        <w:adjustRightInd/>
        <w:snapToGrid/>
        <w:spacing w:line="360" w:lineRule="auto"/>
        <w:ind w:left="108" w:leftChars="0"/>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★7.6、在投标文件中必须提供相关技术资料并加盖投标人公章（如技术参数、技术白皮书、说明书、彩页等），并在响应表中对</w:t>
      </w:r>
      <w:r>
        <w:rPr>
          <w:rFonts w:hint="eastAsia" w:ascii="宋体" w:hAnsi="宋体" w:cs="宋体"/>
          <w:color w:val="auto"/>
          <w:sz w:val="21"/>
          <w:szCs w:val="21"/>
          <w:highlight w:val="none"/>
          <w:lang w:val="en-US" w:eastAsia="zh-CN"/>
        </w:rPr>
        <w:t>技术参数中</w:t>
      </w:r>
      <w:r>
        <w:rPr>
          <w:rFonts w:hint="eastAsia" w:ascii="宋体" w:hAnsi="宋体" w:eastAsia="宋体" w:cs="宋体"/>
          <w:color w:val="auto"/>
          <w:kern w:val="0"/>
          <w:sz w:val="21"/>
          <w:szCs w:val="21"/>
          <w:highlight w:val="none"/>
          <w:lang w:val="en-US" w:eastAsia="zh-CN" w:bidi="ar"/>
        </w:rPr>
        <w:t>“★”、“▲”以及要求提供佐证材料的条款备注该条参数响应或正偏离的佐证资料所在页码。</w:t>
      </w:r>
    </w:p>
    <w:p w14:paraId="1C668D89">
      <w:pPr>
        <w:pStyle w:val="102"/>
        <w:keepNext w:val="0"/>
        <w:keepLines w:val="0"/>
        <w:pageBreakBefore w:val="0"/>
        <w:widowControl w:val="0"/>
        <w:numPr>
          <w:ilvl w:val="0"/>
          <w:numId w:val="0"/>
        </w:numPr>
        <w:kinsoku/>
        <w:wordWrap/>
        <w:overflowPunct/>
        <w:topLinePunct w:val="0"/>
        <w:autoSpaceDE/>
        <w:autoSpaceDN/>
        <w:bidi w:val="0"/>
        <w:adjustRightInd/>
        <w:snapToGrid/>
        <w:spacing w:line="360" w:lineRule="auto"/>
        <w:ind w:left="108" w:leftChars="0"/>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 xml:space="preserve">★7.7、设备如涉及网络接口费用，由中标人承担，采购人不再出具任何费用。 </w:t>
      </w:r>
    </w:p>
    <w:p w14:paraId="735A80ED">
      <w:pPr>
        <w:pStyle w:val="22"/>
        <w:adjustRightInd w:val="0"/>
        <w:snapToGrid w:val="0"/>
        <w:spacing w:line="360" w:lineRule="auto"/>
        <w:jc w:val="center"/>
        <w:outlineLvl w:val="9"/>
        <w:rPr>
          <w:rFonts w:hint="eastAsia" w:ascii="宋体" w:hAnsi="宋体" w:eastAsia="宋体" w:cs="宋体"/>
          <w:b/>
          <w:bCs/>
          <w:color w:val="auto"/>
          <w:sz w:val="21"/>
          <w:szCs w:val="21"/>
          <w:highlight w:val="none"/>
          <w:lang w:val="en-US" w:eastAsia="zh-CN"/>
        </w:rPr>
      </w:pPr>
    </w:p>
    <w:p w14:paraId="0B170707">
      <w:pPr>
        <w:pStyle w:val="22"/>
        <w:adjustRightInd w:val="0"/>
        <w:snapToGrid w:val="0"/>
        <w:spacing w:line="360" w:lineRule="auto"/>
        <w:jc w:val="center"/>
        <w:outlineLvl w:val="9"/>
        <w:rPr>
          <w:rFonts w:hint="eastAsia" w:ascii="宋体" w:hAnsi="宋体" w:eastAsia="宋体" w:cs="宋体"/>
          <w:b/>
          <w:bCs/>
          <w:color w:val="auto"/>
          <w:sz w:val="21"/>
          <w:szCs w:val="21"/>
          <w:highlight w:val="none"/>
          <w:lang w:val="en-US" w:eastAsia="zh-CN"/>
        </w:rPr>
      </w:pPr>
    </w:p>
    <w:p w14:paraId="1753D99C">
      <w:pPr>
        <w:pStyle w:val="22"/>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1"/>
        <w:rPr>
          <w:rFonts w:hint="eastAsia" w:ascii="宋体" w:hAnsi="宋体" w:eastAsia="宋体" w:cs="宋体"/>
          <w:b/>
          <w:bCs/>
          <w:color w:val="auto"/>
          <w:kern w:val="2"/>
          <w:sz w:val="21"/>
          <w:szCs w:val="21"/>
          <w:highlight w:val="none"/>
          <w:lang w:val="en-US" w:eastAsia="zh-CN" w:bidi="ar-SA"/>
        </w:rPr>
      </w:pPr>
      <w:bookmarkStart w:id="1213" w:name="_Toc1328702630"/>
      <w:r>
        <w:rPr>
          <w:rFonts w:hint="eastAsia" w:ascii="宋体" w:hAnsi="宋体" w:eastAsia="宋体" w:cs="宋体"/>
          <w:b/>
          <w:bCs/>
          <w:color w:val="auto"/>
          <w:sz w:val="21"/>
          <w:szCs w:val="21"/>
          <w:highlight w:val="none"/>
          <w:lang w:val="en-US" w:eastAsia="zh-CN"/>
        </w:rPr>
        <w:t>序号</w:t>
      </w:r>
      <w:r>
        <w:rPr>
          <w:rFonts w:hint="eastAsia" w:hAnsi="宋体" w:cs="宋体"/>
          <w:b/>
          <w:bCs/>
          <w:color w:val="auto"/>
          <w:kern w:val="2"/>
          <w:sz w:val="21"/>
          <w:szCs w:val="21"/>
          <w:highlight w:val="none"/>
          <w:lang w:val="en-US" w:eastAsia="zh-CN" w:bidi="ar-SA"/>
        </w:rPr>
        <w:t>2</w:t>
      </w:r>
      <w:r>
        <w:rPr>
          <w:rFonts w:hint="eastAsia" w:ascii="宋体" w:hAnsi="宋体" w:eastAsia="宋体" w:cs="宋体"/>
          <w:b/>
          <w:bCs/>
          <w:color w:val="auto"/>
          <w:kern w:val="2"/>
          <w:sz w:val="21"/>
          <w:szCs w:val="21"/>
          <w:highlight w:val="none"/>
          <w:lang w:val="en-US" w:eastAsia="zh-CN" w:bidi="ar-SA"/>
        </w:rPr>
        <w:t>便携式彩色多普勒超声诊断仪</w:t>
      </w:r>
      <w:bookmarkEnd w:id="1213"/>
    </w:p>
    <w:p w14:paraId="24D28976">
      <w:pPr>
        <w:pStyle w:val="102"/>
        <w:keepNext w:val="0"/>
        <w:keepLines w:val="0"/>
        <w:pageBreakBefore w:val="0"/>
        <w:widowControl w:val="0"/>
        <w:numPr>
          <w:ilvl w:val="0"/>
          <w:numId w:val="0"/>
        </w:numPr>
        <w:kinsoku/>
        <w:wordWrap/>
        <w:overflowPunct/>
        <w:topLinePunct w:val="0"/>
        <w:autoSpaceDE/>
        <w:autoSpaceDN/>
        <w:bidi w:val="0"/>
        <w:adjustRightInd/>
        <w:snapToGrid/>
        <w:spacing w:line="360" w:lineRule="auto"/>
        <w:ind w:left="108" w:leftChars="0"/>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一、货物名称：便携式彩色多普勒超声诊断仪</w:t>
      </w:r>
    </w:p>
    <w:p w14:paraId="0B64F04F">
      <w:pPr>
        <w:pStyle w:val="102"/>
        <w:keepNext w:val="0"/>
        <w:keepLines w:val="0"/>
        <w:pageBreakBefore w:val="0"/>
        <w:widowControl w:val="0"/>
        <w:numPr>
          <w:ilvl w:val="0"/>
          <w:numId w:val="0"/>
        </w:numPr>
        <w:kinsoku/>
        <w:wordWrap/>
        <w:overflowPunct/>
        <w:topLinePunct w:val="0"/>
        <w:autoSpaceDE/>
        <w:autoSpaceDN/>
        <w:bidi w:val="0"/>
        <w:adjustRightInd/>
        <w:snapToGrid/>
        <w:spacing w:line="360" w:lineRule="auto"/>
        <w:ind w:left="108" w:leftChars="0"/>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二、产品用途说明：满足适用于介入、腹部、产科、妇科、心脏、小器官、 泌尿、血管、儿科、神经、急重诊等应用。</w:t>
      </w:r>
    </w:p>
    <w:p w14:paraId="3E130D95">
      <w:pPr>
        <w:pStyle w:val="102"/>
        <w:keepNext w:val="0"/>
        <w:keepLines w:val="0"/>
        <w:pageBreakBefore w:val="0"/>
        <w:widowControl w:val="0"/>
        <w:numPr>
          <w:ilvl w:val="0"/>
          <w:numId w:val="0"/>
        </w:numPr>
        <w:kinsoku/>
        <w:wordWrap/>
        <w:overflowPunct/>
        <w:topLinePunct w:val="0"/>
        <w:autoSpaceDE/>
        <w:autoSpaceDN/>
        <w:bidi w:val="0"/>
        <w:adjustRightInd/>
        <w:snapToGrid/>
        <w:spacing w:line="360" w:lineRule="auto"/>
        <w:ind w:left="108" w:leftChars="0"/>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三、系统技术规格及概述：</w:t>
      </w:r>
    </w:p>
    <w:p w14:paraId="61F18F26">
      <w:pPr>
        <w:pStyle w:val="102"/>
        <w:keepNext w:val="0"/>
        <w:keepLines w:val="0"/>
        <w:pageBreakBefore w:val="0"/>
        <w:widowControl w:val="0"/>
        <w:numPr>
          <w:ilvl w:val="0"/>
          <w:numId w:val="0"/>
        </w:numPr>
        <w:kinsoku/>
        <w:wordWrap/>
        <w:overflowPunct/>
        <w:topLinePunct w:val="0"/>
        <w:autoSpaceDE/>
        <w:autoSpaceDN/>
        <w:bidi w:val="0"/>
        <w:adjustRightInd/>
        <w:snapToGrid/>
        <w:spacing w:line="360" w:lineRule="auto"/>
        <w:ind w:left="108" w:leftChars="0"/>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3.1系统通用功能</w:t>
      </w:r>
    </w:p>
    <w:p w14:paraId="1ABA8B7C">
      <w:pPr>
        <w:pStyle w:val="102"/>
        <w:keepNext w:val="0"/>
        <w:keepLines w:val="0"/>
        <w:pageBreakBefore w:val="0"/>
        <w:widowControl w:val="0"/>
        <w:numPr>
          <w:ilvl w:val="0"/>
          <w:numId w:val="0"/>
        </w:numPr>
        <w:kinsoku/>
        <w:wordWrap/>
        <w:overflowPunct/>
        <w:topLinePunct w:val="0"/>
        <w:autoSpaceDE/>
        <w:autoSpaceDN/>
        <w:bidi w:val="0"/>
        <w:adjustRightInd/>
        <w:snapToGrid/>
        <w:spacing w:line="360" w:lineRule="auto"/>
        <w:ind w:left="108" w:leftChars="0"/>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3.1.1≥15英寸高分辨率LED显示器，可独立主机调节，角度≥170°</w:t>
      </w:r>
    </w:p>
    <w:p w14:paraId="06000EF3">
      <w:pPr>
        <w:pStyle w:val="102"/>
        <w:keepNext w:val="0"/>
        <w:keepLines w:val="0"/>
        <w:pageBreakBefore w:val="0"/>
        <w:widowControl w:val="0"/>
        <w:numPr>
          <w:ilvl w:val="0"/>
          <w:numId w:val="0"/>
        </w:numPr>
        <w:kinsoku/>
        <w:wordWrap/>
        <w:overflowPunct/>
        <w:topLinePunct w:val="0"/>
        <w:autoSpaceDE/>
        <w:autoSpaceDN/>
        <w:bidi w:val="0"/>
        <w:adjustRightInd/>
        <w:snapToGrid/>
        <w:spacing w:line="360" w:lineRule="auto"/>
        <w:ind w:left="108" w:leftChars="0"/>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3.1.2主机内置相同大小探头接口</w:t>
      </w:r>
      <w:r>
        <w:rPr>
          <w:rFonts w:hint="eastAsia" w:ascii="宋体" w:hAnsi="宋体" w:eastAsia="宋体" w:cs="宋体"/>
          <w:color w:val="auto"/>
          <w:highlight w:val="none"/>
          <w:lang w:eastAsia="zh-CN"/>
        </w:rPr>
        <w:t>≧</w:t>
      </w:r>
      <w:r>
        <w:rPr>
          <w:rFonts w:hint="eastAsia" w:ascii="宋体" w:hAnsi="宋体" w:eastAsia="宋体" w:cs="宋体"/>
          <w:color w:val="auto"/>
          <w:kern w:val="0"/>
          <w:sz w:val="21"/>
          <w:szCs w:val="21"/>
          <w:highlight w:val="none"/>
          <w:lang w:val="en-US" w:eastAsia="zh-CN" w:bidi="ar"/>
        </w:rPr>
        <w:t>2个</w:t>
      </w:r>
    </w:p>
    <w:p w14:paraId="0F2B9700">
      <w:pPr>
        <w:pStyle w:val="102"/>
        <w:keepNext w:val="0"/>
        <w:keepLines w:val="0"/>
        <w:pageBreakBefore w:val="0"/>
        <w:widowControl w:val="0"/>
        <w:numPr>
          <w:ilvl w:val="0"/>
          <w:numId w:val="0"/>
        </w:numPr>
        <w:kinsoku/>
        <w:wordWrap/>
        <w:overflowPunct/>
        <w:topLinePunct w:val="0"/>
        <w:autoSpaceDE/>
        <w:autoSpaceDN/>
        <w:bidi w:val="0"/>
        <w:adjustRightInd/>
        <w:snapToGrid/>
        <w:spacing w:line="360" w:lineRule="auto"/>
        <w:ind w:left="108" w:leftChars="0"/>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3.2二维灰阶模式</w:t>
      </w:r>
    </w:p>
    <w:p w14:paraId="0650BB74">
      <w:pPr>
        <w:pStyle w:val="102"/>
        <w:keepNext w:val="0"/>
        <w:keepLines w:val="0"/>
        <w:pageBreakBefore w:val="0"/>
        <w:widowControl w:val="0"/>
        <w:numPr>
          <w:ilvl w:val="0"/>
          <w:numId w:val="0"/>
        </w:numPr>
        <w:kinsoku/>
        <w:wordWrap/>
        <w:overflowPunct/>
        <w:topLinePunct w:val="0"/>
        <w:autoSpaceDE/>
        <w:autoSpaceDN/>
        <w:bidi w:val="0"/>
        <w:adjustRightInd/>
        <w:snapToGrid/>
        <w:spacing w:line="360" w:lineRule="auto"/>
        <w:ind w:left="108" w:leftChars="0"/>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3.2.1组织谐波成像</w:t>
      </w:r>
    </w:p>
    <w:p w14:paraId="3DADAB8D">
      <w:pPr>
        <w:pStyle w:val="102"/>
        <w:keepNext w:val="0"/>
        <w:keepLines w:val="0"/>
        <w:pageBreakBefore w:val="0"/>
        <w:widowControl w:val="0"/>
        <w:numPr>
          <w:ilvl w:val="0"/>
          <w:numId w:val="0"/>
        </w:numPr>
        <w:kinsoku/>
        <w:wordWrap/>
        <w:overflowPunct/>
        <w:topLinePunct w:val="0"/>
        <w:autoSpaceDE/>
        <w:autoSpaceDN/>
        <w:bidi w:val="0"/>
        <w:adjustRightInd/>
        <w:snapToGrid/>
        <w:spacing w:line="360" w:lineRule="auto"/>
        <w:ind w:left="108" w:leftChars="0"/>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3.2.2组织特异性成像</w:t>
      </w:r>
    </w:p>
    <w:p w14:paraId="718C4F7C">
      <w:pPr>
        <w:pStyle w:val="102"/>
        <w:keepNext w:val="0"/>
        <w:keepLines w:val="0"/>
        <w:pageBreakBefore w:val="0"/>
        <w:widowControl w:val="0"/>
        <w:numPr>
          <w:ilvl w:val="0"/>
          <w:numId w:val="0"/>
        </w:numPr>
        <w:kinsoku/>
        <w:wordWrap/>
        <w:overflowPunct/>
        <w:topLinePunct w:val="0"/>
        <w:autoSpaceDE/>
        <w:autoSpaceDN/>
        <w:bidi w:val="0"/>
        <w:adjustRightInd/>
        <w:snapToGrid/>
        <w:spacing w:line="360" w:lineRule="auto"/>
        <w:ind w:left="108" w:leftChars="0"/>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3.2.3多角度空间复合成像技术，</w:t>
      </w:r>
      <w:r>
        <w:rPr>
          <w:rFonts w:hint="eastAsia" w:ascii="宋体" w:hAnsi="宋体" w:eastAsia="宋体" w:cs="宋体"/>
          <w:color w:val="auto"/>
          <w:highlight w:val="none"/>
          <w:lang w:eastAsia="zh-CN"/>
        </w:rPr>
        <w:t>≧</w:t>
      </w:r>
      <w:r>
        <w:rPr>
          <w:rFonts w:hint="eastAsia" w:ascii="宋体" w:hAnsi="宋体" w:eastAsia="宋体" w:cs="宋体"/>
          <w:color w:val="auto"/>
          <w:kern w:val="0"/>
          <w:sz w:val="21"/>
          <w:szCs w:val="21"/>
          <w:highlight w:val="none"/>
          <w:lang w:val="en-US" w:eastAsia="zh-CN" w:bidi="ar"/>
        </w:rPr>
        <w:t>3档可调</w:t>
      </w:r>
    </w:p>
    <w:p w14:paraId="0422C455">
      <w:pPr>
        <w:pStyle w:val="102"/>
        <w:keepNext w:val="0"/>
        <w:keepLines w:val="0"/>
        <w:pageBreakBefore w:val="0"/>
        <w:widowControl w:val="0"/>
        <w:numPr>
          <w:ilvl w:val="0"/>
          <w:numId w:val="0"/>
        </w:numPr>
        <w:kinsoku/>
        <w:wordWrap/>
        <w:overflowPunct/>
        <w:topLinePunct w:val="0"/>
        <w:autoSpaceDE/>
        <w:autoSpaceDN/>
        <w:bidi w:val="0"/>
        <w:adjustRightInd/>
        <w:snapToGrid/>
        <w:spacing w:line="360" w:lineRule="auto"/>
        <w:ind w:left="108" w:leftChars="0"/>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3.2.4斑点噪声抑制成像，</w:t>
      </w:r>
      <w:r>
        <w:rPr>
          <w:rFonts w:hint="eastAsia" w:ascii="宋体" w:hAnsi="宋体" w:eastAsia="宋体" w:cs="宋体"/>
          <w:color w:val="auto"/>
          <w:highlight w:val="none"/>
          <w:lang w:eastAsia="zh-CN"/>
        </w:rPr>
        <w:t>≧</w:t>
      </w:r>
      <w:r>
        <w:rPr>
          <w:rFonts w:hint="eastAsia" w:ascii="宋体" w:hAnsi="宋体" w:eastAsia="宋体" w:cs="宋体"/>
          <w:color w:val="auto"/>
          <w:kern w:val="0"/>
          <w:sz w:val="21"/>
          <w:szCs w:val="21"/>
          <w:highlight w:val="none"/>
          <w:lang w:val="en-US" w:eastAsia="zh-CN" w:bidi="ar"/>
        </w:rPr>
        <w:t>7档可调</w:t>
      </w:r>
    </w:p>
    <w:p w14:paraId="1AD901D3">
      <w:pPr>
        <w:pStyle w:val="102"/>
        <w:keepNext w:val="0"/>
        <w:keepLines w:val="0"/>
        <w:pageBreakBefore w:val="0"/>
        <w:widowControl w:val="0"/>
        <w:numPr>
          <w:ilvl w:val="0"/>
          <w:numId w:val="0"/>
        </w:numPr>
        <w:kinsoku/>
        <w:wordWrap/>
        <w:overflowPunct/>
        <w:topLinePunct w:val="0"/>
        <w:autoSpaceDE/>
        <w:autoSpaceDN/>
        <w:bidi w:val="0"/>
        <w:adjustRightInd/>
        <w:snapToGrid/>
        <w:spacing w:line="360" w:lineRule="auto"/>
        <w:ind w:left="108" w:leftChars="0"/>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3.2.5 B图像偏转，</w:t>
      </w:r>
      <w:r>
        <w:rPr>
          <w:rFonts w:hint="eastAsia" w:ascii="宋体" w:hAnsi="宋体" w:eastAsia="宋体" w:cs="宋体"/>
          <w:color w:val="auto"/>
          <w:highlight w:val="none"/>
          <w:lang w:eastAsia="zh-CN"/>
        </w:rPr>
        <w:t>≧</w:t>
      </w:r>
      <w:r>
        <w:rPr>
          <w:rFonts w:hint="eastAsia" w:ascii="宋体" w:hAnsi="宋体" w:eastAsia="宋体" w:cs="宋体"/>
          <w:color w:val="auto"/>
          <w:kern w:val="0"/>
          <w:sz w:val="21"/>
          <w:szCs w:val="21"/>
          <w:highlight w:val="none"/>
          <w:lang w:val="en-US" w:eastAsia="zh-CN" w:bidi="ar"/>
        </w:rPr>
        <w:t>5档可调</w:t>
      </w:r>
    </w:p>
    <w:p w14:paraId="4C8805B7">
      <w:pPr>
        <w:pStyle w:val="102"/>
        <w:keepNext w:val="0"/>
        <w:keepLines w:val="0"/>
        <w:pageBreakBefore w:val="0"/>
        <w:widowControl w:val="0"/>
        <w:numPr>
          <w:ilvl w:val="0"/>
          <w:numId w:val="0"/>
        </w:numPr>
        <w:kinsoku/>
        <w:wordWrap/>
        <w:overflowPunct/>
        <w:topLinePunct w:val="0"/>
        <w:autoSpaceDE/>
        <w:autoSpaceDN/>
        <w:bidi w:val="0"/>
        <w:adjustRightInd/>
        <w:snapToGrid/>
        <w:spacing w:line="360" w:lineRule="auto"/>
        <w:ind w:left="108" w:leftChars="0"/>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3.2.6 TGC8段、LGC8段</w:t>
      </w:r>
    </w:p>
    <w:p w14:paraId="44E95E7D">
      <w:pPr>
        <w:pStyle w:val="102"/>
        <w:keepNext w:val="0"/>
        <w:keepLines w:val="0"/>
        <w:pageBreakBefore w:val="0"/>
        <w:widowControl w:val="0"/>
        <w:numPr>
          <w:ilvl w:val="0"/>
          <w:numId w:val="0"/>
        </w:numPr>
        <w:kinsoku/>
        <w:wordWrap/>
        <w:overflowPunct/>
        <w:topLinePunct w:val="0"/>
        <w:autoSpaceDE/>
        <w:autoSpaceDN/>
        <w:bidi w:val="0"/>
        <w:adjustRightInd/>
        <w:snapToGrid/>
        <w:spacing w:line="360" w:lineRule="auto"/>
        <w:ind w:left="108" w:leftChars="0"/>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3.3 M型成像模式</w:t>
      </w:r>
    </w:p>
    <w:p w14:paraId="49BDAAAB">
      <w:pPr>
        <w:pStyle w:val="102"/>
        <w:keepNext w:val="0"/>
        <w:keepLines w:val="0"/>
        <w:pageBreakBefore w:val="0"/>
        <w:widowControl w:val="0"/>
        <w:numPr>
          <w:ilvl w:val="0"/>
          <w:numId w:val="0"/>
        </w:numPr>
        <w:kinsoku/>
        <w:wordWrap/>
        <w:overflowPunct/>
        <w:topLinePunct w:val="0"/>
        <w:autoSpaceDE/>
        <w:autoSpaceDN/>
        <w:bidi w:val="0"/>
        <w:adjustRightInd/>
        <w:snapToGrid/>
        <w:spacing w:line="360" w:lineRule="auto"/>
        <w:ind w:left="108" w:leftChars="0"/>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3.3.1彩色M型</w:t>
      </w:r>
    </w:p>
    <w:p w14:paraId="116AB15E">
      <w:pPr>
        <w:pStyle w:val="102"/>
        <w:keepNext w:val="0"/>
        <w:keepLines w:val="0"/>
        <w:pageBreakBefore w:val="0"/>
        <w:widowControl w:val="0"/>
        <w:numPr>
          <w:ilvl w:val="0"/>
          <w:numId w:val="0"/>
        </w:numPr>
        <w:kinsoku/>
        <w:wordWrap/>
        <w:overflowPunct/>
        <w:topLinePunct w:val="0"/>
        <w:autoSpaceDE/>
        <w:autoSpaceDN/>
        <w:bidi w:val="0"/>
        <w:adjustRightInd/>
        <w:snapToGrid/>
        <w:spacing w:line="360" w:lineRule="auto"/>
        <w:ind w:left="108" w:leftChars="0"/>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▲3.3.2解剖M型，取样线≥3线，可360度任意旋转</w:t>
      </w:r>
    </w:p>
    <w:p w14:paraId="0E848937">
      <w:pPr>
        <w:pStyle w:val="102"/>
        <w:keepNext w:val="0"/>
        <w:keepLines w:val="0"/>
        <w:pageBreakBefore w:val="0"/>
        <w:widowControl w:val="0"/>
        <w:numPr>
          <w:ilvl w:val="0"/>
          <w:numId w:val="0"/>
        </w:numPr>
        <w:kinsoku/>
        <w:wordWrap/>
        <w:overflowPunct/>
        <w:topLinePunct w:val="0"/>
        <w:autoSpaceDE/>
        <w:autoSpaceDN/>
        <w:bidi w:val="0"/>
        <w:adjustRightInd/>
        <w:snapToGrid/>
        <w:spacing w:line="360" w:lineRule="auto"/>
        <w:ind w:left="108" w:leftChars="0"/>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3.4彩色多普勒成像（包括彩色、能量、方向能量多普勒模式）</w:t>
      </w:r>
    </w:p>
    <w:p w14:paraId="4C769331">
      <w:pPr>
        <w:pStyle w:val="102"/>
        <w:keepNext w:val="0"/>
        <w:keepLines w:val="0"/>
        <w:pageBreakBefore w:val="0"/>
        <w:widowControl w:val="0"/>
        <w:numPr>
          <w:ilvl w:val="0"/>
          <w:numId w:val="0"/>
        </w:numPr>
        <w:kinsoku/>
        <w:wordWrap/>
        <w:overflowPunct/>
        <w:topLinePunct w:val="0"/>
        <w:autoSpaceDE/>
        <w:autoSpaceDN/>
        <w:bidi w:val="0"/>
        <w:adjustRightInd/>
        <w:snapToGrid/>
        <w:spacing w:line="360" w:lineRule="auto"/>
        <w:ind w:left="108" w:leftChars="0"/>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3.4.1双实时同屏对比显示</w:t>
      </w:r>
    </w:p>
    <w:p w14:paraId="581C6FF3">
      <w:pPr>
        <w:pStyle w:val="102"/>
        <w:keepNext w:val="0"/>
        <w:keepLines w:val="0"/>
        <w:pageBreakBefore w:val="0"/>
        <w:widowControl w:val="0"/>
        <w:numPr>
          <w:ilvl w:val="0"/>
          <w:numId w:val="0"/>
        </w:numPr>
        <w:kinsoku/>
        <w:wordWrap/>
        <w:overflowPunct/>
        <w:topLinePunct w:val="0"/>
        <w:autoSpaceDE/>
        <w:autoSpaceDN/>
        <w:bidi w:val="0"/>
        <w:adjustRightInd/>
        <w:snapToGrid/>
        <w:spacing w:line="360" w:lineRule="auto"/>
        <w:ind w:left="108" w:leftChars="0"/>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3.4.2自动调节取样框的角度及位置</w:t>
      </w:r>
    </w:p>
    <w:p w14:paraId="15415A5F">
      <w:pPr>
        <w:pStyle w:val="102"/>
        <w:keepNext w:val="0"/>
        <w:keepLines w:val="0"/>
        <w:pageBreakBefore w:val="0"/>
        <w:widowControl w:val="0"/>
        <w:numPr>
          <w:ilvl w:val="0"/>
          <w:numId w:val="0"/>
        </w:numPr>
        <w:kinsoku/>
        <w:wordWrap/>
        <w:overflowPunct/>
        <w:topLinePunct w:val="0"/>
        <w:autoSpaceDE/>
        <w:autoSpaceDN/>
        <w:bidi w:val="0"/>
        <w:adjustRightInd/>
        <w:snapToGrid/>
        <w:spacing w:line="360" w:lineRule="auto"/>
        <w:ind w:left="108" w:leftChars="0"/>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3.4.3取样框偏转：线阵探头支持≥±20度，取样框可根据探头血流方向自动调节</w:t>
      </w:r>
    </w:p>
    <w:p w14:paraId="1F643EF1">
      <w:pPr>
        <w:pStyle w:val="102"/>
        <w:keepNext w:val="0"/>
        <w:keepLines w:val="0"/>
        <w:pageBreakBefore w:val="0"/>
        <w:widowControl w:val="0"/>
        <w:numPr>
          <w:ilvl w:val="0"/>
          <w:numId w:val="0"/>
        </w:numPr>
        <w:kinsoku/>
        <w:wordWrap/>
        <w:overflowPunct/>
        <w:topLinePunct w:val="0"/>
        <w:autoSpaceDE/>
        <w:autoSpaceDN/>
        <w:bidi w:val="0"/>
        <w:adjustRightInd/>
        <w:snapToGrid/>
        <w:spacing w:line="360" w:lineRule="auto"/>
        <w:ind w:left="108" w:leftChars="0"/>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3.5频谱多普勒成像</w:t>
      </w:r>
    </w:p>
    <w:p w14:paraId="4A463821">
      <w:pPr>
        <w:pStyle w:val="102"/>
        <w:keepNext w:val="0"/>
        <w:keepLines w:val="0"/>
        <w:pageBreakBefore w:val="0"/>
        <w:widowControl w:val="0"/>
        <w:numPr>
          <w:ilvl w:val="0"/>
          <w:numId w:val="0"/>
        </w:numPr>
        <w:kinsoku/>
        <w:wordWrap/>
        <w:overflowPunct/>
        <w:topLinePunct w:val="0"/>
        <w:autoSpaceDE/>
        <w:autoSpaceDN/>
        <w:bidi w:val="0"/>
        <w:adjustRightInd/>
        <w:snapToGrid/>
        <w:spacing w:line="360" w:lineRule="auto"/>
        <w:ind w:left="108" w:leftChars="0"/>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3.5.1脉冲多普勒、连续多普勒</w:t>
      </w:r>
    </w:p>
    <w:p w14:paraId="2696AB53">
      <w:pPr>
        <w:pStyle w:val="102"/>
        <w:keepNext w:val="0"/>
        <w:keepLines w:val="0"/>
        <w:pageBreakBefore w:val="0"/>
        <w:widowControl w:val="0"/>
        <w:numPr>
          <w:ilvl w:val="0"/>
          <w:numId w:val="0"/>
        </w:numPr>
        <w:kinsoku/>
        <w:wordWrap/>
        <w:overflowPunct/>
        <w:topLinePunct w:val="0"/>
        <w:autoSpaceDE/>
        <w:autoSpaceDN/>
        <w:bidi w:val="0"/>
        <w:adjustRightInd/>
        <w:snapToGrid/>
        <w:spacing w:line="360" w:lineRule="auto"/>
        <w:ind w:left="108" w:leftChars="0"/>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3.5.2自动计算心动周期</w:t>
      </w:r>
    </w:p>
    <w:p w14:paraId="1168CE60">
      <w:pPr>
        <w:pStyle w:val="102"/>
        <w:keepNext w:val="0"/>
        <w:keepLines w:val="0"/>
        <w:pageBreakBefore w:val="0"/>
        <w:widowControl w:val="0"/>
        <w:numPr>
          <w:ilvl w:val="0"/>
          <w:numId w:val="0"/>
        </w:numPr>
        <w:kinsoku/>
        <w:wordWrap/>
        <w:overflowPunct/>
        <w:topLinePunct w:val="0"/>
        <w:autoSpaceDE/>
        <w:autoSpaceDN/>
        <w:bidi w:val="0"/>
        <w:adjustRightInd/>
        <w:snapToGrid/>
        <w:spacing w:line="360" w:lineRule="auto"/>
        <w:ind w:left="108" w:leftChars="0"/>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3.6一键自动优化（包括应用于二维、彩色、频谱模式、造影等）</w:t>
      </w:r>
    </w:p>
    <w:p w14:paraId="24D80039">
      <w:pPr>
        <w:pStyle w:val="102"/>
        <w:keepNext w:val="0"/>
        <w:keepLines w:val="0"/>
        <w:pageBreakBefore w:val="0"/>
        <w:widowControl w:val="0"/>
        <w:numPr>
          <w:ilvl w:val="0"/>
          <w:numId w:val="0"/>
        </w:numPr>
        <w:kinsoku/>
        <w:wordWrap/>
        <w:overflowPunct/>
        <w:topLinePunct w:val="0"/>
        <w:autoSpaceDE/>
        <w:autoSpaceDN/>
        <w:bidi w:val="0"/>
        <w:adjustRightInd/>
        <w:snapToGrid/>
        <w:spacing w:line="360" w:lineRule="auto"/>
        <w:ind w:left="108" w:leftChars="0"/>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▲3.7穿刺针增强：应用于超声引导下的穿刺手术，动态增 强超声图像中针体显示，具有双屏实时 对比显示，增强前后效果，并支持自适 应校正角度</w:t>
      </w:r>
    </w:p>
    <w:p w14:paraId="433785A9">
      <w:pPr>
        <w:pStyle w:val="102"/>
        <w:keepNext w:val="0"/>
        <w:keepLines w:val="0"/>
        <w:pageBreakBefore w:val="0"/>
        <w:widowControl w:val="0"/>
        <w:numPr>
          <w:ilvl w:val="0"/>
          <w:numId w:val="0"/>
        </w:numPr>
        <w:kinsoku/>
        <w:wordWrap/>
        <w:overflowPunct/>
        <w:topLinePunct w:val="0"/>
        <w:autoSpaceDE/>
        <w:autoSpaceDN/>
        <w:bidi w:val="0"/>
        <w:adjustRightInd/>
        <w:snapToGrid/>
        <w:spacing w:line="360" w:lineRule="auto"/>
        <w:ind w:left="108" w:leftChars="0"/>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3.8超声教学助手</w:t>
      </w:r>
    </w:p>
    <w:p w14:paraId="3B404285">
      <w:pPr>
        <w:pStyle w:val="102"/>
        <w:keepNext w:val="0"/>
        <w:keepLines w:val="0"/>
        <w:pageBreakBefore w:val="0"/>
        <w:widowControl w:val="0"/>
        <w:numPr>
          <w:ilvl w:val="0"/>
          <w:numId w:val="0"/>
        </w:numPr>
        <w:kinsoku/>
        <w:wordWrap/>
        <w:overflowPunct/>
        <w:topLinePunct w:val="0"/>
        <w:autoSpaceDE/>
        <w:autoSpaceDN/>
        <w:bidi w:val="0"/>
        <w:adjustRightInd/>
        <w:snapToGrid/>
        <w:spacing w:line="360" w:lineRule="auto"/>
        <w:ind w:left="108" w:leftChars="0"/>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四、测量分析和报告</w:t>
      </w:r>
    </w:p>
    <w:p w14:paraId="2D5CB263">
      <w:pPr>
        <w:pStyle w:val="102"/>
        <w:keepNext w:val="0"/>
        <w:keepLines w:val="0"/>
        <w:pageBreakBefore w:val="0"/>
        <w:widowControl w:val="0"/>
        <w:numPr>
          <w:ilvl w:val="0"/>
          <w:numId w:val="0"/>
        </w:numPr>
        <w:kinsoku/>
        <w:wordWrap/>
        <w:overflowPunct/>
        <w:topLinePunct w:val="0"/>
        <w:autoSpaceDE/>
        <w:autoSpaceDN/>
        <w:bidi w:val="0"/>
        <w:adjustRightInd/>
        <w:snapToGrid/>
        <w:spacing w:line="360" w:lineRule="auto"/>
        <w:ind w:left="108" w:leftChars="0"/>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4.1常规测量软件包</w:t>
      </w:r>
    </w:p>
    <w:p w14:paraId="1CAEC4AF">
      <w:pPr>
        <w:pStyle w:val="102"/>
        <w:keepNext w:val="0"/>
        <w:keepLines w:val="0"/>
        <w:pageBreakBefore w:val="0"/>
        <w:widowControl w:val="0"/>
        <w:numPr>
          <w:ilvl w:val="0"/>
          <w:numId w:val="0"/>
        </w:numPr>
        <w:kinsoku/>
        <w:wordWrap/>
        <w:overflowPunct/>
        <w:topLinePunct w:val="0"/>
        <w:autoSpaceDE/>
        <w:autoSpaceDN/>
        <w:bidi w:val="0"/>
        <w:adjustRightInd/>
        <w:snapToGrid/>
        <w:spacing w:line="360" w:lineRule="auto"/>
        <w:ind w:left="108" w:leftChars="0"/>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4.2血管内中膜自动测量</w:t>
      </w:r>
    </w:p>
    <w:p w14:paraId="27DC795E">
      <w:pPr>
        <w:pStyle w:val="102"/>
        <w:keepNext w:val="0"/>
        <w:keepLines w:val="0"/>
        <w:pageBreakBefore w:val="0"/>
        <w:widowControl w:val="0"/>
        <w:numPr>
          <w:ilvl w:val="0"/>
          <w:numId w:val="0"/>
        </w:numPr>
        <w:kinsoku/>
        <w:wordWrap/>
        <w:overflowPunct/>
        <w:topLinePunct w:val="0"/>
        <w:autoSpaceDE/>
        <w:autoSpaceDN/>
        <w:bidi w:val="0"/>
        <w:adjustRightInd/>
        <w:snapToGrid/>
        <w:spacing w:line="360" w:lineRule="auto"/>
        <w:ind w:left="108" w:leftChars="0"/>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4.3可同时进行血管前、后壁的内中膜一段距离的自动描记、自动生成测量数据结果</w:t>
      </w:r>
    </w:p>
    <w:p w14:paraId="6F63C174">
      <w:pPr>
        <w:pStyle w:val="102"/>
        <w:keepNext w:val="0"/>
        <w:keepLines w:val="0"/>
        <w:pageBreakBefore w:val="0"/>
        <w:widowControl w:val="0"/>
        <w:numPr>
          <w:ilvl w:val="0"/>
          <w:numId w:val="0"/>
        </w:numPr>
        <w:kinsoku/>
        <w:wordWrap/>
        <w:overflowPunct/>
        <w:topLinePunct w:val="0"/>
        <w:autoSpaceDE/>
        <w:autoSpaceDN/>
        <w:bidi w:val="0"/>
        <w:adjustRightInd/>
        <w:snapToGrid/>
        <w:spacing w:line="360" w:lineRule="auto"/>
        <w:ind w:left="108" w:leftChars="0"/>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4.4配备腹部凸阵探头，浅表线阵探头</w:t>
      </w:r>
    </w:p>
    <w:p w14:paraId="5D2D1393">
      <w:pPr>
        <w:pStyle w:val="102"/>
        <w:keepNext w:val="0"/>
        <w:keepLines w:val="0"/>
        <w:pageBreakBefore w:val="0"/>
        <w:widowControl w:val="0"/>
        <w:numPr>
          <w:ilvl w:val="0"/>
          <w:numId w:val="0"/>
        </w:numPr>
        <w:kinsoku/>
        <w:wordWrap/>
        <w:overflowPunct/>
        <w:topLinePunct w:val="0"/>
        <w:autoSpaceDE/>
        <w:autoSpaceDN/>
        <w:bidi w:val="0"/>
        <w:adjustRightInd/>
        <w:snapToGrid/>
        <w:spacing w:line="360" w:lineRule="auto"/>
        <w:ind w:left="108" w:leftChars="0"/>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五、电影回放及原始数据处理</w:t>
      </w:r>
    </w:p>
    <w:p w14:paraId="5D69E2C6">
      <w:pPr>
        <w:pStyle w:val="102"/>
        <w:keepNext w:val="0"/>
        <w:keepLines w:val="0"/>
        <w:pageBreakBefore w:val="0"/>
        <w:widowControl w:val="0"/>
        <w:numPr>
          <w:ilvl w:val="0"/>
          <w:numId w:val="0"/>
        </w:numPr>
        <w:kinsoku/>
        <w:wordWrap/>
        <w:overflowPunct/>
        <w:topLinePunct w:val="0"/>
        <w:autoSpaceDE/>
        <w:autoSpaceDN/>
        <w:bidi w:val="0"/>
        <w:adjustRightInd/>
        <w:snapToGrid/>
        <w:spacing w:line="360" w:lineRule="auto"/>
        <w:ind w:left="108" w:leftChars="0"/>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5.1电影回放</w:t>
      </w:r>
    </w:p>
    <w:p w14:paraId="197B97E0">
      <w:pPr>
        <w:pStyle w:val="102"/>
        <w:keepNext w:val="0"/>
        <w:keepLines w:val="0"/>
        <w:pageBreakBefore w:val="0"/>
        <w:widowControl w:val="0"/>
        <w:numPr>
          <w:ilvl w:val="0"/>
          <w:numId w:val="0"/>
        </w:numPr>
        <w:kinsoku/>
        <w:wordWrap/>
        <w:overflowPunct/>
        <w:topLinePunct w:val="0"/>
        <w:autoSpaceDE/>
        <w:autoSpaceDN/>
        <w:bidi w:val="0"/>
        <w:adjustRightInd/>
        <w:snapToGrid/>
        <w:spacing w:line="360" w:lineRule="auto"/>
        <w:ind w:left="108" w:leftChars="0"/>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5.1.1所有模式下支持手动、自动回放</w:t>
      </w:r>
    </w:p>
    <w:p w14:paraId="1F94AD6E">
      <w:pPr>
        <w:pStyle w:val="102"/>
        <w:keepNext w:val="0"/>
        <w:keepLines w:val="0"/>
        <w:pageBreakBefore w:val="0"/>
        <w:widowControl w:val="0"/>
        <w:numPr>
          <w:ilvl w:val="0"/>
          <w:numId w:val="0"/>
        </w:numPr>
        <w:kinsoku/>
        <w:wordWrap/>
        <w:overflowPunct/>
        <w:topLinePunct w:val="0"/>
        <w:autoSpaceDE/>
        <w:autoSpaceDN/>
        <w:bidi w:val="0"/>
        <w:adjustRightInd/>
        <w:snapToGrid/>
        <w:spacing w:line="360" w:lineRule="auto"/>
        <w:ind w:left="108" w:leftChars="0"/>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5.1.2支持向后存储和向前存储，时间长度可预置，向后存储≥7分钟的电影</w:t>
      </w:r>
    </w:p>
    <w:p w14:paraId="2A673038">
      <w:pPr>
        <w:pStyle w:val="102"/>
        <w:keepNext w:val="0"/>
        <w:keepLines w:val="0"/>
        <w:pageBreakBefore w:val="0"/>
        <w:widowControl w:val="0"/>
        <w:numPr>
          <w:ilvl w:val="0"/>
          <w:numId w:val="0"/>
        </w:numPr>
        <w:kinsoku/>
        <w:wordWrap/>
        <w:overflowPunct/>
        <w:topLinePunct w:val="0"/>
        <w:autoSpaceDE/>
        <w:autoSpaceDN/>
        <w:bidi w:val="0"/>
        <w:adjustRightInd/>
        <w:snapToGrid/>
        <w:spacing w:line="360" w:lineRule="auto"/>
        <w:ind w:left="108" w:leftChars="0"/>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六、信息管理与存储</w:t>
      </w:r>
    </w:p>
    <w:p w14:paraId="4F86B876">
      <w:pPr>
        <w:pStyle w:val="102"/>
        <w:keepNext w:val="0"/>
        <w:keepLines w:val="0"/>
        <w:pageBreakBefore w:val="0"/>
        <w:widowControl w:val="0"/>
        <w:numPr>
          <w:ilvl w:val="0"/>
          <w:numId w:val="0"/>
        </w:numPr>
        <w:kinsoku/>
        <w:wordWrap/>
        <w:overflowPunct/>
        <w:topLinePunct w:val="0"/>
        <w:autoSpaceDE/>
        <w:autoSpaceDN/>
        <w:bidi w:val="0"/>
        <w:adjustRightInd/>
        <w:snapToGrid/>
        <w:spacing w:line="360" w:lineRule="auto"/>
        <w:ind w:left="108" w:leftChars="0"/>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6.1 512G SSD固态硬盘</w:t>
      </w:r>
    </w:p>
    <w:p w14:paraId="2B80FE9A">
      <w:pPr>
        <w:pStyle w:val="102"/>
        <w:keepNext w:val="0"/>
        <w:keepLines w:val="0"/>
        <w:pageBreakBefore w:val="0"/>
        <w:widowControl w:val="0"/>
        <w:numPr>
          <w:ilvl w:val="0"/>
          <w:numId w:val="0"/>
        </w:numPr>
        <w:kinsoku/>
        <w:wordWrap/>
        <w:overflowPunct/>
        <w:topLinePunct w:val="0"/>
        <w:autoSpaceDE/>
        <w:autoSpaceDN/>
        <w:bidi w:val="0"/>
        <w:adjustRightInd/>
        <w:snapToGrid/>
        <w:spacing w:line="360" w:lineRule="auto"/>
        <w:ind w:left="108" w:leftChars="0"/>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6.2内置超声工作站，支持同步存储，即后台存储或导出图像数据的同时前台可以完成实时扫描，不影响检查操作</w:t>
      </w:r>
    </w:p>
    <w:p w14:paraId="07497B58">
      <w:pPr>
        <w:pStyle w:val="102"/>
        <w:keepNext w:val="0"/>
        <w:keepLines w:val="0"/>
        <w:pageBreakBefore w:val="0"/>
        <w:widowControl w:val="0"/>
        <w:numPr>
          <w:ilvl w:val="0"/>
          <w:numId w:val="0"/>
        </w:numPr>
        <w:kinsoku/>
        <w:wordWrap/>
        <w:overflowPunct/>
        <w:topLinePunct w:val="0"/>
        <w:autoSpaceDE/>
        <w:autoSpaceDN/>
        <w:bidi w:val="0"/>
        <w:adjustRightInd/>
        <w:snapToGrid/>
        <w:spacing w:line="360" w:lineRule="auto"/>
        <w:ind w:left="108" w:leftChars="0"/>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6.3动态图像、静态图像以PC格式直接导出（支持单帧图像文件包含： DCM、TIFF、BMP、JPG单帧，电影文件包括：CIN、AVI、DCM、MP4），无需特殊软件即能在普通PC 机上直接观看图像。</w:t>
      </w:r>
    </w:p>
    <w:p w14:paraId="600F8758">
      <w:pPr>
        <w:pStyle w:val="102"/>
        <w:keepNext w:val="0"/>
        <w:keepLines w:val="0"/>
        <w:pageBreakBefore w:val="0"/>
        <w:widowControl w:val="0"/>
        <w:numPr>
          <w:ilvl w:val="0"/>
          <w:numId w:val="0"/>
        </w:numPr>
        <w:kinsoku/>
        <w:wordWrap/>
        <w:overflowPunct/>
        <w:topLinePunct w:val="0"/>
        <w:autoSpaceDE/>
        <w:autoSpaceDN/>
        <w:bidi w:val="0"/>
        <w:adjustRightInd/>
        <w:snapToGrid/>
        <w:spacing w:line="360" w:lineRule="auto"/>
        <w:ind w:left="108" w:leftChars="0"/>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七、连通性</w:t>
      </w:r>
    </w:p>
    <w:p w14:paraId="0052BE9A">
      <w:pPr>
        <w:pStyle w:val="102"/>
        <w:keepNext w:val="0"/>
        <w:keepLines w:val="0"/>
        <w:pageBreakBefore w:val="0"/>
        <w:widowControl w:val="0"/>
        <w:numPr>
          <w:ilvl w:val="0"/>
          <w:numId w:val="0"/>
        </w:numPr>
        <w:kinsoku/>
        <w:wordWrap/>
        <w:overflowPunct/>
        <w:topLinePunct w:val="0"/>
        <w:autoSpaceDE/>
        <w:autoSpaceDN/>
        <w:bidi w:val="0"/>
        <w:adjustRightInd/>
        <w:snapToGrid/>
        <w:spacing w:line="360" w:lineRule="auto"/>
        <w:ind w:left="108" w:leftChars="0"/>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7.1主机内置HDMI、USB3.0、Type-c、网络接口</w:t>
      </w:r>
    </w:p>
    <w:p w14:paraId="39C7DB2E">
      <w:pPr>
        <w:pStyle w:val="102"/>
        <w:keepNext w:val="0"/>
        <w:keepLines w:val="0"/>
        <w:pageBreakBefore w:val="0"/>
        <w:widowControl w:val="0"/>
        <w:numPr>
          <w:ilvl w:val="0"/>
          <w:numId w:val="0"/>
        </w:numPr>
        <w:kinsoku/>
        <w:wordWrap/>
        <w:overflowPunct/>
        <w:topLinePunct w:val="0"/>
        <w:autoSpaceDE/>
        <w:autoSpaceDN/>
        <w:bidi w:val="0"/>
        <w:adjustRightInd/>
        <w:snapToGrid/>
        <w:spacing w:line="360" w:lineRule="auto"/>
        <w:ind w:left="108" w:leftChars="0"/>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7.2 DICOM3.0系统</w:t>
      </w:r>
    </w:p>
    <w:p w14:paraId="1613D7EE">
      <w:pPr>
        <w:pStyle w:val="102"/>
        <w:keepNext w:val="0"/>
        <w:keepLines w:val="0"/>
        <w:pageBreakBefore w:val="0"/>
        <w:widowControl w:val="0"/>
        <w:numPr>
          <w:ilvl w:val="0"/>
          <w:numId w:val="0"/>
        </w:numPr>
        <w:kinsoku/>
        <w:wordWrap/>
        <w:overflowPunct/>
        <w:topLinePunct w:val="0"/>
        <w:autoSpaceDE/>
        <w:autoSpaceDN/>
        <w:bidi w:val="0"/>
        <w:adjustRightInd/>
        <w:snapToGrid/>
        <w:spacing w:line="360" w:lineRule="auto"/>
        <w:ind w:left="108" w:leftChars="0"/>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7.3多功能台车：可拆卸的储物篮，电源缆线专用放置架，防撞支架</w:t>
      </w:r>
    </w:p>
    <w:p w14:paraId="196B4B36">
      <w:pPr>
        <w:pStyle w:val="102"/>
        <w:keepNext w:val="0"/>
        <w:keepLines w:val="0"/>
        <w:pageBreakBefore w:val="0"/>
        <w:widowControl w:val="0"/>
        <w:numPr>
          <w:ilvl w:val="0"/>
          <w:numId w:val="0"/>
        </w:numPr>
        <w:kinsoku/>
        <w:wordWrap/>
        <w:overflowPunct/>
        <w:topLinePunct w:val="0"/>
        <w:autoSpaceDE/>
        <w:autoSpaceDN/>
        <w:bidi w:val="0"/>
        <w:adjustRightInd/>
        <w:snapToGrid/>
        <w:spacing w:line="360" w:lineRule="auto"/>
        <w:ind w:left="108" w:leftChars="0"/>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7.4专用旅行箱，可装载主机、探头及相关备件</w:t>
      </w:r>
    </w:p>
    <w:p w14:paraId="3BF2BB71">
      <w:pPr>
        <w:pageBreakBefore w:val="0"/>
        <w:numPr>
          <w:ilvl w:val="0"/>
          <w:numId w:val="0"/>
        </w:numPr>
        <w:kinsoku/>
        <w:wordWrap/>
        <w:overflowPunct/>
        <w:topLinePunct w:val="0"/>
        <w:autoSpaceDE/>
        <w:autoSpaceDN/>
        <w:bidi w:val="0"/>
        <w:spacing w:line="0" w:lineRule="atLeast"/>
        <w:textAlignment w:val="auto"/>
        <w:rPr>
          <w:rFonts w:hint="eastAsia" w:ascii="宋体" w:hAnsi="宋体" w:eastAsia="宋体" w:cs="宋体"/>
          <w:b w:val="0"/>
          <w:bCs w:val="0"/>
          <w:color w:val="auto"/>
          <w:sz w:val="21"/>
          <w:szCs w:val="21"/>
          <w:highlight w:val="none"/>
          <w:lang w:val="en-US" w:eastAsia="zh-CN"/>
        </w:rPr>
      </w:pPr>
      <w:r>
        <w:rPr>
          <w:rFonts w:hint="eastAsia"/>
          <w:color w:val="auto"/>
          <w:highlight w:val="none"/>
          <w:lang w:val="en-US" w:eastAsia="zh-CN"/>
        </w:rPr>
        <w:t xml:space="preserve"> </w:t>
      </w:r>
      <w:r>
        <w:rPr>
          <w:rFonts w:hint="eastAsia" w:ascii="宋体" w:hAnsi="宋体" w:eastAsia="宋体" w:cs="宋体"/>
          <w:color w:val="auto"/>
          <w:highlight w:val="none"/>
        </w:rPr>
        <w:t>★</w:t>
      </w:r>
      <w:r>
        <w:rPr>
          <w:rFonts w:hint="eastAsia" w:ascii="宋体" w:hAnsi="宋体" w:cs="宋体"/>
          <w:b w:val="0"/>
          <w:bCs w:val="0"/>
          <w:color w:val="auto"/>
          <w:kern w:val="2"/>
          <w:sz w:val="21"/>
          <w:szCs w:val="21"/>
          <w:highlight w:val="none"/>
          <w:lang w:val="en-US" w:eastAsia="zh-CN" w:bidi="ar-SA"/>
        </w:rPr>
        <w:t>八</w:t>
      </w:r>
      <w:r>
        <w:rPr>
          <w:rFonts w:hint="eastAsia" w:ascii="宋体" w:hAnsi="宋体" w:eastAsia="宋体" w:cs="宋体"/>
          <w:b w:val="0"/>
          <w:bCs w:val="0"/>
          <w:color w:val="auto"/>
          <w:kern w:val="2"/>
          <w:sz w:val="21"/>
          <w:szCs w:val="21"/>
          <w:highlight w:val="none"/>
          <w:lang w:val="en-US" w:eastAsia="zh-CN" w:bidi="ar-SA"/>
        </w:rPr>
        <w:t>、</w:t>
      </w:r>
      <w:r>
        <w:rPr>
          <w:rFonts w:hint="eastAsia" w:ascii="宋体" w:hAnsi="宋体" w:eastAsia="宋体" w:cs="宋体"/>
          <w:b w:val="0"/>
          <w:bCs w:val="0"/>
          <w:color w:val="auto"/>
          <w:sz w:val="21"/>
          <w:szCs w:val="21"/>
          <w:highlight w:val="none"/>
          <w:lang w:val="en-US" w:eastAsia="zh-CN"/>
        </w:rPr>
        <w:t>配置清单</w:t>
      </w:r>
    </w:p>
    <w:tbl>
      <w:tblPr>
        <w:tblStyle w:val="48"/>
        <w:tblW w:w="4991" w:type="pct"/>
        <w:tblInd w:w="3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67"/>
        <w:gridCol w:w="2740"/>
      </w:tblGrid>
      <w:tr w14:paraId="51E3E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5767" w:type="dxa"/>
            <w:noWrap w:val="0"/>
            <w:vAlign w:val="center"/>
          </w:tcPr>
          <w:p w14:paraId="3C479F3C">
            <w:pPr>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auto"/>
                <w:sz w:val="21"/>
                <w:szCs w:val="21"/>
                <w:highlight w:val="none"/>
                <w:vertAlign w:val="baseline"/>
                <w:lang w:val="en-US" w:eastAsia="zh-CN"/>
              </w:rPr>
            </w:pPr>
            <w:r>
              <w:rPr>
                <w:rFonts w:hint="eastAsia" w:ascii="宋体" w:hAnsi="宋体" w:eastAsia="宋体" w:cs="宋体"/>
                <w:b/>
                <w:bCs/>
                <w:color w:val="auto"/>
                <w:sz w:val="21"/>
                <w:szCs w:val="21"/>
                <w:highlight w:val="none"/>
                <w:vertAlign w:val="baseline"/>
                <w:lang w:val="en-US" w:eastAsia="zh-CN"/>
              </w:rPr>
              <w:t>名称</w:t>
            </w:r>
          </w:p>
        </w:tc>
        <w:tc>
          <w:tcPr>
            <w:tcW w:w="2740" w:type="dxa"/>
            <w:noWrap w:val="0"/>
            <w:vAlign w:val="center"/>
          </w:tcPr>
          <w:p w14:paraId="7DF6D37F">
            <w:pPr>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auto"/>
                <w:sz w:val="21"/>
                <w:szCs w:val="21"/>
                <w:highlight w:val="none"/>
                <w:vertAlign w:val="baseline"/>
                <w:lang w:val="en-US" w:eastAsia="zh-CN"/>
              </w:rPr>
            </w:pPr>
            <w:r>
              <w:rPr>
                <w:rFonts w:hint="eastAsia" w:ascii="宋体" w:hAnsi="宋体" w:eastAsia="宋体" w:cs="宋体"/>
                <w:b/>
                <w:bCs/>
                <w:color w:val="auto"/>
                <w:sz w:val="21"/>
                <w:szCs w:val="21"/>
                <w:highlight w:val="none"/>
                <w:vertAlign w:val="baseline"/>
                <w:lang w:val="en-US" w:eastAsia="zh-CN"/>
              </w:rPr>
              <w:t>数量</w:t>
            </w:r>
          </w:p>
        </w:tc>
      </w:tr>
      <w:tr w14:paraId="74201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5767" w:type="dxa"/>
            <w:noWrap w:val="0"/>
            <w:vAlign w:val="center"/>
          </w:tcPr>
          <w:p w14:paraId="59F1AF52">
            <w:pPr>
              <w:pageBreakBefore w:val="0"/>
              <w:kinsoku/>
              <w:wordWrap/>
              <w:overflowPunct/>
              <w:topLinePunct w:val="0"/>
              <w:autoSpaceDE/>
              <w:autoSpaceDN/>
              <w:bidi w:val="0"/>
              <w:spacing w:line="360" w:lineRule="auto"/>
              <w:jc w:val="center"/>
              <w:textAlignment w:val="auto"/>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kern w:val="0"/>
                <w:sz w:val="21"/>
                <w:szCs w:val="21"/>
                <w:highlight w:val="none"/>
                <w:lang w:val="en-US" w:eastAsia="zh-CN" w:bidi="ar"/>
              </w:rPr>
              <w:t>便携式彩色多普勒超声诊断仪</w:t>
            </w:r>
          </w:p>
        </w:tc>
        <w:tc>
          <w:tcPr>
            <w:tcW w:w="2740" w:type="dxa"/>
            <w:noWrap w:val="0"/>
            <w:vAlign w:val="center"/>
          </w:tcPr>
          <w:p w14:paraId="73E845C1">
            <w:pPr>
              <w:pageBreakBefore w:val="0"/>
              <w:kinsoku/>
              <w:wordWrap/>
              <w:overflowPunct/>
              <w:topLinePunct w:val="0"/>
              <w:autoSpaceDE/>
              <w:autoSpaceDN/>
              <w:bidi w:val="0"/>
              <w:spacing w:line="360" w:lineRule="auto"/>
              <w:jc w:val="center"/>
              <w:textAlignment w:val="auto"/>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1套</w:t>
            </w:r>
          </w:p>
        </w:tc>
      </w:tr>
      <w:tr w14:paraId="4250E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trPr>
        <w:tc>
          <w:tcPr>
            <w:tcW w:w="5767" w:type="dxa"/>
            <w:noWrap w:val="0"/>
            <w:vAlign w:val="center"/>
          </w:tcPr>
          <w:p w14:paraId="32EF9B9E">
            <w:pPr>
              <w:pageBreakBefore w:val="0"/>
              <w:kinsoku/>
              <w:wordWrap/>
              <w:overflowPunct/>
              <w:topLinePunct w:val="0"/>
              <w:autoSpaceDE/>
              <w:autoSpaceDN/>
              <w:bidi w:val="0"/>
              <w:spacing w:line="360" w:lineRule="auto"/>
              <w:jc w:val="center"/>
              <w:textAlignment w:val="auto"/>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台车</w:t>
            </w:r>
          </w:p>
        </w:tc>
        <w:tc>
          <w:tcPr>
            <w:tcW w:w="2740" w:type="dxa"/>
            <w:noWrap w:val="0"/>
            <w:vAlign w:val="center"/>
          </w:tcPr>
          <w:p w14:paraId="54432927">
            <w:pPr>
              <w:pageBreakBefore w:val="0"/>
              <w:kinsoku/>
              <w:wordWrap/>
              <w:overflowPunct/>
              <w:topLinePunct w:val="0"/>
              <w:autoSpaceDE/>
              <w:autoSpaceDN/>
              <w:bidi w:val="0"/>
              <w:spacing w:line="360" w:lineRule="auto"/>
              <w:jc w:val="center"/>
              <w:textAlignment w:val="auto"/>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1台</w:t>
            </w:r>
          </w:p>
        </w:tc>
      </w:tr>
      <w:tr w14:paraId="2A23B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5767" w:type="dxa"/>
            <w:noWrap w:val="0"/>
            <w:vAlign w:val="center"/>
          </w:tcPr>
          <w:p w14:paraId="2F1F9AD9">
            <w:pPr>
              <w:pageBreakBefore w:val="0"/>
              <w:kinsoku/>
              <w:wordWrap/>
              <w:overflowPunct/>
              <w:topLinePunct w:val="0"/>
              <w:autoSpaceDE/>
              <w:autoSpaceDN/>
              <w:bidi w:val="0"/>
              <w:spacing w:line="360" w:lineRule="auto"/>
              <w:jc w:val="center"/>
              <w:textAlignment w:val="auto"/>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浅表血管神经线阵探头</w:t>
            </w:r>
          </w:p>
        </w:tc>
        <w:tc>
          <w:tcPr>
            <w:tcW w:w="2740" w:type="dxa"/>
            <w:noWrap w:val="0"/>
            <w:vAlign w:val="center"/>
          </w:tcPr>
          <w:p w14:paraId="182F1C56">
            <w:pPr>
              <w:pageBreakBefore w:val="0"/>
              <w:kinsoku/>
              <w:wordWrap/>
              <w:overflowPunct/>
              <w:topLinePunct w:val="0"/>
              <w:autoSpaceDE/>
              <w:autoSpaceDN/>
              <w:bidi w:val="0"/>
              <w:spacing w:line="360" w:lineRule="auto"/>
              <w:jc w:val="center"/>
              <w:textAlignment w:val="auto"/>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1把</w:t>
            </w:r>
          </w:p>
        </w:tc>
      </w:tr>
    </w:tbl>
    <w:p w14:paraId="3E9615FB">
      <w:pPr>
        <w:pageBreakBefore w:val="0"/>
        <w:numPr>
          <w:ilvl w:val="0"/>
          <w:numId w:val="0"/>
        </w:numPr>
        <w:kinsoku/>
        <w:wordWrap/>
        <w:overflowPunct/>
        <w:topLinePunct w:val="0"/>
        <w:autoSpaceDE/>
        <w:autoSpaceDN/>
        <w:bidi w:val="0"/>
        <w:spacing w:line="0" w:lineRule="atLeast"/>
        <w:textAlignment w:val="auto"/>
        <w:rPr>
          <w:rFonts w:hint="eastAsia" w:ascii="宋体" w:hAnsi="宋体" w:eastAsia="宋体" w:cs="宋体"/>
          <w:b/>
          <w:bCs/>
          <w:color w:val="auto"/>
          <w:sz w:val="21"/>
          <w:szCs w:val="21"/>
          <w:highlight w:val="none"/>
          <w:lang w:val="en-US" w:eastAsia="zh-CN"/>
        </w:rPr>
      </w:pPr>
    </w:p>
    <w:p w14:paraId="39D85B36">
      <w:pPr>
        <w:keepNext w:val="0"/>
        <w:keepLines w:val="0"/>
        <w:pageBreakBefore w:val="0"/>
        <w:widowControl w:val="0"/>
        <w:kinsoku/>
        <w:wordWrap/>
        <w:overflowPunct/>
        <w:topLinePunct w:val="0"/>
        <w:autoSpaceDE/>
        <w:autoSpaceDN/>
        <w:bidi w:val="0"/>
        <w:spacing w:line="360" w:lineRule="auto"/>
        <w:textAlignment w:val="auto"/>
        <w:rPr>
          <w:rFonts w:hint="eastAsia" w:ascii="宋体" w:hAnsi="宋体" w:eastAsia="宋体" w:cs="宋体"/>
          <w:b w:val="0"/>
          <w:bCs/>
          <w:color w:val="auto"/>
          <w:sz w:val="21"/>
          <w:szCs w:val="21"/>
          <w:highlight w:val="none"/>
          <w:lang w:val="en-US" w:eastAsia="zh-CN"/>
        </w:rPr>
      </w:pPr>
      <w:r>
        <w:rPr>
          <w:rFonts w:hint="eastAsia" w:ascii="宋体" w:hAnsi="宋体" w:cs="宋体"/>
          <w:b w:val="0"/>
          <w:bCs/>
          <w:color w:val="auto"/>
          <w:sz w:val="21"/>
          <w:szCs w:val="21"/>
          <w:highlight w:val="none"/>
          <w:lang w:val="en-US" w:eastAsia="zh-CN"/>
        </w:rPr>
        <w:t>九</w:t>
      </w:r>
      <w:r>
        <w:rPr>
          <w:rFonts w:hint="eastAsia" w:ascii="宋体" w:hAnsi="宋体" w:eastAsia="宋体" w:cs="宋体"/>
          <w:b w:val="0"/>
          <w:bCs/>
          <w:color w:val="auto"/>
          <w:sz w:val="21"/>
          <w:szCs w:val="21"/>
          <w:highlight w:val="none"/>
          <w:lang w:val="en-US" w:eastAsia="zh-CN"/>
        </w:rPr>
        <w:t>、商务要求</w:t>
      </w:r>
    </w:p>
    <w:p w14:paraId="33B4B8A2">
      <w:pPr>
        <w:keepNext w:val="0"/>
        <w:keepLines w:val="0"/>
        <w:pageBreakBefore w:val="0"/>
        <w:widowControl w:val="0"/>
        <w:kinsoku/>
        <w:wordWrap/>
        <w:overflowPunct/>
        <w:topLinePunct w:val="0"/>
        <w:autoSpaceDE/>
        <w:autoSpaceDN/>
        <w:bidi w:val="0"/>
        <w:spacing w:line="360" w:lineRule="auto"/>
        <w:textAlignment w:val="auto"/>
        <w:rPr>
          <w:rFonts w:hint="eastAsia"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lang w:val="en-US" w:eastAsia="zh-CN"/>
        </w:rPr>
        <w:t>★10.1、运输、装卸、培训、安装调试：由中标人负责承担，最终通过使用科室、设备科及相关部门确认验收交付使用。国产设备交付，设备必须为6个月内生产的产品；进口设备交付，设备必须为一年内生产的产品。</w:t>
      </w:r>
    </w:p>
    <w:p w14:paraId="3FA43F07">
      <w:pPr>
        <w:keepNext w:val="0"/>
        <w:keepLines w:val="0"/>
        <w:pageBreakBefore w:val="0"/>
        <w:widowControl w:val="0"/>
        <w:kinsoku/>
        <w:wordWrap/>
        <w:overflowPunct/>
        <w:topLinePunct w:val="0"/>
        <w:autoSpaceDE/>
        <w:autoSpaceDN/>
        <w:bidi w:val="0"/>
        <w:spacing w:line="360" w:lineRule="auto"/>
        <w:textAlignment w:val="auto"/>
        <w:rPr>
          <w:rFonts w:hint="eastAsia"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lang w:val="en-US" w:eastAsia="zh-CN"/>
        </w:rPr>
        <w:t>★10.2、交货时间：按合同约定的日期交货。</w:t>
      </w:r>
    </w:p>
    <w:p w14:paraId="028B49C7">
      <w:pPr>
        <w:keepNext w:val="0"/>
        <w:keepLines w:val="0"/>
        <w:pageBreakBefore w:val="0"/>
        <w:widowControl w:val="0"/>
        <w:kinsoku/>
        <w:wordWrap/>
        <w:overflowPunct/>
        <w:topLinePunct w:val="0"/>
        <w:autoSpaceDE/>
        <w:autoSpaceDN/>
        <w:bidi w:val="0"/>
        <w:spacing w:line="360" w:lineRule="auto"/>
        <w:textAlignment w:val="auto"/>
        <w:rPr>
          <w:rFonts w:hint="eastAsia"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lang w:val="en-US" w:eastAsia="zh-CN"/>
        </w:rPr>
        <w:t>★10.3、交货地点：娄底市中心医院指定地点。</w:t>
      </w:r>
    </w:p>
    <w:p w14:paraId="697FAF52">
      <w:pPr>
        <w:keepNext w:val="0"/>
        <w:keepLines w:val="0"/>
        <w:pageBreakBefore w:val="0"/>
        <w:widowControl w:val="0"/>
        <w:kinsoku/>
        <w:wordWrap/>
        <w:overflowPunct/>
        <w:topLinePunct w:val="0"/>
        <w:autoSpaceDE/>
        <w:autoSpaceDN/>
        <w:bidi w:val="0"/>
        <w:spacing w:line="360" w:lineRule="auto"/>
        <w:textAlignment w:val="auto"/>
        <w:rPr>
          <w:rFonts w:hint="eastAsia"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lang w:val="en-US" w:eastAsia="zh-CN"/>
        </w:rPr>
        <w:t>★10.4、付款方式：设备验收合格后，供应商将发票交到娄底市中心医院后按程序支付货款90%（按医院财务制度一般情况下4个月内支付、特殊情况下最多不超过6个月），甲方在设备验收合格满3年后支付10%余款给乙方。</w:t>
      </w:r>
    </w:p>
    <w:p w14:paraId="6EF73D63">
      <w:pPr>
        <w:pStyle w:val="14"/>
        <w:rPr>
          <w:rFonts w:hint="eastAsia"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lang w:val="en-US" w:eastAsia="zh-CN"/>
        </w:rPr>
        <w:t>★10.5、质保与售后：整机保修</w:t>
      </w:r>
      <w:r>
        <w:rPr>
          <w:rFonts w:hint="eastAsia" w:ascii="宋体" w:hAnsi="宋体" w:eastAsia="宋体" w:cs="宋体"/>
          <w:b w:val="0"/>
          <w:bCs/>
          <w:color w:val="auto"/>
          <w:kern w:val="2"/>
          <w:sz w:val="21"/>
          <w:szCs w:val="21"/>
          <w:highlight w:val="none"/>
          <w:lang w:val="en-US" w:eastAsia="zh-CN" w:bidi="ar-SA"/>
        </w:rPr>
        <w:t>3 年（含探头），</w:t>
      </w:r>
      <w:r>
        <w:rPr>
          <w:rFonts w:hint="eastAsia" w:ascii="宋体" w:hAnsi="宋体" w:eastAsia="宋体" w:cs="宋体"/>
          <w:b w:val="0"/>
          <w:bCs/>
          <w:color w:val="auto"/>
          <w:sz w:val="21"/>
          <w:szCs w:val="21"/>
          <w:highlight w:val="none"/>
          <w:lang w:val="en-US" w:eastAsia="zh-CN"/>
        </w:rPr>
        <w:t>终身维修。验收时出具原厂售后质保承诺书，质保期内每年巡检一次，并提交巡检记录。质保期内出现故障，1小时响应，响应后24小时上门服务。</w:t>
      </w:r>
    </w:p>
    <w:p w14:paraId="15655AB9">
      <w:pPr>
        <w:keepNext w:val="0"/>
        <w:keepLines w:val="0"/>
        <w:pageBreakBefore w:val="0"/>
        <w:widowControl w:val="0"/>
        <w:kinsoku/>
        <w:wordWrap/>
        <w:overflowPunct/>
        <w:topLinePunct w:val="0"/>
        <w:autoSpaceDE/>
        <w:autoSpaceDN/>
        <w:bidi w:val="0"/>
        <w:spacing w:line="360" w:lineRule="auto"/>
        <w:textAlignment w:val="auto"/>
        <w:rPr>
          <w:rFonts w:hint="eastAsia"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lang w:val="en-US" w:eastAsia="zh-CN"/>
        </w:rPr>
        <w:t>★10.6、在投标文件中必须提供相关技术资料并加盖投标人公章（如技术参数、技术白皮书、说明书、彩页等），并在响应表中对</w:t>
      </w:r>
      <w:r>
        <w:rPr>
          <w:rFonts w:hint="eastAsia" w:ascii="宋体" w:hAnsi="宋体" w:cs="宋体"/>
          <w:color w:val="auto"/>
          <w:sz w:val="21"/>
          <w:szCs w:val="21"/>
          <w:highlight w:val="none"/>
          <w:lang w:val="en-US" w:eastAsia="zh-CN"/>
        </w:rPr>
        <w:t>技术参数中</w:t>
      </w:r>
      <w:r>
        <w:rPr>
          <w:rFonts w:hint="eastAsia" w:ascii="宋体" w:hAnsi="宋体" w:eastAsia="宋体" w:cs="宋体"/>
          <w:b w:val="0"/>
          <w:bCs/>
          <w:color w:val="auto"/>
          <w:sz w:val="21"/>
          <w:szCs w:val="21"/>
          <w:highlight w:val="none"/>
          <w:lang w:val="en-US" w:eastAsia="zh-CN"/>
        </w:rPr>
        <w:t>“★”、“▲”以及要求提供佐证材料的条款备注该条参数响应或正偏离的佐证资料所在页码。</w:t>
      </w:r>
    </w:p>
    <w:p w14:paraId="4B5D9AF1">
      <w:pPr>
        <w:pStyle w:val="22"/>
        <w:keepNext w:val="0"/>
        <w:keepLines w:val="0"/>
        <w:pageBreakBefore w:val="0"/>
        <w:widowControl w:val="0"/>
        <w:kinsoku/>
        <w:wordWrap/>
        <w:overflowPunct/>
        <w:topLinePunct w:val="0"/>
        <w:autoSpaceDE/>
        <w:autoSpaceDN/>
        <w:bidi w:val="0"/>
        <w:adjustRightInd w:val="0"/>
        <w:snapToGrid w:val="0"/>
        <w:spacing w:line="360" w:lineRule="auto"/>
        <w:jc w:val="both"/>
        <w:textAlignment w:val="auto"/>
        <w:outlineLvl w:val="9"/>
        <w:rPr>
          <w:rFonts w:hint="eastAsia" w:asciiTheme="minorEastAsia" w:hAnsiTheme="minorEastAsia" w:eastAsiaTheme="minorEastAsia" w:cstheme="minorEastAsia"/>
          <w:b/>
          <w:bCs/>
          <w:color w:val="auto"/>
          <w:sz w:val="21"/>
          <w:szCs w:val="21"/>
          <w:highlight w:val="none"/>
          <w:lang w:val="en-US" w:eastAsia="zh-CN"/>
        </w:rPr>
      </w:pPr>
      <w:r>
        <w:rPr>
          <w:rFonts w:hint="eastAsia" w:asciiTheme="minorEastAsia" w:hAnsiTheme="minorEastAsia" w:eastAsiaTheme="minorEastAsia" w:cstheme="minorEastAsia"/>
          <w:b w:val="0"/>
          <w:bCs/>
          <w:color w:val="auto"/>
          <w:sz w:val="21"/>
          <w:szCs w:val="21"/>
          <w:highlight w:val="none"/>
          <w:lang w:val="en-US" w:eastAsia="zh-CN"/>
        </w:rPr>
        <w:t>★10.7、设备如涉及网络接口费用，由中标人承担，采购人不再出具任何费用</w:t>
      </w:r>
    </w:p>
    <w:p w14:paraId="544BFF68">
      <w:pPr>
        <w:pStyle w:val="22"/>
        <w:adjustRightInd w:val="0"/>
        <w:snapToGrid w:val="0"/>
        <w:spacing w:line="360" w:lineRule="auto"/>
        <w:jc w:val="center"/>
        <w:outlineLvl w:val="9"/>
        <w:rPr>
          <w:rFonts w:hint="eastAsia" w:ascii="宋体" w:hAnsi="宋体" w:eastAsia="宋体" w:cs="宋体"/>
          <w:b/>
          <w:bCs/>
          <w:color w:val="auto"/>
          <w:sz w:val="21"/>
          <w:szCs w:val="21"/>
          <w:highlight w:val="none"/>
          <w:lang w:val="en-US" w:eastAsia="zh-CN"/>
        </w:rPr>
      </w:pPr>
    </w:p>
    <w:p w14:paraId="0F0A94AD">
      <w:pPr>
        <w:pStyle w:val="22"/>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1"/>
        <w:rPr>
          <w:rFonts w:hint="eastAsia" w:ascii="宋体" w:hAnsi="宋体" w:eastAsia="宋体" w:cs="宋体"/>
          <w:b/>
          <w:bCs/>
          <w:color w:val="auto"/>
          <w:kern w:val="2"/>
          <w:sz w:val="21"/>
          <w:szCs w:val="21"/>
          <w:highlight w:val="none"/>
          <w:lang w:val="en-US" w:eastAsia="zh-CN" w:bidi="ar-SA"/>
        </w:rPr>
      </w:pPr>
      <w:bookmarkStart w:id="1214" w:name="_Toc413062122"/>
      <w:r>
        <w:rPr>
          <w:rFonts w:hint="eastAsia" w:ascii="宋体" w:hAnsi="宋体" w:eastAsia="宋体" w:cs="宋体"/>
          <w:b/>
          <w:bCs/>
          <w:color w:val="auto"/>
          <w:sz w:val="21"/>
          <w:szCs w:val="21"/>
          <w:highlight w:val="none"/>
          <w:lang w:val="en-US" w:eastAsia="zh-CN"/>
        </w:rPr>
        <w:t>序号</w:t>
      </w:r>
      <w:r>
        <w:rPr>
          <w:rFonts w:hint="eastAsia" w:hAnsi="宋体" w:cs="宋体"/>
          <w:b/>
          <w:bCs/>
          <w:color w:val="auto"/>
          <w:kern w:val="2"/>
          <w:sz w:val="21"/>
          <w:szCs w:val="21"/>
          <w:highlight w:val="none"/>
          <w:lang w:val="en-US" w:eastAsia="zh-CN" w:bidi="ar-SA"/>
        </w:rPr>
        <w:t>3</w:t>
      </w:r>
      <w:r>
        <w:rPr>
          <w:rFonts w:hint="eastAsia" w:ascii="宋体" w:hAnsi="宋体" w:eastAsia="宋体" w:cs="宋体"/>
          <w:b/>
          <w:bCs/>
          <w:color w:val="auto"/>
          <w:kern w:val="2"/>
          <w:sz w:val="21"/>
          <w:szCs w:val="21"/>
          <w:highlight w:val="none"/>
          <w:lang w:val="en-US" w:eastAsia="zh-CN" w:bidi="ar-SA"/>
        </w:rPr>
        <w:tab/>
      </w:r>
      <w:r>
        <w:rPr>
          <w:rFonts w:hint="eastAsia" w:ascii="宋体" w:hAnsi="宋体" w:eastAsia="宋体" w:cs="宋体"/>
          <w:b/>
          <w:bCs/>
          <w:color w:val="auto"/>
          <w:kern w:val="2"/>
          <w:sz w:val="21"/>
          <w:szCs w:val="21"/>
          <w:highlight w:val="none"/>
          <w:lang w:val="en-US" w:eastAsia="zh-CN" w:bidi="ar-SA"/>
        </w:rPr>
        <w:t>便携式彩色多普勒超声诊断仪</w:t>
      </w:r>
      <w:bookmarkEnd w:id="1214"/>
    </w:p>
    <w:p w14:paraId="03C57653">
      <w:pPr>
        <w:pageBreakBefore w:val="0"/>
        <w:kinsoku/>
        <w:wordWrap/>
        <w:overflowPunct/>
        <w:topLinePunct w:val="0"/>
        <w:autoSpaceDE/>
        <w:autoSpaceDN/>
        <w:bidi w:val="0"/>
        <w:spacing w:line="360" w:lineRule="auto"/>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lang w:val="en-US" w:eastAsia="zh-CN"/>
        </w:rPr>
        <w:t>一</w:t>
      </w:r>
      <w:r>
        <w:rPr>
          <w:rFonts w:hint="eastAsia" w:ascii="宋体" w:hAnsi="宋体" w:eastAsia="宋体" w:cs="宋体"/>
          <w:b w:val="0"/>
          <w:bCs/>
          <w:color w:val="auto"/>
          <w:sz w:val="21"/>
          <w:szCs w:val="21"/>
          <w:highlight w:val="none"/>
        </w:rPr>
        <w:t>、货物名称：</w:t>
      </w:r>
      <w:r>
        <w:rPr>
          <w:rFonts w:hint="eastAsia" w:ascii="宋体" w:hAnsi="宋体" w:eastAsia="宋体" w:cs="宋体"/>
          <w:color w:val="auto"/>
          <w:kern w:val="0"/>
          <w:sz w:val="21"/>
          <w:szCs w:val="21"/>
          <w:highlight w:val="none"/>
          <w:lang w:val="en-US" w:eastAsia="zh-CN" w:bidi="ar"/>
        </w:rPr>
        <w:t>便携式彩色多普勒超声诊断仪</w:t>
      </w:r>
    </w:p>
    <w:p w14:paraId="1597DAAE">
      <w:pPr>
        <w:pageBreakBefore w:val="0"/>
        <w:kinsoku/>
        <w:wordWrap/>
        <w:overflowPunct/>
        <w:topLinePunct w:val="0"/>
        <w:autoSpaceDE/>
        <w:autoSpaceDN/>
        <w:bidi w:val="0"/>
        <w:spacing w:line="360" w:lineRule="auto"/>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lang w:val="en-US" w:eastAsia="zh-CN"/>
        </w:rPr>
        <w:t>二、</w:t>
      </w:r>
      <w:r>
        <w:rPr>
          <w:rFonts w:hint="eastAsia" w:ascii="宋体" w:hAnsi="宋体" w:eastAsia="宋体" w:cs="宋体"/>
          <w:b w:val="0"/>
          <w:bCs/>
          <w:color w:val="auto"/>
          <w:sz w:val="21"/>
          <w:szCs w:val="21"/>
          <w:highlight w:val="none"/>
        </w:rPr>
        <w:t>产品用途说明：满足适用于介入、腹部、产科、妇科、心脏、小器官、泌尿、血管、儿科、神经、急重诊等应用。</w:t>
      </w:r>
    </w:p>
    <w:p w14:paraId="0E425807">
      <w:pPr>
        <w:pageBreakBefore w:val="0"/>
        <w:kinsoku/>
        <w:wordWrap/>
        <w:overflowPunct/>
        <w:topLinePunct w:val="0"/>
        <w:autoSpaceDE/>
        <w:autoSpaceDN/>
        <w:bidi w:val="0"/>
        <w:spacing w:line="360" w:lineRule="auto"/>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lang w:val="en-US" w:eastAsia="zh-CN"/>
        </w:rPr>
        <w:t>三</w:t>
      </w:r>
      <w:r>
        <w:rPr>
          <w:rFonts w:hint="eastAsia" w:ascii="宋体" w:hAnsi="宋体" w:eastAsia="宋体" w:cs="宋体"/>
          <w:b w:val="0"/>
          <w:bCs/>
          <w:color w:val="auto"/>
          <w:sz w:val="21"/>
          <w:szCs w:val="21"/>
          <w:highlight w:val="none"/>
        </w:rPr>
        <w:t>、系统技术规格及概述：</w:t>
      </w:r>
    </w:p>
    <w:p w14:paraId="39C60CA3">
      <w:pPr>
        <w:pageBreakBefore w:val="0"/>
        <w:kinsoku/>
        <w:wordWrap/>
        <w:overflowPunct/>
        <w:topLinePunct w:val="0"/>
        <w:autoSpaceDE/>
        <w:autoSpaceDN/>
        <w:bidi w:val="0"/>
        <w:spacing w:line="360" w:lineRule="auto"/>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lang w:val="en-US" w:eastAsia="zh-CN"/>
        </w:rPr>
        <w:t>3</w:t>
      </w:r>
      <w:r>
        <w:rPr>
          <w:rFonts w:hint="eastAsia" w:ascii="宋体" w:hAnsi="宋体" w:eastAsia="宋体" w:cs="宋体"/>
          <w:b w:val="0"/>
          <w:bCs/>
          <w:color w:val="auto"/>
          <w:sz w:val="21"/>
          <w:szCs w:val="21"/>
          <w:highlight w:val="none"/>
          <w:lang w:eastAsia="zh-CN"/>
        </w:rPr>
        <w:t>.</w:t>
      </w:r>
      <w:r>
        <w:rPr>
          <w:rFonts w:hint="eastAsia" w:ascii="宋体" w:hAnsi="宋体" w:eastAsia="宋体" w:cs="宋体"/>
          <w:b w:val="0"/>
          <w:bCs/>
          <w:color w:val="auto"/>
          <w:sz w:val="21"/>
          <w:szCs w:val="21"/>
          <w:highlight w:val="none"/>
        </w:rPr>
        <w:t>1系统通用功能</w:t>
      </w:r>
    </w:p>
    <w:p w14:paraId="166AEA48">
      <w:pPr>
        <w:pageBreakBefore w:val="0"/>
        <w:kinsoku/>
        <w:wordWrap/>
        <w:overflowPunct/>
        <w:topLinePunct w:val="0"/>
        <w:autoSpaceDE/>
        <w:autoSpaceDN/>
        <w:bidi w:val="0"/>
        <w:spacing w:line="360" w:lineRule="auto"/>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lang w:val="en-US" w:eastAsia="zh-CN"/>
        </w:rPr>
        <w:t>3</w:t>
      </w:r>
      <w:r>
        <w:rPr>
          <w:rFonts w:hint="eastAsia" w:ascii="宋体" w:hAnsi="宋体" w:eastAsia="宋体" w:cs="宋体"/>
          <w:b w:val="0"/>
          <w:bCs/>
          <w:color w:val="auto"/>
          <w:sz w:val="21"/>
          <w:szCs w:val="21"/>
          <w:highlight w:val="none"/>
        </w:rPr>
        <w:t>.1</w:t>
      </w:r>
      <w:r>
        <w:rPr>
          <w:rFonts w:hint="eastAsia" w:ascii="宋体" w:hAnsi="宋体" w:eastAsia="宋体" w:cs="宋体"/>
          <w:b w:val="0"/>
          <w:bCs/>
          <w:color w:val="auto"/>
          <w:sz w:val="21"/>
          <w:szCs w:val="21"/>
          <w:highlight w:val="none"/>
          <w:lang w:val="en-US" w:eastAsia="zh-CN"/>
        </w:rPr>
        <w:t xml:space="preserve">.1 </w:t>
      </w:r>
      <w:r>
        <w:rPr>
          <w:rFonts w:hint="eastAsia" w:ascii="宋体" w:hAnsi="宋体" w:eastAsia="宋体" w:cs="宋体"/>
          <w:b w:val="0"/>
          <w:bCs/>
          <w:color w:val="auto"/>
          <w:sz w:val="21"/>
          <w:szCs w:val="21"/>
          <w:highlight w:val="none"/>
        </w:rPr>
        <w:t>15.6英寸高分辨率LED显示器，可根据环境光变化自动调节亮度，可独立主机调节，角度≥170°</w:t>
      </w:r>
    </w:p>
    <w:p w14:paraId="4EAF97E7">
      <w:pPr>
        <w:pStyle w:val="14"/>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lang w:val="en-US" w:eastAsia="zh-CN"/>
        </w:rPr>
        <w:t>3</w:t>
      </w:r>
      <w:r>
        <w:rPr>
          <w:rFonts w:hint="eastAsia" w:ascii="宋体" w:hAnsi="宋体" w:eastAsia="宋体" w:cs="宋体"/>
          <w:b w:val="0"/>
          <w:bCs/>
          <w:color w:val="auto"/>
          <w:sz w:val="21"/>
          <w:szCs w:val="21"/>
          <w:highlight w:val="none"/>
        </w:rPr>
        <w:t>.</w:t>
      </w:r>
      <w:r>
        <w:rPr>
          <w:rFonts w:hint="eastAsia" w:ascii="宋体" w:hAnsi="宋体" w:eastAsia="宋体" w:cs="宋体"/>
          <w:b w:val="0"/>
          <w:bCs/>
          <w:color w:val="auto"/>
          <w:sz w:val="21"/>
          <w:szCs w:val="21"/>
          <w:highlight w:val="none"/>
          <w:lang w:val="en-US" w:eastAsia="zh-CN"/>
        </w:rPr>
        <w:t>1.</w:t>
      </w:r>
      <w:r>
        <w:rPr>
          <w:rFonts w:hint="eastAsia" w:ascii="宋体" w:hAnsi="宋体" w:eastAsia="宋体" w:cs="宋体"/>
          <w:b w:val="0"/>
          <w:bCs/>
          <w:color w:val="auto"/>
          <w:sz w:val="21"/>
          <w:szCs w:val="21"/>
          <w:highlight w:val="none"/>
        </w:rPr>
        <w:t>2主机内置相同大小探头接口</w:t>
      </w:r>
      <w:r>
        <w:rPr>
          <w:rFonts w:hint="eastAsia" w:ascii="宋体" w:hAnsi="宋体" w:eastAsia="宋体" w:cs="宋体"/>
          <w:color w:val="auto"/>
          <w:highlight w:val="none"/>
          <w:lang w:eastAsia="zh-CN"/>
        </w:rPr>
        <w:t>≧</w:t>
      </w:r>
      <w:r>
        <w:rPr>
          <w:rFonts w:hint="eastAsia" w:ascii="宋体" w:hAnsi="宋体" w:eastAsia="宋体" w:cs="宋体"/>
          <w:b w:val="0"/>
          <w:bCs/>
          <w:color w:val="auto"/>
          <w:sz w:val="21"/>
          <w:szCs w:val="21"/>
          <w:highlight w:val="none"/>
        </w:rPr>
        <w:t>2个</w:t>
      </w:r>
    </w:p>
    <w:p w14:paraId="6F6113A0">
      <w:pPr>
        <w:pageBreakBefore w:val="0"/>
        <w:kinsoku/>
        <w:wordWrap/>
        <w:overflowPunct/>
        <w:topLinePunct w:val="0"/>
        <w:autoSpaceDE/>
        <w:autoSpaceDN/>
        <w:bidi w:val="0"/>
        <w:spacing w:line="360" w:lineRule="auto"/>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w:t>
      </w:r>
      <w:r>
        <w:rPr>
          <w:rFonts w:hint="eastAsia" w:ascii="宋体" w:hAnsi="宋体" w:eastAsia="宋体" w:cs="宋体"/>
          <w:b w:val="0"/>
          <w:bCs/>
          <w:color w:val="auto"/>
          <w:sz w:val="21"/>
          <w:szCs w:val="21"/>
          <w:highlight w:val="none"/>
          <w:lang w:val="en-US" w:eastAsia="zh-CN"/>
        </w:rPr>
        <w:t>3</w:t>
      </w:r>
      <w:r>
        <w:rPr>
          <w:rFonts w:hint="eastAsia" w:ascii="宋体" w:hAnsi="宋体" w:eastAsia="宋体" w:cs="宋体"/>
          <w:b w:val="0"/>
          <w:bCs/>
          <w:color w:val="auto"/>
          <w:sz w:val="21"/>
          <w:szCs w:val="21"/>
          <w:highlight w:val="none"/>
        </w:rPr>
        <w:t>.</w:t>
      </w:r>
      <w:r>
        <w:rPr>
          <w:rFonts w:hint="eastAsia" w:ascii="宋体" w:hAnsi="宋体" w:eastAsia="宋体" w:cs="宋体"/>
          <w:b w:val="0"/>
          <w:bCs/>
          <w:color w:val="auto"/>
          <w:sz w:val="21"/>
          <w:szCs w:val="21"/>
          <w:highlight w:val="none"/>
          <w:lang w:val="en-US" w:eastAsia="zh-CN"/>
        </w:rPr>
        <w:t>1.</w:t>
      </w:r>
      <w:r>
        <w:rPr>
          <w:rFonts w:hint="eastAsia" w:ascii="宋体" w:hAnsi="宋体" w:eastAsia="宋体" w:cs="宋体"/>
          <w:b w:val="0"/>
          <w:bCs/>
          <w:color w:val="auto"/>
          <w:sz w:val="21"/>
          <w:szCs w:val="21"/>
          <w:highlight w:val="none"/>
        </w:rPr>
        <w:t>3主机重量≤4kg（含电池）</w:t>
      </w:r>
    </w:p>
    <w:p w14:paraId="2337B07A">
      <w:pPr>
        <w:pageBreakBefore w:val="0"/>
        <w:kinsoku/>
        <w:wordWrap/>
        <w:overflowPunct/>
        <w:topLinePunct w:val="0"/>
        <w:autoSpaceDE/>
        <w:autoSpaceDN/>
        <w:bidi w:val="0"/>
        <w:spacing w:line="360" w:lineRule="auto"/>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lang w:val="en-US" w:eastAsia="zh-CN"/>
        </w:rPr>
        <w:t>四</w:t>
      </w:r>
      <w:r>
        <w:rPr>
          <w:rFonts w:hint="eastAsia" w:ascii="宋体" w:hAnsi="宋体" w:eastAsia="宋体" w:cs="宋体"/>
          <w:b w:val="0"/>
          <w:bCs/>
          <w:color w:val="auto"/>
          <w:sz w:val="21"/>
          <w:szCs w:val="21"/>
          <w:highlight w:val="none"/>
          <w:lang w:eastAsia="zh-CN"/>
        </w:rPr>
        <w:t>、</w:t>
      </w:r>
      <w:r>
        <w:rPr>
          <w:rFonts w:hint="eastAsia" w:ascii="宋体" w:hAnsi="宋体" w:eastAsia="宋体" w:cs="宋体"/>
          <w:b w:val="0"/>
          <w:bCs/>
          <w:color w:val="auto"/>
          <w:sz w:val="21"/>
          <w:szCs w:val="21"/>
          <w:highlight w:val="none"/>
        </w:rPr>
        <w:t>二维灰阶模式</w:t>
      </w:r>
    </w:p>
    <w:p w14:paraId="7BB6239D">
      <w:pPr>
        <w:pageBreakBefore w:val="0"/>
        <w:kinsoku/>
        <w:wordWrap/>
        <w:overflowPunct/>
        <w:topLinePunct w:val="0"/>
        <w:autoSpaceDE/>
        <w:autoSpaceDN/>
        <w:bidi w:val="0"/>
        <w:spacing w:line="360" w:lineRule="auto"/>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lang w:val="en-US" w:eastAsia="zh-CN"/>
        </w:rPr>
        <w:t>4</w:t>
      </w:r>
      <w:r>
        <w:rPr>
          <w:rFonts w:hint="eastAsia" w:ascii="宋体" w:hAnsi="宋体" w:eastAsia="宋体" w:cs="宋体"/>
          <w:b w:val="0"/>
          <w:bCs/>
          <w:color w:val="auto"/>
          <w:sz w:val="21"/>
          <w:szCs w:val="21"/>
          <w:highlight w:val="none"/>
        </w:rPr>
        <w:t>.1组织谐波成像</w:t>
      </w:r>
    </w:p>
    <w:p w14:paraId="1E9EDB46">
      <w:pPr>
        <w:pageBreakBefore w:val="0"/>
        <w:kinsoku/>
        <w:wordWrap/>
        <w:overflowPunct/>
        <w:topLinePunct w:val="0"/>
        <w:autoSpaceDE/>
        <w:autoSpaceDN/>
        <w:bidi w:val="0"/>
        <w:spacing w:line="360" w:lineRule="auto"/>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lang w:val="en-US" w:eastAsia="zh-CN"/>
        </w:rPr>
        <w:t>4</w:t>
      </w:r>
      <w:r>
        <w:rPr>
          <w:rFonts w:hint="eastAsia" w:ascii="宋体" w:hAnsi="宋体" w:eastAsia="宋体" w:cs="宋体"/>
          <w:b w:val="0"/>
          <w:bCs/>
          <w:color w:val="auto"/>
          <w:sz w:val="21"/>
          <w:szCs w:val="21"/>
          <w:highlight w:val="none"/>
        </w:rPr>
        <w:t>.2组织特异性成像</w:t>
      </w:r>
    </w:p>
    <w:p w14:paraId="4337AF2E">
      <w:pPr>
        <w:pageBreakBefore w:val="0"/>
        <w:kinsoku/>
        <w:wordWrap/>
        <w:overflowPunct/>
        <w:topLinePunct w:val="0"/>
        <w:autoSpaceDE/>
        <w:autoSpaceDN/>
        <w:bidi w:val="0"/>
        <w:spacing w:line="360" w:lineRule="auto"/>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lang w:val="en-US" w:eastAsia="zh-CN"/>
        </w:rPr>
        <w:t>4</w:t>
      </w:r>
      <w:r>
        <w:rPr>
          <w:rFonts w:hint="eastAsia" w:ascii="宋体" w:hAnsi="宋体" w:eastAsia="宋体" w:cs="宋体"/>
          <w:b w:val="0"/>
          <w:bCs/>
          <w:color w:val="auto"/>
          <w:sz w:val="21"/>
          <w:szCs w:val="21"/>
          <w:highlight w:val="none"/>
        </w:rPr>
        <w:t>.3多角度空间复合成像技术，</w:t>
      </w:r>
      <w:r>
        <w:rPr>
          <w:rFonts w:hint="eastAsia" w:ascii="宋体" w:hAnsi="宋体" w:eastAsia="宋体" w:cs="宋体"/>
          <w:color w:val="auto"/>
          <w:highlight w:val="none"/>
          <w:lang w:eastAsia="zh-CN"/>
        </w:rPr>
        <w:t>≧</w:t>
      </w:r>
      <w:r>
        <w:rPr>
          <w:rFonts w:hint="eastAsia" w:ascii="宋体" w:hAnsi="宋体" w:eastAsia="宋体" w:cs="宋体"/>
          <w:b w:val="0"/>
          <w:bCs/>
          <w:color w:val="auto"/>
          <w:sz w:val="21"/>
          <w:szCs w:val="21"/>
          <w:highlight w:val="none"/>
        </w:rPr>
        <w:t>3档可调</w:t>
      </w:r>
    </w:p>
    <w:p w14:paraId="39C51EBD">
      <w:pPr>
        <w:pageBreakBefore w:val="0"/>
        <w:kinsoku/>
        <w:wordWrap/>
        <w:overflowPunct/>
        <w:topLinePunct w:val="0"/>
        <w:autoSpaceDE/>
        <w:autoSpaceDN/>
        <w:bidi w:val="0"/>
        <w:spacing w:line="360" w:lineRule="auto"/>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lang w:val="en-US" w:eastAsia="zh-CN"/>
        </w:rPr>
        <w:t>4</w:t>
      </w:r>
      <w:r>
        <w:rPr>
          <w:rFonts w:hint="eastAsia" w:ascii="宋体" w:hAnsi="宋体" w:eastAsia="宋体" w:cs="宋体"/>
          <w:b w:val="0"/>
          <w:bCs/>
          <w:color w:val="auto"/>
          <w:sz w:val="21"/>
          <w:szCs w:val="21"/>
          <w:highlight w:val="none"/>
        </w:rPr>
        <w:t>.4斑点噪声抑制成像，</w:t>
      </w:r>
      <w:r>
        <w:rPr>
          <w:rFonts w:hint="eastAsia" w:ascii="宋体" w:hAnsi="宋体" w:eastAsia="宋体" w:cs="宋体"/>
          <w:color w:val="auto"/>
          <w:highlight w:val="none"/>
          <w:lang w:eastAsia="zh-CN"/>
        </w:rPr>
        <w:t>≧</w:t>
      </w:r>
      <w:r>
        <w:rPr>
          <w:rFonts w:hint="eastAsia" w:ascii="宋体" w:hAnsi="宋体" w:eastAsia="宋体" w:cs="宋体"/>
          <w:b w:val="0"/>
          <w:bCs/>
          <w:color w:val="auto"/>
          <w:sz w:val="21"/>
          <w:szCs w:val="21"/>
          <w:highlight w:val="none"/>
        </w:rPr>
        <w:t>7档可调</w:t>
      </w:r>
    </w:p>
    <w:p w14:paraId="7F3766DD">
      <w:pPr>
        <w:pageBreakBefore w:val="0"/>
        <w:kinsoku/>
        <w:wordWrap/>
        <w:overflowPunct/>
        <w:topLinePunct w:val="0"/>
        <w:autoSpaceDE/>
        <w:autoSpaceDN/>
        <w:bidi w:val="0"/>
        <w:spacing w:line="360" w:lineRule="auto"/>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lang w:val="en-US" w:eastAsia="zh-CN"/>
        </w:rPr>
        <w:t>4</w:t>
      </w:r>
      <w:r>
        <w:rPr>
          <w:rFonts w:hint="eastAsia" w:ascii="宋体" w:hAnsi="宋体" w:eastAsia="宋体" w:cs="宋体"/>
          <w:b w:val="0"/>
          <w:bCs/>
          <w:color w:val="auto"/>
          <w:sz w:val="21"/>
          <w:szCs w:val="21"/>
          <w:highlight w:val="none"/>
        </w:rPr>
        <w:t>.5</w:t>
      </w:r>
      <w:r>
        <w:rPr>
          <w:rFonts w:hint="eastAsia" w:ascii="宋体" w:hAnsi="宋体" w:eastAsia="宋体" w:cs="宋体"/>
          <w:b w:val="0"/>
          <w:bCs/>
          <w:color w:val="auto"/>
          <w:sz w:val="21"/>
          <w:szCs w:val="21"/>
          <w:highlight w:val="none"/>
          <w:lang w:val="en-US" w:eastAsia="zh-CN"/>
        </w:rPr>
        <w:t xml:space="preserve"> </w:t>
      </w:r>
      <w:r>
        <w:rPr>
          <w:rFonts w:hint="eastAsia" w:ascii="宋体" w:hAnsi="宋体" w:eastAsia="宋体" w:cs="宋体"/>
          <w:b w:val="0"/>
          <w:bCs/>
          <w:color w:val="auto"/>
          <w:sz w:val="21"/>
          <w:szCs w:val="21"/>
          <w:highlight w:val="none"/>
        </w:rPr>
        <w:t>B图像偏转，</w:t>
      </w:r>
      <w:r>
        <w:rPr>
          <w:rFonts w:hint="eastAsia" w:ascii="宋体" w:hAnsi="宋体" w:eastAsia="宋体" w:cs="宋体"/>
          <w:color w:val="auto"/>
          <w:highlight w:val="none"/>
          <w:lang w:eastAsia="zh-CN"/>
        </w:rPr>
        <w:t>≧</w:t>
      </w:r>
      <w:r>
        <w:rPr>
          <w:rFonts w:hint="eastAsia" w:ascii="宋体" w:hAnsi="宋体" w:eastAsia="宋体" w:cs="宋体"/>
          <w:b w:val="0"/>
          <w:bCs/>
          <w:color w:val="auto"/>
          <w:sz w:val="21"/>
          <w:szCs w:val="21"/>
          <w:highlight w:val="none"/>
        </w:rPr>
        <w:t>5档可调</w:t>
      </w:r>
    </w:p>
    <w:p w14:paraId="5C20BF7C">
      <w:pPr>
        <w:pageBreakBefore w:val="0"/>
        <w:kinsoku/>
        <w:wordWrap/>
        <w:overflowPunct/>
        <w:topLinePunct w:val="0"/>
        <w:autoSpaceDE/>
        <w:autoSpaceDN/>
        <w:bidi w:val="0"/>
        <w:spacing w:line="360" w:lineRule="auto"/>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lang w:val="en-US" w:eastAsia="zh-CN"/>
        </w:rPr>
        <w:t>4</w:t>
      </w:r>
      <w:r>
        <w:rPr>
          <w:rFonts w:hint="eastAsia" w:ascii="宋体" w:hAnsi="宋体" w:eastAsia="宋体" w:cs="宋体"/>
          <w:b w:val="0"/>
          <w:bCs/>
          <w:color w:val="auto"/>
          <w:sz w:val="21"/>
          <w:szCs w:val="21"/>
          <w:highlight w:val="none"/>
        </w:rPr>
        <w:t>.6</w:t>
      </w:r>
      <w:r>
        <w:rPr>
          <w:rFonts w:hint="eastAsia" w:ascii="宋体" w:hAnsi="宋体" w:eastAsia="宋体" w:cs="宋体"/>
          <w:b w:val="0"/>
          <w:bCs/>
          <w:color w:val="auto"/>
          <w:sz w:val="21"/>
          <w:szCs w:val="21"/>
          <w:highlight w:val="none"/>
          <w:lang w:val="en-US" w:eastAsia="zh-CN"/>
        </w:rPr>
        <w:t xml:space="preserve"> </w:t>
      </w:r>
      <w:r>
        <w:rPr>
          <w:rFonts w:hint="eastAsia" w:ascii="宋体" w:hAnsi="宋体" w:eastAsia="宋体" w:cs="宋体"/>
          <w:b w:val="0"/>
          <w:bCs/>
          <w:color w:val="auto"/>
          <w:sz w:val="21"/>
          <w:szCs w:val="21"/>
          <w:highlight w:val="none"/>
        </w:rPr>
        <w:t>TGC8段、LGC8段</w:t>
      </w:r>
    </w:p>
    <w:p w14:paraId="26A071AE">
      <w:pPr>
        <w:pageBreakBefore w:val="0"/>
        <w:kinsoku/>
        <w:wordWrap/>
        <w:overflowPunct/>
        <w:topLinePunct w:val="0"/>
        <w:autoSpaceDE/>
        <w:autoSpaceDN/>
        <w:bidi w:val="0"/>
        <w:spacing w:line="360" w:lineRule="auto"/>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lang w:val="en-US" w:eastAsia="zh-CN"/>
        </w:rPr>
        <w:t>五</w:t>
      </w:r>
      <w:r>
        <w:rPr>
          <w:rFonts w:hint="eastAsia" w:ascii="宋体" w:hAnsi="宋体" w:eastAsia="宋体" w:cs="宋体"/>
          <w:b w:val="0"/>
          <w:bCs/>
          <w:color w:val="auto"/>
          <w:sz w:val="21"/>
          <w:szCs w:val="21"/>
          <w:highlight w:val="none"/>
          <w:lang w:eastAsia="zh-CN"/>
        </w:rPr>
        <w:t>、</w:t>
      </w:r>
      <w:r>
        <w:rPr>
          <w:rFonts w:hint="eastAsia" w:ascii="宋体" w:hAnsi="宋体" w:eastAsia="宋体" w:cs="宋体"/>
          <w:b w:val="0"/>
          <w:bCs/>
          <w:color w:val="auto"/>
          <w:sz w:val="21"/>
          <w:szCs w:val="21"/>
          <w:highlight w:val="none"/>
        </w:rPr>
        <w:t>M型成像模式</w:t>
      </w:r>
    </w:p>
    <w:p w14:paraId="43F1B440">
      <w:pPr>
        <w:pageBreakBefore w:val="0"/>
        <w:kinsoku/>
        <w:wordWrap/>
        <w:overflowPunct/>
        <w:topLinePunct w:val="0"/>
        <w:autoSpaceDE/>
        <w:autoSpaceDN/>
        <w:bidi w:val="0"/>
        <w:spacing w:line="360" w:lineRule="auto"/>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lang w:val="en-US" w:eastAsia="zh-CN"/>
        </w:rPr>
        <w:t>5</w:t>
      </w:r>
      <w:r>
        <w:rPr>
          <w:rFonts w:hint="eastAsia" w:ascii="宋体" w:hAnsi="宋体" w:eastAsia="宋体" w:cs="宋体"/>
          <w:b w:val="0"/>
          <w:bCs/>
          <w:color w:val="auto"/>
          <w:sz w:val="21"/>
          <w:szCs w:val="21"/>
          <w:highlight w:val="none"/>
        </w:rPr>
        <w:t>.1彩色M型</w:t>
      </w:r>
    </w:p>
    <w:p w14:paraId="2927AB6F">
      <w:pPr>
        <w:pageBreakBefore w:val="0"/>
        <w:kinsoku/>
        <w:wordWrap/>
        <w:overflowPunct/>
        <w:topLinePunct w:val="0"/>
        <w:autoSpaceDE/>
        <w:autoSpaceDN/>
        <w:bidi w:val="0"/>
        <w:spacing w:line="360" w:lineRule="auto"/>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lang w:val="en-US" w:eastAsia="zh-CN"/>
        </w:rPr>
        <w:t>5</w:t>
      </w:r>
      <w:r>
        <w:rPr>
          <w:rFonts w:hint="eastAsia" w:ascii="宋体" w:hAnsi="宋体" w:eastAsia="宋体" w:cs="宋体"/>
          <w:b w:val="0"/>
          <w:bCs/>
          <w:color w:val="auto"/>
          <w:sz w:val="21"/>
          <w:szCs w:val="21"/>
          <w:highlight w:val="none"/>
        </w:rPr>
        <w:t>.2解剖M型，取样线≥3线，可360度任意旋转</w:t>
      </w:r>
    </w:p>
    <w:p w14:paraId="47A7024D">
      <w:pPr>
        <w:pageBreakBefore w:val="0"/>
        <w:kinsoku/>
        <w:wordWrap/>
        <w:overflowPunct/>
        <w:topLinePunct w:val="0"/>
        <w:autoSpaceDE/>
        <w:autoSpaceDN/>
        <w:bidi w:val="0"/>
        <w:spacing w:line="360" w:lineRule="auto"/>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lang w:val="en-US" w:eastAsia="zh-CN"/>
        </w:rPr>
        <w:t>六、</w:t>
      </w:r>
      <w:r>
        <w:rPr>
          <w:rFonts w:hint="eastAsia" w:ascii="宋体" w:hAnsi="宋体" w:eastAsia="宋体" w:cs="宋体"/>
          <w:b w:val="0"/>
          <w:bCs/>
          <w:color w:val="auto"/>
          <w:sz w:val="21"/>
          <w:szCs w:val="21"/>
          <w:highlight w:val="none"/>
        </w:rPr>
        <w:t>彩色多普勒成像（包括彩色、能量、方向能量多普勒模式）</w:t>
      </w:r>
    </w:p>
    <w:p w14:paraId="1B3D91C1">
      <w:pPr>
        <w:pageBreakBefore w:val="0"/>
        <w:kinsoku/>
        <w:wordWrap/>
        <w:overflowPunct/>
        <w:topLinePunct w:val="0"/>
        <w:autoSpaceDE/>
        <w:autoSpaceDN/>
        <w:bidi w:val="0"/>
        <w:spacing w:line="360" w:lineRule="auto"/>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lang w:val="en-US" w:eastAsia="zh-CN"/>
        </w:rPr>
        <w:t>6</w:t>
      </w:r>
      <w:r>
        <w:rPr>
          <w:rFonts w:hint="eastAsia" w:ascii="宋体" w:hAnsi="宋体" w:eastAsia="宋体" w:cs="宋体"/>
          <w:b w:val="0"/>
          <w:bCs/>
          <w:color w:val="auto"/>
          <w:sz w:val="21"/>
          <w:szCs w:val="21"/>
          <w:highlight w:val="none"/>
        </w:rPr>
        <w:t>.</w:t>
      </w:r>
      <w:r>
        <w:rPr>
          <w:rFonts w:hint="eastAsia" w:ascii="宋体" w:hAnsi="宋体" w:eastAsia="宋体" w:cs="宋体"/>
          <w:b w:val="0"/>
          <w:bCs/>
          <w:color w:val="auto"/>
          <w:sz w:val="21"/>
          <w:szCs w:val="21"/>
          <w:highlight w:val="none"/>
          <w:lang w:val="en-US" w:eastAsia="zh-CN"/>
        </w:rPr>
        <w:t>1</w:t>
      </w:r>
      <w:r>
        <w:rPr>
          <w:rFonts w:hint="eastAsia" w:ascii="宋体" w:hAnsi="宋体" w:eastAsia="宋体" w:cs="宋体"/>
          <w:b w:val="0"/>
          <w:bCs/>
          <w:color w:val="auto"/>
          <w:sz w:val="21"/>
          <w:szCs w:val="21"/>
          <w:highlight w:val="none"/>
        </w:rPr>
        <w:t>双实时同屏对比显示</w:t>
      </w:r>
    </w:p>
    <w:p w14:paraId="054650F1">
      <w:pPr>
        <w:pageBreakBefore w:val="0"/>
        <w:kinsoku/>
        <w:wordWrap/>
        <w:overflowPunct/>
        <w:topLinePunct w:val="0"/>
        <w:autoSpaceDE/>
        <w:autoSpaceDN/>
        <w:bidi w:val="0"/>
        <w:spacing w:line="360" w:lineRule="auto"/>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lang w:val="en-US" w:eastAsia="zh-CN"/>
        </w:rPr>
        <w:t>6</w:t>
      </w:r>
      <w:r>
        <w:rPr>
          <w:rFonts w:hint="eastAsia" w:ascii="宋体" w:hAnsi="宋体" w:eastAsia="宋体" w:cs="宋体"/>
          <w:b w:val="0"/>
          <w:bCs/>
          <w:color w:val="auto"/>
          <w:sz w:val="21"/>
          <w:szCs w:val="21"/>
          <w:highlight w:val="none"/>
        </w:rPr>
        <w:t>.2自动调节取样框的角度及位置</w:t>
      </w:r>
    </w:p>
    <w:p w14:paraId="2AEC2877">
      <w:pPr>
        <w:pageBreakBefore w:val="0"/>
        <w:kinsoku/>
        <w:wordWrap/>
        <w:overflowPunct/>
        <w:topLinePunct w:val="0"/>
        <w:autoSpaceDE/>
        <w:autoSpaceDN/>
        <w:bidi w:val="0"/>
        <w:spacing w:line="360" w:lineRule="auto"/>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lang w:val="en-US" w:eastAsia="zh-CN"/>
        </w:rPr>
        <w:t>6</w:t>
      </w:r>
      <w:r>
        <w:rPr>
          <w:rFonts w:hint="eastAsia" w:ascii="宋体" w:hAnsi="宋体" w:eastAsia="宋体" w:cs="宋体"/>
          <w:b w:val="0"/>
          <w:bCs/>
          <w:color w:val="auto"/>
          <w:sz w:val="21"/>
          <w:szCs w:val="21"/>
          <w:highlight w:val="none"/>
        </w:rPr>
        <w:t>.3取样框偏转：线阵探头支持≥ ±20 度，取样框可根据探头血流方向自动调节</w:t>
      </w:r>
    </w:p>
    <w:p w14:paraId="46341211">
      <w:pPr>
        <w:pageBreakBefore w:val="0"/>
        <w:kinsoku/>
        <w:wordWrap/>
        <w:overflowPunct/>
        <w:topLinePunct w:val="0"/>
        <w:autoSpaceDE/>
        <w:autoSpaceDN/>
        <w:bidi w:val="0"/>
        <w:spacing w:line="360" w:lineRule="auto"/>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lang w:val="en-US" w:eastAsia="zh-CN"/>
        </w:rPr>
        <w:t>七</w:t>
      </w:r>
      <w:r>
        <w:rPr>
          <w:rFonts w:hint="eastAsia" w:ascii="宋体" w:hAnsi="宋体" w:eastAsia="宋体" w:cs="宋体"/>
          <w:b w:val="0"/>
          <w:bCs/>
          <w:color w:val="auto"/>
          <w:sz w:val="21"/>
          <w:szCs w:val="21"/>
          <w:highlight w:val="none"/>
          <w:lang w:eastAsia="zh-CN"/>
        </w:rPr>
        <w:t>、</w:t>
      </w:r>
      <w:r>
        <w:rPr>
          <w:rFonts w:hint="eastAsia" w:ascii="宋体" w:hAnsi="宋体" w:eastAsia="宋体" w:cs="宋体"/>
          <w:b w:val="0"/>
          <w:bCs/>
          <w:color w:val="auto"/>
          <w:sz w:val="21"/>
          <w:szCs w:val="21"/>
          <w:highlight w:val="none"/>
        </w:rPr>
        <w:t>频谱多普勒成像</w:t>
      </w:r>
    </w:p>
    <w:p w14:paraId="76A186F4">
      <w:pPr>
        <w:pageBreakBefore w:val="0"/>
        <w:kinsoku/>
        <w:wordWrap/>
        <w:overflowPunct/>
        <w:topLinePunct w:val="0"/>
        <w:autoSpaceDE/>
        <w:autoSpaceDN/>
        <w:bidi w:val="0"/>
        <w:spacing w:line="360" w:lineRule="auto"/>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lang w:val="en-US" w:eastAsia="zh-CN"/>
        </w:rPr>
        <w:t>7</w:t>
      </w:r>
      <w:r>
        <w:rPr>
          <w:rFonts w:hint="eastAsia" w:ascii="宋体" w:hAnsi="宋体" w:eastAsia="宋体" w:cs="宋体"/>
          <w:b w:val="0"/>
          <w:bCs/>
          <w:color w:val="auto"/>
          <w:sz w:val="21"/>
          <w:szCs w:val="21"/>
          <w:highlight w:val="none"/>
        </w:rPr>
        <w:t>.1脉冲多普勒、连续多普勒</w:t>
      </w:r>
    </w:p>
    <w:p w14:paraId="1053308C">
      <w:pPr>
        <w:pageBreakBefore w:val="0"/>
        <w:kinsoku/>
        <w:wordWrap/>
        <w:overflowPunct/>
        <w:topLinePunct w:val="0"/>
        <w:autoSpaceDE/>
        <w:autoSpaceDN/>
        <w:bidi w:val="0"/>
        <w:spacing w:line="360" w:lineRule="auto"/>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lang w:val="en-US" w:eastAsia="zh-CN"/>
        </w:rPr>
        <w:t>7</w:t>
      </w:r>
      <w:r>
        <w:rPr>
          <w:rFonts w:hint="eastAsia" w:ascii="宋体" w:hAnsi="宋体" w:eastAsia="宋体" w:cs="宋体"/>
          <w:b w:val="0"/>
          <w:bCs/>
          <w:color w:val="auto"/>
          <w:sz w:val="21"/>
          <w:szCs w:val="21"/>
          <w:highlight w:val="none"/>
        </w:rPr>
        <w:t>.2自动计算心动周期</w:t>
      </w:r>
    </w:p>
    <w:p w14:paraId="0CE5EF06">
      <w:pPr>
        <w:pageBreakBefore w:val="0"/>
        <w:kinsoku/>
        <w:wordWrap/>
        <w:overflowPunct/>
        <w:topLinePunct w:val="0"/>
        <w:autoSpaceDE/>
        <w:autoSpaceDN/>
        <w:bidi w:val="0"/>
        <w:spacing w:line="360" w:lineRule="auto"/>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123456786.一键自动优化（包括应用于二维、彩色、频谱模式、造影等）</w:t>
      </w:r>
    </w:p>
    <w:p w14:paraId="26F7FBD8">
      <w:pPr>
        <w:pageBreakBefore w:val="0"/>
        <w:kinsoku/>
        <w:wordWrap/>
        <w:overflowPunct/>
        <w:topLinePunct w:val="0"/>
        <w:autoSpaceDE/>
        <w:autoSpaceDN/>
        <w:bidi w:val="0"/>
        <w:spacing w:line="360" w:lineRule="auto"/>
        <w:textAlignment w:val="auto"/>
        <w:rPr>
          <w:rFonts w:hint="eastAsia" w:ascii="宋体" w:hAnsi="宋体" w:eastAsia="宋体" w:cs="宋体"/>
          <w:b w:val="0"/>
          <w:bCs/>
          <w:color w:val="auto"/>
          <w:sz w:val="21"/>
          <w:szCs w:val="21"/>
          <w:highlight w:val="none"/>
          <w:lang w:eastAsia="zh-CN"/>
        </w:rPr>
      </w:pPr>
      <w:r>
        <w:rPr>
          <w:rFonts w:hint="eastAsia" w:ascii="宋体" w:hAnsi="宋体" w:eastAsia="宋体" w:cs="宋体"/>
          <w:b w:val="0"/>
          <w:bCs/>
          <w:color w:val="auto"/>
          <w:sz w:val="21"/>
          <w:szCs w:val="21"/>
          <w:highlight w:val="none"/>
        </w:rPr>
        <w:t>▲</w:t>
      </w:r>
      <w:r>
        <w:rPr>
          <w:rFonts w:hint="eastAsia" w:ascii="宋体" w:hAnsi="宋体" w:eastAsia="宋体" w:cs="宋体"/>
          <w:b w:val="0"/>
          <w:bCs/>
          <w:color w:val="auto"/>
          <w:sz w:val="21"/>
          <w:szCs w:val="21"/>
          <w:highlight w:val="none"/>
          <w:lang w:val="en-US" w:eastAsia="zh-CN"/>
        </w:rPr>
        <w:t>八</w:t>
      </w:r>
      <w:r>
        <w:rPr>
          <w:rFonts w:hint="eastAsia" w:ascii="宋体" w:hAnsi="宋体" w:eastAsia="宋体" w:cs="宋体"/>
          <w:b w:val="0"/>
          <w:bCs/>
          <w:color w:val="auto"/>
          <w:sz w:val="21"/>
          <w:szCs w:val="21"/>
          <w:highlight w:val="none"/>
          <w:lang w:eastAsia="zh-CN"/>
        </w:rPr>
        <w:t>、</w:t>
      </w:r>
      <w:r>
        <w:rPr>
          <w:rFonts w:hint="eastAsia" w:ascii="宋体" w:hAnsi="宋体" w:eastAsia="宋体" w:cs="宋体"/>
          <w:b w:val="0"/>
          <w:bCs/>
          <w:color w:val="auto"/>
          <w:sz w:val="21"/>
          <w:szCs w:val="21"/>
          <w:highlight w:val="none"/>
        </w:rPr>
        <w:t>穿刺针增强：应用于超声引导下的穿刺手术，动态增 强超声图像中针体显示，具有双屏实时对比显示，增强前后效果，并支持自适应校正角度</w:t>
      </w:r>
      <w:r>
        <w:rPr>
          <w:rFonts w:hint="eastAsia" w:ascii="宋体" w:hAnsi="宋体" w:eastAsia="宋体" w:cs="宋体"/>
          <w:b w:val="0"/>
          <w:bCs/>
          <w:color w:val="auto"/>
          <w:sz w:val="21"/>
          <w:szCs w:val="21"/>
          <w:highlight w:val="none"/>
          <w:lang w:eastAsia="zh-CN"/>
        </w:rPr>
        <w:t>。</w:t>
      </w:r>
    </w:p>
    <w:p w14:paraId="6E6A8BD1">
      <w:pPr>
        <w:pageBreakBefore w:val="0"/>
        <w:kinsoku/>
        <w:wordWrap/>
        <w:overflowPunct/>
        <w:topLinePunct w:val="0"/>
        <w:autoSpaceDE/>
        <w:autoSpaceDN/>
        <w:bidi w:val="0"/>
        <w:spacing w:line="360" w:lineRule="auto"/>
        <w:textAlignment w:val="auto"/>
        <w:rPr>
          <w:rFonts w:hint="eastAsia"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lang w:val="en-US" w:eastAsia="zh-CN"/>
        </w:rPr>
        <w:t>九</w:t>
      </w:r>
      <w:r>
        <w:rPr>
          <w:rFonts w:hint="eastAsia" w:ascii="宋体" w:hAnsi="宋体" w:eastAsia="宋体" w:cs="宋体"/>
          <w:b w:val="0"/>
          <w:bCs/>
          <w:color w:val="auto"/>
          <w:sz w:val="21"/>
          <w:szCs w:val="21"/>
          <w:highlight w:val="none"/>
          <w:lang w:eastAsia="zh-CN"/>
        </w:rPr>
        <w:t>、</w:t>
      </w:r>
      <w:r>
        <w:rPr>
          <w:rFonts w:hint="eastAsia" w:ascii="宋体" w:hAnsi="宋体" w:eastAsia="宋体" w:cs="宋体"/>
          <w:b w:val="0"/>
          <w:bCs/>
          <w:color w:val="auto"/>
          <w:sz w:val="21"/>
          <w:szCs w:val="21"/>
          <w:highlight w:val="none"/>
        </w:rPr>
        <w:t>超声教学助手</w:t>
      </w:r>
    </w:p>
    <w:p w14:paraId="64F06B23">
      <w:pPr>
        <w:pageBreakBefore w:val="0"/>
        <w:kinsoku/>
        <w:wordWrap/>
        <w:overflowPunct/>
        <w:topLinePunct w:val="0"/>
        <w:autoSpaceDE/>
        <w:autoSpaceDN/>
        <w:bidi w:val="0"/>
        <w:spacing w:line="360" w:lineRule="auto"/>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lang w:val="en-US" w:eastAsia="zh-CN"/>
        </w:rPr>
        <w:t>十</w:t>
      </w:r>
      <w:r>
        <w:rPr>
          <w:rFonts w:hint="eastAsia" w:ascii="宋体" w:hAnsi="宋体" w:eastAsia="宋体" w:cs="宋体"/>
          <w:b w:val="0"/>
          <w:bCs/>
          <w:color w:val="auto"/>
          <w:sz w:val="21"/>
          <w:szCs w:val="21"/>
          <w:highlight w:val="none"/>
        </w:rPr>
        <w:t>、测量分析和报告</w:t>
      </w:r>
    </w:p>
    <w:p w14:paraId="29FCDF24">
      <w:pPr>
        <w:pageBreakBefore w:val="0"/>
        <w:kinsoku/>
        <w:wordWrap/>
        <w:overflowPunct/>
        <w:topLinePunct w:val="0"/>
        <w:autoSpaceDE/>
        <w:autoSpaceDN/>
        <w:bidi w:val="0"/>
        <w:spacing w:line="360" w:lineRule="auto"/>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lang w:val="en-US" w:eastAsia="zh-CN"/>
        </w:rPr>
        <w:t>10</w:t>
      </w:r>
      <w:r>
        <w:rPr>
          <w:rFonts w:hint="eastAsia" w:ascii="宋体" w:hAnsi="宋体" w:eastAsia="宋体" w:cs="宋体"/>
          <w:b w:val="0"/>
          <w:bCs/>
          <w:color w:val="auto"/>
          <w:sz w:val="21"/>
          <w:szCs w:val="21"/>
          <w:highlight w:val="none"/>
        </w:rPr>
        <w:t>.1常规测量软件包</w:t>
      </w:r>
    </w:p>
    <w:p w14:paraId="38ABDE29">
      <w:pPr>
        <w:pageBreakBefore w:val="0"/>
        <w:kinsoku/>
        <w:wordWrap/>
        <w:overflowPunct/>
        <w:topLinePunct w:val="0"/>
        <w:autoSpaceDE/>
        <w:autoSpaceDN/>
        <w:bidi w:val="0"/>
        <w:spacing w:line="360" w:lineRule="auto"/>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lang w:val="en-US" w:eastAsia="zh-CN"/>
        </w:rPr>
        <w:t>10.</w:t>
      </w:r>
      <w:r>
        <w:rPr>
          <w:rFonts w:hint="eastAsia" w:ascii="宋体" w:hAnsi="宋体" w:eastAsia="宋体" w:cs="宋体"/>
          <w:b w:val="0"/>
          <w:bCs/>
          <w:color w:val="auto"/>
          <w:sz w:val="21"/>
          <w:szCs w:val="21"/>
          <w:highlight w:val="none"/>
        </w:rPr>
        <w:t>2血管内中膜自动测量</w:t>
      </w:r>
    </w:p>
    <w:p w14:paraId="132B666F">
      <w:pPr>
        <w:pageBreakBefore w:val="0"/>
        <w:kinsoku/>
        <w:wordWrap/>
        <w:overflowPunct/>
        <w:topLinePunct w:val="0"/>
        <w:autoSpaceDE/>
        <w:autoSpaceDN/>
        <w:bidi w:val="0"/>
        <w:spacing w:line="360" w:lineRule="auto"/>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lang w:val="en-US" w:eastAsia="zh-CN"/>
        </w:rPr>
        <w:t>10.3</w:t>
      </w:r>
      <w:r>
        <w:rPr>
          <w:rFonts w:hint="eastAsia" w:ascii="宋体" w:hAnsi="宋体" w:eastAsia="宋体" w:cs="宋体"/>
          <w:b w:val="0"/>
          <w:bCs/>
          <w:color w:val="auto"/>
          <w:sz w:val="21"/>
          <w:szCs w:val="21"/>
          <w:highlight w:val="none"/>
        </w:rPr>
        <w:t>可同时进行血管前、后壁的内中膜一段距离的自动描记、自动生成测量数据结果</w:t>
      </w:r>
    </w:p>
    <w:p w14:paraId="6793F6C4">
      <w:pPr>
        <w:pageBreakBefore w:val="0"/>
        <w:kinsoku/>
        <w:wordWrap/>
        <w:overflowPunct/>
        <w:topLinePunct w:val="0"/>
        <w:autoSpaceDE/>
        <w:autoSpaceDN/>
        <w:bidi w:val="0"/>
        <w:spacing w:line="360" w:lineRule="auto"/>
        <w:textAlignment w:val="auto"/>
        <w:rPr>
          <w:rFonts w:hint="eastAsia"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lang w:val="en-US" w:eastAsia="zh-CN"/>
        </w:rPr>
        <w:t>10.4</w:t>
      </w:r>
      <w:r>
        <w:rPr>
          <w:rFonts w:hint="eastAsia" w:ascii="宋体" w:hAnsi="宋体" w:eastAsia="宋体" w:cs="宋体"/>
          <w:b w:val="0"/>
          <w:bCs/>
          <w:color w:val="auto"/>
          <w:sz w:val="21"/>
          <w:szCs w:val="21"/>
          <w:highlight w:val="none"/>
        </w:rPr>
        <w:t>配备腹部凸阵探头，浅表线阵探头</w:t>
      </w:r>
    </w:p>
    <w:p w14:paraId="35DAADB9">
      <w:pPr>
        <w:pageBreakBefore w:val="0"/>
        <w:kinsoku/>
        <w:wordWrap/>
        <w:overflowPunct/>
        <w:topLinePunct w:val="0"/>
        <w:autoSpaceDE/>
        <w:autoSpaceDN/>
        <w:bidi w:val="0"/>
        <w:spacing w:line="360" w:lineRule="auto"/>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lang w:val="en-US" w:eastAsia="zh-CN"/>
        </w:rPr>
        <w:t>十一</w:t>
      </w:r>
      <w:r>
        <w:rPr>
          <w:rFonts w:hint="eastAsia" w:ascii="宋体" w:hAnsi="宋体" w:eastAsia="宋体" w:cs="宋体"/>
          <w:b w:val="0"/>
          <w:bCs/>
          <w:color w:val="auto"/>
          <w:sz w:val="21"/>
          <w:szCs w:val="21"/>
          <w:highlight w:val="none"/>
        </w:rPr>
        <w:t>、电影回放及原始数据处理</w:t>
      </w:r>
    </w:p>
    <w:p w14:paraId="0A547599">
      <w:pPr>
        <w:pageBreakBefore w:val="0"/>
        <w:kinsoku/>
        <w:wordWrap/>
        <w:overflowPunct/>
        <w:topLinePunct w:val="0"/>
        <w:autoSpaceDE/>
        <w:autoSpaceDN/>
        <w:bidi w:val="0"/>
        <w:spacing w:line="360" w:lineRule="auto"/>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lang w:val="en-US" w:eastAsia="zh-CN"/>
        </w:rPr>
        <w:t>11.1</w:t>
      </w:r>
      <w:r>
        <w:rPr>
          <w:rFonts w:hint="eastAsia" w:ascii="宋体" w:hAnsi="宋体" w:eastAsia="宋体" w:cs="宋体"/>
          <w:b w:val="0"/>
          <w:bCs/>
          <w:color w:val="auto"/>
          <w:sz w:val="21"/>
          <w:szCs w:val="21"/>
          <w:highlight w:val="none"/>
        </w:rPr>
        <w:t>.电影回放</w:t>
      </w:r>
    </w:p>
    <w:p w14:paraId="27F8E127">
      <w:pPr>
        <w:pageBreakBefore w:val="0"/>
        <w:kinsoku/>
        <w:wordWrap/>
        <w:overflowPunct/>
        <w:topLinePunct w:val="0"/>
        <w:autoSpaceDE/>
        <w:autoSpaceDN/>
        <w:bidi w:val="0"/>
        <w:spacing w:line="360" w:lineRule="auto"/>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lang w:val="en-US" w:eastAsia="zh-CN"/>
        </w:rPr>
        <w:t>11.1</w:t>
      </w:r>
      <w:r>
        <w:rPr>
          <w:rFonts w:hint="eastAsia" w:ascii="宋体" w:hAnsi="宋体" w:eastAsia="宋体" w:cs="宋体"/>
          <w:b w:val="0"/>
          <w:bCs/>
          <w:color w:val="auto"/>
          <w:sz w:val="21"/>
          <w:szCs w:val="21"/>
          <w:highlight w:val="none"/>
        </w:rPr>
        <w:t>.1所有模式下支持手动、自动回放</w:t>
      </w:r>
    </w:p>
    <w:p w14:paraId="10FB4746">
      <w:pPr>
        <w:pageBreakBefore w:val="0"/>
        <w:kinsoku/>
        <w:wordWrap/>
        <w:overflowPunct/>
        <w:topLinePunct w:val="0"/>
        <w:autoSpaceDE/>
        <w:autoSpaceDN/>
        <w:bidi w:val="0"/>
        <w:spacing w:line="360" w:lineRule="auto"/>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lang w:val="en-US" w:eastAsia="zh-CN"/>
        </w:rPr>
        <w:t>11.1</w:t>
      </w:r>
      <w:r>
        <w:rPr>
          <w:rFonts w:hint="eastAsia" w:ascii="宋体" w:hAnsi="宋体" w:eastAsia="宋体" w:cs="宋体"/>
          <w:b w:val="0"/>
          <w:bCs/>
          <w:color w:val="auto"/>
          <w:sz w:val="21"/>
          <w:szCs w:val="21"/>
          <w:highlight w:val="none"/>
        </w:rPr>
        <w:t>.2支持向后存储和向前存储，时间长度可预置，向后存储≥7分钟的电影</w:t>
      </w:r>
    </w:p>
    <w:p w14:paraId="5AB926F1">
      <w:pPr>
        <w:pageBreakBefore w:val="0"/>
        <w:kinsoku/>
        <w:wordWrap/>
        <w:overflowPunct/>
        <w:topLinePunct w:val="0"/>
        <w:autoSpaceDE/>
        <w:autoSpaceDN/>
        <w:bidi w:val="0"/>
        <w:spacing w:line="360" w:lineRule="auto"/>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lang w:val="en-US" w:eastAsia="zh-CN"/>
        </w:rPr>
        <w:t>十二</w:t>
      </w:r>
      <w:r>
        <w:rPr>
          <w:rFonts w:hint="eastAsia" w:ascii="宋体" w:hAnsi="宋体" w:eastAsia="宋体" w:cs="宋体"/>
          <w:b w:val="0"/>
          <w:bCs/>
          <w:color w:val="auto"/>
          <w:sz w:val="21"/>
          <w:szCs w:val="21"/>
          <w:highlight w:val="none"/>
        </w:rPr>
        <w:t>、信息管理与存储</w:t>
      </w:r>
    </w:p>
    <w:p w14:paraId="1D0B1EF3">
      <w:pPr>
        <w:pageBreakBefore w:val="0"/>
        <w:kinsoku/>
        <w:wordWrap/>
        <w:overflowPunct/>
        <w:topLinePunct w:val="0"/>
        <w:autoSpaceDE/>
        <w:autoSpaceDN/>
        <w:bidi w:val="0"/>
        <w:spacing w:line="360" w:lineRule="auto"/>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lang w:val="en-US" w:eastAsia="zh-CN"/>
        </w:rPr>
        <w:t>12.</w:t>
      </w:r>
      <w:r>
        <w:rPr>
          <w:rFonts w:hint="eastAsia" w:ascii="宋体" w:hAnsi="宋体" w:eastAsia="宋体" w:cs="宋体"/>
          <w:b w:val="0"/>
          <w:bCs/>
          <w:color w:val="auto"/>
          <w:sz w:val="21"/>
          <w:szCs w:val="21"/>
          <w:highlight w:val="none"/>
        </w:rPr>
        <w:t>1</w:t>
      </w:r>
      <w:r>
        <w:rPr>
          <w:rFonts w:hint="eastAsia" w:ascii="宋体" w:hAnsi="宋体" w:eastAsia="宋体" w:cs="宋体"/>
          <w:b w:val="0"/>
          <w:bCs/>
          <w:color w:val="auto"/>
          <w:sz w:val="21"/>
          <w:szCs w:val="21"/>
          <w:highlight w:val="none"/>
          <w:lang w:val="en-US" w:eastAsia="zh-CN"/>
        </w:rPr>
        <w:t xml:space="preserve"> </w:t>
      </w:r>
      <w:r>
        <w:rPr>
          <w:rFonts w:hint="eastAsia" w:ascii="宋体" w:hAnsi="宋体" w:eastAsia="宋体" w:cs="宋体"/>
          <w:b w:val="0"/>
          <w:bCs/>
          <w:color w:val="auto"/>
          <w:sz w:val="21"/>
          <w:szCs w:val="21"/>
          <w:highlight w:val="none"/>
        </w:rPr>
        <w:t>512G SSD固态硬盘</w:t>
      </w:r>
    </w:p>
    <w:p w14:paraId="7DC1CC04">
      <w:pPr>
        <w:pageBreakBefore w:val="0"/>
        <w:kinsoku/>
        <w:wordWrap/>
        <w:overflowPunct/>
        <w:topLinePunct w:val="0"/>
        <w:autoSpaceDE/>
        <w:autoSpaceDN/>
        <w:bidi w:val="0"/>
        <w:spacing w:line="360" w:lineRule="auto"/>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lang w:val="en-US" w:eastAsia="zh-CN"/>
        </w:rPr>
        <w:t>12.</w:t>
      </w:r>
      <w:r>
        <w:rPr>
          <w:rFonts w:hint="eastAsia" w:ascii="宋体" w:hAnsi="宋体" w:eastAsia="宋体" w:cs="宋体"/>
          <w:b w:val="0"/>
          <w:bCs/>
          <w:color w:val="auto"/>
          <w:sz w:val="21"/>
          <w:szCs w:val="21"/>
          <w:highlight w:val="none"/>
        </w:rPr>
        <w:t>2内置超声工作站，支持同步存储，即后台存储或导出图像数据的同时前台可以完成实时扫描，不影响检查操作</w:t>
      </w:r>
    </w:p>
    <w:p w14:paraId="7C823594">
      <w:pPr>
        <w:pageBreakBefore w:val="0"/>
        <w:kinsoku/>
        <w:wordWrap/>
        <w:overflowPunct/>
        <w:topLinePunct w:val="0"/>
        <w:autoSpaceDE/>
        <w:autoSpaceDN/>
        <w:bidi w:val="0"/>
        <w:spacing w:line="360" w:lineRule="auto"/>
        <w:textAlignment w:val="auto"/>
        <w:rPr>
          <w:rFonts w:hint="eastAsia"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lang w:val="en-US" w:eastAsia="zh-CN"/>
        </w:rPr>
        <w:t>12.</w:t>
      </w:r>
      <w:r>
        <w:rPr>
          <w:rFonts w:hint="eastAsia" w:ascii="宋体" w:hAnsi="宋体" w:eastAsia="宋体" w:cs="宋体"/>
          <w:b w:val="0"/>
          <w:bCs/>
          <w:color w:val="auto"/>
          <w:sz w:val="21"/>
          <w:szCs w:val="21"/>
          <w:highlight w:val="none"/>
        </w:rPr>
        <w:t>3动态图像、静态图像以PC格式直接导出（支持单帧图像文件包含： DCM、TIFF、BMP、JPG单帧，电影文件包括：CIN、AVI、DCM、MP4），无需特殊软件即能在普通PC 机上直接观看图像。</w:t>
      </w:r>
    </w:p>
    <w:p w14:paraId="4BE89C29">
      <w:pPr>
        <w:pageBreakBefore w:val="0"/>
        <w:kinsoku/>
        <w:wordWrap/>
        <w:overflowPunct/>
        <w:topLinePunct w:val="0"/>
        <w:autoSpaceDE/>
        <w:autoSpaceDN/>
        <w:bidi w:val="0"/>
        <w:spacing w:line="360" w:lineRule="auto"/>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lang w:val="en-US" w:eastAsia="zh-CN"/>
        </w:rPr>
        <w:t>十三</w:t>
      </w:r>
      <w:r>
        <w:rPr>
          <w:rFonts w:hint="eastAsia" w:ascii="宋体" w:hAnsi="宋体" w:eastAsia="宋体" w:cs="宋体"/>
          <w:b w:val="0"/>
          <w:bCs/>
          <w:color w:val="auto"/>
          <w:sz w:val="21"/>
          <w:szCs w:val="21"/>
          <w:highlight w:val="none"/>
        </w:rPr>
        <w:t>、连通性</w:t>
      </w:r>
    </w:p>
    <w:p w14:paraId="28298CE1">
      <w:pPr>
        <w:pageBreakBefore w:val="0"/>
        <w:kinsoku/>
        <w:wordWrap/>
        <w:overflowPunct/>
        <w:topLinePunct w:val="0"/>
        <w:autoSpaceDE/>
        <w:autoSpaceDN/>
        <w:bidi w:val="0"/>
        <w:spacing w:line="360" w:lineRule="auto"/>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w:t>
      </w:r>
      <w:r>
        <w:rPr>
          <w:rFonts w:hint="eastAsia" w:ascii="宋体" w:hAnsi="宋体" w:eastAsia="宋体" w:cs="宋体"/>
          <w:b w:val="0"/>
          <w:bCs/>
          <w:color w:val="auto"/>
          <w:sz w:val="21"/>
          <w:szCs w:val="21"/>
          <w:highlight w:val="none"/>
          <w:lang w:val="en-US" w:eastAsia="zh-CN"/>
        </w:rPr>
        <w:t>1</w:t>
      </w:r>
      <w:r>
        <w:rPr>
          <w:rFonts w:hint="eastAsia" w:ascii="宋体" w:hAnsi="宋体" w:eastAsia="宋体" w:cs="宋体"/>
          <w:b w:val="0"/>
          <w:bCs/>
          <w:color w:val="auto"/>
          <w:sz w:val="21"/>
          <w:szCs w:val="21"/>
          <w:highlight w:val="none"/>
        </w:rPr>
        <w:t>3.1主机内置HDMI、USB3.0、Type-c、网络接口</w:t>
      </w:r>
    </w:p>
    <w:p w14:paraId="0C520EE7">
      <w:pPr>
        <w:pageBreakBefore w:val="0"/>
        <w:kinsoku/>
        <w:wordWrap/>
        <w:overflowPunct/>
        <w:topLinePunct w:val="0"/>
        <w:autoSpaceDE/>
        <w:autoSpaceDN/>
        <w:bidi w:val="0"/>
        <w:spacing w:line="360" w:lineRule="auto"/>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lang w:val="en-US" w:eastAsia="zh-CN"/>
        </w:rPr>
        <w:t>13.</w:t>
      </w:r>
      <w:r>
        <w:rPr>
          <w:rFonts w:hint="eastAsia" w:ascii="宋体" w:hAnsi="宋体" w:eastAsia="宋体" w:cs="宋体"/>
          <w:b w:val="0"/>
          <w:bCs/>
          <w:color w:val="auto"/>
          <w:sz w:val="21"/>
          <w:szCs w:val="21"/>
          <w:highlight w:val="none"/>
        </w:rPr>
        <w:t>2</w:t>
      </w:r>
      <w:r>
        <w:rPr>
          <w:rFonts w:hint="eastAsia" w:ascii="宋体" w:hAnsi="宋体" w:eastAsia="宋体" w:cs="宋体"/>
          <w:b w:val="0"/>
          <w:bCs/>
          <w:color w:val="auto"/>
          <w:sz w:val="21"/>
          <w:szCs w:val="21"/>
          <w:highlight w:val="none"/>
          <w:lang w:val="en-US" w:eastAsia="zh-CN"/>
        </w:rPr>
        <w:t xml:space="preserve"> </w:t>
      </w:r>
      <w:r>
        <w:rPr>
          <w:rFonts w:hint="eastAsia" w:ascii="宋体" w:hAnsi="宋体" w:eastAsia="宋体" w:cs="宋体"/>
          <w:b w:val="0"/>
          <w:bCs/>
          <w:color w:val="auto"/>
          <w:sz w:val="21"/>
          <w:szCs w:val="21"/>
          <w:highlight w:val="none"/>
        </w:rPr>
        <w:t>DICOM3.0系统</w:t>
      </w:r>
    </w:p>
    <w:p w14:paraId="2DEC256A">
      <w:pPr>
        <w:pageBreakBefore w:val="0"/>
        <w:kinsoku/>
        <w:wordWrap/>
        <w:overflowPunct/>
        <w:topLinePunct w:val="0"/>
        <w:autoSpaceDE/>
        <w:autoSpaceDN/>
        <w:bidi w:val="0"/>
        <w:spacing w:line="360" w:lineRule="auto"/>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lang w:val="en-US" w:eastAsia="zh-CN"/>
        </w:rPr>
        <w:t>13.</w:t>
      </w:r>
      <w:r>
        <w:rPr>
          <w:rFonts w:hint="eastAsia" w:ascii="宋体" w:hAnsi="宋体" w:eastAsia="宋体" w:cs="宋体"/>
          <w:b w:val="0"/>
          <w:bCs/>
          <w:color w:val="auto"/>
          <w:sz w:val="21"/>
          <w:szCs w:val="21"/>
          <w:highlight w:val="none"/>
        </w:rPr>
        <w:t>3多功能台车：可拆卸的储物篮，电源缆线专用放置架，防撞支架</w:t>
      </w:r>
    </w:p>
    <w:p w14:paraId="13AAC4D1">
      <w:pPr>
        <w:pageBreakBefore w:val="0"/>
        <w:kinsoku/>
        <w:wordWrap/>
        <w:overflowPunct/>
        <w:topLinePunct w:val="0"/>
        <w:autoSpaceDE/>
        <w:autoSpaceDN/>
        <w:bidi w:val="0"/>
        <w:spacing w:line="360" w:lineRule="auto"/>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lang w:val="en-US" w:eastAsia="zh-CN"/>
        </w:rPr>
        <w:t>13.</w:t>
      </w:r>
      <w:r>
        <w:rPr>
          <w:rFonts w:hint="eastAsia" w:ascii="宋体" w:hAnsi="宋体" w:eastAsia="宋体" w:cs="宋体"/>
          <w:b w:val="0"/>
          <w:bCs/>
          <w:color w:val="auto"/>
          <w:sz w:val="21"/>
          <w:szCs w:val="21"/>
          <w:highlight w:val="none"/>
        </w:rPr>
        <w:t>4专用旅行箱，可装载主机、探头及相关备件</w:t>
      </w:r>
    </w:p>
    <w:p w14:paraId="3A622579">
      <w:pPr>
        <w:pageBreakBefore w:val="0"/>
        <w:kinsoku/>
        <w:wordWrap/>
        <w:overflowPunct/>
        <w:topLinePunct w:val="0"/>
        <w:autoSpaceDE/>
        <w:autoSpaceDN/>
        <w:bidi w:val="0"/>
        <w:spacing w:line="360" w:lineRule="auto"/>
        <w:textAlignment w:val="auto"/>
        <w:rPr>
          <w:rFonts w:hint="eastAsia" w:ascii="宋体" w:hAnsi="宋体" w:eastAsia="宋体" w:cs="宋体"/>
          <w:b w:val="0"/>
          <w:bCs/>
          <w:color w:val="auto"/>
          <w:sz w:val="21"/>
          <w:szCs w:val="21"/>
          <w:highlight w:val="none"/>
          <w:lang w:val="en-US" w:eastAsia="zh-CN"/>
        </w:rPr>
      </w:pPr>
      <w:r>
        <w:rPr>
          <w:rFonts w:hint="eastAsia" w:ascii="宋体" w:hAnsi="宋体" w:eastAsia="宋体" w:cs="宋体"/>
          <w:color w:val="auto"/>
          <w:highlight w:val="none"/>
        </w:rPr>
        <w:t>★</w:t>
      </w:r>
      <w:r>
        <w:rPr>
          <w:rFonts w:hint="eastAsia" w:ascii="宋体" w:hAnsi="宋体" w:eastAsia="宋体" w:cs="宋体"/>
          <w:b w:val="0"/>
          <w:bCs/>
          <w:color w:val="auto"/>
          <w:sz w:val="21"/>
          <w:szCs w:val="21"/>
          <w:highlight w:val="none"/>
          <w:lang w:val="en-US" w:eastAsia="zh-CN"/>
        </w:rPr>
        <w:t>十四</w:t>
      </w:r>
      <w:r>
        <w:rPr>
          <w:rFonts w:hint="eastAsia" w:ascii="宋体" w:hAnsi="宋体" w:eastAsia="宋体" w:cs="宋体"/>
          <w:b w:val="0"/>
          <w:bCs/>
          <w:color w:val="auto"/>
          <w:sz w:val="21"/>
          <w:szCs w:val="21"/>
          <w:highlight w:val="none"/>
        </w:rPr>
        <w:t>、</w:t>
      </w:r>
      <w:r>
        <w:rPr>
          <w:rFonts w:hint="eastAsia" w:ascii="宋体" w:hAnsi="宋体" w:eastAsia="宋体" w:cs="宋体"/>
          <w:b w:val="0"/>
          <w:bCs/>
          <w:color w:val="auto"/>
          <w:sz w:val="21"/>
          <w:szCs w:val="21"/>
          <w:highlight w:val="none"/>
          <w:lang w:val="en-US" w:eastAsia="zh-CN"/>
        </w:rPr>
        <w:t>配置清单</w:t>
      </w:r>
    </w:p>
    <w:tbl>
      <w:tblPr>
        <w:tblStyle w:val="48"/>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599"/>
        <w:gridCol w:w="2921"/>
      </w:tblGrid>
      <w:tr w14:paraId="72995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trPr>
        <w:tc>
          <w:tcPr>
            <w:tcW w:w="3285" w:type="pct"/>
            <w:noWrap w:val="0"/>
            <w:vAlign w:val="center"/>
          </w:tcPr>
          <w:p w14:paraId="0CB2B283">
            <w:pPr>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auto"/>
                <w:sz w:val="21"/>
                <w:szCs w:val="21"/>
                <w:highlight w:val="none"/>
                <w:vertAlign w:val="baseline"/>
                <w:lang w:val="en-US" w:eastAsia="zh-CN"/>
              </w:rPr>
            </w:pPr>
            <w:r>
              <w:rPr>
                <w:rFonts w:hint="eastAsia" w:ascii="宋体" w:hAnsi="宋体" w:eastAsia="宋体" w:cs="宋体"/>
                <w:b/>
                <w:bCs/>
                <w:color w:val="auto"/>
                <w:sz w:val="21"/>
                <w:szCs w:val="21"/>
                <w:highlight w:val="none"/>
                <w:vertAlign w:val="baseline"/>
                <w:lang w:val="en-US" w:eastAsia="zh-CN"/>
              </w:rPr>
              <w:t>名称</w:t>
            </w:r>
          </w:p>
        </w:tc>
        <w:tc>
          <w:tcPr>
            <w:tcW w:w="1714" w:type="pct"/>
            <w:noWrap w:val="0"/>
            <w:vAlign w:val="center"/>
          </w:tcPr>
          <w:p w14:paraId="59DBAD92">
            <w:pPr>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auto"/>
                <w:sz w:val="21"/>
                <w:szCs w:val="21"/>
                <w:highlight w:val="none"/>
                <w:vertAlign w:val="baseline"/>
                <w:lang w:val="en-US" w:eastAsia="zh-CN"/>
              </w:rPr>
            </w:pPr>
            <w:r>
              <w:rPr>
                <w:rFonts w:hint="eastAsia" w:ascii="宋体" w:hAnsi="宋体" w:eastAsia="宋体" w:cs="宋体"/>
                <w:b/>
                <w:bCs/>
                <w:color w:val="auto"/>
                <w:sz w:val="21"/>
                <w:szCs w:val="21"/>
                <w:highlight w:val="none"/>
                <w:vertAlign w:val="baseline"/>
                <w:lang w:val="en-US" w:eastAsia="zh-CN"/>
              </w:rPr>
              <w:t>数量</w:t>
            </w:r>
          </w:p>
        </w:tc>
      </w:tr>
      <w:tr w14:paraId="46D2D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rPr>
        <w:tc>
          <w:tcPr>
            <w:tcW w:w="3285" w:type="pct"/>
            <w:noWrap w:val="0"/>
            <w:vAlign w:val="center"/>
          </w:tcPr>
          <w:p w14:paraId="0B9CC62E">
            <w:pPr>
              <w:spacing w:line="360" w:lineRule="auto"/>
              <w:jc w:val="center"/>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便携式彩色多普勒超声诊断系统</w:t>
            </w:r>
          </w:p>
        </w:tc>
        <w:tc>
          <w:tcPr>
            <w:tcW w:w="1714" w:type="pct"/>
            <w:noWrap w:val="0"/>
            <w:vAlign w:val="center"/>
          </w:tcPr>
          <w:p w14:paraId="3F10ABDD">
            <w:pPr>
              <w:spacing w:line="360" w:lineRule="auto"/>
              <w:jc w:val="center"/>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1套</w:t>
            </w:r>
          </w:p>
        </w:tc>
      </w:tr>
      <w:tr w14:paraId="221C4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3285" w:type="pct"/>
            <w:noWrap w:val="0"/>
            <w:vAlign w:val="center"/>
          </w:tcPr>
          <w:p w14:paraId="27F0B429">
            <w:pPr>
              <w:spacing w:line="360" w:lineRule="auto"/>
              <w:jc w:val="center"/>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台车</w:t>
            </w:r>
          </w:p>
        </w:tc>
        <w:tc>
          <w:tcPr>
            <w:tcW w:w="1714" w:type="pct"/>
            <w:noWrap w:val="0"/>
            <w:vAlign w:val="center"/>
          </w:tcPr>
          <w:p w14:paraId="6C664F07">
            <w:pPr>
              <w:spacing w:line="360" w:lineRule="auto"/>
              <w:jc w:val="center"/>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1台</w:t>
            </w:r>
          </w:p>
        </w:tc>
      </w:tr>
      <w:tr w14:paraId="5884D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3285" w:type="pct"/>
            <w:noWrap w:val="0"/>
            <w:vAlign w:val="center"/>
          </w:tcPr>
          <w:p w14:paraId="7AEED1A7">
            <w:pPr>
              <w:spacing w:line="360" w:lineRule="auto"/>
              <w:jc w:val="center"/>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浅表血管线阵探头</w:t>
            </w:r>
          </w:p>
        </w:tc>
        <w:tc>
          <w:tcPr>
            <w:tcW w:w="1714" w:type="pct"/>
            <w:noWrap w:val="0"/>
            <w:vAlign w:val="center"/>
          </w:tcPr>
          <w:p w14:paraId="604344C4">
            <w:pPr>
              <w:spacing w:line="360" w:lineRule="auto"/>
              <w:jc w:val="center"/>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1把</w:t>
            </w:r>
          </w:p>
        </w:tc>
      </w:tr>
      <w:tr w14:paraId="61C5C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3285" w:type="pct"/>
            <w:noWrap w:val="0"/>
            <w:vAlign w:val="center"/>
          </w:tcPr>
          <w:p w14:paraId="1F930088">
            <w:pPr>
              <w:spacing w:line="360" w:lineRule="auto"/>
              <w:jc w:val="center"/>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腹部血管凸阵探头</w:t>
            </w:r>
          </w:p>
        </w:tc>
        <w:tc>
          <w:tcPr>
            <w:tcW w:w="1714" w:type="pct"/>
            <w:noWrap w:val="0"/>
            <w:vAlign w:val="center"/>
          </w:tcPr>
          <w:p w14:paraId="121F3CF3">
            <w:pPr>
              <w:spacing w:line="360" w:lineRule="auto"/>
              <w:jc w:val="center"/>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1把</w:t>
            </w:r>
          </w:p>
        </w:tc>
      </w:tr>
    </w:tbl>
    <w:p w14:paraId="5E8FCFCD">
      <w:pPr>
        <w:pageBreakBefore w:val="0"/>
        <w:kinsoku/>
        <w:wordWrap/>
        <w:overflowPunct/>
        <w:topLinePunct w:val="0"/>
        <w:autoSpaceDE/>
        <w:autoSpaceDN/>
        <w:bidi w:val="0"/>
        <w:spacing w:line="0" w:lineRule="atLeast"/>
        <w:textAlignment w:val="auto"/>
        <w:rPr>
          <w:rFonts w:hint="eastAsia" w:ascii="宋体" w:hAnsi="宋体" w:eastAsia="宋体" w:cs="宋体"/>
          <w:color w:val="auto"/>
          <w:sz w:val="21"/>
          <w:szCs w:val="21"/>
          <w:highlight w:val="none"/>
          <w:lang w:val="en-US" w:eastAsia="zh-CN"/>
        </w:rPr>
      </w:pPr>
    </w:p>
    <w:p w14:paraId="534D4964">
      <w:pPr>
        <w:pageBreakBefore w:val="0"/>
        <w:kinsoku/>
        <w:wordWrap/>
        <w:overflowPunct/>
        <w:topLinePunct w:val="0"/>
        <w:autoSpaceDE/>
        <w:autoSpaceDN/>
        <w:bidi w:val="0"/>
        <w:spacing w:line="360" w:lineRule="auto"/>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十五、商务要求</w:t>
      </w:r>
    </w:p>
    <w:p w14:paraId="0217F1BB">
      <w:pPr>
        <w:pageBreakBefore w:val="0"/>
        <w:widowControl/>
        <w:kinsoku/>
        <w:wordWrap/>
        <w:overflowPunct/>
        <w:topLinePunct w:val="0"/>
        <w:autoSpaceDE/>
        <w:autoSpaceDN/>
        <w:bidi w:val="0"/>
        <w:spacing w:beforeAutospacing="0" w:after="0" w:afterAutospacing="0" w:line="360" w:lineRule="auto"/>
        <w:jc w:val="left"/>
        <w:textAlignment w:val="auto"/>
        <w:rPr>
          <w:rFonts w:hint="eastAsia" w:ascii="宋体" w:hAnsi="宋体" w:eastAsia="宋体" w:cs="宋体"/>
          <w:i w:val="0"/>
          <w:caps w:val="0"/>
          <w:color w:val="auto"/>
          <w:spacing w:val="0"/>
          <w:kern w:val="0"/>
          <w:sz w:val="21"/>
          <w:szCs w:val="21"/>
          <w:highlight w:val="none"/>
          <w:u w:val="none"/>
          <w:lang w:val="en-US" w:eastAsia="zh-CN" w:bidi="ar"/>
        </w:rPr>
      </w:pPr>
      <w:r>
        <w:rPr>
          <w:rFonts w:hint="eastAsia" w:ascii="宋体" w:hAnsi="宋体" w:eastAsia="宋体" w:cs="宋体"/>
          <w:i w:val="0"/>
          <w:caps w:val="0"/>
          <w:color w:val="auto"/>
          <w:spacing w:val="0"/>
          <w:kern w:val="0"/>
          <w:sz w:val="21"/>
          <w:szCs w:val="21"/>
          <w:highlight w:val="none"/>
          <w:u w:val="none"/>
          <w:lang w:val="en-US" w:eastAsia="zh-CN" w:bidi="ar"/>
        </w:rPr>
        <w:t>★15.1、运输、装卸、培训、安装调试：由中标人负责承担，最终通过使用科室、设备科及相关部门确认验收交付使用。国产设备交付，设备必须为6个月内生产的产品；进口设备交付，设备必须为一年内生产的产品。</w:t>
      </w:r>
    </w:p>
    <w:p w14:paraId="264ABC6D">
      <w:pPr>
        <w:pageBreakBefore w:val="0"/>
        <w:widowControl/>
        <w:kinsoku/>
        <w:wordWrap/>
        <w:overflowPunct/>
        <w:topLinePunct w:val="0"/>
        <w:autoSpaceDE/>
        <w:autoSpaceDN/>
        <w:bidi w:val="0"/>
        <w:spacing w:beforeAutospacing="0" w:after="0" w:afterAutospacing="0" w:line="360" w:lineRule="auto"/>
        <w:jc w:val="left"/>
        <w:textAlignment w:val="auto"/>
        <w:rPr>
          <w:rFonts w:hint="eastAsia" w:ascii="宋体" w:hAnsi="宋体" w:eastAsia="宋体" w:cs="宋体"/>
          <w:i w:val="0"/>
          <w:caps w:val="0"/>
          <w:color w:val="auto"/>
          <w:spacing w:val="0"/>
          <w:kern w:val="0"/>
          <w:sz w:val="21"/>
          <w:szCs w:val="21"/>
          <w:highlight w:val="none"/>
          <w:u w:val="none"/>
          <w:lang w:val="en-US" w:eastAsia="zh-CN" w:bidi="ar"/>
        </w:rPr>
      </w:pPr>
      <w:r>
        <w:rPr>
          <w:rFonts w:hint="eastAsia" w:ascii="宋体" w:hAnsi="宋体" w:eastAsia="宋体" w:cs="宋体"/>
          <w:i w:val="0"/>
          <w:caps w:val="0"/>
          <w:color w:val="auto"/>
          <w:spacing w:val="0"/>
          <w:kern w:val="0"/>
          <w:sz w:val="21"/>
          <w:szCs w:val="21"/>
          <w:highlight w:val="none"/>
          <w:u w:val="none"/>
          <w:lang w:val="en-US" w:eastAsia="zh-CN" w:bidi="ar"/>
        </w:rPr>
        <w:t>★15.2、交货时间：按合同约定的日期交货。</w:t>
      </w:r>
    </w:p>
    <w:p w14:paraId="51E0B91B">
      <w:pPr>
        <w:pageBreakBefore w:val="0"/>
        <w:widowControl/>
        <w:kinsoku/>
        <w:wordWrap/>
        <w:overflowPunct/>
        <w:topLinePunct w:val="0"/>
        <w:autoSpaceDE/>
        <w:autoSpaceDN/>
        <w:bidi w:val="0"/>
        <w:spacing w:beforeAutospacing="0" w:after="0" w:afterAutospacing="0" w:line="360" w:lineRule="auto"/>
        <w:jc w:val="left"/>
        <w:textAlignment w:val="auto"/>
        <w:rPr>
          <w:rFonts w:hint="eastAsia" w:ascii="宋体" w:hAnsi="宋体" w:eastAsia="宋体" w:cs="宋体"/>
          <w:i w:val="0"/>
          <w:caps w:val="0"/>
          <w:color w:val="auto"/>
          <w:spacing w:val="0"/>
          <w:kern w:val="0"/>
          <w:sz w:val="21"/>
          <w:szCs w:val="21"/>
          <w:highlight w:val="none"/>
          <w:u w:val="none"/>
          <w:lang w:val="en-US" w:eastAsia="zh-CN" w:bidi="ar"/>
        </w:rPr>
      </w:pPr>
      <w:r>
        <w:rPr>
          <w:rFonts w:hint="eastAsia" w:ascii="宋体" w:hAnsi="宋体" w:eastAsia="宋体" w:cs="宋体"/>
          <w:i w:val="0"/>
          <w:caps w:val="0"/>
          <w:color w:val="auto"/>
          <w:spacing w:val="0"/>
          <w:kern w:val="0"/>
          <w:sz w:val="21"/>
          <w:szCs w:val="21"/>
          <w:highlight w:val="none"/>
          <w:u w:val="none"/>
          <w:lang w:val="en-US" w:eastAsia="zh-CN" w:bidi="ar"/>
        </w:rPr>
        <w:t>★15.3、交货地点：娄底市中心医院指定地点。</w:t>
      </w:r>
    </w:p>
    <w:p w14:paraId="55C46A78">
      <w:pPr>
        <w:pageBreakBefore w:val="0"/>
        <w:widowControl/>
        <w:kinsoku/>
        <w:wordWrap/>
        <w:overflowPunct/>
        <w:topLinePunct w:val="0"/>
        <w:autoSpaceDE/>
        <w:autoSpaceDN/>
        <w:bidi w:val="0"/>
        <w:spacing w:beforeAutospacing="0" w:after="0" w:afterAutospacing="0" w:line="360" w:lineRule="auto"/>
        <w:jc w:val="left"/>
        <w:textAlignment w:val="auto"/>
        <w:rPr>
          <w:rFonts w:hint="eastAsia" w:ascii="宋体" w:hAnsi="宋体" w:eastAsia="宋体" w:cs="宋体"/>
          <w:i w:val="0"/>
          <w:caps w:val="0"/>
          <w:color w:val="auto"/>
          <w:spacing w:val="0"/>
          <w:kern w:val="0"/>
          <w:sz w:val="21"/>
          <w:szCs w:val="21"/>
          <w:highlight w:val="none"/>
          <w:u w:val="none"/>
          <w:lang w:val="en-US" w:eastAsia="zh-CN" w:bidi="ar"/>
        </w:rPr>
      </w:pPr>
      <w:r>
        <w:rPr>
          <w:rFonts w:hint="eastAsia" w:ascii="宋体" w:hAnsi="宋体" w:eastAsia="宋体" w:cs="宋体"/>
          <w:i w:val="0"/>
          <w:caps w:val="0"/>
          <w:color w:val="auto"/>
          <w:spacing w:val="0"/>
          <w:kern w:val="0"/>
          <w:sz w:val="21"/>
          <w:szCs w:val="21"/>
          <w:highlight w:val="none"/>
          <w:u w:val="none"/>
          <w:lang w:val="en-US" w:eastAsia="zh-CN" w:bidi="ar"/>
        </w:rPr>
        <w:t>★15.4、付款方式：设备验收合格后，供应商将发票交到娄底市中心医院后按程序支付货款90%（按医院财务制度一般情况下4个月内支付、特殊情况下最多不超过6个月），甲方在设备验收合格满3年后支付10%余款给乙方。</w:t>
      </w:r>
    </w:p>
    <w:p w14:paraId="2B6F8229">
      <w:pPr>
        <w:pageBreakBefore w:val="0"/>
        <w:widowControl/>
        <w:kinsoku/>
        <w:wordWrap/>
        <w:overflowPunct/>
        <w:topLinePunct w:val="0"/>
        <w:autoSpaceDE/>
        <w:autoSpaceDN/>
        <w:bidi w:val="0"/>
        <w:spacing w:beforeAutospacing="0" w:after="0" w:afterAutospacing="0" w:line="360" w:lineRule="auto"/>
        <w:jc w:val="left"/>
        <w:textAlignment w:val="auto"/>
        <w:rPr>
          <w:rFonts w:hint="eastAsia" w:ascii="宋体" w:hAnsi="宋体" w:eastAsia="宋体" w:cs="宋体"/>
          <w:i w:val="0"/>
          <w:caps w:val="0"/>
          <w:color w:val="auto"/>
          <w:spacing w:val="0"/>
          <w:kern w:val="0"/>
          <w:sz w:val="21"/>
          <w:szCs w:val="21"/>
          <w:highlight w:val="none"/>
          <w:u w:val="none"/>
          <w:lang w:val="en-US" w:eastAsia="zh-CN" w:bidi="ar"/>
        </w:rPr>
      </w:pPr>
      <w:r>
        <w:rPr>
          <w:rFonts w:hint="eastAsia" w:ascii="宋体" w:hAnsi="宋体" w:eastAsia="宋体" w:cs="宋体"/>
          <w:i w:val="0"/>
          <w:caps w:val="0"/>
          <w:color w:val="auto"/>
          <w:spacing w:val="0"/>
          <w:kern w:val="0"/>
          <w:sz w:val="21"/>
          <w:szCs w:val="21"/>
          <w:highlight w:val="none"/>
          <w:u w:val="none"/>
          <w:lang w:val="en-US" w:eastAsia="zh-CN" w:bidi="ar"/>
        </w:rPr>
        <w:t>★15.5、质保与售后：整机保修3 年</w:t>
      </w:r>
      <w:r>
        <w:rPr>
          <w:rFonts w:hint="eastAsia"/>
          <w:color w:val="auto"/>
          <w:highlight w:val="none"/>
          <w:lang w:eastAsia="zh-CN"/>
        </w:rPr>
        <w:t>（含探头）</w:t>
      </w:r>
      <w:r>
        <w:rPr>
          <w:rFonts w:hint="eastAsia" w:ascii="宋体" w:hAnsi="宋体" w:eastAsia="宋体" w:cs="宋体"/>
          <w:i w:val="0"/>
          <w:caps w:val="0"/>
          <w:color w:val="auto"/>
          <w:spacing w:val="0"/>
          <w:kern w:val="0"/>
          <w:sz w:val="21"/>
          <w:szCs w:val="21"/>
          <w:highlight w:val="none"/>
          <w:u w:val="none"/>
          <w:lang w:val="en-US" w:eastAsia="zh-CN" w:bidi="ar"/>
        </w:rPr>
        <w:t>，终身维修。验收时出具原厂售后质保承诺书，质保期内每年巡检一次，并提交巡检记录。质保期内出现故障，1小时响应，响应后24小时上门服务。</w:t>
      </w:r>
    </w:p>
    <w:p w14:paraId="2B7BCE7A">
      <w:pPr>
        <w:pageBreakBefore w:val="0"/>
        <w:widowControl/>
        <w:kinsoku/>
        <w:wordWrap/>
        <w:overflowPunct/>
        <w:topLinePunct w:val="0"/>
        <w:autoSpaceDE/>
        <w:autoSpaceDN/>
        <w:bidi w:val="0"/>
        <w:spacing w:beforeAutospacing="0" w:after="0" w:afterAutospacing="0" w:line="360" w:lineRule="auto"/>
        <w:jc w:val="left"/>
        <w:textAlignment w:val="auto"/>
        <w:rPr>
          <w:rFonts w:hint="eastAsia" w:ascii="宋体" w:hAnsi="宋体" w:eastAsia="宋体" w:cs="宋体"/>
          <w:i w:val="0"/>
          <w:caps w:val="0"/>
          <w:color w:val="auto"/>
          <w:spacing w:val="0"/>
          <w:kern w:val="0"/>
          <w:sz w:val="21"/>
          <w:szCs w:val="21"/>
          <w:highlight w:val="none"/>
          <w:u w:val="none"/>
          <w:lang w:val="en-US" w:eastAsia="zh-CN" w:bidi="ar"/>
        </w:rPr>
      </w:pPr>
      <w:r>
        <w:rPr>
          <w:rFonts w:hint="eastAsia" w:ascii="宋体" w:hAnsi="宋体" w:eastAsia="宋体" w:cs="宋体"/>
          <w:i w:val="0"/>
          <w:caps w:val="0"/>
          <w:color w:val="auto"/>
          <w:spacing w:val="0"/>
          <w:kern w:val="0"/>
          <w:sz w:val="21"/>
          <w:szCs w:val="21"/>
          <w:highlight w:val="none"/>
          <w:u w:val="none"/>
          <w:lang w:val="en-US" w:eastAsia="zh-CN" w:bidi="ar"/>
        </w:rPr>
        <w:t>★15.6、在投标文件中必须提供相关技术资料并加盖投标人公章（如技术参数、技术白皮书、说明书、彩页等），并在响应表中对</w:t>
      </w:r>
      <w:r>
        <w:rPr>
          <w:rFonts w:hint="eastAsia" w:ascii="宋体" w:hAnsi="宋体" w:cs="宋体"/>
          <w:color w:val="auto"/>
          <w:sz w:val="21"/>
          <w:szCs w:val="21"/>
          <w:highlight w:val="none"/>
          <w:lang w:val="en-US" w:eastAsia="zh-CN"/>
        </w:rPr>
        <w:t>技术参数中</w:t>
      </w:r>
      <w:r>
        <w:rPr>
          <w:rFonts w:hint="eastAsia" w:ascii="宋体" w:hAnsi="宋体" w:eastAsia="宋体" w:cs="宋体"/>
          <w:i w:val="0"/>
          <w:caps w:val="0"/>
          <w:color w:val="auto"/>
          <w:spacing w:val="0"/>
          <w:kern w:val="0"/>
          <w:sz w:val="21"/>
          <w:szCs w:val="21"/>
          <w:highlight w:val="none"/>
          <w:u w:val="none"/>
          <w:lang w:val="en-US" w:eastAsia="zh-CN" w:bidi="ar"/>
        </w:rPr>
        <w:t>“★”、“▲”以及要求提供佐证材料的条款备注该条参数响应或正偏离的佐证资料所在页码。</w:t>
      </w:r>
    </w:p>
    <w:p w14:paraId="4D352068">
      <w:pPr>
        <w:pageBreakBefore w:val="0"/>
        <w:widowControl/>
        <w:kinsoku/>
        <w:wordWrap/>
        <w:overflowPunct/>
        <w:topLinePunct w:val="0"/>
        <w:autoSpaceDE/>
        <w:autoSpaceDN/>
        <w:bidi w:val="0"/>
        <w:spacing w:beforeAutospacing="0" w:after="0" w:afterAutospacing="0" w:line="360" w:lineRule="auto"/>
        <w:jc w:val="left"/>
        <w:textAlignment w:val="auto"/>
        <w:rPr>
          <w:rFonts w:hint="eastAsia" w:ascii="宋体" w:hAnsi="宋体" w:eastAsia="宋体" w:cs="宋体"/>
          <w:i w:val="0"/>
          <w:caps w:val="0"/>
          <w:color w:val="auto"/>
          <w:spacing w:val="0"/>
          <w:kern w:val="0"/>
          <w:sz w:val="21"/>
          <w:szCs w:val="21"/>
          <w:highlight w:val="none"/>
          <w:u w:val="none"/>
          <w:lang w:val="en-US" w:eastAsia="zh-CN" w:bidi="ar"/>
        </w:rPr>
      </w:pPr>
      <w:r>
        <w:rPr>
          <w:rFonts w:hint="eastAsia" w:ascii="宋体" w:hAnsi="宋体" w:eastAsia="宋体" w:cs="宋体"/>
          <w:i w:val="0"/>
          <w:caps w:val="0"/>
          <w:color w:val="auto"/>
          <w:spacing w:val="0"/>
          <w:kern w:val="0"/>
          <w:sz w:val="21"/>
          <w:szCs w:val="21"/>
          <w:highlight w:val="none"/>
          <w:u w:val="none"/>
          <w:lang w:val="en-US" w:eastAsia="zh-CN" w:bidi="ar"/>
        </w:rPr>
        <w:t>★15.7、设备如涉及网络接口费用，由中标人承担，采购人不再出具任何费用。</w:t>
      </w:r>
    </w:p>
    <w:p w14:paraId="5A93B8CC">
      <w:pPr>
        <w:pStyle w:val="22"/>
        <w:adjustRightInd w:val="0"/>
        <w:snapToGrid w:val="0"/>
        <w:spacing w:line="360" w:lineRule="auto"/>
        <w:jc w:val="center"/>
        <w:outlineLvl w:val="9"/>
        <w:rPr>
          <w:rFonts w:hint="eastAsia" w:ascii="宋体" w:hAnsi="宋体" w:eastAsia="宋体" w:cs="宋体"/>
          <w:b/>
          <w:bCs/>
          <w:color w:val="auto"/>
          <w:sz w:val="21"/>
          <w:szCs w:val="21"/>
          <w:highlight w:val="none"/>
          <w:lang w:val="en-US" w:eastAsia="zh-CN"/>
        </w:rPr>
      </w:pPr>
    </w:p>
    <w:p w14:paraId="6BA2F3E3">
      <w:pPr>
        <w:pStyle w:val="22"/>
        <w:adjustRightInd w:val="0"/>
        <w:snapToGrid w:val="0"/>
        <w:spacing w:line="360" w:lineRule="auto"/>
        <w:jc w:val="center"/>
        <w:outlineLvl w:val="9"/>
        <w:rPr>
          <w:rFonts w:hint="eastAsia" w:ascii="宋体" w:hAnsi="宋体" w:eastAsia="宋体" w:cs="宋体"/>
          <w:b/>
          <w:bCs/>
          <w:color w:val="auto"/>
          <w:sz w:val="21"/>
          <w:szCs w:val="21"/>
          <w:highlight w:val="none"/>
          <w:lang w:val="en-US" w:eastAsia="zh-CN"/>
        </w:rPr>
      </w:pPr>
    </w:p>
    <w:p w14:paraId="154DBFEB">
      <w:pPr>
        <w:pStyle w:val="22"/>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1"/>
        <w:rPr>
          <w:rFonts w:hint="eastAsia" w:ascii="宋体" w:hAnsi="宋体" w:eastAsia="宋体" w:cs="宋体"/>
          <w:b/>
          <w:bCs/>
          <w:color w:val="auto"/>
          <w:kern w:val="2"/>
          <w:sz w:val="21"/>
          <w:szCs w:val="21"/>
          <w:highlight w:val="none"/>
          <w:lang w:val="en-US" w:eastAsia="zh-CN" w:bidi="ar-SA"/>
        </w:rPr>
      </w:pPr>
      <w:bookmarkStart w:id="1215" w:name="_Toc1561903132"/>
      <w:r>
        <w:rPr>
          <w:rFonts w:hint="eastAsia" w:ascii="宋体" w:hAnsi="宋体" w:eastAsia="宋体" w:cs="宋体"/>
          <w:b/>
          <w:bCs/>
          <w:color w:val="auto"/>
          <w:sz w:val="21"/>
          <w:szCs w:val="21"/>
          <w:highlight w:val="none"/>
          <w:lang w:val="en-US" w:eastAsia="zh-CN"/>
        </w:rPr>
        <w:t>序号</w:t>
      </w:r>
      <w:r>
        <w:rPr>
          <w:rFonts w:hint="eastAsia" w:hAnsi="宋体" w:cs="宋体"/>
          <w:b/>
          <w:bCs/>
          <w:color w:val="auto"/>
          <w:kern w:val="2"/>
          <w:sz w:val="21"/>
          <w:szCs w:val="21"/>
          <w:highlight w:val="none"/>
          <w:lang w:val="en-US" w:eastAsia="zh-CN" w:bidi="ar-SA"/>
        </w:rPr>
        <w:t>4</w:t>
      </w:r>
      <w:r>
        <w:rPr>
          <w:rFonts w:hint="eastAsia" w:ascii="宋体" w:hAnsi="宋体" w:eastAsia="宋体" w:cs="宋体"/>
          <w:b/>
          <w:bCs/>
          <w:color w:val="auto"/>
          <w:kern w:val="2"/>
          <w:sz w:val="21"/>
          <w:szCs w:val="21"/>
          <w:highlight w:val="none"/>
          <w:lang w:val="en-US" w:eastAsia="zh-CN" w:bidi="ar-SA"/>
        </w:rPr>
        <w:t>便携式彩色多普勒超声诊断仪（心脏用）</w:t>
      </w:r>
      <w:bookmarkEnd w:id="1215"/>
    </w:p>
    <w:p w14:paraId="29EE0D13">
      <w:pPr>
        <w:pageBreakBefore w:val="0"/>
        <w:kinsoku/>
        <w:wordWrap/>
        <w:overflowPunct/>
        <w:topLinePunct w:val="0"/>
        <w:autoSpaceDE/>
        <w:autoSpaceDN/>
        <w:bidi w:val="0"/>
        <w:spacing w:line="360" w:lineRule="auto"/>
        <w:ind w:left="0" w:leftChars="0" w:firstLine="0" w:firstLineChars="0"/>
        <w:textAlignment w:val="auto"/>
        <w:rPr>
          <w:rFonts w:hint="eastAsia" w:ascii="宋体" w:hAnsi="宋体" w:eastAsia="宋体" w:cs="宋体"/>
          <w:i w:val="0"/>
          <w:caps w:val="0"/>
          <w:color w:val="auto"/>
          <w:spacing w:val="0"/>
          <w:sz w:val="21"/>
          <w:szCs w:val="21"/>
          <w:highlight w:val="none"/>
          <w:u w:val="none"/>
        </w:rPr>
      </w:pPr>
      <w:r>
        <w:rPr>
          <w:rFonts w:hint="eastAsia" w:ascii="宋体" w:hAnsi="宋体" w:eastAsia="宋体" w:cs="宋体"/>
          <w:b/>
          <w:bCs/>
          <w:i w:val="0"/>
          <w:caps w:val="0"/>
          <w:color w:val="auto"/>
          <w:spacing w:val="0"/>
          <w:kern w:val="0"/>
          <w:sz w:val="21"/>
          <w:szCs w:val="21"/>
          <w:highlight w:val="none"/>
          <w:u w:val="none"/>
          <w:lang w:val="en-US" w:eastAsia="zh-CN" w:bidi="ar"/>
        </w:rPr>
        <w:t>一、货物名称：</w:t>
      </w:r>
      <w:r>
        <w:rPr>
          <w:rFonts w:hint="eastAsia" w:ascii="宋体" w:hAnsi="宋体" w:eastAsia="宋体" w:cs="宋体"/>
          <w:color w:val="auto"/>
          <w:kern w:val="0"/>
          <w:sz w:val="21"/>
          <w:szCs w:val="21"/>
          <w:highlight w:val="none"/>
          <w:lang w:val="en-US" w:eastAsia="zh-CN" w:bidi="ar"/>
        </w:rPr>
        <w:t>便携式彩色多普勒超声诊断仪（心脏用）</w:t>
      </w:r>
    </w:p>
    <w:p w14:paraId="0921FF21">
      <w:pPr>
        <w:pStyle w:val="41"/>
        <w:pageBreakBefore w:val="0"/>
        <w:widowControl/>
        <w:kinsoku/>
        <w:wordWrap/>
        <w:overflowPunct/>
        <w:topLinePunct w:val="0"/>
        <w:autoSpaceDE/>
        <w:autoSpaceDN/>
        <w:bidi w:val="0"/>
        <w:spacing w:beforeAutospacing="0" w:after="0" w:afterAutospacing="0" w:line="360" w:lineRule="auto"/>
        <w:ind w:right="0"/>
        <w:jc w:val="left"/>
        <w:textAlignment w:val="auto"/>
        <w:rPr>
          <w:rFonts w:hint="eastAsia" w:ascii="宋体" w:hAnsi="宋体" w:eastAsia="宋体" w:cs="宋体"/>
          <w:i w:val="0"/>
          <w:caps w:val="0"/>
          <w:color w:val="auto"/>
          <w:spacing w:val="0"/>
          <w:sz w:val="21"/>
          <w:szCs w:val="21"/>
          <w:highlight w:val="none"/>
          <w:u w:val="none"/>
        </w:rPr>
      </w:pPr>
      <w:r>
        <w:rPr>
          <w:rFonts w:hint="eastAsia" w:ascii="宋体" w:hAnsi="宋体" w:eastAsia="宋体" w:cs="宋体"/>
          <w:i w:val="0"/>
          <w:caps w:val="0"/>
          <w:color w:val="auto"/>
          <w:spacing w:val="0"/>
          <w:sz w:val="21"/>
          <w:szCs w:val="21"/>
          <w:highlight w:val="none"/>
          <w:u w:val="none"/>
          <w:lang w:eastAsia="zh-CN"/>
        </w:rPr>
        <w:t>二、</w:t>
      </w:r>
      <w:r>
        <w:rPr>
          <w:rFonts w:hint="eastAsia" w:ascii="宋体" w:hAnsi="宋体" w:eastAsia="宋体" w:cs="宋体"/>
          <w:i w:val="0"/>
          <w:caps w:val="0"/>
          <w:color w:val="auto"/>
          <w:spacing w:val="0"/>
          <w:sz w:val="21"/>
          <w:szCs w:val="21"/>
          <w:highlight w:val="none"/>
          <w:u w:val="none"/>
        </w:rPr>
        <w:t>可搭载探头临床适用范围：支持妇产、腹部、小器官、外周血管、经颅、心脏、经食道（心脏）、经直肠、经阴道等探头</w:t>
      </w:r>
    </w:p>
    <w:p w14:paraId="248539D1">
      <w:pPr>
        <w:pageBreakBefore w:val="0"/>
        <w:widowControl/>
        <w:kinsoku/>
        <w:wordWrap/>
        <w:overflowPunct/>
        <w:topLinePunct w:val="0"/>
        <w:autoSpaceDE/>
        <w:autoSpaceDN/>
        <w:bidi w:val="0"/>
        <w:spacing w:beforeAutospacing="0" w:after="0" w:afterAutospacing="0" w:line="360" w:lineRule="auto"/>
        <w:jc w:val="both"/>
        <w:textAlignment w:val="auto"/>
        <w:rPr>
          <w:rFonts w:hint="eastAsia" w:ascii="宋体" w:hAnsi="宋体" w:eastAsia="宋体" w:cs="宋体"/>
          <w:b/>
          <w:bCs/>
          <w:i w:val="0"/>
          <w:caps w:val="0"/>
          <w:color w:val="auto"/>
          <w:spacing w:val="0"/>
          <w:sz w:val="21"/>
          <w:szCs w:val="21"/>
          <w:highlight w:val="none"/>
          <w:u w:val="none"/>
        </w:rPr>
      </w:pPr>
      <w:r>
        <w:rPr>
          <w:rFonts w:hint="eastAsia" w:ascii="宋体" w:hAnsi="宋体" w:eastAsia="宋体" w:cs="宋体"/>
          <w:b/>
          <w:bCs/>
          <w:i w:val="0"/>
          <w:caps w:val="0"/>
          <w:color w:val="auto"/>
          <w:spacing w:val="0"/>
          <w:kern w:val="0"/>
          <w:sz w:val="21"/>
          <w:szCs w:val="21"/>
          <w:highlight w:val="none"/>
          <w:u w:val="none"/>
          <w:lang w:val="en-US" w:eastAsia="zh-CN" w:bidi="ar"/>
        </w:rPr>
        <w:t>三、系统技术规格及概述：</w:t>
      </w:r>
    </w:p>
    <w:p w14:paraId="7BD68FBE">
      <w:pPr>
        <w:pageBreakBefore w:val="0"/>
        <w:widowControl/>
        <w:kinsoku/>
        <w:wordWrap/>
        <w:overflowPunct/>
        <w:topLinePunct w:val="0"/>
        <w:autoSpaceDE/>
        <w:autoSpaceDN/>
        <w:bidi w:val="0"/>
        <w:spacing w:beforeAutospacing="0" w:after="0" w:afterAutospacing="0" w:line="360" w:lineRule="auto"/>
        <w:jc w:val="left"/>
        <w:textAlignment w:val="auto"/>
        <w:rPr>
          <w:rFonts w:hint="eastAsia" w:ascii="宋体" w:hAnsi="宋体" w:eastAsia="宋体" w:cs="宋体"/>
          <w:i w:val="0"/>
          <w:caps w:val="0"/>
          <w:color w:val="auto"/>
          <w:spacing w:val="0"/>
          <w:sz w:val="21"/>
          <w:szCs w:val="21"/>
          <w:highlight w:val="none"/>
          <w:u w:val="none"/>
        </w:rPr>
      </w:pPr>
      <w:r>
        <w:rPr>
          <w:rFonts w:hint="eastAsia" w:ascii="宋体" w:hAnsi="宋体" w:eastAsia="宋体" w:cs="宋体"/>
          <w:i w:val="0"/>
          <w:caps w:val="0"/>
          <w:color w:val="auto"/>
          <w:spacing w:val="0"/>
          <w:kern w:val="0"/>
          <w:sz w:val="21"/>
          <w:szCs w:val="21"/>
          <w:highlight w:val="none"/>
          <w:u w:val="none"/>
          <w:lang w:val="en-US" w:eastAsia="zh-CN" w:bidi="ar"/>
        </w:rPr>
        <w:t>3.1系统通用功能</w:t>
      </w:r>
    </w:p>
    <w:p w14:paraId="13D03776">
      <w:pPr>
        <w:pageBreakBefore w:val="0"/>
        <w:widowControl/>
        <w:kinsoku/>
        <w:wordWrap/>
        <w:overflowPunct/>
        <w:topLinePunct w:val="0"/>
        <w:autoSpaceDE/>
        <w:autoSpaceDN/>
        <w:bidi w:val="0"/>
        <w:spacing w:beforeAutospacing="0" w:after="0" w:afterAutospacing="0" w:line="360" w:lineRule="auto"/>
        <w:jc w:val="left"/>
        <w:textAlignment w:val="auto"/>
        <w:rPr>
          <w:rFonts w:hint="eastAsia" w:ascii="宋体" w:hAnsi="宋体" w:eastAsia="宋体" w:cs="宋体"/>
          <w:i w:val="0"/>
          <w:caps w:val="0"/>
          <w:color w:val="auto"/>
          <w:spacing w:val="0"/>
          <w:sz w:val="21"/>
          <w:szCs w:val="21"/>
          <w:highlight w:val="none"/>
          <w:u w:val="none"/>
        </w:rPr>
      </w:pPr>
      <w:r>
        <w:rPr>
          <w:rFonts w:hint="eastAsia" w:ascii="宋体" w:hAnsi="宋体" w:eastAsia="宋体" w:cs="宋体"/>
          <w:i w:val="0"/>
          <w:caps w:val="0"/>
          <w:color w:val="auto"/>
          <w:spacing w:val="0"/>
          <w:kern w:val="0"/>
          <w:sz w:val="21"/>
          <w:szCs w:val="21"/>
          <w:highlight w:val="none"/>
          <w:u w:val="none"/>
          <w:lang w:val="en-US" w:eastAsia="zh-CN" w:bidi="ar"/>
        </w:rPr>
        <w:t>3.1.1高清晰、医用专业彩色显示屏≥15英寸，可根据环境光变化自动调节亮度</w:t>
      </w:r>
    </w:p>
    <w:p w14:paraId="3C96BD1C">
      <w:pPr>
        <w:pageBreakBefore w:val="0"/>
        <w:widowControl/>
        <w:kinsoku/>
        <w:wordWrap/>
        <w:overflowPunct/>
        <w:topLinePunct w:val="0"/>
        <w:autoSpaceDE/>
        <w:autoSpaceDN/>
        <w:bidi w:val="0"/>
        <w:spacing w:beforeAutospacing="0" w:after="0" w:afterAutospacing="0" w:line="360" w:lineRule="auto"/>
        <w:jc w:val="left"/>
        <w:textAlignment w:val="auto"/>
        <w:rPr>
          <w:rFonts w:hint="eastAsia" w:ascii="宋体" w:hAnsi="宋体" w:eastAsia="宋体" w:cs="宋体"/>
          <w:i w:val="0"/>
          <w:caps w:val="0"/>
          <w:color w:val="auto"/>
          <w:spacing w:val="0"/>
          <w:sz w:val="21"/>
          <w:szCs w:val="21"/>
          <w:highlight w:val="none"/>
          <w:u w:val="none"/>
        </w:rPr>
      </w:pPr>
      <w:r>
        <w:rPr>
          <w:rFonts w:hint="eastAsia" w:ascii="宋体" w:hAnsi="宋体" w:eastAsia="宋体" w:cs="宋体"/>
          <w:i w:val="0"/>
          <w:caps w:val="0"/>
          <w:color w:val="auto"/>
          <w:spacing w:val="0"/>
          <w:kern w:val="0"/>
          <w:sz w:val="21"/>
          <w:szCs w:val="21"/>
          <w:highlight w:val="none"/>
          <w:u w:val="none"/>
          <w:lang w:val="en-US" w:eastAsia="zh-CN" w:bidi="ar"/>
        </w:rPr>
        <w:t>3.1.2探头接口1个，可扩展到3个</w:t>
      </w:r>
    </w:p>
    <w:p w14:paraId="05F91B56">
      <w:pPr>
        <w:pageBreakBefore w:val="0"/>
        <w:widowControl/>
        <w:kinsoku/>
        <w:wordWrap/>
        <w:overflowPunct/>
        <w:topLinePunct w:val="0"/>
        <w:autoSpaceDE/>
        <w:autoSpaceDN/>
        <w:bidi w:val="0"/>
        <w:spacing w:beforeAutospacing="0" w:after="0" w:afterAutospacing="0" w:line="360" w:lineRule="auto"/>
        <w:jc w:val="left"/>
        <w:textAlignment w:val="auto"/>
        <w:rPr>
          <w:rFonts w:hint="eastAsia" w:ascii="宋体" w:hAnsi="宋体" w:eastAsia="宋体" w:cs="宋体"/>
          <w:i w:val="0"/>
          <w:caps w:val="0"/>
          <w:color w:val="auto"/>
          <w:spacing w:val="0"/>
          <w:sz w:val="21"/>
          <w:szCs w:val="21"/>
          <w:highlight w:val="none"/>
          <w:u w:val="none"/>
        </w:rPr>
      </w:pPr>
      <w:r>
        <w:rPr>
          <w:rFonts w:hint="eastAsia" w:ascii="宋体" w:hAnsi="宋体" w:eastAsia="宋体" w:cs="宋体"/>
          <w:i w:val="0"/>
          <w:caps w:val="0"/>
          <w:color w:val="auto"/>
          <w:spacing w:val="0"/>
          <w:kern w:val="0"/>
          <w:sz w:val="21"/>
          <w:szCs w:val="21"/>
          <w:highlight w:val="none"/>
          <w:u w:val="none"/>
          <w:lang w:val="en-US" w:eastAsia="zh-CN" w:bidi="ar"/>
        </w:rPr>
        <w:t>3.1.3整机重量＜6.5kg（含电池）</w:t>
      </w:r>
    </w:p>
    <w:p w14:paraId="5EDBC57B">
      <w:pPr>
        <w:pageBreakBefore w:val="0"/>
        <w:widowControl/>
        <w:kinsoku/>
        <w:wordWrap/>
        <w:overflowPunct/>
        <w:topLinePunct w:val="0"/>
        <w:autoSpaceDE/>
        <w:autoSpaceDN/>
        <w:bidi w:val="0"/>
        <w:spacing w:beforeAutospacing="0" w:after="0" w:afterAutospacing="0" w:line="360" w:lineRule="auto"/>
        <w:jc w:val="left"/>
        <w:textAlignment w:val="auto"/>
        <w:rPr>
          <w:rFonts w:hint="eastAsia" w:ascii="宋体" w:hAnsi="宋体" w:eastAsia="宋体" w:cs="宋体"/>
          <w:i w:val="0"/>
          <w:caps w:val="0"/>
          <w:color w:val="auto"/>
          <w:spacing w:val="0"/>
          <w:sz w:val="21"/>
          <w:szCs w:val="21"/>
          <w:highlight w:val="none"/>
          <w:u w:val="none"/>
        </w:rPr>
      </w:pPr>
      <w:r>
        <w:rPr>
          <w:rFonts w:hint="eastAsia" w:ascii="宋体" w:hAnsi="宋体" w:eastAsia="宋体" w:cs="宋体"/>
          <w:i w:val="0"/>
          <w:caps w:val="0"/>
          <w:color w:val="auto"/>
          <w:spacing w:val="0"/>
          <w:kern w:val="0"/>
          <w:sz w:val="21"/>
          <w:szCs w:val="21"/>
          <w:highlight w:val="none"/>
          <w:u w:val="none"/>
          <w:lang w:val="en-US" w:eastAsia="zh-CN" w:bidi="ar"/>
        </w:rPr>
        <w:t>3.1.4支持用户自定义按键数量≥4个，同一个自定义键支持≥4个功能</w:t>
      </w:r>
    </w:p>
    <w:p w14:paraId="229D7B2C">
      <w:pPr>
        <w:pageBreakBefore w:val="0"/>
        <w:widowControl/>
        <w:kinsoku/>
        <w:wordWrap/>
        <w:overflowPunct/>
        <w:topLinePunct w:val="0"/>
        <w:autoSpaceDE/>
        <w:autoSpaceDN/>
        <w:bidi w:val="0"/>
        <w:spacing w:beforeAutospacing="0" w:after="0" w:afterAutospacing="0" w:line="360" w:lineRule="auto"/>
        <w:jc w:val="left"/>
        <w:textAlignment w:val="auto"/>
        <w:rPr>
          <w:rFonts w:hint="eastAsia" w:ascii="宋体" w:hAnsi="宋体" w:eastAsia="宋体" w:cs="宋体"/>
          <w:i w:val="0"/>
          <w:caps w:val="0"/>
          <w:color w:val="auto"/>
          <w:spacing w:val="0"/>
          <w:sz w:val="21"/>
          <w:szCs w:val="21"/>
          <w:highlight w:val="none"/>
          <w:u w:val="none"/>
        </w:rPr>
      </w:pPr>
      <w:r>
        <w:rPr>
          <w:rFonts w:hint="eastAsia" w:ascii="宋体" w:hAnsi="宋体" w:eastAsia="宋体" w:cs="宋体"/>
          <w:i w:val="0"/>
          <w:caps w:val="0"/>
          <w:color w:val="auto"/>
          <w:spacing w:val="0"/>
          <w:kern w:val="0"/>
          <w:sz w:val="21"/>
          <w:szCs w:val="21"/>
          <w:highlight w:val="none"/>
          <w:u w:val="none"/>
          <w:lang w:val="en-US" w:eastAsia="zh-CN" w:bidi="ar"/>
        </w:rPr>
        <w:t>3.1.5支持≥13种语种（包括软件、键盘输入、注释、操作面板等）</w:t>
      </w:r>
    </w:p>
    <w:p w14:paraId="69366F74">
      <w:pPr>
        <w:pageBreakBefore w:val="0"/>
        <w:widowControl/>
        <w:kinsoku/>
        <w:wordWrap/>
        <w:overflowPunct/>
        <w:topLinePunct w:val="0"/>
        <w:autoSpaceDE/>
        <w:autoSpaceDN/>
        <w:bidi w:val="0"/>
        <w:spacing w:beforeAutospacing="0" w:after="0" w:afterAutospacing="0" w:line="360" w:lineRule="auto"/>
        <w:jc w:val="left"/>
        <w:textAlignment w:val="auto"/>
        <w:rPr>
          <w:rFonts w:hint="eastAsia" w:ascii="宋体" w:hAnsi="宋体" w:eastAsia="宋体" w:cs="宋体"/>
          <w:i w:val="0"/>
          <w:caps w:val="0"/>
          <w:color w:val="auto"/>
          <w:spacing w:val="0"/>
          <w:sz w:val="21"/>
          <w:szCs w:val="21"/>
          <w:highlight w:val="none"/>
          <w:u w:val="none"/>
        </w:rPr>
      </w:pPr>
      <w:r>
        <w:rPr>
          <w:rFonts w:hint="eastAsia" w:ascii="宋体" w:hAnsi="宋体" w:eastAsia="宋体" w:cs="宋体"/>
          <w:i w:val="0"/>
          <w:caps w:val="0"/>
          <w:color w:val="auto"/>
          <w:spacing w:val="0"/>
          <w:kern w:val="0"/>
          <w:sz w:val="21"/>
          <w:szCs w:val="21"/>
          <w:highlight w:val="none"/>
          <w:u w:val="none"/>
          <w:lang w:val="en-US" w:eastAsia="zh-CN" w:bidi="ar"/>
        </w:rPr>
        <w:t>3.1.6主机通过CE、FDA及CFDA（国械）认证</w:t>
      </w:r>
    </w:p>
    <w:p w14:paraId="7E8A097C">
      <w:pPr>
        <w:pageBreakBefore w:val="0"/>
        <w:widowControl/>
        <w:kinsoku/>
        <w:wordWrap/>
        <w:overflowPunct/>
        <w:topLinePunct w:val="0"/>
        <w:autoSpaceDE/>
        <w:autoSpaceDN/>
        <w:bidi w:val="0"/>
        <w:spacing w:beforeAutospacing="0" w:after="0" w:afterAutospacing="0" w:line="360" w:lineRule="auto"/>
        <w:jc w:val="left"/>
        <w:textAlignment w:val="auto"/>
        <w:rPr>
          <w:rFonts w:hint="eastAsia" w:ascii="宋体" w:hAnsi="宋体" w:eastAsia="宋体" w:cs="宋体"/>
          <w:i w:val="0"/>
          <w:caps w:val="0"/>
          <w:color w:val="auto"/>
          <w:spacing w:val="0"/>
          <w:sz w:val="21"/>
          <w:szCs w:val="21"/>
          <w:highlight w:val="none"/>
          <w:u w:val="none"/>
        </w:rPr>
      </w:pPr>
      <w:r>
        <w:rPr>
          <w:rFonts w:hint="eastAsia" w:ascii="宋体" w:hAnsi="宋体" w:eastAsia="宋体" w:cs="宋体"/>
          <w:i w:val="0"/>
          <w:caps w:val="0"/>
          <w:color w:val="auto"/>
          <w:spacing w:val="0"/>
          <w:kern w:val="0"/>
          <w:sz w:val="21"/>
          <w:szCs w:val="21"/>
          <w:highlight w:val="none"/>
          <w:u w:val="none"/>
          <w:lang w:val="en-US" w:eastAsia="zh-CN" w:bidi="ar"/>
        </w:rPr>
        <w:t>3.2二维灰阶模式</w:t>
      </w:r>
    </w:p>
    <w:p w14:paraId="1C80077B">
      <w:pPr>
        <w:pageBreakBefore w:val="0"/>
        <w:widowControl/>
        <w:kinsoku/>
        <w:wordWrap/>
        <w:overflowPunct/>
        <w:topLinePunct w:val="0"/>
        <w:autoSpaceDE/>
        <w:autoSpaceDN/>
        <w:bidi w:val="0"/>
        <w:spacing w:beforeAutospacing="0" w:after="0" w:afterAutospacing="0" w:line="360" w:lineRule="auto"/>
        <w:jc w:val="left"/>
        <w:textAlignment w:val="auto"/>
        <w:rPr>
          <w:rFonts w:hint="eastAsia" w:ascii="宋体" w:hAnsi="宋体" w:eastAsia="宋体" w:cs="宋体"/>
          <w:i w:val="0"/>
          <w:caps w:val="0"/>
          <w:color w:val="auto"/>
          <w:spacing w:val="0"/>
          <w:sz w:val="21"/>
          <w:szCs w:val="21"/>
          <w:highlight w:val="none"/>
          <w:u w:val="none"/>
        </w:rPr>
      </w:pPr>
      <w:r>
        <w:rPr>
          <w:rFonts w:hint="eastAsia" w:ascii="宋体" w:hAnsi="宋体" w:eastAsia="宋体" w:cs="宋体"/>
          <w:i w:val="0"/>
          <w:caps w:val="0"/>
          <w:color w:val="auto"/>
          <w:spacing w:val="0"/>
          <w:kern w:val="0"/>
          <w:sz w:val="21"/>
          <w:szCs w:val="21"/>
          <w:highlight w:val="none"/>
          <w:u w:val="none"/>
          <w:lang w:val="en-US" w:eastAsia="zh-CN" w:bidi="ar"/>
        </w:rPr>
        <w:t>3.2.1组织谐波和正反谐波成像模式</w:t>
      </w:r>
    </w:p>
    <w:p w14:paraId="5990C6AE">
      <w:pPr>
        <w:pageBreakBefore w:val="0"/>
        <w:widowControl/>
        <w:kinsoku/>
        <w:wordWrap/>
        <w:overflowPunct/>
        <w:topLinePunct w:val="0"/>
        <w:autoSpaceDE/>
        <w:autoSpaceDN/>
        <w:bidi w:val="0"/>
        <w:spacing w:beforeAutospacing="0" w:after="0" w:afterAutospacing="0" w:line="360" w:lineRule="auto"/>
        <w:jc w:val="left"/>
        <w:textAlignment w:val="auto"/>
        <w:rPr>
          <w:rFonts w:hint="eastAsia" w:ascii="宋体" w:hAnsi="宋体" w:eastAsia="宋体" w:cs="宋体"/>
          <w:i w:val="0"/>
          <w:caps w:val="0"/>
          <w:color w:val="auto"/>
          <w:spacing w:val="0"/>
          <w:sz w:val="21"/>
          <w:szCs w:val="21"/>
          <w:highlight w:val="none"/>
          <w:u w:val="none"/>
        </w:rPr>
      </w:pPr>
      <w:r>
        <w:rPr>
          <w:rFonts w:hint="eastAsia" w:ascii="宋体" w:hAnsi="宋体" w:eastAsia="宋体" w:cs="宋体"/>
          <w:i w:val="0"/>
          <w:caps w:val="0"/>
          <w:color w:val="auto"/>
          <w:spacing w:val="0"/>
          <w:kern w:val="0"/>
          <w:sz w:val="21"/>
          <w:szCs w:val="21"/>
          <w:highlight w:val="none"/>
          <w:u w:val="none"/>
          <w:lang w:val="en-US" w:eastAsia="zh-CN" w:bidi="ar"/>
        </w:rPr>
        <w:t>3.2.2组织特异性成像（TSI）：常规/肌肉/液性/脂肪</w:t>
      </w:r>
    </w:p>
    <w:p w14:paraId="13AFD1EC">
      <w:pPr>
        <w:pageBreakBefore w:val="0"/>
        <w:widowControl/>
        <w:kinsoku/>
        <w:wordWrap/>
        <w:overflowPunct/>
        <w:topLinePunct w:val="0"/>
        <w:autoSpaceDE/>
        <w:autoSpaceDN/>
        <w:bidi w:val="0"/>
        <w:spacing w:beforeAutospacing="0" w:after="0" w:afterAutospacing="0" w:line="360" w:lineRule="auto"/>
        <w:jc w:val="left"/>
        <w:textAlignment w:val="auto"/>
        <w:rPr>
          <w:rFonts w:hint="eastAsia" w:ascii="宋体" w:hAnsi="宋体" w:eastAsia="宋体" w:cs="宋体"/>
          <w:i w:val="0"/>
          <w:caps w:val="0"/>
          <w:color w:val="auto"/>
          <w:spacing w:val="0"/>
          <w:sz w:val="21"/>
          <w:szCs w:val="21"/>
          <w:highlight w:val="none"/>
          <w:u w:val="none"/>
        </w:rPr>
      </w:pPr>
      <w:r>
        <w:rPr>
          <w:rFonts w:hint="eastAsia" w:ascii="宋体" w:hAnsi="宋体" w:eastAsia="宋体" w:cs="宋体"/>
          <w:i w:val="0"/>
          <w:caps w:val="0"/>
          <w:color w:val="auto"/>
          <w:spacing w:val="0"/>
          <w:kern w:val="0"/>
          <w:sz w:val="21"/>
          <w:szCs w:val="21"/>
          <w:highlight w:val="none"/>
          <w:u w:val="none"/>
          <w:lang w:val="en-US" w:eastAsia="zh-CN" w:bidi="ar"/>
        </w:rPr>
        <w:t>3.2.3多角度空间复合成像技术，支持≥7条偏转线，≥3级可调，支持线阵和凸阵探头</w:t>
      </w:r>
    </w:p>
    <w:p w14:paraId="1B0B91BD">
      <w:pPr>
        <w:pageBreakBefore w:val="0"/>
        <w:widowControl/>
        <w:kinsoku/>
        <w:wordWrap/>
        <w:overflowPunct/>
        <w:topLinePunct w:val="0"/>
        <w:autoSpaceDE/>
        <w:autoSpaceDN/>
        <w:bidi w:val="0"/>
        <w:spacing w:beforeAutospacing="0" w:after="0" w:afterAutospacing="0" w:line="360" w:lineRule="auto"/>
        <w:jc w:val="left"/>
        <w:textAlignment w:val="auto"/>
        <w:rPr>
          <w:rFonts w:hint="eastAsia" w:ascii="宋体" w:hAnsi="宋体" w:eastAsia="宋体" w:cs="宋体"/>
          <w:i w:val="0"/>
          <w:caps w:val="0"/>
          <w:color w:val="auto"/>
          <w:spacing w:val="0"/>
          <w:sz w:val="21"/>
          <w:szCs w:val="21"/>
          <w:highlight w:val="none"/>
          <w:u w:val="none"/>
        </w:rPr>
      </w:pPr>
      <w:r>
        <w:rPr>
          <w:rFonts w:hint="eastAsia" w:ascii="宋体" w:hAnsi="宋体" w:eastAsia="宋体" w:cs="宋体"/>
          <w:i w:val="0"/>
          <w:caps w:val="0"/>
          <w:color w:val="auto"/>
          <w:spacing w:val="0"/>
          <w:kern w:val="0"/>
          <w:sz w:val="21"/>
          <w:szCs w:val="21"/>
          <w:highlight w:val="none"/>
          <w:u w:val="none"/>
          <w:lang w:val="en-US" w:eastAsia="zh-CN" w:bidi="ar"/>
        </w:rPr>
        <w:t>3.2.4频率复合成像（FCI）</w:t>
      </w:r>
    </w:p>
    <w:p w14:paraId="356FEA87">
      <w:pPr>
        <w:pageBreakBefore w:val="0"/>
        <w:widowControl/>
        <w:kinsoku/>
        <w:wordWrap/>
        <w:overflowPunct/>
        <w:topLinePunct w:val="0"/>
        <w:autoSpaceDE/>
        <w:autoSpaceDN/>
        <w:bidi w:val="0"/>
        <w:spacing w:beforeAutospacing="0" w:after="0" w:afterAutospacing="0" w:line="360" w:lineRule="auto"/>
        <w:jc w:val="left"/>
        <w:textAlignment w:val="auto"/>
        <w:rPr>
          <w:rFonts w:hint="eastAsia" w:ascii="宋体" w:hAnsi="宋体" w:eastAsia="宋体" w:cs="宋体"/>
          <w:i w:val="0"/>
          <w:caps w:val="0"/>
          <w:color w:val="auto"/>
          <w:spacing w:val="0"/>
          <w:sz w:val="21"/>
          <w:szCs w:val="21"/>
          <w:highlight w:val="none"/>
          <w:u w:val="none"/>
        </w:rPr>
      </w:pPr>
      <w:r>
        <w:rPr>
          <w:rFonts w:hint="eastAsia" w:ascii="宋体" w:hAnsi="宋体" w:eastAsia="宋体" w:cs="宋体"/>
          <w:i w:val="0"/>
          <w:caps w:val="0"/>
          <w:color w:val="auto"/>
          <w:spacing w:val="0"/>
          <w:kern w:val="0"/>
          <w:sz w:val="21"/>
          <w:szCs w:val="21"/>
          <w:highlight w:val="none"/>
          <w:u w:val="none"/>
          <w:lang w:val="en-US" w:eastAsia="zh-CN" w:bidi="ar"/>
        </w:rPr>
        <w:t>3.2.5斑点噪声抑制成像：支持二维、造影、实时四维模式等</w:t>
      </w:r>
    </w:p>
    <w:p w14:paraId="150B1E9D">
      <w:pPr>
        <w:pageBreakBefore w:val="0"/>
        <w:widowControl/>
        <w:kinsoku/>
        <w:wordWrap/>
        <w:overflowPunct/>
        <w:topLinePunct w:val="0"/>
        <w:autoSpaceDE/>
        <w:autoSpaceDN/>
        <w:bidi w:val="0"/>
        <w:spacing w:beforeAutospacing="0" w:after="0" w:afterAutospacing="0" w:line="360" w:lineRule="auto"/>
        <w:jc w:val="left"/>
        <w:textAlignment w:val="auto"/>
        <w:rPr>
          <w:rFonts w:hint="eastAsia" w:ascii="宋体" w:hAnsi="宋体" w:eastAsia="宋体" w:cs="宋体"/>
          <w:i w:val="0"/>
          <w:caps w:val="0"/>
          <w:color w:val="auto"/>
          <w:spacing w:val="0"/>
          <w:sz w:val="21"/>
          <w:szCs w:val="21"/>
          <w:highlight w:val="none"/>
          <w:u w:val="none"/>
        </w:rPr>
      </w:pPr>
      <w:r>
        <w:rPr>
          <w:rFonts w:hint="eastAsia" w:ascii="宋体" w:hAnsi="宋体" w:eastAsia="宋体" w:cs="宋体"/>
          <w:i w:val="0"/>
          <w:caps w:val="0"/>
          <w:color w:val="auto"/>
          <w:spacing w:val="0"/>
          <w:kern w:val="0"/>
          <w:sz w:val="21"/>
          <w:szCs w:val="21"/>
          <w:highlight w:val="none"/>
          <w:u w:val="none"/>
          <w:lang w:val="en-US" w:eastAsia="zh-CN" w:bidi="ar"/>
        </w:rPr>
        <w:t>▲3.2.6心肌增强技术，更好的强化心肌组织对比显示</w:t>
      </w:r>
    </w:p>
    <w:p w14:paraId="55E5FF69">
      <w:pPr>
        <w:pageBreakBefore w:val="0"/>
        <w:widowControl/>
        <w:kinsoku/>
        <w:wordWrap/>
        <w:overflowPunct/>
        <w:topLinePunct w:val="0"/>
        <w:autoSpaceDE/>
        <w:autoSpaceDN/>
        <w:bidi w:val="0"/>
        <w:spacing w:beforeAutospacing="0" w:after="0" w:afterAutospacing="0" w:line="360" w:lineRule="auto"/>
        <w:jc w:val="left"/>
        <w:textAlignment w:val="auto"/>
        <w:rPr>
          <w:rFonts w:hint="eastAsia" w:ascii="宋体" w:hAnsi="宋体" w:eastAsia="宋体" w:cs="宋体"/>
          <w:i w:val="0"/>
          <w:caps w:val="0"/>
          <w:color w:val="auto"/>
          <w:spacing w:val="0"/>
          <w:sz w:val="21"/>
          <w:szCs w:val="21"/>
          <w:highlight w:val="none"/>
          <w:u w:val="none"/>
        </w:rPr>
      </w:pPr>
      <w:r>
        <w:rPr>
          <w:rFonts w:hint="eastAsia" w:ascii="宋体" w:hAnsi="宋体" w:eastAsia="宋体" w:cs="宋体"/>
          <w:i w:val="0"/>
          <w:caps w:val="0"/>
          <w:color w:val="auto"/>
          <w:spacing w:val="0"/>
          <w:kern w:val="0"/>
          <w:sz w:val="21"/>
          <w:szCs w:val="21"/>
          <w:highlight w:val="none"/>
          <w:u w:val="none"/>
          <w:lang w:val="en-US" w:eastAsia="zh-CN" w:bidi="ar"/>
        </w:rPr>
        <w:t>3.2.7 TGC: ≥8段，LGC: ≥4段</w:t>
      </w:r>
    </w:p>
    <w:p w14:paraId="46068716">
      <w:pPr>
        <w:pageBreakBefore w:val="0"/>
        <w:widowControl/>
        <w:kinsoku/>
        <w:wordWrap/>
        <w:overflowPunct/>
        <w:topLinePunct w:val="0"/>
        <w:autoSpaceDE/>
        <w:autoSpaceDN/>
        <w:bidi w:val="0"/>
        <w:spacing w:beforeAutospacing="0" w:after="0" w:afterAutospacing="0" w:line="360" w:lineRule="auto"/>
        <w:jc w:val="left"/>
        <w:textAlignment w:val="auto"/>
        <w:rPr>
          <w:rFonts w:hint="eastAsia" w:ascii="宋体" w:hAnsi="宋体" w:eastAsia="宋体" w:cs="宋体"/>
          <w:i w:val="0"/>
          <w:caps w:val="0"/>
          <w:color w:val="auto"/>
          <w:spacing w:val="0"/>
          <w:sz w:val="21"/>
          <w:szCs w:val="21"/>
          <w:highlight w:val="none"/>
          <w:u w:val="none"/>
        </w:rPr>
      </w:pPr>
      <w:r>
        <w:rPr>
          <w:rFonts w:hint="eastAsia" w:ascii="宋体" w:hAnsi="宋体" w:eastAsia="宋体" w:cs="宋体"/>
          <w:i w:val="0"/>
          <w:caps w:val="0"/>
          <w:color w:val="auto"/>
          <w:spacing w:val="0"/>
          <w:kern w:val="0"/>
          <w:sz w:val="21"/>
          <w:szCs w:val="21"/>
          <w:highlight w:val="none"/>
          <w:u w:val="none"/>
          <w:lang w:val="en-US" w:eastAsia="zh-CN" w:bidi="ar"/>
        </w:rPr>
        <w:t>3.2.8最大显示深度:≥39cm</w:t>
      </w:r>
    </w:p>
    <w:p w14:paraId="396D1743">
      <w:pPr>
        <w:pageBreakBefore w:val="0"/>
        <w:widowControl/>
        <w:kinsoku/>
        <w:wordWrap/>
        <w:overflowPunct/>
        <w:topLinePunct w:val="0"/>
        <w:autoSpaceDE/>
        <w:autoSpaceDN/>
        <w:bidi w:val="0"/>
        <w:spacing w:beforeAutospacing="0" w:after="0" w:afterAutospacing="0" w:line="360" w:lineRule="auto"/>
        <w:jc w:val="left"/>
        <w:textAlignment w:val="auto"/>
        <w:rPr>
          <w:rFonts w:hint="eastAsia" w:ascii="宋体" w:hAnsi="宋体" w:eastAsia="宋体" w:cs="宋体"/>
          <w:i w:val="0"/>
          <w:caps w:val="0"/>
          <w:color w:val="auto"/>
          <w:spacing w:val="0"/>
          <w:sz w:val="21"/>
          <w:szCs w:val="21"/>
          <w:highlight w:val="none"/>
          <w:u w:val="none"/>
        </w:rPr>
      </w:pPr>
      <w:r>
        <w:rPr>
          <w:rFonts w:hint="eastAsia" w:ascii="宋体" w:hAnsi="宋体" w:eastAsia="宋体" w:cs="宋体"/>
          <w:i w:val="0"/>
          <w:caps w:val="0"/>
          <w:color w:val="auto"/>
          <w:spacing w:val="0"/>
          <w:kern w:val="0"/>
          <w:sz w:val="21"/>
          <w:szCs w:val="21"/>
          <w:highlight w:val="none"/>
          <w:u w:val="none"/>
          <w:lang w:val="en-US" w:eastAsia="zh-CN" w:bidi="ar"/>
        </w:rPr>
        <w:t>3.2.9动态范围: 30-200dB，可视可调</w:t>
      </w:r>
    </w:p>
    <w:p w14:paraId="58B3B9EF">
      <w:pPr>
        <w:pageBreakBefore w:val="0"/>
        <w:widowControl/>
        <w:kinsoku/>
        <w:wordWrap/>
        <w:overflowPunct/>
        <w:topLinePunct w:val="0"/>
        <w:autoSpaceDE/>
        <w:autoSpaceDN/>
        <w:bidi w:val="0"/>
        <w:spacing w:beforeAutospacing="0" w:after="0" w:afterAutospacing="0" w:line="360" w:lineRule="auto"/>
        <w:jc w:val="left"/>
        <w:textAlignment w:val="auto"/>
        <w:rPr>
          <w:rFonts w:hint="eastAsia" w:ascii="宋体" w:hAnsi="宋体" w:eastAsia="宋体" w:cs="宋体"/>
          <w:i w:val="0"/>
          <w:caps w:val="0"/>
          <w:color w:val="auto"/>
          <w:spacing w:val="0"/>
          <w:sz w:val="21"/>
          <w:szCs w:val="21"/>
          <w:highlight w:val="none"/>
          <w:u w:val="none"/>
        </w:rPr>
      </w:pPr>
      <w:r>
        <w:rPr>
          <w:rFonts w:hint="eastAsia" w:ascii="宋体" w:hAnsi="宋体" w:eastAsia="宋体" w:cs="宋体"/>
          <w:i w:val="0"/>
          <w:caps w:val="0"/>
          <w:color w:val="auto"/>
          <w:spacing w:val="0"/>
          <w:kern w:val="0"/>
          <w:sz w:val="21"/>
          <w:szCs w:val="21"/>
          <w:highlight w:val="none"/>
          <w:u w:val="none"/>
          <w:lang w:val="en-US" w:eastAsia="zh-CN" w:bidi="ar"/>
        </w:rPr>
        <w:t>3.3 M型成像模式</w:t>
      </w:r>
    </w:p>
    <w:p w14:paraId="63ADA925">
      <w:pPr>
        <w:pageBreakBefore w:val="0"/>
        <w:widowControl/>
        <w:kinsoku/>
        <w:wordWrap/>
        <w:overflowPunct/>
        <w:topLinePunct w:val="0"/>
        <w:autoSpaceDE/>
        <w:autoSpaceDN/>
        <w:bidi w:val="0"/>
        <w:spacing w:beforeAutospacing="0" w:after="0" w:afterAutospacing="0" w:line="360" w:lineRule="auto"/>
        <w:jc w:val="left"/>
        <w:textAlignment w:val="auto"/>
        <w:rPr>
          <w:rFonts w:hint="eastAsia" w:ascii="宋体" w:hAnsi="宋体" w:eastAsia="宋体" w:cs="宋体"/>
          <w:i w:val="0"/>
          <w:caps w:val="0"/>
          <w:color w:val="auto"/>
          <w:spacing w:val="0"/>
          <w:sz w:val="21"/>
          <w:szCs w:val="21"/>
          <w:highlight w:val="none"/>
          <w:u w:val="none"/>
        </w:rPr>
      </w:pPr>
      <w:r>
        <w:rPr>
          <w:rFonts w:hint="eastAsia" w:ascii="宋体" w:hAnsi="宋体" w:eastAsia="宋体" w:cs="宋体"/>
          <w:i w:val="0"/>
          <w:caps w:val="0"/>
          <w:color w:val="auto"/>
          <w:spacing w:val="0"/>
          <w:kern w:val="0"/>
          <w:sz w:val="21"/>
          <w:szCs w:val="21"/>
          <w:highlight w:val="none"/>
          <w:u w:val="none"/>
          <w:lang w:val="en-US" w:eastAsia="zh-CN" w:bidi="ar"/>
        </w:rPr>
        <w:t>3.3.1解剖M型，取样线≥3条，可360度任意旋转，支持实时扫描以及离线重构M型图像</w:t>
      </w:r>
    </w:p>
    <w:p w14:paraId="0A090403">
      <w:pPr>
        <w:pageBreakBefore w:val="0"/>
        <w:widowControl/>
        <w:kinsoku/>
        <w:wordWrap/>
        <w:overflowPunct/>
        <w:topLinePunct w:val="0"/>
        <w:autoSpaceDE/>
        <w:autoSpaceDN/>
        <w:bidi w:val="0"/>
        <w:spacing w:beforeAutospacing="0" w:after="0" w:afterAutospacing="0" w:line="360" w:lineRule="auto"/>
        <w:jc w:val="left"/>
        <w:textAlignment w:val="auto"/>
        <w:rPr>
          <w:rFonts w:hint="eastAsia" w:ascii="宋体" w:hAnsi="宋体" w:eastAsia="宋体" w:cs="宋体"/>
          <w:i w:val="0"/>
          <w:caps w:val="0"/>
          <w:color w:val="auto"/>
          <w:spacing w:val="0"/>
          <w:sz w:val="21"/>
          <w:szCs w:val="21"/>
          <w:highlight w:val="none"/>
          <w:u w:val="none"/>
        </w:rPr>
      </w:pPr>
      <w:r>
        <w:rPr>
          <w:rFonts w:hint="eastAsia" w:ascii="宋体" w:hAnsi="宋体" w:eastAsia="宋体" w:cs="宋体"/>
          <w:i w:val="0"/>
          <w:caps w:val="0"/>
          <w:color w:val="auto"/>
          <w:spacing w:val="0"/>
          <w:kern w:val="0"/>
          <w:sz w:val="21"/>
          <w:szCs w:val="21"/>
          <w:highlight w:val="none"/>
          <w:u w:val="none"/>
          <w:lang w:val="en-US" w:eastAsia="zh-CN" w:bidi="ar"/>
        </w:rPr>
        <w:t>3.3.2彩色M型</w:t>
      </w:r>
    </w:p>
    <w:p w14:paraId="5EC4C215">
      <w:pPr>
        <w:pageBreakBefore w:val="0"/>
        <w:widowControl/>
        <w:kinsoku/>
        <w:wordWrap/>
        <w:overflowPunct/>
        <w:topLinePunct w:val="0"/>
        <w:autoSpaceDE/>
        <w:autoSpaceDN/>
        <w:bidi w:val="0"/>
        <w:spacing w:beforeAutospacing="0" w:after="0" w:afterAutospacing="0" w:line="360" w:lineRule="auto"/>
        <w:jc w:val="left"/>
        <w:textAlignment w:val="auto"/>
        <w:rPr>
          <w:rFonts w:hint="eastAsia" w:ascii="宋体" w:hAnsi="宋体" w:eastAsia="宋体" w:cs="宋体"/>
          <w:i w:val="0"/>
          <w:caps w:val="0"/>
          <w:color w:val="auto"/>
          <w:spacing w:val="0"/>
          <w:sz w:val="21"/>
          <w:szCs w:val="21"/>
          <w:highlight w:val="none"/>
          <w:u w:val="none"/>
        </w:rPr>
      </w:pPr>
      <w:r>
        <w:rPr>
          <w:rFonts w:hint="eastAsia" w:ascii="宋体" w:hAnsi="宋体" w:eastAsia="宋体" w:cs="宋体"/>
          <w:i w:val="0"/>
          <w:caps w:val="0"/>
          <w:color w:val="auto"/>
          <w:spacing w:val="0"/>
          <w:kern w:val="0"/>
          <w:sz w:val="21"/>
          <w:szCs w:val="21"/>
          <w:highlight w:val="none"/>
          <w:u w:val="none"/>
          <w:lang w:val="en-US" w:eastAsia="zh-CN" w:bidi="ar"/>
        </w:rPr>
        <w:t>3.4 彩色多普勒成像（包括彩色、能量、方向能量多普勒模式）</w:t>
      </w:r>
    </w:p>
    <w:p w14:paraId="4D6A1965">
      <w:pPr>
        <w:pageBreakBefore w:val="0"/>
        <w:widowControl/>
        <w:kinsoku/>
        <w:wordWrap/>
        <w:overflowPunct/>
        <w:topLinePunct w:val="0"/>
        <w:autoSpaceDE/>
        <w:autoSpaceDN/>
        <w:bidi w:val="0"/>
        <w:spacing w:beforeAutospacing="0" w:after="0" w:afterAutospacing="0" w:line="360" w:lineRule="auto"/>
        <w:jc w:val="left"/>
        <w:textAlignment w:val="auto"/>
        <w:rPr>
          <w:rFonts w:hint="eastAsia" w:ascii="宋体" w:hAnsi="宋体" w:eastAsia="宋体" w:cs="宋体"/>
          <w:i w:val="0"/>
          <w:caps w:val="0"/>
          <w:color w:val="auto"/>
          <w:spacing w:val="0"/>
          <w:sz w:val="21"/>
          <w:szCs w:val="21"/>
          <w:highlight w:val="none"/>
          <w:u w:val="none"/>
        </w:rPr>
      </w:pPr>
      <w:r>
        <w:rPr>
          <w:rFonts w:hint="eastAsia" w:ascii="宋体" w:hAnsi="宋体" w:eastAsia="宋体" w:cs="宋体"/>
          <w:i w:val="0"/>
          <w:caps w:val="0"/>
          <w:color w:val="auto"/>
          <w:spacing w:val="0"/>
          <w:kern w:val="0"/>
          <w:sz w:val="21"/>
          <w:szCs w:val="21"/>
          <w:highlight w:val="none"/>
          <w:u w:val="none"/>
          <w:lang w:val="en-US" w:eastAsia="zh-CN" w:bidi="ar"/>
        </w:rPr>
        <w:t>3.4.1超宽动态血流技术</w:t>
      </w:r>
    </w:p>
    <w:p w14:paraId="12A0D90E">
      <w:pPr>
        <w:pageBreakBefore w:val="0"/>
        <w:widowControl/>
        <w:kinsoku/>
        <w:wordWrap/>
        <w:overflowPunct/>
        <w:topLinePunct w:val="0"/>
        <w:autoSpaceDE/>
        <w:autoSpaceDN/>
        <w:bidi w:val="0"/>
        <w:spacing w:beforeAutospacing="0" w:after="0" w:afterAutospacing="0" w:line="360" w:lineRule="auto"/>
        <w:jc w:val="left"/>
        <w:textAlignment w:val="auto"/>
        <w:rPr>
          <w:rFonts w:hint="eastAsia" w:ascii="宋体" w:hAnsi="宋体" w:eastAsia="宋体" w:cs="宋体"/>
          <w:i w:val="0"/>
          <w:caps w:val="0"/>
          <w:color w:val="auto"/>
          <w:spacing w:val="0"/>
          <w:sz w:val="21"/>
          <w:szCs w:val="21"/>
          <w:highlight w:val="none"/>
          <w:u w:val="none"/>
        </w:rPr>
      </w:pPr>
      <w:r>
        <w:rPr>
          <w:rFonts w:hint="eastAsia" w:ascii="宋体" w:hAnsi="宋体" w:eastAsia="宋体" w:cs="宋体"/>
          <w:i w:val="0"/>
          <w:caps w:val="0"/>
          <w:color w:val="auto"/>
          <w:spacing w:val="0"/>
          <w:kern w:val="0"/>
          <w:sz w:val="21"/>
          <w:szCs w:val="21"/>
          <w:highlight w:val="none"/>
          <w:u w:val="none"/>
          <w:lang w:val="en-US" w:eastAsia="zh-CN" w:bidi="ar"/>
        </w:rPr>
        <w:t>3.4.2高分辨率血流成像：将彩色方向信息叠加在灰阶状态的血流动力学信息上，提供更高分辨率和灵敏度的血流图像</w:t>
      </w:r>
    </w:p>
    <w:p w14:paraId="3DC413CD">
      <w:pPr>
        <w:pageBreakBefore w:val="0"/>
        <w:widowControl/>
        <w:kinsoku/>
        <w:wordWrap/>
        <w:overflowPunct/>
        <w:topLinePunct w:val="0"/>
        <w:autoSpaceDE/>
        <w:autoSpaceDN/>
        <w:bidi w:val="0"/>
        <w:spacing w:beforeAutospacing="0" w:after="0" w:afterAutospacing="0" w:line="360" w:lineRule="auto"/>
        <w:jc w:val="left"/>
        <w:textAlignment w:val="auto"/>
        <w:rPr>
          <w:rFonts w:hint="eastAsia" w:ascii="宋体" w:hAnsi="宋体" w:eastAsia="宋体" w:cs="宋体"/>
          <w:i w:val="0"/>
          <w:caps w:val="0"/>
          <w:color w:val="auto"/>
          <w:spacing w:val="0"/>
          <w:sz w:val="21"/>
          <w:szCs w:val="21"/>
          <w:highlight w:val="none"/>
          <w:u w:val="none"/>
        </w:rPr>
      </w:pPr>
      <w:r>
        <w:rPr>
          <w:rFonts w:hint="eastAsia" w:ascii="宋体" w:hAnsi="宋体" w:eastAsia="宋体" w:cs="宋体"/>
          <w:i w:val="0"/>
          <w:caps w:val="0"/>
          <w:color w:val="auto"/>
          <w:spacing w:val="0"/>
          <w:kern w:val="0"/>
          <w:sz w:val="21"/>
          <w:szCs w:val="21"/>
          <w:highlight w:val="none"/>
          <w:u w:val="none"/>
          <w:lang w:val="en-US" w:eastAsia="zh-CN" w:bidi="ar"/>
        </w:rPr>
        <w:t>▲3.4.3 血流自动追踪技术：实现 ROI 框位置和角度的自动优化，提供 Color/Power 模式下彩色血流/能量图像的实时动态优化，节省人工调节时间，提升扫查效率。</w:t>
      </w:r>
    </w:p>
    <w:p w14:paraId="464EA5B4">
      <w:pPr>
        <w:pageBreakBefore w:val="0"/>
        <w:widowControl/>
        <w:kinsoku/>
        <w:wordWrap/>
        <w:overflowPunct/>
        <w:topLinePunct w:val="0"/>
        <w:autoSpaceDE/>
        <w:autoSpaceDN/>
        <w:bidi w:val="0"/>
        <w:spacing w:beforeAutospacing="0" w:after="0" w:afterAutospacing="0" w:line="360" w:lineRule="auto"/>
        <w:jc w:val="left"/>
        <w:textAlignment w:val="auto"/>
        <w:rPr>
          <w:rFonts w:hint="eastAsia" w:ascii="宋体" w:hAnsi="宋体" w:eastAsia="宋体" w:cs="宋体"/>
          <w:i w:val="0"/>
          <w:caps w:val="0"/>
          <w:color w:val="auto"/>
          <w:spacing w:val="0"/>
          <w:sz w:val="21"/>
          <w:szCs w:val="21"/>
          <w:highlight w:val="none"/>
          <w:u w:val="none"/>
        </w:rPr>
      </w:pPr>
      <w:r>
        <w:rPr>
          <w:rFonts w:hint="eastAsia" w:ascii="宋体" w:hAnsi="宋体" w:eastAsia="宋体" w:cs="宋体"/>
          <w:i w:val="0"/>
          <w:caps w:val="0"/>
          <w:color w:val="auto"/>
          <w:spacing w:val="0"/>
          <w:kern w:val="0"/>
          <w:sz w:val="21"/>
          <w:szCs w:val="21"/>
          <w:highlight w:val="none"/>
          <w:u w:val="none"/>
          <w:lang w:val="en-US" w:eastAsia="zh-CN" w:bidi="ar"/>
        </w:rPr>
        <w:t>3.4.4支持双实时同屏对比显示</w:t>
      </w:r>
    </w:p>
    <w:p w14:paraId="1ACCEF88">
      <w:pPr>
        <w:pageBreakBefore w:val="0"/>
        <w:widowControl/>
        <w:kinsoku/>
        <w:wordWrap/>
        <w:overflowPunct/>
        <w:topLinePunct w:val="0"/>
        <w:autoSpaceDE/>
        <w:autoSpaceDN/>
        <w:bidi w:val="0"/>
        <w:spacing w:beforeAutospacing="0" w:after="0" w:afterAutospacing="0" w:line="360" w:lineRule="auto"/>
        <w:jc w:val="left"/>
        <w:textAlignment w:val="auto"/>
        <w:rPr>
          <w:rFonts w:hint="eastAsia" w:ascii="宋体" w:hAnsi="宋体" w:eastAsia="宋体" w:cs="宋体"/>
          <w:i w:val="0"/>
          <w:caps w:val="0"/>
          <w:color w:val="auto"/>
          <w:spacing w:val="0"/>
          <w:sz w:val="21"/>
          <w:szCs w:val="21"/>
          <w:highlight w:val="none"/>
          <w:u w:val="none"/>
        </w:rPr>
      </w:pPr>
      <w:r>
        <w:rPr>
          <w:rFonts w:hint="eastAsia" w:ascii="宋体" w:hAnsi="宋体" w:eastAsia="宋体" w:cs="宋体"/>
          <w:i w:val="0"/>
          <w:caps w:val="0"/>
          <w:color w:val="auto"/>
          <w:spacing w:val="0"/>
          <w:kern w:val="0"/>
          <w:sz w:val="21"/>
          <w:szCs w:val="21"/>
          <w:highlight w:val="none"/>
          <w:u w:val="none"/>
          <w:lang w:val="en-US" w:eastAsia="zh-CN" w:bidi="ar"/>
        </w:rPr>
        <w:t>3.4.5支持速度、速度方差、能量、方向能量显示等</w:t>
      </w:r>
    </w:p>
    <w:p w14:paraId="0B817C07">
      <w:pPr>
        <w:pageBreakBefore w:val="0"/>
        <w:widowControl/>
        <w:kinsoku/>
        <w:wordWrap/>
        <w:overflowPunct/>
        <w:topLinePunct w:val="0"/>
        <w:autoSpaceDE/>
        <w:autoSpaceDN/>
        <w:bidi w:val="0"/>
        <w:spacing w:beforeAutospacing="0" w:after="0" w:afterAutospacing="0" w:line="360" w:lineRule="auto"/>
        <w:jc w:val="left"/>
        <w:textAlignment w:val="auto"/>
        <w:rPr>
          <w:rFonts w:hint="eastAsia" w:ascii="宋体" w:hAnsi="宋体" w:eastAsia="宋体" w:cs="宋体"/>
          <w:i w:val="0"/>
          <w:caps w:val="0"/>
          <w:color w:val="auto"/>
          <w:spacing w:val="0"/>
          <w:sz w:val="21"/>
          <w:szCs w:val="21"/>
          <w:highlight w:val="none"/>
          <w:u w:val="none"/>
        </w:rPr>
      </w:pPr>
      <w:r>
        <w:rPr>
          <w:rFonts w:hint="eastAsia" w:ascii="宋体" w:hAnsi="宋体" w:eastAsia="宋体" w:cs="宋体"/>
          <w:i w:val="0"/>
          <w:caps w:val="0"/>
          <w:color w:val="auto"/>
          <w:spacing w:val="0"/>
          <w:kern w:val="0"/>
          <w:sz w:val="21"/>
          <w:szCs w:val="21"/>
          <w:highlight w:val="none"/>
          <w:u w:val="none"/>
          <w:lang w:val="en-US" w:eastAsia="zh-CN" w:bidi="ar"/>
        </w:rPr>
        <w:t>3.4.6显示方式：B/C、B/C/M、B/POWER、B/C/PW</w:t>
      </w:r>
    </w:p>
    <w:p w14:paraId="1F72A3CF">
      <w:pPr>
        <w:pageBreakBefore w:val="0"/>
        <w:widowControl/>
        <w:kinsoku/>
        <w:wordWrap/>
        <w:overflowPunct/>
        <w:topLinePunct w:val="0"/>
        <w:autoSpaceDE/>
        <w:autoSpaceDN/>
        <w:bidi w:val="0"/>
        <w:spacing w:beforeAutospacing="0" w:after="0" w:afterAutospacing="0" w:line="360" w:lineRule="auto"/>
        <w:jc w:val="left"/>
        <w:textAlignment w:val="auto"/>
        <w:rPr>
          <w:rFonts w:hint="eastAsia" w:ascii="宋体" w:hAnsi="宋体" w:eastAsia="宋体" w:cs="宋体"/>
          <w:i w:val="0"/>
          <w:caps w:val="0"/>
          <w:color w:val="auto"/>
          <w:spacing w:val="0"/>
          <w:sz w:val="21"/>
          <w:szCs w:val="21"/>
          <w:highlight w:val="none"/>
          <w:u w:val="none"/>
        </w:rPr>
      </w:pPr>
      <w:r>
        <w:rPr>
          <w:rFonts w:hint="eastAsia" w:ascii="宋体" w:hAnsi="宋体" w:eastAsia="宋体" w:cs="宋体"/>
          <w:i w:val="0"/>
          <w:caps w:val="0"/>
          <w:color w:val="auto"/>
          <w:spacing w:val="0"/>
          <w:kern w:val="0"/>
          <w:sz w:val="21"/>
          <w:szCs w:val="21"/>
          <w:highlight w:val="none"/>
          <w:u w:val="none"/>
          <w:lang w:val="en-US" w:eastAsia="zh-CN" w:bidi="ar"/>
        </w:rPr>
        <w:t>3.4.7取样框偏转: ≥±30度 (线阵探头)</w:t>
      </w:r>
    </w:p>
    <w:p w14:paraId="65B645E0">
      <w:pPr>
        <w:pageBreakBefore w:val="0"/>
        <w:widowControl/>
        <w:kinsoku/>
        <w:wordWrap/>
        <w:overflowPunct/>
        <w:topLinePunct w:val="0"/>
        <w:autoSpaceDE/>
        <w:autoSpaceDN/>
        <w:bidi w:val="0"/>
        <w:spacing w:beforeAutospacing="0" w:after="0" w:afterAutospacing="0" w:line="360" w:lineRule="auto"/>
        <w:jc w:val="left"/>
        <w:textAlignment w:val="auto"/>
        <w:rPr>
          <w:rFonts w:hint="eastAsia" w:ascii="宋体" w:hAnsi="宋体" w:eastAsia="宋体" w:cs="宋体"/>
          <w:i w:val="0"/>
          <w:caps w:val="0"/>
          <w:color w:val="auto"/>
          <w:spacing w:val="0"/>
          <w:sz w:val="21"/>
          <w:szCs w:val="21"/>
          <w:highlight w:val="none"/>
          <w:u w:val="none"/>
        </w:rPr>
      </w:pPr>
      <w:r>
        <w:rPr>
          <w:rFonts w:hint="eastAsia" w:ascii="宋体" w:hAnsi="宋体" w:eastAsia="宋体" w:cs="宋体"/>
          <w:i w:val="0"/>
          <w:caps w:val="0"/>
          <w:color w:val="auto"/>
          <w:spacing w:val="0"/>
          <w:kern w:val="0"/>
          <w:sz w:val="21"/>
          <w:szCs w:val="21"/>
          <w:highlight w:val="none"/>
          <w:u w:val="none"/>
          <w:lang w:val="en-US" w:eastAsia="zh-CN" w:bidi="ar"/>
        </w:rPr>
        <w:t>3.4.8支持一键B/C同宽</w:t>
      </w:r>
    </w:p>
    <w:p w14:paraId="54C2C62C">
      <w:pPr>
        <w:pageBreakBefore w:val="0"/>
        <w:widowControl/>
        <w:kinsoku/>
        <w:wordWrap/>
        <w:overflowPunct/>
        <w:topLinePunct w:val="0"/>
        <w:autoSpaceDE/>
        <w:autoSpaceDN/>
        <w:bidi w:val="0"/>
        <w:spacing w:beforeAutospacing="0" w:after="0" w:afterAutospacing="0" w:line="360" w:lineRule="auto"/>
        <w:jc w:val="left"/>
        <w:textAlignment w:val="auto"/>
        <w:rPr>
          <w:rFonts w:hint="eastAsia" w:ascii="宋体" w:hAnsi="宋体" w:eastAsia="宋体" w:cs="宋体"/>
          <w:i w:val="0"/>
          <w:caps w:val="0"/>
          <w:color w:val="auto"/>
          <w:spacing w:val="0"/>
          <w:sz w:val="21"/>
          <w:szCs w:val="21"/>
          <w:highlight w:val="none"/>
          <w:u w:val="none"/>
        </w:rPr>
      </w:pPr>
      <w:r>
        <w:rPr>
          <w:rFonts w:hint="eastAsia" w:ascii="宋体" w:hAnsi="宋体" w:eastAsia="宋体" w:cs="宋体"/>
          <w:i w:val="0"/>
          <w:caps w:val="0"/>
          <w:color w:val="auto"/>
          <w:spacing w:val="0"/>
          <w:kern w:val="0"/>
          <w:sz w:val="21"/>
          <w:szCs w:val="21"/>
          <w:highlight w:val="none"/>
          <w:u w:val="none"/>
          <w:lang w:val="en-US" w:eastAsia="zh-CN" w:bidi="ar"/>
        </w:rPr>
        <w:t>3.5 频谱多普勒成像</w:t>
      </w:r>
    </w:p>
    <w:p w14:paraId="2FE4AB67">
      <w:pPr>
        <w:pageBreakBefore w:val="0"/>
        <w:widowControl/>
        <w:kinsoku/>
        <w:wordWrap/>
        <w:overflowPunct/>
        <w:topLinePunct w:val="0"/>
        <w:autoSpaceDE/>
        <w:autoSpaceDN/>
        <w:bidi w:val="0"/>
        <w:spacing w:beforeAutospacing="0" w:after="0" w:afterAutospacing="0" w:line="360" w:lineRule="auto"/>
        <w:jc w:val="left"/>
        <w:textAlignment w:val="auto"/>
        <w:rPr>
          <w:rFonts w:hint="eastAsia" w:ascii="宋体" w:hAnsi="宋体" w:eastAsia="宋体" w:cs="宋体"/>
          <w:i w:val="0"/>
          <w:caps w:val="0"/>
          <w:color w:val="auto"/>
          <w:spacing w:val="0"/>
          <w:sz w:val="21"/>
          <w:szCs w:val="21"/>
          <w:highlight w:val="none"/>
          <w:u w:val="none"/>
        </w:rPr>
      </w:pPr>
      <w:r>
        <w:rPr>
          <w:rFonts w:hint="eastAsia" w:ascii="宋体" w:hAnsi="宋体" w:eastAsia="宋体" w:cs="宋体"/>
          <w:i w:val="0"/>
          <w:caps w:val="0"/>
          <w:color w:val="auto"/>
          <w:spacing w:val="0"/>
          <w:kern w:val="0"/>
          <w:sz w:val="21"/>
          <w:szCs w:val="21"/>
          <w:highlight w:val="none"/>
          <w:u w:val="none"/>
          <w:lang w:val="en-US" w:eastAsia="zh-CN" w:bidi="ar"/>
        </w:rPr>
        <w:t>3.5.1 脉冲多普勒、高脉冲重复频率、连续多普勒</w:t>
      </w:r>
    </w:p>
    <w:p w14:paraId="4D3E6689">
      <w:pPr>
        <w:pageBreakBefore w:val="0"/>
        <w:widowControl/>
        <w:kinsoku/>
        <w:wordWrap/>
        <w:overflowPunct/>
        <w:topLinePunct w:val="0"/>
        <w:autoSpaceDE/>
        <w:autoSpaceDN/>
        <w:bidi w:val="0"/>
        <w:spacing w:beforeAutospacing="0" w:after="0" w:afterAutospacing="0" w:line="360" w:lineRule="auto"/>
        <w:jc w:val="left"/>
        <w:textAlignment w:val="auto"/>
        <w:rPr>
          <w:rFonts w:hint="eastAsia" w:ascii="宋体" w:hAnsi="宋体" w:eastAsia="宋体" w:cs="宋体"/>
          <w:i w:val="0"/>
          <w:caps w:val="0"/>
          <w:color w:val="auto"/>
          <w:spacing w:val="0"/>
          <w:sz w:val="21"/>
          <w:szCs w:val="21"/>
          <w:highlight w:val="none"/>
          <w:u w:val="none"/>
        </w:rPr>
      </w:pPr>
      <w:r>
        <w:rPr>
          <w:rFonts w:hint="eastAsia" w:ascii="宋体" w:hAnsi="宋体" w:eastAsia="宋体" w:cs="宋体"/>
          <w:i w:val="0"/>
          <w:caps w:val="0"/>
          <w:color w:val="auto"/>
          <w:spacing w:val="0"/>
          <w:kern w:val="0"/>
          <w:sz w:val="21"/>
          <w:szCs w:val="21"/>
          <w:highlight w:val="none"/>
          <w:u w:val="none"/>
          <w:lang w:val="en-US" w:eastAsia="zh-CN" w:bidi="ar"/>
        </w:rPr>
        <w:t>3.5.2智能频谱多普勒自动优化：取样线角度，以及快速矫正取样框角度​</w:t>
      </w:r>
    </w:p>
    <w:p w14:paraId="078C07F4">
      <w:pPr>
        <w:pageBreakBefore w:val="0"/>
        <w:widowControl/>
        <w:kinsoku/>
        <w:wordWrap/>
        <w:overflowPunct/>
        <w:topLinePunct w:val="0"/>
        <w:autoSpaceDE/>
        <w:autoSpaceDN/>
        <w:bidi w:val="0"/>
        <w:spacing w:beforeAutospacing="0" w:after="0" w:afterAutospacing="0" w:line="360" w:lineRule="auto"/>
        <w:jc w:val="left"/>
        <w:textAlignment w:val="auto"/>
        <w:rPr>
          <w:rFonts w:hint="eastAsia" w:ascii="宋体" w:hAnsi="宋体" w:eastAsia="宋体" w:cs="宋体"/>
          <w:i w:val="0"/>
          <w:caps w:val="0"/>
          <w:color w:val="auto"/>
          <w:spacing w:val="0"/>
          <w:sz w:val="21"/>
          <w:szCs w:val="21"/>
          <w:highlight w:val="none"/>
          <w:u w:val="none"/>
        </w:rPr>
      </w:pPr>
      <w:r>
        <w:rPr>
          <w:rFonts w:hint="eastAsia" w:ascii="宋体" w:hAnsi="宋体" w:eastAsia="宋体" w:cs="宋体"/>
          <w:i w:val="0"/>
          <w:caps w:val="0"/>
          <w:color w:val="auto"/>
          <w:spacing w:val="0"/>
          <w:kern w:val="0"/>
          <w:sz w:val="21"/>
          <w:szCs w:val="21"/>
          <w:highlight w:val="none"/>
          <w:u w:val="none"/>
          <w:lang w:val="en-US" w:eastAsia="zh-CN" w:bidi="ar"/>
        </w:rPr>
        <w:t>3.5.3显示控制：反转、零移位、B刷新、D扩展、B/D扩展等</w:t>
      </w:r>
    </w:p>
    <w:p w14:paraId="2319FB8C">
      <w:pPr>
        <w:pageBreakBefore w:val="0"/>
        <w:widowControl/>
        <w:kinsoku/>
        <w:wordWrap/>
        <w:overflowPunct/>
        <w:topLinePunct w:val="0"/>
        <w:autoSpaceDE/>
        <w:autoSpaceDN/>
        <w:bidi w:val="0"/>
        <w:spacing w:beforeAutospacing="0" w:after="0" w:afterAutospacing="0" w:line="360" w:lineRule="auto"/>
        <w:jc w:val="left"/>
        <w:textAlignment w:val="auto"/>
        <w:rPr>
          <w:rFonts w:hint="eastAsia" w:ascii="宋体" w:hAnsi="宋体" w:eastAsia="宋体" w:cs="宋体"/>
          <w:i w:val="0"/>
          <w:caps w:val="0"/>
          <w:color w:val="auto"/>
          <w:spacing w:val="0"/>
          <w:sz w:val="21"/>
          <w:szCs w:val="21"/>
          <w:highlight w:val="none"/>
          <w:u w:val="none"/>
        </w:rPr>
      </w:pPr>
      <w:r>
        <w:rPr>
          <w:rFonts w:hint="eastAsia" w:ascii="宋体" w:hAnsi="宋体" w:eastAsia="宋体" w:cs="宋体"/>
          <w:i w:val="0"/>
          <w:caps w:val="0"/>
          <w:color w:val="auto"/>
          <w:spacing w:val="0"/>
          <w:kern w:val="0"/>
          <w:sz w:val="21"/>
          <w:szCs w:val="21"/>
          <w:highlight w:val="none"/>
          <w:u w:val="none"/>
          <w:lang w:val="en-US" w:eastAsia="zh-CN" w:bidi="ar"/>
        </w:rPr>
        <w:t>3.5.3.1 PW最大速度:≥8m/s、CW≥37m/s</w:t>
      </w:r>
    </w:p>
    <w:p w14:paraId="0807DFA1">
      <w:pPr>
        <w:pageBreakBefore w:val="0"/>
        <w:widowControl/>
        <w:kinsoku/>
        <w:wordWrap/>
        <w:overflowPunct/>
        <w:topLinePunct w:val="0"/>
        <w:autoSpaceDE/>
        <w:autoSpaceDN/>
        <w:bidi w:val="0"/>
        <w:spacing w:beforeAutospacing="0" w:after="0" w:afterAutospacing="0" w:line="360" w:lineRule="auto"/>
        <w:jc w:val="left"/>
        <w:textAlignment w:val="auto"/>
        <w:rPr>
          <w:rFonts w:hint="eastAsia" w:ascii="宋体" w:hAnsi="宋体" w:eastAsia="宋体" w:cs="宋体"/>
          <w:i w:val="0"/>
          <w:caps w:val="0"/>
          <w:color w:val="auto"/>
          <w:spacing w:val="0"/>
          <w:sz w:val="21"/>
          <w:szCs w:val="21"/>
          <w:highlight w:val="none"/>
          <w:u w:val="none"/>
        </w:rPr>
      </w:pPr>
      <w:r>
        <w:rPr>
          <w:rFonts w:hint="eastAsia" w:ascii="宋体" w:hAnsi="宋体" w:eastAsia="宋体" w:cs="宋体"/>
          <w:i w:val="0"/>
          <w:caps w:val="0"/>
          <w:color w:val="auto"/>
          <w:spacing w:val="0"/>
          <w:kern w:val="0"/>
          <w:sz w:val="21"/>
          <w:szCs w:val="21"/>
          <w:highlight w:val="none"/>
          <w:u w:val="none"/>
          <w:lang w:val="en-US" w:eastAsia="zh-CN" w:bidi="ar"/>
        </w:rPr>
        <w:t>3.5.3.2最小速度:≤5mm/s</w:t>
      </w:r>
    </w:p>
    <w:p w14:paraId="11457596">
      <w:pPr>
        <w:pageBreakBefore w:val="0"/>
        <w:widowControl/>
        <w:kinsoku/>
        <w:wordWrap/>
        <w:overflowPunct/>
        <w:topLinePunct w:val="0"/>
        <w:autoSpaceDE/>
        <w:autoSpaceDN/>
        <w:bidi w:val="0"/>
        <w:spacing w:beforeAutospacing="0" w:after="0" w:afterAutospacing="0" w:line="360" w:lineRule="auto"/>
        <w:jc w:val="left"/>
        <w:textAlignment w:val="auto"/>
        <w:rPr>
          <w:rFonts w:hint="eastAsia" w:ascii="宋体" w:hAnsi="宋体" w:eastAsia="宋体" w:cs="宋体"/>
          <w:i w:val="0"/>
          <w:caps w:val="0"/>
          <w:color w:val="auto"/>
          <w:spacing w:val="0"/>
          <w:sz w:val="21"/>
          <w:szCs w:val="21"/>
          <w:highlight w:val="none"/>
          <w:u w:val="none"/>
        </w:rPr>
      </w:pPr>
      <w:r>
        <w:rPr>
          <w:rFonts w:hint="eastAsia" w:ascii="宋体" w:hAnsi="宋体" w:eastAsia="宋体" w:cs="宋体"/>
          <w:i w:val="0"/>
          <w:caps w:val="0"/>
          <w:color w:val="auto"/>
          <w:spacing w:val="0"/>
          <w:kern w:val="0"/>
          <w:sz w:val="21"/>
          <w:szCs w:val="21"/>
          <w:highlight w:val="none"/>
          <w:u w:val="none"/>
          <w:lang w:val="en-US" w:eastAsia="zh-CN" w:bidi="ar"/>
        </w:rPr>
        <w:t>3.5.3.3取样容积:1-20mm，多级可调</w:t>
      </w:r>
    </w:p>
    <w:p w14:paraId="486A224C">
      <w:pPr>
        <w:pageBreakBefore w:val="0"/>
        <w:widowControl/>
        <w:kinsoku/>
        <w:wordWrap/>
        <w:overflowPunct/>
        <w:topLinePunct w:val="0"/>
        <w:autoSpaceDE/>
        <w:autoSpaceDN/>
        <w:bidi w:val="0"/>
        <w:spacing w:beforeAutospacing="0" w:after="0" w:afterAutospacing="0" w:line="360" w:lineRule="auto"/>
        <w:jc w:val="left"/>
        <w:textAlignment w:val="auto"/>
        <w:rPr>
          <w:rFonts w:hint="eastAsia" w:ascii="宋体" w:hAnsi="宋体" w:eastAsia="宋体" w:cs="宋体"/>
          <w:i w:val="0"/>
          <w:caps w:val="0"/>
          <w:color w:val="auto"/>
          <w:spacing w:val="0"/>
          <w:sz w:val="21"/>
          <w:szCs w:val="21"/>
          <w:highlight w:val="none"/>
          <w:u w:val="none"/>
        </w:rPr>
      </w:pPr>
      <w:r>
        <w:rPr>
          <w:rFonts w:hint="eastAsia" w:ascii="宋体" w:hAnsi="宋体" w:eastAsia="宋体" w:cs="宋体"/>
          <w:i w:val="0"/>
          <w:caps w:val="0"/>
          <w:color w:val="auto"/>
          <w:spacing w:val="0"/>
          <w:kern w:val="0"/>
          <w:sz w:val="21"/>
          <w:szCs w:val="21"/>
          <w:highlight w:val="none"/>
          <w:u w:val="none"/>
          <w:lang w:val="en-US" w:eastAsia="zh-CN" w:bidi="ar"/>
        </w:rPr>
        <w:t>3.5.3.4 PW偏转角度:≥±30度 (线阵探头)</w:t>
      </w:r>
    </w:p>
    <w:p w14:paraId="6E62AB6C">
      <w:pPr>
        <w:pageBreakBefore w:val="0"/>
        <w:widowControl/>
        <w:kinsoku/>
        <w:wordWrap/>
        <w:overflowPunct/>
        <w:topLinePunct w:val="0"/>
        <w:autoSpaceDE/>
        <w:autoSpaceDN/>
        <w:bidi w:val="0"/>
        <w:spacing w:beforeAutospacing="0" w:after="0" w:afterAutospacing="0" w:line="360" w:lineRule="auto"/>
        <w:jc w:val="left"/>
        <w:textAlignment w:val="auto"/>
        <w:rPr>
          <w:rFonts w:hint="eastAsia" w:ascii="宋体" w:hAnsi="宋体" w:eastAsia="宋体" w:cs="宋体"/>
          <w:i w:val="0"/>
          <w:caps w:val="0"/>
          <w:color w:val="auto"/>
          <w:spacing w:val="0"/>
          <w:sz w:val="21"/>
          <w:szCs w:val="21"/>
          <w:highlight w:val="none"/>
          <w:u w:val="none"/>
        </w:rPr>
      </w:pPr>
      <w:r>
        <w:rPr>
          <w:rFonts w:hint="eastAsia" w:ascii="宋体" w:hAnsi="宋体" w:eastAsia="宋体" w:cs="宋体"/>
          <w:i w:val="0"/>
          <w:caps w:val="0"/>
          <w:color w:val="auto"/>
          <w:spacing w:val="0"/>
          <w:kern w:val="0"/>
          <w:sz w:val="21"/>
          <w:szCs w:val="21"/>
          <w:highlight w:val="none"/>
          <w:u w:val="none"/>
          <w:lang w:val="en-US" w:eastAsia="zh-CN" w:bidi="ar"/>
        </w:rPr>
        <w:t>3.5.3.5零位移动：≥8 级</w:t>
      </w:r>
    </w:p>
    <w:p w14:paraId="2D902F31">
      <w:pPr>
        <w:pageBreakBefore w:val="0"/>
        <w:widowControl/>
        <w:kinsoku/>
        <w:wordWrap/>
        <w:overflowPunct/>
        <w:topLinePunct w:val="0"/>
        <w:autoSpaceDE/>
        <w:autoSpaceDN/>
        <w:bidi w:val="0"/>
        <w:spacing w:beforeAutospacing="0" w:after="0" w:afterAutospacing="0" w:line="360" w:lineRule="auto"/>
        <w:jc w:val="left"/>
        <w:textAlignment w:val="auto"/>
        <w:rPr>
          <w:rFonts w:hint="eastAsia" w:ascii="宋体" w:hAnsi="宋体" w:eastAsia="宋体" w:cs="宋体"/>
          <w:i w:val="0"/>
          <w:caps w:val="0"/>
          <w:color w:val="auto"/>
          <w:spacing w:val="0"/>
          <w:sz w:val="21"/>
          <w:szCs w:val="21"/>
          <w:highlight w:val="none"/>
          <w:u w:val="none"/>
        </w:rPr>
      </w:pPr>
      <w:r>
        <w:rPr>
          <w:rFonts w:hint="eastAsia" w:ascii="宋体" w:hAnsi="宋体" w:eastAsia="宋体" w:cs="宋体"/>
          <w:i w:val="0"/>
          <w:caps w:val="0"/>
          <w:color w:val="auto"/>
          <w:spacing w:val="0"/>
          <w:kern w:val="0"/>
          <w:sz w:val="21"/>
          <w:szCs w:val="21"/>
          <w:highlight w:val="none"/>
          <w:u w:val="none"/>
          <w:lang w:val="en-US" w:eastAsia="zh-CN" w:bidi="ar"/>
        </w:rPr>
        <w:t>3.5.3.6二同步/三同步:支持PW、CW开/关</w:t>
      </w:r>
    </w:p>
    <w:p w14:paraId="54A1C97F">
      <w:pPr>
        <w:pageBreakBefore w:val="0"/>
        <w:widowControl/>
        <w:kinsoku/>
        <w:wordWrap/>
        <w:overflowPunct/>
        <w:topLinePunct w:val="0"/>
        <w:autoSpaceDE/>
        <w:autoSpaceDN/>
        <w:bidi w:val="0"/>
        <w:spacing w:beforeAutospacing="0" w:after="0" w:afterAutospacing="0" w:line="360" w:lineRule="auto"/>
        <w:jc w:val="left"/>
        <w:textAlignment w:val="auto"/>
        <w:rPr>
          <w:rFonts w:hint="eastAsia" w:ascii="宋体" w:hAnsi="宋体" w:eastAsia="宋体" w:cs="宋体"/>
          <w:i w:val="0"/>
          <w:caps w:val="0"/>
          <w:color w:val="auto"/>
          <w:spacing w:val="0"/>
          <w:sz w:val="21"/>
          <w:szCs w:val="21"/>
          <w:highlight w:val="none"/>
          <w:u w:val="none"/>
        </w:rPr>
      </w:pPr>
      <w:r>
        <w:rPr>
          <w:rFonts w:hint="eastAsia" w:ascii="宋体" w:hAnsi="宋体" w:eastAsia="宋体" w:cs="宋体"/>
          <w:i w:val="0"/>
          <w:caps w:val="0"/>
          <w:color w:val="auto"/>
          <w:spacing w:val="0"/>
          <w:kern w:val="0"/>
          <w:sz w:val="21"/>
          <w:szCs w:val="21"/>
          <w:highlight w:val="none"/>
          <w:u w:val="none"/>
          <w:lang w:val="en-US" w:eastAsia="zh-CN" w:bidi="ar"/>
        </w:rPr>
        <w:t>▲3.6组织多普勒成像及定量分析单元</w:t>
      </w:r>
    </w:p>
    <w:p w14:paraId="4B4D054F">
      <w:pPr>
        <w:pageBreakBefore w:val="0"/>
        <w:widowControl/>
        <w:kinsoku/>
        <w:wordWrap/>
        <w:overflowPunct/>
        <w:topLinePunct w:val="0"/>
        <w:autoSpaceDE/>
        <w:autoSpaceDN/>
        <w:bidi w:val="0"/>
        <w:spacing w:beforeAutospacing="0" w:after="0" w:afterAutospacing="0" w:line="360" w:lineRule="auto"/>
        <w:jc w:val="left"/>
        <w:textAlignment w:val="auto"/>
        <w:rPr>
          <w:rFonts w:hint="eastAsia" w:ascii="宋体" w:hAnsi="宋体" w:eastAsia="宋体" w:cs="宋体"/>
          <w:i w:val="0"/>
          <w:caps w:val="0"/>
          <w:color w:val="auto"/>
          <w:spacing w:val="0"/>
          <w:sz w:val="21"/>
          <w:szCs w:val="21"/>
          <w:highlight w:val="none"/>
          <w:u w:val="none"/>
        </w:rPr>
      </w:pPr>
      <w:r>
        <w:rPr>
          <w:rFonts w:hint="eastAsia" w:ascii="宋体" w:hAnsi="宋体" w:eastAsia="宋体" w:cs="宋体"/>
          <w:i w:val="0"/>
          <w:caps w:val="0"/>
          <w:color w:val="auto"/>
          <w:spacing w:val="0"/>
          <w:kern w:val="0"/>
          <w:sz w:val="21"/>
          <w:szCs w:val="21"/>
          <w:highlight w:val="none"/>
          <w:u w:val="none"/>
          <w:lang w:val="en-US" w:eastAsia="zh-CN" w:bidi="ar"/>
        </w:rPr>
        <w:t>3.6.1支持TVD、TVI、TVM、TEI四种模式</w:t>
      </w:r>
    </w:p>
    <w:p w14:paraId="1740043A">
      <w:pPr>
        <w:pageBreakBefore w:val="0"/>
        <w:widowControl/>
        <w:kinsoku/>
        <w:wordWrap/>
        <w:overflowPunct/>
        <w:topLinePunct w:val="0"/>
        <w:autoSpaceDE/>
        <w:autoSpaceDN/>
        <w:bidi w:val="0"/>
        <w:spacing w:beforeAutospacing="0" w:after="0" w:afterAutospacing="0" w:line="360" w:lineRule="auto"/>
        <w:jc w:val="left"/>
        <w:textAlignment w:val="auto"/>
        <w:rPr>
          <w:rFonts w:hint="eastAsia" w:ascii="宋体" w:hAnsi="宋体" w:eastAsia="宋体" w:cs="宋体"/>
          <w:i w:val="0"/>
          <w:caps w:val="0"/>
          <w:color w:val="auto"/>
          <w:spacing w:val="0"/>
          <w:sz w:val="21"/>
          <w:szCs w:val="21"/>
          <w:highlight w:val="none"/>
          <w:u w:val="none"/>
        </w:rPr>
      </w:pPr>
      <w:r>
        <w:rPr>
          <w:rFonts w:hint="eastAsia" w:ascii="宋体" w:hAnsi="宋体" w:eastAsia="宋体" w:cs="宋体"/>
          <w:i w:val="0"/>
          <w:caps w:val="0"/>
          <w:color w:val="auto"/>
          <w:spacing w:val="0"/>
          <w:kern w:val="0"/>
          <w:sz w:val="21"/>
          <w:szCs w:val="21"/>
          <w:highlight w:val="none"/>
          <w:u w:val="none"/>
          <w:lang w:val="en-US" w:eastAsia="zh-CN" w:bidi="ar"/>
        </w:rPr>
        <w:t>3.6.2支持8个取样框内心肌组织的TDI速度、应变、应变率定量分析工具</w:t>
      </w:r>
    </w:p>
    <w:p w14:paraId="67D97B77">
      <w:pPr>
        <w:pageBreakBefore w:val="0"/>
        <w:widowControl/>
        <w:kinsoku/>
        <w:wordWrap/>
        <w:overflowPunct/>
        <w:topLinePunct w:val="0"/>
        <w:autoSpaceDE/>
        <w:autoSpaceDN/>
        <w:bidi w:val="0"/>
        <w:spacing w:beforeAutospacing="0" w:after="0" w:afterAutospacing="0" w:line="360" w:lineRule="auto"/>
        <w:jc w:val="left"/>
        <w:textAlignment w:val="auto"/>
        <w:rPr>
          <w:rFonts w:hint="eastAsia" w:ascii="宋体" w:hAnsi="宋体" w:eastAsia="宋体" w:cs="宋体"/>
          <w:i w:val="0"/>
          <w:caps w:val="0"/>
          <w:color w:val="auto"/>
          <w:spacing w:val="0"/>
          <w:sz w:val="21"/>
          <w:szCs w:val="21"/>
          <w:highlight w:val="none"/>
          <w:u w:val="none"/>
        </w:rPr>
      </w:pPr>
      <w:r>
        <w:rPr>
          <w:rFonts w:hint="eastAsia" w:ascii="宋体" w:hAnsi="宋体" w:eastAsia="宋体" w:cs="宋体"/>
          <w:i w:val="0"/>
          <w:caps w:val="0"/>
          <w:color w:val="auto"/>
          <w:spacing w:val="0"/>
          <w:kern w:val="0"/>
          <w:sz w:val="21"/>
          <w:szCs w:val="21"/>
          <w:highlight w:val="none"/>
          <w:u w:val="none"/>
          <w:lang w:val="en-US" w:eastAsia="zh-CN" w:bidi="ar"/>
        </w:rPr>
        <w:t>3.6.3支持曲线解剖M型和彩色曲线解剖M型</w:t>
      </w:r>
    </w:p>
    <w:p w14:paraId="174E0681">
      <w:pPr>
        <w:pageBreakBefore w:val="0"/>
        <w:widowControl/>
        <w:kinsoku/>
        <w:wordWrap/>
        <w:overflowPunct/>
        <w:topLinePunct w:val="0"/>
        <w:autoSpaceDE/>
        <w:autoSpaceDN/>
        <w:bidi w:val="0"/>
        <w:spacing w:beforeAutospacing="0" w:after="0" w:afterAutospacing="0" w:line="360" w:lineRule="auto"/>
        <w:jc w:val="left"/>
        <w:textAlignment w:val="auto"/>
        <w:rPr>
          <w:rFonts w:hint="eastAsia" w:ascii="宋体" w:hAnsi="宋体" w:eastAsia="宋体" w:cs="宋体"/>
          <w:i w:val="0"/>
          <w:caps w:val="0"/>
          <w:color w:val="auto"/>
          <w:spacing w:val="0"/>
          <w:sz w:val="21"/>
          <w:szCs w:val="21"/>
          <w:highlight w:val="none"/>
          <w:u w:val="none"/>
        </w:rPr>
      </w:pPr>
      <w:r>
        <w:rPr>
          <w:rFonts w:hint="eastAsia" w:ascii="宋体" w:hAnsi="宋体" w:eastAsia="宋体" w:cs="宋体"/>
          <w:i w:val="0"/>
          <w:caps w:val="0"/>
          <w:color w:val="auto"/>
          <w:spacing w:val="0"/>
          <w:kern w:val="0"/>
          <w:sz w:val="21"/>
          <w:szCs w:val="21"/>
          <w:highlight w:val="none"/>
          <w:u w:val="none"/>
          <w:lang w:val="en-US" w:eastAsia="zh-CN" w:bidi="ar"/>
        </w:rPr>
        <w:t>3.7实时宽景成像，支持凸阵、线阵，具有扫描速度提示功能，可360度旋转</w:t>
      </w:r>
    </w:p>
    <w:p w14:paraId="5A04B034">
      <w:pPr>
        <w:pageBreakBefore w:val="0"/>
        <w:widowControl/>
        <w:kinsoku/>
        <w:wordWrap/>
        <w:overflowPunct/>
        <w:topLinePunct w:val="0"/>
        <w:autoSpaceDE/>
        <w:autoSpaceDN/>
        <w:bidi w:val="0"/>
        <w:spacing w:beforeAutospacing="0" w:after="0" w:afterAutospacing="0" w:line="360" w:lineRule="auto"/>
        <w:jc w:val="left"/>
        <w:textAlignment w:val="auto"/>
        <w:rPr>
          <w:rFonts w:hint="eastAsia" w:ascii="宋体" w:hAnsi="宋体" w:eastAsia="宋体" w:cs="宋体"/>
          <w:i w:val="0"/>
          <w:caps w:val="0"/>
          <w:color w:val="auto"/>
          <w:spacing w:val="0"/>
          <w:sz w:val="21"/>
          <w:szCs w:val="21"/>
          <w:highlight w:val="none"/>
          <w:u w:val="none"/>
        </w:rPr>
      </w:pPr>
      <w:r>
        <w:rPr>
          <w:rFonts w:hint="eastAsia" w:ascii="宋体" w:hAnsi="宋体" w:eastAsia="宋体" w:cs="宋体"/>
          <w:i w:val="0"/>
          <w:caps w:val="0"/>
          <w:color w:val="auto"/>
          <w:spacing w:val="0"/>
          <w:kern w:val="0"/>
          <w:sz w:val="21"/>
          <w:szCs w:val="21"/>
          <w:highlight w:val="none"/>
          <w:u w:val="none"/>
          <w:lang w:val="en-US" w:eastAsia="zh-CN" w:bidi="ar"/>
        </w:rPr>
        <w:t>3.8一键自动优化（包括应用于二维、彩色、频谱模式、TDI及造影）</w:t>
      </w:r>
    </w:p>
    <w:p w14:paraId="04210498">
      <w:pPr>
        <w:pageBreakBefore w:val="0"/>
        <w:widowControl/>
        <w:kinsoku/>
        <w:wordWrap/>
        <w:overflowPunct/>
        <w:topLinePunct w:val="0"/>
        <w:autoSpaceDE/>
        <w:autoSpaceDN/>
        <w:bidi w:val="0"/>
        <w:spacing w:beforeAutospacing="0" w:after="0" w:afterAutospacing="0" w:line="360" w:lineRule="auto"/>
        <w:jc w:val="left"/>
        <w:textAlignment w:val="auto"/>
        <w:rPr>
          <w:rFonts w:hint="eastAsia" w:ascii="宋体" w:hAnsi="宋体" w:eastAsia="宋体" w:cs="宋体"/>
          <w:i w:val="0"/>
          <w:caps w:val="0"/>
          <w:color w:val="auto"/>
          <w:spacing w:val="0"/>
          <w:sz w:val="21"/>
          <w:szCs w:val="21"/>
          <w:highlight w:val="none"/>
          <w:u w:val="none"/>
        </w:rPr>
      </w:pPr>
      <w:r>
        <w:rPr>
          <w:rFonts w:hint="eastAsia" w:ascii="宋体" w:hAnsi="宋体" w:eastAsia="宋体" w:cs="宋体"/>
          <w:i w:val="0"/>
          <w:caps w:val="0"/>
          <w:color w:val="auto"/>
          <w:spacing w:val="0"/>
          <w:kern w:val="0"/>
          <w:sz w:val="21"/>
          <w:szCs w:val="21"/>
          <w:highlight w:val="none"/>
          <w:u w:val="none"/>
          <w:lang w:val="en-US" w:eastAsia="zh-CN" w:bidi="ar"/>
        </w:rPr>
        <w:t>3.9图像放大技术</w:t>
      </w:r>
    </w:p>
    <w:p w14:paraId="034F3C88">
      <w:pPr>
        <w:pageBreakBefore w:val="0"/>
        <w:widowControl/>
        <w:kinsoku/>
        <w:wordWrap/>
        <w:overflowPunct/>
        <w:topLinePunct w:val="0"/>
        <w:autoSpaceDE/>
        <w:autoSpaceDN/>
        <w:bidi w:val="0"/>
        <w:spacing w:beforeAutospacing="0" w:after="0" w:afterAutospacing="0" w:line="360" w:lineRule="auto"/>
        <w:jc w:val="left"/>
        <w:textAlignment w:val="auto"/>
        <w:rPr>
          <w:rFonts w:hint="eastAsia" w:ascii="宋体" w:hAnsi="宋体" w:eastAsia="宋体" w:cs="宋体"/>
          <w:i w:val="0"/>
          <w:caps w:val="0"/>
          <w:color w:val="auto"/>
          <w:spacing w:val="0"/>
          <w:sz w:val="21"/>
          <w:szCs w:val="21"/>
          <w:highlight w:val="none"/>
          <w:u w:val="none"/>
        </w:rPr>
      </w:pPr>
      <w:r>
        <w:rPr>
          <w:rFonts w:hint="eastAsia" w:ascii="宋体" w:hAnsi="宋体" w:eastAsia="宋体" w:cs="宋体"/>
          <w:i w:val="0"/>
          <w:caps w:val="0"/>
          <w:color w:val="auto"/>
          <w:spacing w:val="0"/>
          <w:kern w:val="0"/>
          <w:sz w:val="21"/>
          <w:szCs w:val="21"/>
          <w:highlight w:val="none"/>
          <w:u w:val="none"/>
          <w:lang w:val="en-US" w:eastAsia="zh-CN" w:bidi="ar"/>
        </w:rPr>
        <w:t>3.9.1一键实现全屏放大</w:t>
      </w:r>
    </w:p>
    <w:p w14:paraId="1D4519FB">
      <w:pPr>
        <w:pageBreakBefore w:val="0"/>
        <w:widowControl/>
        <w:kinsoku/>
        <w:wordWrap/>
        <w:overflowPunct/>
        <w:topLinePunct w:val="0"/>
        <w:autoSpaceDE/>
        <w:autoSpaceDN/>
        <w:bidi w:val="0"/>
        <w:spacing w:beforeAutospacing="0" w:after="0" w:afterAutospacing="0" w:line="360" w:lineRule="auto"/>
        <w:jc w:val="left"/>
        <w:textAlignment w:val="auto"/>
        <w:rPr>
          <w:rFonts w:hint="eastAsia" w:ascii="宋体" w:hAnsi="宋体" w:eastAsia="宋体" w:cs="宋体"/>
          <w:i w:val="0"/>
          <w:caps w:val="0"/>
          <w:color w:val="auto"/>
          <w:spacing w:val="0"/>
          <w:sz w:val="21"/>
          <w:szCs w:val="21"/>
          <w:highlight w:val="none"/>
          <w:u w:val="none"/>
        </w:rPr>
      </w:pPr>
      <w:r>
        <w:rPr>
          <w:rFonts w:hint="eastAsia" w:ascii="宋体" w:hAnsi="宋体" w:eastAsia="宋体" w:cs="宋体"/>
          <w:i w:val="0"/>
          <w:caps w:val="0"/>
          <w:color w:val="auto"/>
          <w:spacing w:val="0"/>
          <w:kern w:val="0"/>
          <w:sz w:val="21"/>
          <w:szCs w:val="21"/>
          <w:highlight w:val="none"/>
          <w:u w:val="none"/>
          <w:lang w:val="en-US" w:eastAsia="zh-CN" w:bidi="ar"/>
        </w:rPr>
        <w:t xml:space="preserve">3.9.2 </w:t>
      </w:r>
      <w:r>
        <w:rPr>
          <w:rFonts w:hint="eastAsia" w:ascii="宋体" w:hAnsi="宋体" w:cs="宋体"/>
          <w:i w:val="0"/>
          <w:caps w:val="0"/>
          <w:color w:val="auto"/>
          <w:spacing w:val="0"/>
          <w:kern w:val="0"/>
          <w:sz w:val="21"/>
          <w:szCs w:val="21"/>
          <w:highlight w:val="none"/>
          <w:u w:val="none"/>
          <w:lang w:val="en-US" w:eastAsia="zh-CN" w:bidi="ar"/>
        </w:rPr>
        <w:t xml:space="preserve"> </w:t>
      </w:r>
      <w:r>
        <w:rPr>
          <w:rFonts w:hint="eastAsia" w:ascii="宋体" w:hAnsi="宋体" w:eastAsia="宋体" w:cs="宋体"/>
          <w:i w:val="0"/>
          <w:caps w:val="0"/>
          <w:color w:val="auto"/>
          <w:spacing w:val="0"/>
          <w:kern w:val="0"/>
          <w:sz w:val="21"/>
          <w:szCs w:val="21"/>
          <w:highlight w:val="none"/>
          <w:u w:val="none"/>
          <w:lang w:val="en-US" w:eastAsia="zh-CN" w:bidi="ar"/>
        </w:rPr>
        <w:t>10倍局部放大（支持前端、后端放大）</w:t>
      </w:r>
    </w:p>
    <w:p w14:paraId="04FB54F8">
      <w:pPr>
        <w:pageBreakBefore w:val="0"/>
        <w:widowControl/>
        <w:kinsoku/>
        <w:wordWrap/>
        <w:overflowPunct/>
        <w:topLinePunct w:val="0"/>
        <w:autoSpaceDE/>
        <w:autoSpaceDN/>
        <w:bidi w:val="0"/>
        <w:spacing w:beforeAutospacing="0" w:after="0" w:afterAutospacing="0" w:line="360" w:lineRule="auto"/>
        <w:jc w:val="left"/>
        <w:textAlignment w:val="auto"/>
        <w:rPr>
          <w:rFonts w:hint="eastAsia" w:ascii="宋体" w:hAnsi="宋体" w:eastAsia="宋体" w:cs="宋体"/>
          <w:i w:val="0"/>
          <w:caps w:val="0"/>
          <w:color w:val="auto"/>
          <w:spacing w:val="0"/>
          <w:sz w:val="21"/>
          <w:szCs w:val="21"/>
          <w:highlight w:val="none"/>
          <w:u w:val="none"/>
        </w:rPr>
      </w:pPr>
      <w:r>
        <w:rPr>
          <w:rFonts w:hint="eastAsia" w:ascii="宋体" w:hAnsi="宋体" w:eastAsia="宋体" w:cs="宋体"/>
          <w:i w:val="0"/>
          <w:caps w:val="0"/>
          <w:color w:val="auto"/>
          <w:spacing w:val="0"/>
          <w:kern w:val="0"/>
          <w:sz w:val="21"/>
          <w:szCs w:val="21"/>
          <w:highlight w:val="none"/>
          <w:u w:val="none"/>
          <w:lang w:val="en-US" w:eastAsia="zh-CN" w:bidi="ar"/>
        </w:rPr>
        <w:t>3.10自动工作流协议</w:t>
      </w:r>
    </w:p>
    <w:p w14:paraId="6291C3D1">
      <w:pPr>
        <w:pageBreakBefore w:val="0"/>
        <w:widowControl/>
        <w:kinsoku/>
        <w:wordWrap/>
        <w:overflowPunct/>
        <w:topLinePunct w:val="0"/>
        <w:autoSpaceDE/>
        <w:autoSpaceDN/>
        <w:bidi w:val="0"/>
        <w:spacing w:beforeAutospacing="0" w:after="0" w:afterAutospacing="0" w:line="360" w:lineRule="auto"/>
        <w:jc w:val="left"/>
        <w:textAlignment w:val="auto"/>
        <w:rPr>
          <w:rFonts w:hint="eastAsia" w:ascii="宋体" w:hAnsi="宋体" w:eastAsia="宋体" w:cs="宋体"/>
          <w:i w:val="0"/>
          <w:caps w:val="0"/>
          <w:color w:val="auto"/>
          <w:spacing w:val="0"/>
          <w:sz w:val="21"/>
          <w:szCs w:val="21"/>
          <w:highlight w:val="none"/>
          <w:u w:val="none"/>
        </w:rPr>
      </w:pPr>
      <w:r>
        <w:rPr>
          <w:rFonts w:hint="eastAsia" w:ascii="宋体" w:hAnsi="宋体" w:eastAsia="宋体" w:cs="宋体"/>
          <w:i w:val="0"/>
          <w:caps w:val="0"/>
          <w:color w:val="auto"/>
          <w:spacing w:val="0"/>
          <w:kern w:val="0"/>
          <w:sz w:val="21"/>
          <w:szCs w:val="21"/>
          <w:highlight w:val="none"/>
          <w:u w:val="none"/>
          <w:lang w:val="en-US" w:eastAsia="zh-CN" w:bidi="ar"/>
        </w:rPr>
        <w:t>3.10.1可根据医生习惯自定义检查规范，减少重复操作</w:t>
      </w:r>
    </w:p>
    <w:p w14:paraId="4C140C4E">
      <w:pPr>
        <w:pageBreakBefore w:val="0"/>
        <w:widowControl/>
        <w:kinsoku/>
        <w:wordWrap/>
        <w:overflowPunct/>
        <w:topLinePunct w:val="0"/>
        <w:autoSpaceDE/>
        <w:autoSpaceDN/>
        <w:bidi w:val="0"/>
        <w:spacing w:beforeAutospacing="0" w:after="0" w:afterAutospacing="0" w:line="360" w:lineRule="auto"/>
        <w:jc w:val="left"/>
        <w:textAlignment w:val="auto"/>
        <w:rPr>
          <w:rFonts w:hint="eastAsia" w:ascii="宋体" w:hAnsi="宋体" w:eastAsia="宋体" w:cs="宋体"/>
          <w:i w:val="0"/>
          <w:caps w:val="0"/>
          <w:color w:val="auto"/>
          <w:spacing w:val="0"/>
          <w:sz w:val="21"/>
          <w:szCs w:val="21"/>
          <w:highlight w:val="none"/>
          <w:u w:val="none"/>
        </w:rPr>
      </w:pPr>
      <w:r>
        <w:rPr>
          <w:rFonts w:hint="eastAsia" w:ascii="宋体" w:hAnsi="宋体" w:eastAsia="宋体" w:cs="宋体"/>
          <w:i w:val="0"/>
          <w:caps w:val="0"/>
          <w:color w:val="auto"/>
          <w:spacing w:val="0"/>
          <w:kern w:val="0"/>
          <w:sz w:val="21"/>
          <w:szCs w:val="21"/>
          <w:highlight w:val="none"/>
          <w:u w:val="none"/>
          <w:lang w:val="en-US" w:eastAsia="zh-CN" w:bidi="ar"/>
        </w:rPr>
        <w:t>3.10.2自动打开彩色、频谱成像模式，自动添加体位图和注释，无需手动输入</w:t>
      </w:r>
    </w:p>
    <w:p w14:paraId="5E01C147">
      <w:pPr>
        <w:pageBreakBefore w:val="0"/>
        <w:widowControl/>
        <w:kinsoku/>
        <w:wordWrap/>
        <w:overflowPunct/>
        <w:topLinePunct w:val="0"/>
        <w:autoSpaceDE/>
        <w:autoSpaceDN/>
        <w:bidi w:val="0"/>
        <w:spacing w:beforeAutospacing="0" w:after="0" w:afterAutospacing="0" w:line="360" w:lineRule="auto"/>
        <w:jc w:val="left"/>
        <w:textAlignment w:val="auto"/>
        <w:rPr>
          <w:rFonts w:hint="eastAsia" w:ascii="宋体" w:hAnsi="宋体" w:eastAsia="宋体" w:cs="宋体"/>
          <w:i w:val="0"/>
          <w:caps w:val="0"/>
          <w:color w:val="auto"/>
          <w:spacing w:val="0"/>
          <w:sz w:val="21"/>
          <w:szCs w:val="21"/>
          <w:highlight w:val="none"/>
          <w:u w:val="none"/>
        </w:rPr>
      </w:pPr>
      <w:r>
        <w:rPr>
          <w:rFonts w:hint="eastAsia" w:ascii="宋体" w:hAnsi="宋体" w:eastAsia="宋体" w:cs="宋体"/>
          <w:i w:val="0"/>
          <w:caps w:val="0"/>
          <w:color w:val="auto"/>
          <w:spacing w:val="0"/>
          <w:kern w:val="0"/>
          <w:sz w:val="21"/>
          <w:szCs w:val="21"/>
          <w:highlight w:val="none"/>
          <w:u w:val="none"/>
          <w:lang w:val="en-US" w:eastAsia="zh-CN" w:bidi="ar"/>
        </w:rPr>
        <w:t>3.11穿刺针增强技术</w:t>
      </w:r>
    </w:p>
    <w:p w14:paraId="1D0E5910">
      <w:pPr>
        <w:pageBreakBefore w:val="0"/>
        <w:widowControl/>
        <w:kinsoku/>
        <w:wordWrap/>
        <w:overflowPunct/>
        <w:topLinePunct w:val="0"/>
        <w:autoSpaceDE/>
        <w:autoSpaceDN/>
        <w:bidi w:val="0"/>
        <w:spacing w:beforeAutospacing="0" w:after="0" w:afterAutospacing="0" w:line="360" w:lineRule="auto"/>
        <w:jc w:val="left"/>
        <w:textAlignment w:val="auto"/>
        <w:rPr>
          <w:rFonts w:hint="eastAsia" w:ascii="宋体" w:hAnsi="宋体" w:eastAsia="宋体" w:cs="宋体"/>
          <w:i w:val="0"/>
          <w:caps w:val="0"/>
          <w:color w:val="auto"/>
          <w:spacing w:val="0"/>
          <w:sz w:val="21"/>
          <w:szCs w:val="21"/>
          <w:highlight w:val="none"/>
          <w:u w:val="none"/>
        </w:rPr>
      </w:pPr>
      <w:r>
        <w:rPr>
          <w:rFonts w:hint="eastAsia" w:ascii="宋体" w:hAnsi="宋体" w:eastAsia="宋体" w:cs="宋体"/>
          <w:i w:val="0"/>
          <w:caps w:val="0"/>
          <w:color w:val="auto"/>
          <w:spacing w:val="0"/>
          <w:kern w:val="0"/>
          <w:sz w:val="21"/>
          <w:szCs w:val="21"/>
          <w:highlight w:val="none"/>
          <w:u w:val="none"/>
          <w:lang w:val="en-US" w:eastAsia="zh-CN" w:bidi="ar"/>
        </w:rPr>
        <w:t>3.11.1双屏实时对比显示增强前后效果</w:t>
      </w:r>
    </w:p>
    <w:p w14:paraId="19E1D0BC">
      <w:pPr>
        <w:pageBreakBefore w:val="0"/>
        <w:widowControl/>
        <w:kinsoku/>
        <w:wordWrap/>
        <w:overflowPunct/>
        <w:topLinePunct w:val="0"/>
        <w:autoSpaceDE/>
        <w:autoSpaceDN/>
        <w:bidi w:val="0"/>
        <w:spacing w:beforeAutospacing="0" w:after="0" w:afterAutospacing="0" w:line="360" w:lineRule="auto"/>
        <w:jc w:val="left"/>
        <w:textAlignment w:val="auto"/>
        <w:rPr>
          <w:rFonts w:hint="eastAsia" w:ascii="宋体" w:hAnsi="宋体" w:eastAsia="宋体" w:cs="宋体"/>
          <w:i w:val="0"/>
          <w:caps w:val="0"/>
          <w:color w:val="auto"/>
          <w:spacing w:val="0"/>
          <w:sz w:val="21"/>
          <w:szCs w:val="21"/>
          <w:highlight w:val="none"/>
          <w:u w:val="none"/>
        </w:rPr>
      </w:pPr>
      <w:r>
        <w:rPr>
          <w:rFonts w:hint="eastAsia" w:ascii="宋体" w:hAnsi="宋体" w:eastAsia="宋体" w:cs="宋体"/>
          <w:i w:val="0"/>
          <w:caps w:val="0"/>
          <w:color w:val="auto"/>
          <w:spacing w:val="0"/>
          <w:kern w:val="0"/>
          <w:sz w:val="21"/>
          <w:szCs w:val="21"/>
          <w:highlight w:val="none"/>
          <w:u w:val="none"/>
          <w:lang w:val="en-US" w:eastAsia="zh-CN" w:bidi="ar"/>
        </w:rPr>
        <w:t>3.11.2增强平面角度可调</w:t>
      </w:r>
    </w:p>
    <w:p w14:paraId="167DC582">
      <w:pPr>
        <w:pageBreakBefore w:val="0"/>
        <w:widowControl/>
        <w:kinsoku/>
        <w:wordWrap/>
        <w:overflowPunct/>
        <w:topLinePunct w:val="0"/>
        <w:autoSpaceDE/>
        <w:autoSpaceDN/>
        <w:bidi w:val="0"/>
        <w:spacing w:beforeAutospacing="0" w:after="0" w:afterAutospacing="0" w:line="360" w:lineRule="auto"/>
        <w:jc w:val="left"/>
        <w:textAlignment w:val="auto"/>
        <w:rPr>
          <w:rFonts w:hint="eastAsia" w:ascii="宋体" w:hAnsi="宋体" w:eastAsia="宋体" w:cs="宋体"/>
          <w:i w:val="0"/>
          <w:caps w:val="0"/>
          <w:color w:val="auto"/>
          <w:spacing w:val="0"/>
          <w:sz w:val="21"/>
          <w:szCs w:val="21"/>
          <w:highlight w:val="none"/>
          <w:u w:val="none"/>
        </w:rPr>
      </w:pPr>
      <w:r>
        <w:rPr>
          <w:rFonts w:hint="eastAsia" w:ascii="宋体" w:hAnsi="宋体" w:eastAsia="宋体" w:cs="宋体"/>
          <w:i w:val="0"/>
          <w:caps w:val="0"/>
          <w:color w:val="auto"/>
          <w:spacing w:val="0"/>
          <w:kern w:val="0"/>
          <w:sz w:val="21"/>
          <w:szCs w:val="21"/>
          <w:highlight w:val="none"/>
          <w:u w:val="none"/>
          <w:lang w:val="en-US" w:eastAsia="zh-CN" w:bidi="ar"/>
        </w:rPr>
        <w:t>3.12超声教学助手，能提供标准超声声像图、解剖示意图、手法图及扫查技巧提示等，并支持以上帮助信息区域的单窗口放大功能。</w:t>
      </w:r>
    </w:p>
    <w:p w14:paraId="5C10B089">
      <w:pPr>
        <w:pageBreakBefore w:val="0"/>
        <w:widowControl/>
        <w:kinsoku/>
        <w:wordWrap/>
        <w:overflowPunct/>
        <w:topLinePunct w:val="0"/>
        <w:autoSpaceDE/>
        <w:autoSpaceDN/>
        <w:bidi w:val="0"/>
        <w:spacing w:beforeAutospacing="0" w:after="0" w:afterAutospacing="0" w:line="360" w:lineRule="auto"/>
        <w:jc w:val="left"/>
        <w:textAlignment w:val="auto"/>
        <w:rPr>
          <w:rFonts w:hint="eastAsia" w:ascii="宋体" w:hAnsi="宋体" w:eastAsia="宋体" w:cs="宋体"/>
          <w:i w:val="0"/>
          <w:caps w:val="0"/>
          <w:color w:val="auto"/>
          <w:spacing w:val="0"/>
          <w:sz w:val="21"/>
          <w:szCs w:val="21"/>
          <w:highlight w:val="none"/>
          <w:u w:val="none"/>
        </w:rPr>
      </w:pPr>
      <w:r>
        <w:rPr>
          <w:rFonts w:hint="eastAsia" w:ascii="宋体" w:hAnsi="宋体" w:eastAsia="宋体" w:cs="宋体"/>
          <w:i w:val="0"/>
          <w:caps w:val="0"/>
          <w:color w:val="auto"/>
          <w:spacing w:val="0"/>
          <w:kern w:val="0"/>
          <w:sz w:val="21"/>
          <w:szCs w:val="21"/>
          <w:highlight w:val="none"/>
          <w:u w:val="none"/>
          <w:lang w:val="en-US" w:eastAsia="zh-CN" w:bidi="ar"/>
        </w:rPr>
        <w:t>3.13探头规格类型：可选相控阵、凸阵、线阵、腔内探头、术中（人体内）、经食道、矩阵探头等</w:t>
      </w:r>
    </w:p>
    <w:p w14:paraId="5A1A8D9E">
      <w:pPr>
        <w:pageBreakBefore w:val="0"/>
        <w:widowControl/>
        <w:kinsoku/>
        <w:wordWrap/>
        <w:overflowPunct/>
        <w:topLinePunct w:val="0"/>
        <w:autoSpaceDE/>
        <w:autoSpaceDN/>
        <w:bidi w:val="0"/>
        <w:spacing w:beforeAutospacing="0" w:after="0" w:afterAutospacing="0" w:line="360" w:lineRule="auto"/>
        <w:jc w:val="both"/>
        <w:textAlignment w:val="auto"/>
        <w:rPr>
          <w:rFonts w:hint="eastAsia" w:ascii="宋体" w:hAnsi="宋体" w:eastAsia="宋体" w:cs="宋体"/>
          <w:i w:val="0"/>
          <w:caps w:val="0"/>
          <w:color w:val="auto"/>
          <w:spacing w:val="0"/>
          <w:kern w:val="0"/>
          <w:sz w:val="21"/>
          <w:szCs w:val="21"/>
          <w:highlight w:val="none"/>
          <w:u w:val="none"/>
          <w:lang w:val="en-US" w:eastAsia="zh-CN" w:bidi="ar"/>
        </w:rPr>
      </w:pPr>
      <w:r>
        <w:rPr>
          <w:rFonts w:hint="eastAsia" w:ascii="宋体" w:hAnsi="宋体" w:eastAsia="宋体" w:cs="宋体"/>
          <w:i w:val="0"/>
          <w:caps w:val="0"/>
          <w:color w:val="auto"/>
          <w:spacing w:val="0"/>
          <w:kern w:val="0"/>
          <w:sz w:val="21"/>
          <w:szCs w:val="21"/>
          <w:highlight w:val="none"/>
          <w:u w:val="none"/>
          <w:lang w:val="en-US" w:eastAsia="zh-CN" w:bidi="ar"/>
        </w:rPr>
        <w:t>3.14扫描：</w:t>
      </w:r>
    </w:p>
    <w:p w14:paraId="7280705D">
      <w:pPr>
        <w:pageBreakBefore w:val="0"/>
        <w:widowControl/>
        <w:kinsoku/>
        <w:wordWrap/>
        <w:overflowPunct/>
        <w:topLinePunct w:val="0"/>
        <w:autoSpaceDE/>
        <w:autoSpaceDN/>
        <w:bidi w:val="0"/>
        <w:spacing w:beforeAutospacing="0" w:after="0" w:afterAutospacing="0" w:line="360" w:lineRule="auto"/>
        <w:jc w:val="both"/>
        <w:textAlignment w:val="auto"/>
        <w:rPr>
          <w:rFonts w:hint="eastAsia" w:ascii="宋体" w:hAnsi="宋体" w:eastAsia="宋体" w:cs="宋体"/>
          <w:i w:val="0"/>
          <w:caps w:val="0"/>
          <w:color w:val="auto"/>
          <w:spacing w:val="0"/>
          <w:sz w:val="21"/>
          <w:szCs w:val="21"/>
          <w:highlight w:val="none"/>
          <w:u w:val="none"/>
        </w:rPr>
      </w:pPr>
      <w:r>
        <w:rPr>
          <w:rFonts w:hint="eastAsia" w:ascii="宋体" w:hAnsi="宋体" w:eastAsia="宋体" w:cs="宋体"/>
          <w:i w:val="0"/>
          <w:caps w:val="0"/>
          <w:color w:val="auto"/>
          <w:spacing w:val="0"/>
          <w:kern w:val="0"/>
          <w:sz w:val="21"/>
          <w:szCs w:val="21"/>
          <w:highlight w:val="none"/>
          <w:u w:val="none"/>
          <w:lang w:val="en-US" w:eastAsia="zh-CN" w:bidi="ar"/>
        </w:rPr>
        <w:t>3.14.1相控阵探头：超声频率4-10MHz</w:t>
      </w:r>
    </w:p>
    <w:p w14:paraId="4F5D1D18">
      <w:pPr>
        <w:pStyle w:val="41"/>
        <w:pageBreakBefore w:val="0"/>
        <w:widowControl/>
        <w:kinsoku/>
        <w:wordWrap/>
        <w:overflowPunct/>
        <w:topLinePunct w:val="0"/>
        <w:autoSpaceDE/>
        <w:autoSpaceDN/>
        <w:bidi w:val="0"/>
        <w:spacing w:beforeAutospacing="0" w:after="0" w:afterAutospacing="0" w:line="360" w:lineRule="auto"/>
        <w:ind w:right="0"/>
        <w:jc w:val="both"/>
        <w:textAlignment w:val="auto"/>
        <w:rPr>
          <w:rFonts w:hint="eastAsia" w:ascii="宋体" w:hAnsi="宋体" w:eastAsia="宋体" w:cs="宋体"/>
          <w:i w:val="0"/>
          <w:caps w:val="0"/>
          <w:color w:val="auto"/>
          <w:spacing w:val="0"/>
          <w:sz w:val="21"/>
          <w:szCs w:val="21"/>
          <w:highlight w:val="none"/>
          <w:u w:val="none"/>
        </w:rPr>
      </w:pPr>
      <w:r>
        <w:rPr>
          <w:rFonts w:hint="eastAsia" w:ascii="宋体" w:hAnsi="宋体" w:eastAsia="宋体" w:cs="宋体"/>
          <w:i w:val="0"/>
          <w:caps w:val="0"/>
          <w:color w:val="auto"/>
          <w:spacing w:val="0"/>
          <w:kern w:val="0"/>
          <w:sz w:val="21"/>
          <w:szCs w:val="21"/>
          <w:highlight w:val="none"/>
          <w:u w:val="none"/>
          <w:lang w:val="en-US" w:eastAsia="zh-CN" w:bidi="ar"/>
        </w:rPr>
        <w:t>3.14.2</w:t>
      </w:r>
      <w:r>
        <w:rPr>
          <w:rFonts w:hint="eastAsia" w:ascii="宋体" w:hAnsi="宋体" w:eastAsia="宋体" w:cs="宋体"/>
          <w:i w:val="0"/>
          <w:caps w:val="0"/>
          <w:color w:val="auto"/>
          <w:spacing w:val="0"/>
          <w:sz w:val="21"/>
          <w:szCs w:val="21"/>
          <w:highlight w:val="none"/>
          <w:u w:val="none"/>
        </w:rPr>
        <w:t>单晶体相控阵探头：超声频率1-5MHz</w:t>
      </w:r>
    </w:p>
    <w:p w14:paraId="64864610">
      <w:pPr>
        <w:pStyle w:val="41"/>
        <w:pageBreakBefore w:val="0"/>
        <w:widowControl/>
        <w:kinsoku/>
        <w:wordWrap/>
        <w:overflowPunct/>
        <w:topLinePunct w:val="0"/>
        <w:autoSpaceDE/>
        <w:autoSpaceDN/>
        <w:bidi w:val="0"/>
        <w:spacing w:beforeAutospacing="0" w:after="0" w:afterAutospacing="0" w:line="360" w:lineRule="auto"/>
        <w:ind w:right="0"/>
        <w:jc w:val="both"/>
        <w:textAlignment w:val="auto"/>
        <w:rPr>
          <w:rFonts w:hint="eastAsia" w:ascii="宋体" w:hAnsi="宋体" w:eastAsia="宋体" w:cs="宋体"/>
          <w:i w:val="0"/>
          <w:caps w:val="0"/>
          <w:color w:val="auto"/>
          <w:spacing w:val="0"/>
          <w:sz w:val="21"/>
          <w:szCs w:val="21"/>
          <w:highlight w:val="none"/>
          <w:u w:val="none"/>
        </w:rPr>
      </w:pPr>
      <w:r>
        <w:rPr>
          <w:rFonts w:hint="eastAsia" w:ascii="宋体" w:hAnsi="宋体" w:eastAsia="宋体" w:cs="宋体"/>
          <w:i w:val="0"/>
          <w:caps w:val="0"/>
          <w:color w:val="auto"/>
          <w:spacing w:val="0"/>
          <w:kern w:val="0"/>
          <w:sz w:val="21"/>
          <w:szCs w:val="21"/>
          <w:highlight w:val="none"/>
          <w:u w:val="none"/>
          <w:lang w:val="en-US" w:eastAsia="zh-CN" w:bidi="ar"/>
        </w:rPr>
        <w:t>3.14.3</w:t>
      </w:r>
      <w:r>
        <w:rPr>
          <w:rFonts w:hint="eastAsia" w:ascii="宋体" w:hAnsi="宋体" w:eastAsia="宋体" w:cs="宋体"/>
          <w:i w:val="0"/>
          <w:caps w:val="0"/>
          <w:color w:val="auto"/>
          <w:spacing w:val="0"/>
          <w:sz w:val="21"/>
          <w:szCs w:val="21"/>
          <w:highlight w:val="none"/>
          <w:u w:val="none"/>
        </w:rPr>
        <w:t>线阵探头：超声频率4-16MHz</w:t>
      </w:r>
    </w:p>
    <w:p w14:paraId="77F6D853">
      <w:pPr>
        <w:pStyle w:val="41"/>
        <w:pageBreakBefore w:val="0"/>
        <w:widowControl/>
        <w:kinsoku/>
        <w:wordWrap/>
        <w:overflowPunct/>
        <w:topLinePunct w:val="0"/>
        <w:autoSpaceDE/>
        <w:autoSpaceDN/>
        <w:bidi w:val="0"/>
        <w:spacing w:beforeAutospacing="0" w:after="0" w:afterAutospacing="0" w:line="360" w:lineRule="auto"/>
        <w:ind w:right="0"/>
        <w:jc w:val="both"/>
        <w:textAlignment w:val="auto"/>
        <w:rPr>
          <w:rFonts w:hint="eastAsia" w:ascii="宋体" w:hAnsi="宋体" w:eastAsia="宋体" w:cs="宋体"/>
          <w:i w:val="0"/>
          <w:caps w:val="0"/>
          <w:color w:val="auto"/>
          <w:spacing w:val="0"/>
          <w:sz w:val="21"/>
          <w:szCs w:val="21"/>
          <w:highlight w:val="none"/>
          <w:u w:val="none"/>
          <w:lang w:eastAsia="zh-CN"/>
        </w:rPr>
      </w:pPr>
      <w:r>
        <w:rPr>
          <w:rFonts w:hint="eastAsia" w:ascii="宋体" w:hAnsi="宋体" w:eastAsia="宋体" w:cs="宋体"/>
          <w:i w:val="0"/>
          <w:caps w:val="0"/>
          <w:color w:val="auto"/>
          <w:spacing w:val="0"/>
          <w:kern w:val="0"/>
          <w:sz w:val="21"/>
          <w:szCs w:val="21"/>
          <w:highlight w:val="none"/>
          <w:u w:val="none"/>
          <w:lang w:val="en-US" w:eastAsia="zh-CN" w:bidi="ar"/>
        </w:rPr>
        <w:t>3.14.4</w:t>
      </w:r>
      <w:r>
        <w:rPr>
          <w:rFonts w:hint="eastAsia" w:ascii="宋体" w:hAnsi="宋体" w:eastAsia="宋体" w:cs="宋体"/>
          <w:i w:val="0"/>
          <w:caps w:val="0"/>
          <w:color w:val="auto"/>
          <w:spacing w:val="0"/>
          <w:sz w:val="21"/>
          <w:szCs w:val="21"/>
          <w:highlight w:val="none"/>
          <w:u w:val="none"/>
          <w:lang w:eastAsia="zh-CN"/>
        </w:rPr>
        <w:t>高频相控阵探头：3-7MHz</w:t>
      </w:r>
    </w:p>
    <w:p w14:paraId="373B8D2C">
      <w:pPr>
        <w:pageBreakBefore w:val="0"/>
        <w:widowControl/>
        <w:kinsoku/>
        <w:wordWrap/>
        <w:overflowPunct/>
        <w:topLinePunct w:val="0"/>
        <w:autoSpaceDE/>
        <w:autoSpaceDN/>
        <w:bidi w:val="0"/>
        <w:spacing w:beforeAutospacing="0" w:after="0" w:afterAutospacing="0" w:line="360" w:lineRule="auto"/>
        <w:jc w:val="both"/>
        <w:textAlignment w:val="auto"/>
        <w:rPr>
          <w:rFonts w:hint="eastAsia" w:ascii="宋体" w:hAnsi="宋体" w:eastAsia="宋体" w:cs="宋体"/>
          <w:i w:val="0"/>
          <w:caps w:val="0"/>
          <w:color w:val="auto"/>
          <w:spacing w:val="0"/>
          <w:sz w:val="21"/>
          <w:szCs w:val="21"/>
          <w:highlight w:val="none"/>
          <w:u w:val="none"/>
        </w:rPr>
      </w:pPr>
      <w:r>
        <w:rPr>
          <w:rFonts w:hint="eastAsia" w:ascii="宋体" w:hAnsi="宋体" w:eastAsia="宋体" w:cs="宋体"/>
          <w:i w:val="0"/>
          <w:caps w:val="0"/>
          <w:color w:val="auto"/>
          <w:spacing w:val="0"/>
          <w:kern w:val="0"/>
          <w:sz w:val="21"/>
          <w:szCs w:val="21"/>
          <w:highlight w:val="none"/>
          <w:u w:val="none"/>
          <w:lang w:val="en-US" w:eastAsia="zh-CN" w:bidi="ar"/>
        </w:rPr>
        <w:t>3.15扫描速率：相控阵，全视野，18cm深度时，帧速率≥14帧/秒</w:t>
      </w:r>
      <w:r>
        <w:rPr>
          <w:rFonts w:hint="eastAsia" w:ascii="宋体" w:hAnsi="宋体" w:eastAsia="宋体" w:cs="宋体"/>
          <w:i w:val="0"/>
          <w:caps w:val="0"/>
          <w:color w:val="auto"/>
          <w:spacing w:val="0"/>
          <w:sz w:val="21"/>
          <w:szCs w:val="21"/>
          <w:highlight w:val="none"/>
          <w:u w:val="none"/>
        </w:rPr>
        <w:t>          </w:t>
      </w:r>
    </w:p>
    <w:p w14:paraId="5C74FD48">
      <w:pPr>
        <w:pageBreakBefore w:val="0"/>
        <w:widowControl/>
        <w:kinsoku/>
        <w:wordWrap/>
        <w:overflowPunct/>
        <w:topLinePunct w:val="0"/>
        <w:autoSpaceDE/>
        <w:autoSpaceDN/>
        <w:bidi w:val="0"/>
        <w:spacing w:beforeAutospacing="0" w:after="0" w:afterAutospacing="0" w:line="360" w:lineRule="auto"/>
        <w:jc w:val="both"/>
        <w:textAlignment w:val="auto"/>
        <w:rPr>
          <w:rFonts w:hint="eastAsia" w:ascii="宋体" w:hAnsi="宋体" w:eastAsia="宋体" w:cs="宋体"/>
          <w:b/>
          <w:bCs/>
          <w:i w:val="0"/>
          <w:caps w:val="0"/>
          <w:color w:val="auto"/>
          <w:spacing w:val="0"/>
          <w:sz w:val="21"/>
          <w:szCs w:val="21"/>
          <w:highlight w:val="none"/>
          <w:u w:val="none"/>
        </w:rPr>
      </w:pPr>
      <w:r>
        <w:rPr>
          <w:rFonts w:hint="eastAsia" w:ascii="宋体" w:hAnsi="宋体" w:eastAsia="宋体" w:cs="宋体"/>
          <w:b/>
          <w:bCs/>
          <w:i w:val="0"/>
          <w:caps w:val="0"/>
          <w:color w:val="auto"/>
          <w:spacing w:val="0"/>
          <w:kern w:val="0"/>
          <w:sz w:val="21"/>
          <w:szCs w:val="21"/>
          <w:highlight w:val="none"/>
          <w:u w:val="none"/>
          <w:lang w:val="en-US" w:eastAsia="zh-CN" w:bidi="ar"/>
        </w:rPr>
        <w:t>四、 测量分析和报告</w:t>
      </w:r>
    </w:p>
    <w:p w14:paraId="07FE872E">
      <w:pPr>
        <w:keepNext w:val="0"/>
        <w:keepLines w:val="0"/>
        <w:pageBreakBefore w:val="0"/>
        <w:widowControl/>
        <w:kinsoku/>
        <w:wordWrap/>
        <w:overflowPunct/>
        <w:topLinePunct w:val="0"/>
        <w:autoSpaceDE/>
        <w:autoSpaceDN/>
        <w:bidi w:val="0"/>
        <w:adjustRightInd/>
        <w:snapToGrid/>
        <w:spacing w:beforeAutospacing="0" w:after="0" w:afterAutospacing="0" w:line="360" w:lineRule="auto"/>
        <w:jc w:val="left"/>
        <w:textAlignment w:val="auto"/>
        <w:rPr>
          <w:rFonts w:hint="eastAsia" w:ascii="宋体" w:hAnsi="宋体" w:eastAsia="宋体" w:cs="宋体"/>
          <w:i w:val="0"/>
          <w:caps w:val="0"/>
          <w:color w:val="auto"/>
          <w:spacing w:val="0"/>
          <w:sz w:val="21"/>
          <w:szCs w:val="21"/>
          <w:highlight w:val="none"/>
          <w:u w:val="none"/>
        </w:rPr>
      </w:pPr>
      <w:r>
        <w:rPr>
          <w:rFonts w:hint="eastAsia" w:ascii="宋体" w:hAnsi="宋体" w:eastAsia="宋体" w:cs="宋体"/>
          <w:i w:val="0"/>
          <w:caps w:val="0"/>
          <w:color w:val="auto"/>
          <w:spacing w:val="0"/>
          <w:kern w:val="0"/>
          <w:sz w:val="21"/>
          <w:szCs w:val="21"/>
          <w:highlight w:val="none"/>
          <w:u w:val="none"/>
          <w:lang w:val="en-US" w:eastAsia="zh-CN" w:bidi="ar"/>
        </w:rPr>
        <w:t>4.1常规测量，支持距离、椭圆、描迹测、体积、斜率等</w:t>
      </w:r>
    </w:p>
    <w:p w14:paraId="77EA1B25">
      <w:pPr>
        <w:keepNext w:val="0"/>
        <w:keepLines w:val="0"/>
        <w:pageBreakBefore w:val="0"/>
        <w:widowControl/>
        <w:kinsoku/>
        <w:wordWrap/>
        <w:overflowPunct/>
        <w:topLinePunct w:val="0"/>
        <w:autoSpaceDE/>
        <w:autoSpaceDN/>
        <w:bidi w:val="0"/>
        <w:adjustRightInd/>
        <w:snapToGrid/>
        <w:spacing w:beforeAutospacing="0" w:after="0" w:afterAutospacing="0" w:line="360" w:lineRule="auto"/>
        <w:jc w:val="left"/>
        <w:textAlignment w:val="auto"/>
        <w:rPr>
          <w:rFonts w:hint="eastAsia" w:ascii="宋体" w:hAnsi="宋体" w:eastAsia="宋体" w:cs="宋体"/>
          <w:i w:val="0"/>
          <w:caps w:val="0"/>
          <w:color w:val="auto"/>
          <w:spacing w:val="0"/>
          <w:sz w:val="21"/>
          <w:szCs w:val="21"/>
          <w:highlight w:val="none"/>
          <w:u w:val="none"/>
        </w:rPr>
      </w:pPr>
      <w:r>
        <w:rPr>
          <w:rFonts w:hint="eastAsia" w:ascii="宋体" w:hAnsi="宋体" w:eastAsia="宋体" w:cs="宋体"/>
          <w:i w:val="0"/>
          <w:caps w:val="0"/>
          <w:color w:val="auto"/>
          <w:spacing w:val="0"/>
          <w:kern w:val="0"/>
          <w:sz w:val="21"/>
          <w:szCs w:val="21"/>
          <w:highlight w:val="none"/>
          <w:u w:val="none"/>
          <w:lang w:val="en-US" w:eastAsia="zh-CN" w:bidi="ar"/>
        </w:rPr>
        <w:t>4.2多普勒测量（自动或手动包络测量，自动计算测量参数）</w:t>
      </w:r>
    </w:p>
    <w:p w14:paraId="6D56D85F">
      <w:pPr>
        <w:keepNext w:val="0"/>
        <w:keepLines w:val="0"/>
        <w:pageBreakBefore w:val="0"/>
        <w:widowControl/>
        <w:kinsoku/>
        <w:wordWrap/>
        <w:overflowPunct/>
        <w:topLinePunct w:val="0"/>
        <w:autoSpaceDE/>
        <w:autoSpaceDN/>
        <w:bidi w:val="0"/>
        <w:adjustRightInd/>
        <w:snapToGrid/>
        <w:spacing w:beforeAutospacing="0" w:after="0" w:afterAutospacing="0" w:line="360" w:lineRule="auto"/>
        <w:jc w:val="left"/>
        <w:textAlignment w:val="auto"/>
        <w:rPr>
          <w:rFonts w:hint="eastAsia" w:ascii="宋体" w:hAnsi="宋体" w:eastAsia="宋体" w:cs="宋体"/>
          <w:i w:val="0"/>
          <w:caps w:val="0"/>
          <w:color w:val="auto"/>
          <w:spacing w:val="0"/>
          <w:kern w:val="0"/>
          <w:sz w:val="21"/>
          <w:szCs w:val="21"/>
          <w:highlight w:val="none"/>
          <w:u w:val="none"/>
          <w:lang w:val="en-US" w:eastAsia="zh-CN" w:bidi="ar"/>
        </w:rPr>
      </w:pPr>
      <w:r>
        <w:rPr>
          <w:rFonts w:hint="eastAsia" w:ascii="宋体" w:hAnsi="宋体" w:eastAsia="宋体" w:cs="宋体"/>
          <w:i w:val="0"/>
          <w:caps w:val="0"/>
          <w:color w:val="auto"/>
          <w:spacing w:val="0"/>
          <w:kern w:val="0"/>
          <w:sz w:val="21"/>
          <w:szCs w:val="21"/>
          <w:highlight w:val="none"/>
          <w:u w:val="none"/>
          <w:lang w:val="en-US" w:eastAsia="zh-CN" w:bidi="ar"/>
        </w:rPr>
        <w:t>4.3妇科/产科专用测量及分析</w:t>
      </w:r>
    </w:p>
    <w:p w14:paraId="2E3BA2E8">
      <w:pPr>
        <w:pageBreakBefore w:val="0"/>
        <w:widowControl/>
        <w:kinsoku/>
        <w:wordWrap/>
        <w:overflowPunct/>
        <w:topLinePunct w:val="0"/>
        <w:autoSpaceDE/>
        <w:autoSpaceDN/>
        <w:bidi w:val="0"/>
        <w:spacing w:beforeAutospacing="0" w:after="0" w:afterAutospacing="0" w:line="360" w:lineRule="auto"/>
        <w:jc w:val="left"/>
        <w:textAlignment w:val="auto"/>
        <w:rPr>
          <w:rFonts w:hint="eastAsia" w:ascii="宋体" w:hAnsi="宋体" w:eastAsia="宋体" w:cs="宋体"/>
          <w:i w:val="0"/>
          <w:caps w:val="0"/>
          <w:color w:val="auto"/>
          <w:spacing w:val="0"/>
          <w:sz w:val="21"/>
          <w:szCs w:val="21"/>
          <w:highlight w:val="none"/>
          <w:u w:val="none"/>
        </w:rPr>
      </w:pPr>
      <w:r>
        <w:rPr>
          <w:rFonts w:hint="eastAsia" w:ascii="宋体" w:hAnsi="宋体" w:eastAsia="宋体" w:cs="宋体"/>
          <w:i w:val="0"/>
          <w:caps w:val="0"/>
          <w:color w:val="auto"/>
          <w:spacing w:val="0"/>
          <w:kern w:val="0"/>
          <w:sz w:val="21"/>
          <w:szCs w:val="21"/>
          <w:highlight w:val="none"/>
          <w:u w:val="none"/>
          <w:lang w:val="en-US" w:eastAsia="zh-CN" w:bidi="ar"/>
        </w:rPr>
        <w:t>4.3.1含多胎测量、胎儿生理评分、中国人群产科公式 </w:t>
      </w:r>
    </w:p>
    <w:p w14:paraId="1B2F7223">
      <w:pPr>
        <w:pageBreakBefore w:val="0"/>
        <w:widowControl/>
        <w:kinsoku/>
        <w:wordWrap/>
        <w:overflowPunct/>
        <w:topLinePunct w:val="0"/>
        <w:autoSpaceDE/>
        <w:autoSpaceDN/>
        <w:bidi w:val="0"/>
        <w:spacing w:beforeAutospacing="0" w:after="0" w:afterAutospacing="0" w:line="360" w:lineRule="auto"/>
        <w:jc w:val="left"/>
        <w:textAlignment w:val="auto"/>
        <w:rPr>
          <w:rFonts w:hint="eastAsia" w:ascii="宋体" w:hAnsi="宋体" w:eastAsia="宋体" w:cs="宋体"/>
          <w:i w:val="0"/>
          <w:caps w:val="0"/>
          <w:color w:val="auto"/>
          <w:spacing w:val="0"/>
          <w:sz w:val="21"/>
          <w:szCs w:val="21"/>
          <w:highlight w:val="none"/>
          <w:u w:val="none"/>
        </w:rPr>
      </w:pPr>
      <w:r>
        <w:rPr>
          <w:rFonts w:hint="eastAsia" w:ascii="宋体" w:hAnsi="宋体" w:eastAsia="宋体" w:cs="宋体"/>
          <w:i w:val="0"/>
          <w:caps w:val="0"/>
          <w:color w:val="auto"/>
          <w:spacing w:val="0"/>
          <w:kern w:val="0"/>
          <w:sz w:val="21"/>
          <w:szCs w:val="21"/>
          <w:highlight w:val="none"/>
          <w:u w:val="none"/>
          <w:lang w:val="en-US" w:eastAsia="zh-CN" w:bidi="ar"/>
        </w:rPr>
        <w:t>4.3.2自动产科测量（支持双顶径、头围、枕额径、股骨长、腹围，肱骨长自动测量</w:t>
      </w:r>
      <w:r>
        <w:rPr>
          <w:rFonts w:hint="eastAsia"/>
          <w:color w:val="auto"/>
          <w:highlight w:val="none"/>
          <w:lang w:eastAsia="zh-CN"/>
        </w:rPr>
        <w:t>等</w:t>
      </w:r>
      <w:r>
        <w:rPr>
          <w:rFonts w:hint="eastAsia" w:ascii="宋体" w:hAnsi="宋体" w:eastAsia="宋体" w:cs="宋体"/>
          <w:i w:val="0"/>
          <w:caps w:val="0"/>
          <w:color w:val="auto"/>
          <w:spacing w:val="0"/>
          <w:kern w:val="0"/>
          <w:sz w:val="21"/>
          <w:szCs w:val="21"/>
          <w:highlight w:val="none"/>
          <w:u w:val="none"/>
          <w:lang w:val="en-US" w:eastAsia="zh-CN" w:bidi="ar"/>
        </w:rPr>
        <w:t>）</w:t>
      </w:r>
    </w:p>
    <w:p w14:paraId="5603C307">
      <w:pPr>
        <w:pageBreakBefore w:val="0"/>
        <w:widowControl/>
        <w:kinsoku/>
        <w:wordWrap/>
        <w:overflowPunct/>
        <w:topLinePunct w:val="0"/>
        <w:autoSpaceDE/>
        <w:autoSpaceDN/>
        <w:bidi w:val="0"/>
        <w:spacing w:beforeAutospacing="0" w:after="0" w:afterAutospacing="0" w:line="360" w:lineRule="auto"/>
        <w:jc w:val="left"/>
        <w:textAlignment w:val="auto"/>
        <w:rPr>
          <w:rFonts w:hint="eastAsia" w:ascii="宋体" w:hAnsi="宋体" w:eastAsia="宋体" w:cs="宋体"/>
          <w:i w:val="0"/>
          <w:caps w:val="0"/>
          <w:color w:val="auto"/>
          <w:spacing w:val="0"/>
          <w:sz w:val="21"/>
          <w:szCs w:val="21"/>
          <w:highlight w:val="none"/>
          <w:u w:val="none"/>
        </w:rPr>
      </w:pPr>
      <w:r>
        <w:rPr>
          <w:rFonts w:hint="eastAsia" w:ascii="宋体" w:hAnsi="宋体" w:eastAsia="宋体" w:cs="宋体"/>
          <w:i w:val="0"/>
          <w:caps w:val="0"/>
          <w:color w:val="auto"/>
          <w:spacing w:val="0"/>
          <w:kern w:val="0"/>
          <w:sz w:val="21"/>
          <w:szCs w:val="21"/>
          <w:highlight w:val="none"/>
          <w:u w:val="none"/>
          <w:lang w:val="en-US" w:eastAsia="zh-CN" w:bidi="ar"/>
        </w:rPr>
        <w:t>▲4.3.3自动NT测量</w:t>
      </w:r>
    </w:p>
    <w:p w14:paraId="43623BB2">
      <w:pPr>
        <w:keepNext w:val="0"/>
        <w:keepLines w:val="0"/>
        <w:pageBreakBefore w:val="0"/>
        <w:widowControl/>
        <w:kinsoku/>
        <w:wordWrap/>
        <w:overflowPunct/>
        <w:topLinePunct w:val="0"/>
        <w:autoSpaceDE/>
        <w:autoSpaceDN/>
        <w:bidi w:val="0"/>
        <w:adjustRightInd/>
        <w:snapToGrid/>
        <w:spacing w:beforeAutospacing="0" w:after="0" w:afterAutospacing="0" w:line="360" w:lineRule="auto"/>
        <w:jc w:val="left"/>
        <w:textAlignment w:val="auto"/>
        <w:rPr>
          <w:rFonts w:hint="eastAsia" w:ascii="宋体" w:hAnsi="宋体" w:eastAsia="宋体" w:cs="宋体"/>
          <w:i w:val="0"/>
          <w:caps w:val="0"/>
          <w:color w:val="auto"/>
          <w:spacing w:val="0"/>
          <w:sz w:val="21"/>
          <w:szCs w:val="21"/>
          <w:highlight w:val="none"/>
          <w:u w:val="none"/>
        </w:rPr>
      </w:pPr>
      <w:r>
        <w:rPr>
          <w:rFonts w:hint="eastAsia" w:ascii="宋体" w:hAnsi="宋体" w:eastAsia="宋体" w:cs="宋体"/>
          <w:i w:val="0"/>
          <w:caps w:val="0"/>
          <w:color w:val="auto"/>
          <w:spacing w:val="0"/>
          <w:kern w:val="0"/>
          <w:sz w:val="21"/>
          <w:szCs w:val="21"/>
          <w:highlight w:val="none"/>
          <w:u w:val="none"/>
          <w:lang w:val="en-US" w:eastAsia="zh-CN" w:bidi="ar"/>
        </w:rPr>
        <w:t>4.4心脏功能专用测量及分析，包括Simpson BP，Tei指数分析，PISA等</w:t>
      </w:r>
    </w:p>
    <w:p w14:paraId="4A16752A">
      <w:pPr>
        <w:keepNext w:val="0"/>
        <w:keepLines w:val="0"/>
        <w:pageBreakBefore w:val="0"/>
        <w:widowControl/>
        <w:kinsoku/>
        <w:wordWrap/>
        <w:overflowPunct/>
        <w:topLinePunct w:val="0"/>
        <w:autoSpaceDE/>
        <w:autoSpaceDN/>
        <w:bidi w:val="0"/>
        <w:adjustRightInd/>
        <w:snapToGrid/>
        <w:spacing w:beforeAutospacing="0" w:after="0" w:afterAutospacing="0" w:line="360" w:lineRule="auto"/>
        <w:jc w:val="left"/>
        <w:textAlignment w:val="auto"/>
        <w:rPr>
          <w:rFonts w:hint="eastAsia" w:ascii="宋体" w:hAnsi="宋体" w:eastAsia="宋体" w:cs="宋体"/>
          <w:i w:val="0"/>
          <w:caps w:val="0"/>
          <w:color w:val="auto"/>
          <w:spacing w:val="0"/>
          <w:sz w:val="21"/>
          <w:szCs w:val="21"/>
          <w:highlight w:val="none"/>
          <w:u w:val="none"/>
        </w:rPr>
      </w:pPr>
      <w:r>
        <w:rPr>
          <w:rFonts w:hint="eastAsia" w:ascii="宋体" w:hAnsi="宋体" w:eastAsia="宋体" w:cs="宋体"/>
          <w:i w:val="0"/>
          <w:caps w:val="0"/>
          <w:color w:val="auto"/>
          <w:spacing w:val="0"/>
          <w:kern w:val="0"/>
          <w:sz w:val="21"/>
          <w:szCs w:val="21"/>
          <w:highlight w:val="none"/>
          <w:u w:val="none"/>
          <w:lang w:val="en-US" w:eastAsia="zh-CN" w:bidi="ar"/>
        </w:rPr>
        <w:t>4.5血管内中膜自动测量</w:t>
      </w:r>
    </w:p>
    <w:p w14:paraId="27AECB40">
      <w:pPr>
        <w:pageBreakBefore w:val="0"/>
        <w:widowControl/>
        <w:kinsoku/>
        <w:wordWrap/>
        <w:overflowPunct/>
        <w:topLinePunct w:val="0"/>
        <w:autoSpaceDE/>
        <w:autoSpaceDN/>
        <w:bidi w:val="0"/>
        <w:spacing w:beforeAutospacing="0" w:after="0" w:afterAutospacing="0" w:line="360" w:lineRule="auto"/>
        <w:jc w:val="left"/>
        <w:textAlignment w:val="auto"/>
        <w:rPr>
          <w:rFonts w:hint="eastAsia" w:ascii="宋体" w:hAnsi="宋体" w:eastAsia="宋体" w:cs="宋体"/>
          <w:i w:val="0"/>
          <w:caps w:val="0"/>
          <w:color w:val="auto"/>
          <w:spacing w:val="0"/>
          <w:sz w:val="21"/>
          <w:szCs w:val="21"/>
          <w:highlight w:val="none"/>
          <w:u w:val="none"/>
        </w:rPr>
      </w:pPr>
      <w:r>
        <w:rPr>
          <w:rFonts w:hint="eastAsia" w:ascii="宋体" w:hAnsi="宋体" w:eastAsia="宋体" w:cs="宋体"/>
          <w:i w:val="0"/>
          <w:caps w:val="0"/>
          <w:color w:val="auto"/>
          <w:spacing w:val="0"/>
          <w:kern w:val="0"/>
          <w:sz w:val="21"/>
          <w:szCs w:val="21"/>
          <w:highlight w:val="none"/>
          <w:u w:val="none"/>
          <w:lang w:val="en-US" w:eastAsia="zh-CN" w:bidi="ar"/>
        </w:rPr>
        <w:t>4.5.1可同时进行血管前、后壁的内中膜一段距离的自动描记、自动生成测量数据结果</w:t>
      </w:r>
    </w:p>
    <w:p w14:paraId="2AEA57C5">
      <w:pPr>
        <w:keepNext w:val="0"/>
        <w:keepLines w:val="0"/>
        <w:pageBreakBefore w:val="0"/>
        <w:widowControl/>
        <w:kinsoku/>
        <w:wordWrap/>
        <w:overflowPunct/>
        <w:topLinePunct w:val="0"/>
        <w:autoSpaceDE/>
        <w:autoSpaceDN/>
        <w:bidi w:val="0"/>
        <w:adjustRightInd/>
        <w:snapToGrid/>
        <w:spacing w:beforeAutospacing="0" w:after="0" w:afterAutospacing="0" w:line="360" w:lineRule="auto"/>
        <w:jc w:val="left"/>
        <w:textAlignment w:val="auto"/>
        <w:rPr>
          <w:rFonts w:hint="eastAsia" w:ascii="宋体" w:hAnsi="宋体" w:eastAsia="宋体" w:cs="宋体"/>
          <w:i w:val="0"/>
          <w:caps w:val="0"/>
          <w:color w:val="auto"/>
          <w:spacing w:val="0"/>
          <w:sz w:val="21"/>
          <w:szCs w:val="21"/>
          <w:highlight w:val="none"/>
          <w:u w:val="none"/>
        </w:rPr>
      </w:pPr>
      <w:r>
        <w:rPr>
          <w:rFonts w:hint="eastAsia" w:ascii="宋体" w:hAnsi="宋体" w:eastAsia="宋体" w:cs="宋体"/>
          <w:i w:val="0"/>
          <w:caps w:val="0"/>
          <w:color w:val="auto"/>
          <w:spacing w:val="0"/>
          <w:kern w:val="0"/>
          <w:sz w:val="21"/>
          <w:szCs w:val="21"/>
          <w:highlight w:val="none"/>
          <w:u w:val="none"/>
          <w:lang w:val="en-US" w:eastAsia="zh-CN" w:bidi="ar"/>
        </w:rPr>
        <w:t>4.6 Auto EF射血分数自动测量</w:t>
      </w:r>
    </w:p>
    <w:p w14:paraId="7F66C384">
      <w:pPr>
        <w:pageBreakBefore w:val="0"/>
        <w:widowControl/>
        <w:kinsoku/>
        <w:wordWrap/>
        <w:overflowPunct/>
        <w:topLinePunct w:val="0"/>
        <w:autoSpaceDE/>
        <w:autoSpaceDN/>
        <w:bidi w:val="0"/>
        <w:spacing w:beforeAutospacing="0" w:after="0" w:afterAutospacing="0" w:line="360" w:lineRule="auto"/>
        <w:jc w:val="left"/>
        <w:textAlignment w:val="auto"/>
        <w:rPr>
          <w:rFonts w:hint="eastAsia" w:ascii="宋体" w:hAnsi="宋体" w:eastAsia="宋体" w:cs="宋体"/>
          <w:i w:val="0"/>
          <w:caps w:val="0"/>
          <w:color w:val="auto"/>
          <w:spacing w:val="0"/>
          <w:sz w:val="21"/>
          <w:szCs w:val="21"/>
          <w:highlight w:val="none"/>
          <w:u w:val="none"/>
        </w:rPr>
      </w:pPr>
      <w:r>
        <w:rPr>
          <w:rFonts w:hint="eastAsia" w:ascii="宋体" w:hAnsi="宋体" w:eastAsia="宋体" w:cs="宋体"/>
          <w:i w:val="0"/>
          <w:caps w:val="0"/>
          <w:color w:val="auto"/>
          <w:spacing w:val="0"/>
          <w:kern w:val="0"/>
          <w:sz w:val="21"/>
          <w:szCs w:val="21"/>
          <w:highlight w:val="none"/>
          <w:u w:val="none"/>
          <w:lang w:val="en-US" w:eastAsia="zh-CN" w:bidi="ar"/>
        </w:rPr>
        <w:t>4.6.1自动识别左室舒张期切面和左室收缩期切面</w:t>
      </w:r>
    </w:p>
    <w:p w14:paraId="744040B4">
      <w:pPr>
        <w:pageBreakBefore w:val="0"/>
        <w:widowControl/>
        <w:kinsoku/>
        <w:wordWrap/>
        <w:overflowPunct/>
        <w:topLinePunct w:val="0"/>
        <w:autoSpaceDE/>
        <w:autoSpaceDN/>
        <w:bidi w:val="0"/>
        <w:spacing w:beforeAutospacing="0" w:after="0" w:afterAutospacing="0" w:line="360" w:lineRule="auto"/>
        <w:jc w:val="left"/>
        <w:textAlignment w:val="auto"/>
        <w:rPr>
          <w:rFonts w:hint="eastAsia" w:ascii="宋体" w:hAnsi="宋体" w:eastAsia="宋体" w:cs="宋体"/>
          <w:i w:val="0"/>
          <w:caps w:val="0"/>
          <w:color w:val="auto"/>
          <w:spacing w:val="0"/>
          <w:sz w:val="21"/>
          <w:szCs w:val="21"/>
          <w:highlight w:val="none"/>
          <w:u w:val="none"/>
        </w:rPr>
      </w:pPr>
      <w:r>
        <w:rPr>
          <w:rFonts w:hint="eastAsia" w:ascii="宋体" w:hAnsi="宋体" w:eastAsia="宋体" w:cs="宋体"/>
          <w:i w:val="0"/>
          <w:caps w:val="0"/>
          <w:color w:val="auto"/>
          <w:spacing w:val="0"/>
          <w:kern w:val="0"/>
          <w:sz w:val="21"/>
          <w:szCs w:val="21"/>
          <w:highlight w:val="none"/>
          <w:u w:val="none"/>
          <w:lang w:val="en-US" w:eastAsia="zh-CN" w:bidi="ar"/>
        </w:rPr>
        <w:t>4.6.2自动包络心内膜边界，自动计算左室舒张期容积、左室收缩期容积，左室射血分数EF以及每搏量SV</w:t>
      </w:r>
    </w:p>
    <w:p w14:paraId="4D3F1AF2">
      <w:pPr>
        <w:pageBreakBefore w:val="0"/>
        <w:widowControl/>
        <w:kinsoku/>
        <w:wordWrap/>
        <w:overflowPunct/>
        <w:topLinePunct w:val="0"/>
        <w:autoSpaceDE/>
        <w:autoSpaceDN/>
        <w:bidi w:val="0"/>
        <w:spacing w:beforeAutospacing="0" w:after="0" w:afterAutospacing="0" w:line="360" w:lineRule="auto"/>
        <w:jc w:val="left"/>
        <w:textAlignment w:val="auto"/>
        <w:rPr>
          <w:rFonts w:hint="eastAsia" w:ascii="宋体" w:hAnsi="宋体" w:eastAsia="宋体" w:cs="宋体"/>
          <w:i w:val="0"/>
          <w:caps w:val="0"/>
          <w:color w:val="auto"/>
          <w:spacing w:val="0"/>
          <w:sz w:val="21"/>
          <w:szCs w:val="21"/>
          <w:highlight w:val="none"/>
          <w:u w:val="none"/>
        </w:rPr>
      </w:pPr>
      <w:r>
        <w:rPr>
          <w:rFonts w:hint="eastAsia" w:ascii="宋体" w:hAnsi="宋体" w:eastAsia="宋体" w:cs="宋体"/>
          <w:i w:val="0"/>
          <w:caps w:val="0"/>
          <w:color w:val="auto"/>
          <w:spacing w:val="0"/>
          <w:kern w:val="0"/>
          <w:sz w:val="21"/>
          <w:szCs w:val="21"/>
          <w:highlight w:val="none"/>
          <w:u w:val="none"/>
          <w:lang w:val="en-US" w:eastAsia="zh-CN" w:bidi="ar"/>
        </w:rPr>
        <w:t>4.6.3支持心室容积随时间变化的容积变化曲线</w:t>
      </w:r>
    </w:p>
    <w:p w14:paraId="6BEF30DA">
      <w:pPr>
        <w:keepNext w:val="0"/>
        <w:keepLines w:val="0"/>
        <w:pageBreakBefore w:val="0"/>
        <w:widowControl/>
        <w:kinsoku/>
        <w:wordWrap/>
        <w:overflowPunct/>
        <w:topLinePunct w:val="0"/>
        <w:autoSpaceDE/>
        <w:autoSpaceDN/>
        <w:bidi w:val="0"/>
        <w:adjustRightInd/>
        <w:snapToGrid/>
        <w:spacing w:beforeAutospacing="0" w:after="0" w:afterAutospacing="0" w:line="360" w:lineRule="auto"/>
        <w:jc w:val="left"/>
        <w:textAlignment w:val="auto"/>
        <w:rPr>
          <w:rFonts w:hint="eastAsia" w:ascii="宋体" w:hAnsi="宋体" w:eastAsia="宋体" w:cs="宋体"/>
          <w:i w:val="0"/>
          <w:caps w:val="0"/>
          <w:color w:val="auto"/>
          <w:spacing w:val="0"/>
          <w:sz w:val="21"/>
          <w:szCs w:val="21"/>
          <w:highlight w:val="none"/>
          <w:u w:val="none"/>
        </w:rPr>
      </w:pPr>
      <w:r>
        <w:rPr>
          <w:rFonts w:hint="eastAsia" w:ascii="宋体" w:hAnsi="宋体" w:eastAsia="宋体" w:cs="宋体"/>
          <w:i w:val="0"/>
          <w:caps w:val="0"/>
          <w:color w:val="auto"/>
          <w:spacing w:val="0"/>
          <w:kern w:val="0"/>
          <w:sz w:val="21"/>
          <w:szCs w:val="21"/>
          <w:highlight w:val="none"/>
          <w:u w:val="none"/>
          <w:lang w:val="en-US" w:eastAsia="zh-CN" w:bidi="ar"/>
        </w:rPr>
        <w:t>▲4.7儿科髋关节测量、神经测量和急重症测量 </w:t>
      </w:r>
    </w:p>
    <w:p w14:paraId="468BA23C">
      <w:pPr>
        <w:pageBreakBefore w:val="0"/>
        <w:widowControl/>
        <w:kinsoku/>
        <w:wordWrap/>
        <w:overflowPunct/>
        <w:topLinePunct w:val="0"/>
        <w:autoSpaceDE/>
        <w:autoSpaceDN/>
        <w:bidi w:val="0"/>
        <w:spacing w:beforeAutospacing="0" w:after="0" w:afterAutospacing="0" w:line="360" w:lineRule="auto"/>
        <w:jc w:val="both"/>
        <w:textAlignment w:val="auto"/>
        <w:rPr>
          <w:rFonts w:hint="eastAsia" w:ascii="宋体" w:hAnsi="宋体" w:eastAsia="宋体" w:cs="宋体"/>
          <w:b/>
          <w:bCs/>
          <w:i w:val="0"/>
          <w:caps w:val="0"/>
          <w:color w:val="auto"/>
          <w:spacing w:val="0"/>
          <w:sz w:val="21"/>
          <w:szCs w:val="21"/>
          <w:highlight w:val="none"/>
          <w:u w:val="none"/>
        </w:rPr>
      </w:pPr>
      <w:r>
        <w:rPr>
          <w:rFonts w:hint="eastAsia" w:ascii="宋体" w:hAnsi="宋体" w:eastAsia="宋体" w:cs="宋体"/>
          <w:b/>
          <w:bCs/>
          <w:i w:val="0"/>
          <w:caps w:val="0"/>
          <w:color w:val="auto"/>
          <w:spacing w:val="0"/>
          <w:kern w:val="0"/>
          <w:sz w:val="21"/>
          <w:szCs w:val="21"/>
          <w:highlight w:val="none"/>
          <w:u w:val="none"/>
          <w:lang w:val="en-US" w:eastAsia="zh-CN" w:bidi="ar"/>
        </w:rPr>
        <w:t>五、电影回放及原始数据处理</w:t>
      </w:r>
    </w:p>
    <w:p w14:paraId="7A38C408">
      <w:pPr>
        <w:pageBreakBefore w:val="0"/>
        <w:widowControl/>
        <w:kinsoku/>
        <w:wordWrap/>
        <w:overflowPunct/>
        <w:topLinePunct w:val="0"/>
        <w:autoSpaceDE/>
        <w:autoSpaceDN/>
        <w:bidi w:val="0"/>
        <w:spacing w:beforeAutospacing="0" w:after="0" w:afterAutospacing="0" w:line="360" w:lineRule="auto"/>
        <w:jc w:val="left"/>
        <w:textAlignment w:val="auto"/>
        <w:rPr>
          <w:rFonts w:hint="eastAsia" w:ascii="宋体" w:hAnsi="宋体" w:eastAsia="宋体" w:cs="宋体"/>
          <w:i w:val="0"/>
          <w:caps w:val="0"/>
          <w:color w:val="auto"/>
          <w:spacing w:val="0"/>
          <w:sz w:val="21"/>
          <w:szCs w:val="21"/>
          <w:highlight w:val="none"/>
          <w:u w:val="none"/>
        </w:rPr>
      </w:pPr>
      <w:r>
        <w:rPr>
          <w:rFonts w:hint="eastAsia" w:ascii="宋体" w:hAnsi="宋体" w:eastAsia="宋体" w:cs="宋体"/>
          <w:i w:val="0"/>
          <w:caps w:val="0"/>
          <w:color w:val="auto"/>
          <w:spacing w:val="0"/>
          <w:kern w:val="0"/>
          <w:sz w:val="21"/>
          <w:szCs w:val="21"/>
          <w:highlight w:val="none"/>
          <w:u w:val="none"/>
          <w:lang w:val="en-US" w:eastAsia="zh-CN" w:bidi="ar"/>
        </w:rPr>
        <w:t>5.1电影回放</w:t>
      </w:r>
    </w:p>
    <w:p w14:paraId="36873043">
      <w:pPr>
        <w:pageBreakBefore w:val="0"/>
        <w:widowControl/>
        <w:kinsoku/>
        <w:wordWrap/>
        <w:overflowPunct/>
        <w:topLinePunct w:val="0"/>
        <w:autoSpaceDE/>
        <w:autoSpaceDN/>
        <w:bidi w:val="0"/>
        <w:spacing w:beforeAutospacing="0" w:after="0" w:afterAutospacing="0" w:line="360" w:lineRule="auto"/>
        <w:jc w:val="left"/>
        <w:textAlignment w:val="auto"/>
        <w:rPr>
          <w:rFonts w:hint="eastAsia" w:ascii="宋体" w:hAnsi="宋体" w:eastAsia="宋体" w:cs="宋体"/>
          <w:i w:val="0"/>
          <w:caps w:val="0"/>
          <w:color w:val="auto"/>
          <w:spacing w:val="0"/>
          <w:sz w:val="21"/>
          <w:szCs w:val="21"/>
          <w:highlight w:val="none"/>
          <w:u w:val="none"/>
        </w:rPr>
      </w:pPr>
      <w:r>
        <w:rPr>
          <w:rFonts w:hint="eastAsia" w:ascii="宋体" w:hAnsi="宋体" w:eastAsia="宋体" w:cs="宋体"/>
          <w:i w:val="0"/>
          <w:caps w:val="0"/>
          <w:color w:val="auto"/>
          <w:spacing w:val="0"/>
          <w:kern w:val="0"/>
          <w:sz w:val="21"/>
          <w:szCs w:val="21"/>
          <w:highlight w:val="none"/>
          <w:u w:val="none"/>
          <w:lang w:val="en-US" w:eastAsia="zh-CN" w:bidi="ar"/>
        </w:rPr>
        <w:t>5.1.1所有模式下支持手动、自动回放</w:t>
      </w:r>
    </w:p>
    <w:p w14:paraId="36299838">
      <w:pPr>
        <w:pageBreakBefore w:val="0"/>
        <w:widowControl/>
        <w:kinsoku/>
        <w:wordWrap/>
        <w:overflowPunct/>
        <w:topLinePunct w:val="0"/>
        <w:autoSpaceDE/>
        <w:autoSpaceDN/>
        <w:bidi w:val="0"/>
        <w:spacing w:beforeAutospacing="0" w:after="0" w:afterAutospacing="0" w:line="360" w:lineRule="auto"/>
        <w:jc w:val="left"/>
        <w:textAlignment w:val="auto"/>
        <w:rPr>
          <w:rFonts w:hint="eastAsia" w:ascii="宋体" w:hAnsi="宋体" w:eastAsia="宋体" w:cs="宋体"/>
          <w:i w:val="0"/>
          <w:caps w:val="0"/>
          <w:color w:val="auto"/>
          <w:spacing w:val="0"/>
          <w:sz w:val="21"/>
          <w:szCs w:val="21"/>
          <w:highlight w:val="none"/>
          <w:u w:val="none"/>
        </w:rPr>
      </w:pPr>
      <w:r>
        <w:rPr>
          <w:rFonts w:hint="eastAsia" w:ascii="宋体" w:hAnsi="宋体" w:eastAsia="宋体" w:cs="宋体"/>
          <w:i w:val="0"/>
          <w:caps w:val="0"/>
          <w:color w:val="auto"/>
          <w:spacing w:val="0"/>
          <w:kern w:val="0"/>
          <w:sz w:val="21"/>
          <w:szCs w:val="21"/>
          <w:highlight w:val="none"/>
          <w:u w:val="none"/>
          <w:lang w:val="en-US" w:eastAsia="zh-CN" w:bidi="ar"/>
        </w:rPr>
        <w:t>5.1.2支持向后存储和向前存储，时间长度可预置，向后存储≥5分钟的电影</w:t>
      </w:r>
    </w:p>
    <w:p w14:paraId="25710AF3">
      <w:pPr>
        <w:pageBreakBefore w:val="0"/>
        <w:widowControl/>
        <w:kinsoku/>
        <w:wordWrap/>
        <w:overflowPunct/>
        <w:topLinePunct w:val="0"/>
        <w:autoSpaceDE/>
        <w:autoSpaceDN/>
        <w:bidi w:val="0"/>
        <w:spacing w:beforeAutospacing="0" w:after="0" w:afterAutospacing="0" w:line="360" w:lineRule="auto"/>
        <w:jc w:val="left"/>
        <w:textAlignment w:val="auto"/>
        <w:rPr>
          <w:rFonts w:hint="eastAsia" w:ascii="宋体" w:hAnsi="宋体" w:eastAsia="宋体" w:cs="宋体"/>
          <w:i w:val="0"/>
          <w:caps w:val="0"/>
          <w:color w:val="auto"/>
          <w:spacing w:val="0"/>
          <w:sz w:val="21"/>
          <w:szCs w:val="21"/>
          <w:highlight w:val="none"/>
          <w:u w:val="none"/>
        </w:rPr>
      </w:pPr>
      <w:r>
        <w:rPr>
          <w:rFonts w:hint="eastAsia" w:ascii="宋体" w:hAnsi="宋体" w:eastAsia="宋体" w:cs="宋体"/>
          <w:i w:val="0"/>
          <w:caps w:val="0"/>
          <w:color w:val="auto"/>
          <w:spacing w:val="0"/>
          <w:kern w:val="0"/>
          <w:sz w:val="21"/>
          <w:szCs w:val="21"/>
          <w:highlight w:val="none"/>
          <w:u w:val="none"/>
          <w:lang w:val="en-US" w:eastAsia="zh-CN" w:bidi="ar"/>
        </w:rPr>
        <w:t>5.1.3支持保存后的图像同屏对比分析（动态、静态）</w:t>
      </w:r>
    </w:p>
    <w:p w14:paraId="41345B49">
      <w:pPr>
        <w:pageBreakBefore w:val="0"/>
        <w:widowControl/>
        <w:kinsoku/>
        <w:wordWrap/>
        <w:overflowPunct/>
        <w:topLinePunct w:val="0"/>
        <w:autoSpaceDE/>
        <w:autoSpaceDN/>
        <w:bidi w:val="0"/>
        <w:spacing w:beforeAutospacing="0" w:after="0" w:afterAutospacing="0" w:line="360" w:lineRule="auto"/>
        <w:jc w:val="left"/>
        <w:textAlignment w:val="auto"/>
        <w:rPr>
          <w:rFonts w:hint="eastAsia" w:ascii="宋体" w:hAnsi="宋体" w:eastAsia="宋体" w:cs="宋体"/>
          <w:i w:val="0"/>
          <w:caps w:val="0"/>
          <w:color w:val="auto"/>
          <w:spacing w:val="0"/>
          <w:sz w:val="21"/>
          <w:szCs w:val="21"/>
          <w:highlight w:val="none"/>
          <w:u w:val="none"/>
        </w:rPr>
      </w:pPr>
      <w:r>
        <w:rPr>
          <w:rFonts w:hint="eastAsia" w:ascii="宋体" w:hAnsi="宋体" w:eastAsia="宋体" w:cs="宋体"/>
          <w:i w:val="0"/>
          <w:caps w:val="0"/>
          <w:color w:val="auto"/>
          <w:spacing w:val="0"/>
          <w:kern w:val="0"/>
          <w:sz w:val="21"/>
          <w:szCs w:val="21"/>
          <w:highlight w:val="none"/>
          <w:u w:val="none"/>
          <w:lang w:val="en-US" w:eastAsia="zh-CN" w:bidi="ar"/>
        </w:rPr>
        <w:t>5.2原始数据处理，可对回放图像进行≥20个参数调节</w:t>
      </w:r>
    </w:p>
    <w:p w14:paraId="2A7436D6">
      <w:pPr>
        <w:pageBreakBefore w:val="0"/>
        <w:widowControl/>
        <w:kinsoku/>
        <w:wordWrap/>
        <w:overflowPunct/>
        <w:topLinePunct w:val="0"/>
        <w:autoSpaceDE/>
        <w:autoSpaceDN/>
        <w:bidi w:val="0"/>
        <w:spacing w:beforeAutospacing="0" w:after="0" w:afterAutospacing="0" w:line="360" w:lineRule="auto"/>
        <w:jc w:val="both"/>
        <w:textAlignment w:val="auto"/>
        <w:rPr>
          <w:rFonts w:hint="eastAsia" w:ascii="宋体" w:hAnsi="宋体" w:eastAsia="宋体" w:cs="宋体"/>
          <w:b/>
          <w:bCs/>
          <w:i w:val="0"/>
          <w:caps w:val="0"/>
          <w:color w:val="auto"/>
          <w:spacing w:val="0"/>
          <w:sz w:val="21"/>
          <w:szCs w:val="21"/>
          <w:highlight w:val="none"/>
          <w:u w:val="none"/>
        </w:rPr>
      </w:pPr>
      <w:r>
        <w:rPr>
          <w:rFonts w:hint="eastAsia" w:ascii="宋体" w:hAnsi="宋体" w:eastAsia="宋体" w:cs="宋体"/>
          <w:b/>
          <w:bCs/>
          <w:i w:val="0"/>
          <w:caps w:val="0"/>
          <w:color w:val="auto"/>
          <w:spacing w:val="0"/>
          <w:kern w:val="0"/>
          <w:sz w:val="21"/>
          <w:szCs w:val="21"/>
          <w:highlight w:val="none"/>
          <w:u w:val="none"/>
          <w:lang w:val="en-US" w:eastAsia="zh-CN" w:bidi="ar"/>
        </w:rPr>
        <w:t>六、检查存储和管理</w:t>
      </w:r>
    </w:p>
    <w:p w14:paraId="38A26C10">
      <w:pPr>
        <w:pageBreakBefore w:val="0"/>
        <w:widowControl/>
        <w:kinsoku/>
        <w:wordWrap/>
        <w:overflowPunct/>
        <w:topLinePunct w:val="0"/>
        <w:autoSpaceDE/>
        <w:autoSpaceDN/>
        <w:bidi w:val="0"/>
        <w:spacing w:beforeAutospacing="0" w:after="0" w:afterAutospacing="0" w:line="360" w:lineRule="auto"/>
        <w:jc w:val="left"/>
        <w:textAlignment w:val="auto"/>
        <w:rPr>
          <w:rFonts w:hint="eastAsia" w:ascii="宋体" w:hAnsi="宋体" w:eastAsia="宋体" w:cs="宋体"/>
          <w:i w:val="0"/>
          <w:caps w:val="0"/>
          <w:color w:val="auto"/>
          <w:spacing w:val="0"/>
          <w:sz w:val="21"/>
          <w:szCs w:val="21"/>
          <w:highlight w:val="none"/>
          <w:u w:val="none"/>
        </w:rPr>
      </w:pPr>
      <w:r>
        <w:rPr>
          <w:rFonts w:hint="eastAsia" w:ascii="宋体" w:hAnsi="宋体" w:eastAsia="宋体" w:cs="宋体"/>
          <w:i w:val="0"/>
          <w:caps w:val="0"/>
          <w:color w:val="auto"/>
          <w:spacing w:val="0"/>
          <w:kern w:val="0"/>
          <w:sz w:val="21"/>
          <w:szCs w:val="21"/>
          <w:highlight w:val="none"/>
          <w:u w:val="none"/>
          <w:lang w:val="en-US" w:eastAsia="zh-CN" w:bidi="ar"/>
        </w:rPr>
        <w:t xml:space="preserve">6.1 </w:t>
      </w:r>
      <w:r>
        <w:rPr>
          <w:rFonts w:hint="eastAsia" w:ascii="宋体" w:hAnsi="宋体" w:eastAsia="宋体" w:cs="宋体"/>
          <w:color w:val="auto"/>
          <w:highlight w:val="none"/>
          <w:lang w:eastAsia="zh-CN"/>
        </w:rPr>
        <w:t>≧</w:t>
      </w:r>
      <w:r>
        <w:rPr>
          <w:rFonts w:hint="eastAsia" w:ascii="宋体" w:hAnsi="宋体" w:eastAsia="宋体" w:cs="宋体"/>
          <w:i w:val="0"/>
          <w:caps w:val="0"/>
          <w:color w:val="auto"/>
          <w:spacing w:val="0"/>
          <w:kern w:val="0"/>
          <w:sz w:val="21"/>
          <w:szCs w:val="21"/>
          <w:highlight w:val="none"/>
          <w:u w:val="none"/>
          <w:lang w:val="en-US" w:eastAsia="zh-CN" w:bidi="ar"/>
        </w:rPr>
        <w:t>240G固态硬盘</w:t>
      </w:r>
    </w:p>
    <w:p w14:paraId="55DB3C56">
      <w:pPr>
        <w:pageBreakBefore w:val="0"/>
        <w:widowControl/>
        <w:kinsoku/>
        <w:wordWrap/>
        <w:overflowPunct/>
        <w:topLinePunct w:val="0"/>
        <w:autoSpaceDE/>
        <w:autoSpaceDN/>
        <w:bidi w:val="0"/>
        <w:spacing w:beforeAutospacing="0" w:after="0" w:afterAutospacing="0" w:line="360" w:lineRule="auto"/>
        <w:jc w:val="left"/>
        <w:textAlignment w:val="auto"/>
        <w:rPr>
          <w:rFonts w:hint="eastAsia" w:ascii="宋体" w:hAnsi="宋体" w:eastAsia="宋体" w:cs="宋体"/>
          <w:i w:val="0"/>
          <w:caps w:val="0"/>
          <w:color w:val="auto"/>
          <w:spacing w:val="0"/>
          <w:kern w:val="0"/>
          <w:sz w:val="21"/>
          <w:szCs w:val="21"/>
          <w:highlight w:val="none"/>
          <w:u w:val="none"/>
          <w:lang w:val="en-US" w:eastAsia="zh-CN" w:bidi="ar"/>
        </w:rPr>
      </w:pPr>
      <w:r>
        <w:rPr>
          <w:rFonts w:hint="eastAsia" w:ascii="宋体" w:hAnsi="宋体" w:eastAsia="宋体" w:cs="宋体"/>
          <w:i w:val="0"/>
          <w:caps w:val="0"/>
          <w:color w:val="auto"/>
          <w:spacing w:val="0"/>
          <w:kern w:val="0"/>
          <w:sz w:val="21"/>
          <w:szCs w:val="21"/>
          <w:highlight w:val="none"/>
          <w:u w:val="none"/>
          <w:lang w:val="en-US" w:eastAsia="zh-CN" w:bidi="ar"/>
        </w:rPr>
        <w:t>6.2内置超声工作站，支持同步存储，</w:t>
      </w:r>
    </w:p>
    <w:p w14:paraId="11591776">
      <w:pPr>
        <w:pageBreakBefore w:val="0"/>
        <w:widowControl/>
        <w:kinsoku/>
        <w:wordWrap/>
        <w:overflowPunct/>
        <w:topLinePunct w:val="0"/>
        <w:autoSpaceDE/>
        <w:autoSpaceDN/>
        <w:bidi w:val="0"/>
        <w:spacing w:beforeAutospacing="0" w:after="0" w:afterAutospacing="0" w:line="360" w:lineRule="auto"/>
        <w:jc w:val="left"/>
        <w:textAlignment w:val="auto"/>
        <w:rPr>
          <w:rFonts w:hint="eastAsia" w:ascii="宋体" w:hAnsi="宋体" w:eastAsia="宋体" w:cs="宋体"/>
          <w:i w:val="0"/>
          <w:caps w:val="0"/>
          <w:color w:val="auto"/>
          <w:spacing w:val="0"/>
          <w:sz w:val="21"/>
          <w:szCs w:val="21"/>
          <w:highlight w:val="none"/>
          <w:u w:val="none"/>
        </w:rPr>
      </w:pPr>
      <w:r>
        <w:rPr>
          <w:rFonts w:hint="eastAsia" w:ascii="宋体" w:hAnsi="宋体" w:eastAsia="宋体" w:cs="宋体"/>
          <w:i w:val="0"/>
          <w:caps w:val="0"/>
          <w:color w:val="auto"/>
          <w:spacing w:val="0"/>
          <w:kern w:val="0"/>
          <w:sz w:val="21"/>
          <w:szCs w:val="21"/>
          <w:highlight w:val="none"/>
          <w:u w:val="none"/>
          <w:lang w:val="en-US" w:eastAsia="zh-CN" w:bidi="ar"/>
        </w:rPr>
        <w:t>6.3支持直接一键存储至硬盘或U盘</w:t>
      </w:r>
      <w:r>
        <w:rPr>
          <w:rFonts w:hint="eastAsia" w:ascii="宋体" w:hAnsi="宋体" w:cs="宋体"/>
          <w:i w:val="0"/>
          <w:caps w:val="0"/>
          <w:color w:val="auto"/>
          <w:spacing w:val="0"/>
          <w:kern w:val="0"/>
          <w:sz w:val="21"/>
          <w:szCs w:val="21"/>
          <w:highlight w:val="none"/>
          <w:u w:val="none"/>
          <w:lang w:val="en-US" w:eastAsia="zh-CN" w:bidi="ar"/>
        </w:rPr>
        <w:t>。</w:t>
      </w:r>
    </w:p>
    <w:p w14:paraId="13A81254">
      <w:pPr>
        <w:pageBreakBefore w:val="0"/>
        <w:widowControl/>
        <w:kinsoku/>
        <w:wordWrap/>
        <w:overflowPunct/>
        <w:topLinePunct w:val="0"/>
        <w:autoSpaceDE/>
        <w:autoSpaceDN/>
        <w:bidi w:val="0"/>
        <w:spacing w:beforeAutospacing="0" w:after="0" w:afterAutospacing="0" w:line="360" w:lineRule="auto"/>
        <w:jc w:val="left"/>
        <w:textAlignment w:val="auto"/>
        <w:rPr>
          <w:rFonts w:hint="eastAsia" w:ascii="宋体" w:hAnsi="宋体" w:eastAsia="宋体" w:cs="宋体"/>
          <w:i w:val="0"/>
          <w:caps w:val="0"/>
          <w:color w:val="auto"/>
          <w:spacing w:val="0"/>
          <w:sz w:val="21"/>
          <w:szCs w:val="21"/>
          <w:highlight w:val="none"/>
          <w:u w:val="none"/>
        </w:rPr>
      </w:pPr>
      <w:r>
        <w:rPr>
          <w:rFonts w:hint="eastAsia" w:ascii="宋体" w:hAnsi="宋体" w:eastAsia="宋体" w:cs="宋体"/>
          <w:i w:val="0"/>
          <w:caps w:val="0"/>
          <w:color w:val="auto"/>
          <w:spacing w:val="0"/>
          <w:kern w:val="0"/>
          <w:sz w:val="21"/>
          <w:szCs w:val="21"/>
          <w:highlight w:val="none"/>
          <w:u w:val="none"/>
          <w:lang w:val="en-US" w:eastAsia="zh-CN" w:bidi="ar"/>
        </w:rPr>
        <w:t>6.4动态图像、静态图像以PC格式直接导出（支持单帧图像文件包含： DCM、TIFF、BMP、JPG单帧，电影文件包括：CIN、AVI、DCM），无需特殊软件即能在普通PC 机上直接观看图像。</w:t>
      </w:r>
      <w:r>
        <w:rPr>
          <w:rFonts w:hint="eastAsia" w:ascii="宋体" w:hAnsi="宋体" w:eastAsia="宋体" w:cs="宋体"/>
          <w:i w:val="0"/>
          <w:caps w:val="0"/>
          <w:color w:val="auto"/>
          <w:spacing w:val="0"/>
          <w:sz w:val="21"/>
          <w:szCs w:val="21"/>
          <w:highlight w:val="none"/>
          <w:u w:val="none"/>
        </w:rPr>
        <w:t> </w:t>
      </w:r>
    </w:p>
    <w:p w14:paraId="5783EDB9">
      <w:pPr>
        <w:pageBreakBefore w:val="0"/>
        <w:widowControl/>
        <w:kinsoku/>
        <w:wordWrap/>
        <w:overflowPunct/>
        <w:topLinePunct w:val="0"/>
        <w:autoSpaceDE/>
        <w:autoSpaceDN/>
        <w:bidi w:val="0"/>
        <w:spacing w:beforeAutospacing="0" w:after="0" w:afterAutospacing="0" w:line="360" w:lineRule="auto"/>
        <w:jc w:val="both"/>
        <w:textAlignment w:val="auto"/>
        <w:rPr>
          <w:rFonts w:hint="eastAsia" w:ascii="宋体" w:hAnsi="宋体" w:eastAsia="宋体" w:cs="宋体"/>
          <w:b/>
          <w:bCs/>
          <w:i w:val="0"/>
          <w:caps w:val="0"/>
          <w:color w:val="auto"/>
          <w:spacing w:val="0"/>
          <w:sz w:val="21"/>
          <w:szCs w:val="21"/>
          <w:highlight w:val="none"/>
          <w:u w:val="none"/>
        </w:rPr>
      </w:pPr>
      <w:r>
        <w:rPr>
          <w:rFonts w:hint="eastAsia" w:ascii="宋体" w:hAnsi="宋体" w:eastAsia="宋体" w:cs="宋体"/>
          <w:b/>
          <w:bCs/>
          <w:i w:val="0"/>
          <w:caps w:val="0"/>
          <w:color w:val="auto"/>
          <w:spacing w:val="0"/>
          <w:kern w:val="0"/>
          <w:sz w:val="21"/>
          <w:szCs w:val="21"/>
          <w:highlight w:val="none"/>
          <w:u w:val="none"/>
          <w:lang w:val="en-US" w:eastAsia="zh-CN" w:bidi="ar"/>
        </w:rPr>
        <w:t>七、连通性</w:t>
      </w:r>
    </w:p>
    <w:p w14:paraId="5F4E2061">
      <w:pPr>
        <w:pageBreakBefore w:val="0"/>
        <w:widowControl/>
        <w:kinsoku/>
        <w:wordWrap/>
        <w:overflowPunct/>
        <w:topLinePunct w:val="0"/>
        <w:autoSpaceDE/>
        <w:autoSpaceDN/>
        <w:bidi w:val="0"/>
        <w:spacing w:beforeAutospacing="0" w:after="0" w:afterAutospacing="0" w:line="360" w:lineRule="auto"/>
        <w:jc w:val="left"/>
        <w:textAlignment w:val="auto"/>
        <w:rPr>
          <w:rFonts w:hint="eastAsia" w:ascii="宋体" w:hAnsi="宋体" w:eastAsia="宋体" w:cs="宋体"/>
          <w:i w:val="0"/>
          <w:caps w:val="0"/>
          <w:color w:val="auto"/>
          <w:spacing w:val="0"/>
          <w:sz w:val="21"/>
          <w:szCs w:val="21"/>
          <w:highlight w:val="none"/>
          <w:u w:val="none"/>
        </w:rPr>
      </w:pPr>
      <w:r>
        <w:rPr>
          <w:rFonts w:hint="eastAsia" w:ascii="宋体" w:hAnsi="宋体" w:eastAsia="宋体" w:cs="宋体"/>
          <w:i w:val="0"/>
          <w:caps w:val="0"/>
          <w:color w:val="auto"/>
          <w:spacing w:val="0"/>
          <w:kern w:val="0"/>
          <w:sz w:val="21"/>
          <w:szCs w:val="21"/>
          <w:highlight w:val="none"/>
          <w:u w:val="none"/>
          <w:lang w:val="en-US" w:eastAsia="zh-CN" w:bidi="ar"/>
        </w:rPr>
        <w:t>7.1参考信号:心电，呼吸波，心电触发</w:t>
      </w:r>
    </w:p>
    <w:p w14:paraId="086030C6">
      <w:pPr>
        <w:pageBreakBefore w:val="0"/>
        <w:widowControl/>
        <w:kinsoku/>
        <w:wordWrap/>
        <w:overflowPunct/>
        <w:topLinePunct w:val="0"/>
        <w:autoSpaceDE/>
        <w:autoSpaceDN/>
        <w:bidi w:val="0"/>
        <w:spacing w:beforeAutospacing="0" w:after="0" w:afterAutospacing="0" w:line="360" w:lineRule="auto"/>
        <w:jc w:val="left"/>
        <w:textAlignment w:val="auto"/>
        <w:rPr>
          <w:rFonts w:hint="eastAsia" w:ascii="宋体" w:hAnsi="宋体" w:eastAsia="宋体" w:cs="宋体"/>
          <w:i w:val="0"/>
          <w:caps w:val="0"/>
          <w:color w:val="auto"/>
          <w:spacing w:val="0"/>
          <w:sz w:val="21"/>
          <w:szCs w:val="21"/>
          <w:highlight w:val="none"/>
          <w:u w:val="none"/>
        </w:rPr>
      </w:pPr>
      <w:r>
        <w:rPr>
          <w:rFonts w:hint="eastAsia" w:ascii="宋体" w:hAnsi="宋体" w:eastAsia="宋体" w:cs="宋体"/>
          <w:i w:val="0"/>
          <w:caps w:val="0"/>
          <w:color w:val="auto"/>
          <w:spacing w:val="0"/>
          <w:kern w:val="0"/>
          <w:sz w:val="21"/>
          <w:szCs w:val="21"/>
          <w:highlight w:val="none"/>
          <w:u w:val="none"/>
          <w:lang w:val="en-US" w:eastAsia="zh-CN" w:bidi="ar"/>
        </w:rPr>
        <w:t>7.2数据接口:HDMI、USB3.0接口、音频接口</w:t>
      </w:r>
    </w:p>
    <w:p w14:paraId="465FEDDA">
      <w:pPr>
        <w:pageBreakBefore w:val="0"/>
        <w:widowControl/>
        <w:kinsoku/>
        <w:wordWrap/>
        <w:overflowPunct/>
        <w:topLinePunct w:val="0"/>
        <w:autoSpaceDE/>
        <w:autoSpaceDN/>
        <w:bidi w:val="0"/>
        <w:spacing w:beforeAutospacing="0" w:after="0" w:afterAutospacing="0" w:line="360" w:lineRule="auto"/>
        <w:jc w:val="left"/>
        <w:textAlignment w:val="auto"/>
        <w:rPr>
          <w:rFonts w:hint="eastAsia" w:ascii="宋体" w:hAnsi="宋体" w:eastAsia="宋体" w:cs="宋体"/>
          <w:i w:val="0"/>
          <w:caps w:val="0"/>
          <w:color w:val="auto"/>
          <w:spacing w:val="0"/>
          <w:sz w:val="21"/>
          <w:szCs w:val="21"/>
          <w:highlight w:val="none"/>
          <w:u w:val="none"/>
        </w:rPr>
      </w:pPr>
      <w:r>
        <w:rPr>
          <w:rFonts w:hint="eastAsia" w:ascii="宋体" w:hAnsi="宋体" w:eastAsia="宋体" w:cs="宋体"/>
          <w:i w:val="0"/>
          <w:caps w:val="0"/>
          <w:color w:val="auto"/>
          <w:spacing w:val="0"/>
          <w:kern w:val="0"/>
          <w:sz w:val="21"/>
          <w:szCs w:val="21"/>
          <w:highlight w:val="none"/>
          <w:u w:val="none"/>
          <w:lang w:val="en-US" w:eastAsia="zh-CN" w:bidi="ar"/>
        </w:rPr>
        <w:t>7.3支持数据无线传输</w:t>
      </w:r>
    </w:p>
    <w:p w14:paraId="41D2AD18">
      <w:pPr>
        <w:pageBreakBefore w:val="0"/>
        <w:widowControl/>
        <w:kinsoku/>
        <w:wordWrap/>
        <w:overflowPunct/>
        <w:topLinePunct w:val="0"/>
        <w:autoSpaceDE/>
        <w:autoSpaceDN/>
        <w:bidi w:val="0"/>
        <w:spacing w:beforeAutospacing="0" w:after="0" w:afterAutospacing="0" w:line="360" w:lineRule="auto"/>
        <w:jc w:val="left"/>
        <w:textAlignment w:val="auto"/>
        <w:rPr>
          <w:rFonts w:hint="eastAsia" w:ascii="宋体" w:hAnsi="宋体" w:eastAsia="宋体" w:cs="宋体"/>
          <w:i w:val="0"/>
          <w:caps w:val="0"/>
          <w:color w:val="auto"/>
          <w:spacing w:val="0"/>
          <w:sz w:val="21"/>
          <w:szCs w:val="21"/>
          <w:highlight w:val="none"/>
          <w:u w:val="none"/>
        </w:rPr>
      </w:pPr>
      <w:r>
        <w:rPr>
          <w:rFonts w:hint="eastAsia" w:ascii="宋体" w:hAnsi="宋体" w:eastAsia="宋体" w:cs="宋体"/>
          <w:i w:val="0"/>
          <w:caps w:val="0"/>
          <w:color w:val="auto"/>
          <w:spacing w:val="0"/>
          <w:kern w:val="0"/>
          <w:sz w:val="21"/>
          <w:szCs w:val="21"/>
          <w:highlight w:val="none"/>
          <w:u w:val="none"/>
          <w:lang w:val="en-US" w:eastAsia="zh-CN" w:bidi="ar"/>
        </w:rPr>
        <w:t>7.4支持DICOM3.0系统，可选配DICOM妇产科、心脏、血管、乳腺结构化报</w:t>
      </w:r>
    </w:p>
    <w:p w14:paraId="66624A71">
      <w:pPr>
        <w:pageBreakBefore w:val="0"/>
        <w:widowControl/>
        <w:kinsoku/>
        <w:wordWrap/>
        <w:overflowPunct/>
        <w:topLinePunct w:val="0"/>
        <w:autoSpaceDE/>
        <w:autoSpaceDN/>
        <w:bidi w:val="0"/>
        <w:spacing w:beforeAutospacing="0" w:after="0" w:afterAutospacing="0" w:line="360" w:lineRule="auto"/>
        <w:jc w:val="left"/>
        <w:textAlignment w:val="auto"/>
        <w:rPr>
          <w:rFonts w:hint="eastAsia" w:ascii="宋体" w:hAnsi="宋体" w:eastAsia="宋体" w:cs="宋体"/>
          <w:i w:val="0"/>
          <w:caps w:val="0"/>
          <w:color w:val="auto"/>
          <w:spacing w:val="0"/>
          <w:sz w:val="21"/>
          <w:szCs w:val="21"/>
          <w:highlight w:val="none"/>
          <w:u w:val="none"/>
        </w:rPr>
      </w:pPr>
      <w:r>
        <w:rPr>
          <w:rFonts w:hint="eastAsia" w:ascii="宋体" w:hAnsi="宋体" w:eastAsia="宋体" w:cs="宋体"/>
          <w:i w:val="0"/>
          <w:caps w:val="0"/>
          <w:color w:val="auto"/>
          <w:spacing w:val="0"/>
          <w:kern w:val="0"/>
          <w:sz w:val="21"/>
          <w:szCs w:val="21"/>
          <w:highlight w:val="none"/>
          <w:u w:val="none"/>
          <w:lang w:val="en-US" w:eastAsia="zh-CN" w:bidi="ar"/>
        </w:rPr>
        <w:t>7.5外设数据模块：包含S---视频、VGA视频接口、高清音视频接口</w:t>
      </w:r>
    </w:p>
    <w:p w14:paraId="739DC381">
      <w:pPr>
        <w:pageBreakBefore w:val="0"/>
        <w:widowControl/>
        <w:kinsoku/>
        <w:wordWrap/>
        <w:overflowPunct/>
        <w:topLinePunct w:val="0"/>
        <w:autoSpaceDE/>
        <w:autoSpaceDN/>
        <w:bidi w:val="0"/>
        <w:spacing w:beforeAutospacing="0" w:after="0" w:afterAutospacing="0" w:line="360" w:lineRule="auto"/>
        <w:jc w:val="left"/>
        <w:textAlignment w:val="auto"/>
        <w:rPr>
          <w:rFonts w:hint="eastAsia" w:ascii="宋体" w:hAnsi="宋体" w:eastAsia="宋体" w:cs="宋体"/>
          <w:i w:val="0"/>
          <w:caps w:val="0"/>
          <w:color w:val="auto"/>
          <w:spacing w:val="0"/>
          <w:sz w:val="21"/>
          <w:szCs w:val="21"/>
          <w:highlight w:val="none"/>
          <w:u w:val="none"/>
        </w:rPr>
      </w:pPr>
      <w:r>
        <w:rPr>
          <w:rFonts w:hint="eastAsia" w:ascii="宋体" w:hAnsi="宋体" w:eastAsia="宋体" w:cs="宋体"/>
          <w:i w:val="0"/>
          <w:caps w:val="0"/>
          <w:color w:val="auto"/>
          <w:spacing w:val="0"/>
          <w:kern w:val="0"/>
          <w:sz w:val="21"/>
          <w:szCs w:val="21"/>
          <w:highlight w:val="none"/>
          <w:u w:val="none"/>
          <w:lang w:val="en-US" w:eastAsia="zh-CN" w:bidi="ar"/>
        </w:rPr>
        <w:t>7.6专用台车：可升降、防盗锁模块</w:t>
      </w:r>
    </w:p>
    <w:p w14:paraId="5CE9E55E">
      <w:pPr>
        <w:pageBreakBefore w:val="0"/>
        <w:widowControl/>
        <w:kinsoku/>
        <w:wordWrap/>
        <w:overflowPunct/>
        <w:topLinePunct w:val="0"/>
        <w:autoSpaceDE/>
        <w:autoSpaceDN/>
        <w:bidi w:val="0"/>
        <w:spacing w:beforeAutospacing="0" w:after="0" w:afterAutospacing="0" w:line="360" w:lineRule="auto"/>
        <w:jc w:val="left"/>
        <w:textAlignment w:val="auto"/>
        <w:rPr>
          <w:rFonts w:hint="eastAsia" w:ascii="宋体" w:hAnsi="宋体" w:eastAsia="宋体" w:cs="宋体"/>
          <w:i w:val="0"/>
          <w:caps w:val="0"/>
          <w:color w:val="auto"/>
          <w:spacing w:val="0"/>
          <w:sz w:val="21"/>
          <w:szCs w:val="21"/>
          <w:highlight w:val="none"/>
          <w:u w:val="none"/>
        </w:rPr>
      </w:pPr>
      <w:r>
        <w:rPr>
          <w:rFonts w:hint="eastAsia" w:ascii="宋体" w:hAnsi="宋体" w:eastAsia="宋体" w:cs="宋体"/>
          <w:i w:val="0"/>
          <w:caps w:val="0"/>
          <w:color w:val="auto"/>
          <w:spacing w:val="0"/>
          <w:kern w:val="0"/>
          <w:sz w:val="21"/>
          <w:szCs w:val="21"/>
          <w:highlight w:val="none"/>
          <w:u w:val="none"/>
          <w:lang w:val="en-US" w:eastAsia="zh-CN" w:bidi="ar"/>
        </w:rPr>
        <w:t>7.7具备可装卸探头扩展槽</w:t>
      </w:r>
    </w:p>
    <w:p w14:paraId="486C2779">
      <w:pPr>
        <w:pageBreakBefore w:val="0"/>
        <w:widowControl/>
        <w:kinsoku/>
        <w:wordWrap/>
        <w:overflowPunct/>
        <w:topLinePunct w:val="0"/>
        <w:autoSpaceDE/>
        <w:autoSpaceDN/>
        <w:bidi w:val="0"/>
        <w:spacing w:beforeAutospacing="0" w:after="0" w:afterAutospacing="0" w:line="360" w:lineRule="auto"/>
        <w:jc w:val="left"/>
        <w:textAlignment w:val="auto"/>
        <w:rPr>
          <w:rFonts w:hint="eastAsia" w:ascii="宋体" w:hAnsi="宋体" w:eastAsia="宋体" w:cs="宋体"/>
          <w:i w:val="0"/>
          <w:caps w:val="0"/>
          <w:color w:val="auto"/>
          <w:spacing w:val="0"/>
          <w:kern w:val="0"/>
          <w:sz w:val="21"/>
          <w:szCs w:val="21"/>
          <w:highlight w:val="none"/>
          <w:u w:val="none"/>
          <w:lang w:val="en-US" w:eastAsia="zh-CN" w:bidi="ar"/>
        </w:rPr>
      </w:pPr>
      <w:r>
        <w:rPr>
          <w:rFonts w:hint="eastAsia" w:ascii="宋体" w:hAnsi="宋体" w:eastAsia="宋体" w:cs="宋体"/>
          <w:i w:val="0"/>
          <w:caps w:val="0"/>
          <w:color w:val="auto"/>
          <w:spacing w:val="0"/>
          <w:kern w:val="0"/>
          <w:sz w:val="21"/>
          <w:szCs w:val="21"/>
          <w:highlight w:val="none"/>
          <w:u w:val="none"/>
          <w:lang w:val="en-US" w:eastAsia="zh-CN" w:bidi="ar"/>
        </w:rPr>
        <w:t>7.8专用旅行箱，可装载主机、探头及相关备件</w:t>
      </w:r>
    </w:p>
    <w:p w14:paraId="2E7270B8">
      <w:pPr>
        <w:pageBreakBefore w:val="0"/>
        <w:widowControl/>
        <w:kinsoku/>
        <w:wordWrap/>
        <w:overflowPunct/>
        <w:topLinePunct w:val="0"/>
        <w:autoSpaceDE/>
        <w:autoSpaceDN/>
        <w:bidi w:val="0"/>
        <w:spacing w:beforeAutospacing="0" w:after="0" w:afterAutospacing="0" w:line="0" w:lineRule="atLeast"/>
        <w:jc w:val="left"/>
        <w:textAlignment w:val="auto"/>
        <w:rPr>
          <w:rFonts w:hint="eastAsia" w:ascii="宋体" w:hAnsi="宋体" w:eastAsia="宋体" w:cs="宋体"/>
          <w:b/>
          <w:bCs/>
          <w:i w:val="0"/>
          <w:caps w:val="0"/>
          <w:color w:val="auto"/>
          <w:spacing w:val="0"/>
          <w:kern w:val="0"/>
          <w:sz w:val="21"/>
          <w:szCs w:val="21"/>
          <w:highlight w:val="none"/>
          <w:u w:val="none"/>
          <w:lang w:val="en-US" w:eastAsia="zh-CN" w:bidi="ar"/>
        </w:rPr>
      </w:pPr>
      <w:r>
        <w:rPr>
          <w:rFonts w:hint="eastAsia" w:ascii="宋体" w:hAnsi="宋体" w:eastAsia="宋体" w:cs="宋体"/>
          <w:color w:val="auto"/>
          <w:highlight w:val="none"/>
        </w:rPr>
        <w:t>★</w:t>
      </w:r>
      <w:r>
        <w:rPr>
          <w:rFonts w:hint="eastAsia" w:ascii="宋体" w:hAnsi="宋体" w:eastAsia="宋体" w:cs="宋体"/>
          <w:b/>
          <w:bCs/>
          <w:i w:val="0"/>
          <w:caps w:val="0"/>
          <w:color w:val="auto"/>
          <w:spacing w:val="0"/>
          <w:kern w:val="0"/>
          <w:sz w:val="21"/>
          <w:szCs w:val="21"/>
          <w:highlight w:val="none"/>
          <w:u w:val="none"/>
          <w:lang w:val="en-US" w:eastAsia="zh-CN" w:bidi="ar"/>
        </w:rPr>
        <w:t>八、配置清单</w:t>
      </w:r>
    </w:p>
    <w:tbl>
      <w:tblPr>
        <w:tblStyle w:val="48"/>
        <w:tblW w:w="4119" w:type="pct"/>
        <w:tblInd w:w="7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02"/>
        <w:gridCol w:w="2618"/>
      </w:tblGrid>
      <w:tr w14:paraId="16B01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trPr>
        <w:tc>
          <w:tcPr>
            <w:tcW w:w="4621" w:type="dxa"/>
            <w:noWrap w:val="0"/>
            <w:vAlign w:val="center"/>
          </w:tcPr>
          <w:p w14:paraId="4495CFAB">
            <w:pPr>
              <w:pageBreakBefore w:val="0"/>
              <w:widowControl w:val="0"/>
              <w:kinsoku/>
              <w:wordWrap/>
              <w:overflowPunct/>
              <w:topLinePunct w:val="0"/>
              <w:autoSpaceDE/>
              <w:autoSpaceDN/>
              <w:bidi w:val="0"/>
              <w:adjustRightInd/>
              <w:snapToGrid/>
              <w:spacing w:line="0" w:lineRule="atLeast"/>
              <w:jc w:val="center"/>
              <w:textAlignment w:val="auto"/>
              <w:rPr>
                <w:rFonts w:hint="eastAsia" w:ascii="宋体" w:hAnsi="宋体" w:eastAsia="宋体" w:cs="宋体"/>
                <w:b/>
                <w:bCs/>
                <w:color w:val="auto"/>
                <w:sz w:val="21"/>
                <w:szCs w:val="21"/>
                <w:highlight w:val="none"/>
                <w:vertAlign w:val="baseline"/>
                <w:lang w:val="en-US" w:eastAsia="zh-CN"/>
              </w:rPr>
            </w:pPr>
            <w:r>
              <w:rPr>
                <w:rFonts w:hint="eastAsia" w:ascii="宋体" w:hAnsi="宋体" w:eastAsia="宋体" w:cs="宋体"/>
                <w:b/>
                <w:bCs/>
                <w:color w:val="auto"/>
                <w:sz w:val="21"/>
                <w:szCs w:val="21"/>
                <w:highlight w:val="none"/>
                <w:vertAlign w:val="baseline"/>
                <w:lang w:val="en-US" w:eastAsia="zh-CN"/>
              </w:rPr>
              <w:t>名称</w:t>
            </w:r>
          </w:p>
        </w:tc>
        <w:tc>
          <w:tcPr>
            <w:tcW w:w="2749" w:type="dxa"/>
            <w:noWrap w:val="0"/>
            <w:vAlign w:val="center"/>
          </w:tcPr>
          <w:p w14:paraId="36B6A2F5">
            <w:pPr>
              <w:pageBreakBefore w:val="0"/>
              <w:widowControl w:val="0"/>
              <w:kinsoku/>
              <w:wordWrap/>
              <w:overflowPunct/>
              <w:topLinePunct w:val="0"/>
              <w:autoSpaceDE/>
              <w:autoSpaceDN/>
              <w:bidi w:val="0"/>
              <w:adjustRightInd/>
              <w:snapToGrid/>
              <w:spacing w:line="0" w:lineRule="atLeast"/>
              <w:jc w:val="center"/>
              <w:textAlignment w:val="auto"/>
              <w:rPr>
                <w:rFonts w:hint="eastAsia" w:ascii="宋体" w:hAnsi="宋体" w:eastAsia="宋体" w:cs="宋体"/>
                <w:b/>
                <w:bCs/>
                <w:color w:val="auto"/>
                <w:sz w:val="21"/>
                <w:szCs w:val="21"/>
                <w:highlight w:val="none"/>
                <w:vertAlign w:val="baseline"/>
                <w:lang w:val="en-US" w:eastAsia="zh-CN"/>
              </w:rPr>
            </w:pPr>
            <w:r>
              <w:rPr>
                <w:rFonts w:hint="eastAsia" w:ascii="宋体" w:hAnsi="宋体" w:eastAsia="宋体" w:cs="宋体"/>
                <w:b/>
                <w:bCs/>
                <w:color w:val="auto"/>
                <w:sz w:val="21"/>
                <w:szCs w:val="21"/>
                <w:highlight w:val="none"/>
                <w:vertAlign w:val="baseline"/>
                <w:lang w:val="en-US" w:eastAsia="zh-CN"/>
              </w:rPr>
              <w:t>数量</w:t>
            </w:r>
          </w:p>
        </w:tc>
      </w:tr>
      <w:tr w14:paraId="4806C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trPr>
        <w:tc>
          <w:tcPr>
            <w:tcW w:w="4621" w:type="dxa"/>
            <w:noWrap w:val="0"/>
            <w:vAlign w:val="center"/>
          </w:tcPr>
          <w:p w14:paraId="1293637B">
            <w:pPr>
              <w:pageBreakBefore w:val="0"/>
              <w:kinsoku/>
              <w:wordWrap/>
              <w:overflowPunct/>
              <w:topLinePunct w:val="0"/>
              <w:autoSpaceDE/>
              <w:autoSpaceDN/>
              <w:bidi w:val="0"/>
              <w:spacing w:line="0" w:lineRule="atLeast"/>
              <w:jc w:val="left"/>
              <w:textAlignment w:val="auto"/>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kern w:val="0"/>
                <w:sz w:val="21"/>
                <w:szCs w:val="21"/>
                <w:highlight w:val="none"/>
                <w:lang w:val="en-US" w:eastAsia="zh-CN" w:bidi="ar"/>
              </w:rPr>
              <w:t>便携式彩色多普勒超声诊断仪（心脏用）</w:t>
            </w:r>
          </w:p>
        </w:tc>
        <w:tc>
          <w:tcPr>
            <w:tcW w:w="2749" w:type="dxa"/>
            <w:noWrap w:val="0"/>
            <w:vAlign w:val="center"/>
          </w:tcPr>
          <w:p w14:paraId="3281A01E">
            <w:pPr>
              <w:pageBreakBefore w:val="0"/>
              <w:kinsoku/>
              <w:wordWrap/>
              <w:overflowPunct/>
              <w:topLinePunct w:val="0"/>
              <w:autoSpaceDE/>
              <w:autoSpaceDN/>
              <w:bidi w:val="0"/>
              <w:spacing w:line="0" w:lineRule="atLeast"/>
              <w:jc w:val="center"/>
              <w:textAlignment w:val="auto"/>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1套</w:t>
            </w:r>
          </w:p>
        </w:tc>
      </w:tr>
      <w:tr w14:paraId="7DCE1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trPr>
        <w:tc>
          <w:tcPr>
            <w:tcW w:w="4621" w:type="dxa"/>
            <w:noWrap w:val="0"/>
            <w:vAlign w:val="center"/>
          </w:tcPr>
          <w:p w14:paraId="76542305">
            <w:pPr>
              <w:pageBreakBefore w:val="0"/>
              <w:kinsoku/>
              <w:wordWrap/>
              <w:overflowPunct/>
              <w:topLinePunct w:val="0"/>
              <w:autoSpaceDE/>
              <w:autoSpaceDN/>
              <w:bidi w:val="0"/>
              <w:spacing w:line="0" w:lineRule="atLeast"/>
              <w:jc w:val="left"/>
              <w:textAlignment w:val="auto"/>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深部血管凸阵探头</w:t>
            </w:r>
          </w:p>
        </w:tc>
        <w:tc>
          <w:tcPr>
            <w:tcW w:w="2749" w:type="dxa"/>
            <w:noWrap w:val="0"/>
            <w:vAlign w:val="center"/>
          </w:tcPr>
          <w:p w14:paraId="58777A7F">
            <w:pPr>
              <w:pageBreakBefore w:val="0"/>
              <w:kinsoku/>
              <w:wordWrap/>
              <w:overflowPunct/>
              <w:topLinePunct w:val="0"/>
              <w:autoSpaceDE/>
              <w:autoSpaceDN/>
              <w:bidi w:val="0"/>
              <w:spacing w:line="0" w:lineRule="atLeast"/>
              <w:jc w:val="center"/>
              <w:textAlignment w:val="auto"/>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1把</w:t>
            </w:r>
          </w:p>
        </w:tc>
      </w:tr>
      <w:tr w14:paraId="2D95F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trPr>
        <w:tc>
          <w:tcPr>
            <w:tcW w:w="4621" w:type="dxa"/>
            <w:noWrap w:val="0"/>
            <w:vAlign w:val="center"/>
          </w:tcPr>
          <w:p w14:paraId="4F89BD3D">
            <w:pPr>
              <w:pageBreakBefore w:val="0"/>
              <w:kinsoku/>
              <w:wordWrap/>
              <w:overflowPunct/>
              <w:topLinePunct w:val="0"/>
              <w:autoSpaceDE/>
              <w:autoSpaceDN/>
              <w:bidi w:val="0"/>
              <w:spacing w:line="0" w:lineRule="atLeast"/>
              <w:jc w:val="left"/>
              <w:textAlignment w:val="auto"/>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浅表血管线阵探头</w:t>
            </w:r>
          </w:p>
        </w:tc>
        <w:tc>
          <w:tcPr>
            <w:tcW w:w="2749" w:type="dxa"/>
            <w:noWrap w:val="0"/>
            <w:vAlign w:val="center"/>
          </w:tcPr>
          <w:p w14:paraId="7AEAE881">
            <w:pPr>
              <w:pageBreakBefore w:val="0"/>
              <w:kinsoku/>
              <w:wordWrap/>
              <w:overflowPunct/>
              <w:topLinePunct w:val="0"/>
              <w:autoSpaceDE/>
              <w:autoSpaceDN/>
              <w:bidi w:val="0"/>
              <w:spacing w:line="0" w:lineRule="atLeast"/>
              <w:jc w:val="center"/>
              <w:textAlignment w:val="auto"/>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1把</w:t>
            </w:r>
          </w:p>
        </w:tc>
      </w:tr>
      <w:tr w14:paraId="76BE1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trPr>
        <w:tc>
          <w:tcPr>
            <w:tcW w:w="4621" w:type="dxa"/>
            <w:noWrap w:val="0"/>
            <w:vAlign w:val="center"/>
          </w:tcPr>
          <w:p w14:paraId="6477050F">
            <w:pPr>
              <w:pageBreakBefore w:val="0"/>
              <w:kinsoku/>
              <w:wordWrap/>
              <w:overflowPunct/>
              <w:topLinePunct w:val="0"/>
              <w:autoSpaceDE/>
              <w:autoSpaceDN/>
              <w:bidi w:val="0"/>
              <w:spacing w:line="0" w:lineRule="atLeast"/>
              <w:jc w:val="left"/>
              <w:textAlignment w:val="auto"/>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rPr>
              <w:t>单晶体</w:t>
            </w:r>
            <w:r>
              <w:rPr>
                <w:rFonts w:hint="eastAsia" w:ascii="宋体" w:hAnsi="宋体" w:eastAsia="宋体" w:cs="宋体"/>
                <w:color w:val="auto"/>
                <w:sz w:val="21"/>
                <w:szCs w:val="21"/>
                <w:highlight w:val="none"/>
                <w:lang w:val="en-US" w:eastAsia="zh-CN"/>
              </w:rPr>
              <w:t>心脏相控阵</w:t>
            </w:r>
            <w:r>
              <w:rPr>
                <w:rFonts w:hint="eastAsia" w:ascii="宋体" w:hAnsi="宋体" w:eastAsia="宋体" w:cs="宋体"/>
                <w:color w:val="auto"/>
                <w:sz w:val="21"/>
                <w:szCs w:val="21"/>
                <w:highlight w:val="none"/>
              </w:rPr>
              <w:t>探头</w:t>
            </w:r>
          </w:p>
        </w:tc>
        <w:tc>
          <w:tcPr>
            <w:tcW w:w="2749" w:type="dxa"/>
            <w:noWrap w:val="0"/>
            <w:vAlign w:val="center"/>
          </w:tcPr>
          <w:p w14:paraId="41C13CC1">
            <w:pPr>
              <w:pageBreakBefore w:val="0"/>
              <w:kinsoku/>
              <w:wordWrap/>
              <w:overflowPunct/>
              <w:topLinePunct w:val="0"/>
              <w:autoSpaceDE/>
              <w:autoSpaceDN/>
              <w:bidi w:val="0"/>
              <w:spacing w:line="0" w:lineRule="atLeast"/>
              <w:jc w:val="center"/>
              <w:textAlignment w:val="auto"/>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1把</w:t>
            </w:r>
          </w:p>
        </w:tc>
      </w:tr>
      <w:tr w14:paraId="2CE31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4621" w:type="dxa"/>
            <w:noWrap w:val="0"/>
            <w:vAlign w:val="center"/>
          </w:tcPr>
          <w:p w14:paraId="675263A3">
            <w:pPr>
              <w:pageBreakBefore w:val="0"/>
              <w:kinsoku/>
              <w:wordWrap/>
              <w:overflowPunct/>
              <w:topLinePunct w:val="0"/>
              <w:autoSpaceDE/>
              <w:autoSpaceDN/>
              <w:bidi w:val="0"/>
              <w:spacing w:line="0" w:lineRule="atLeast"/>
              <w:jc w:val="left"/>
              <w:textAlignment w:val="auto"/>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高频心脏</w:t>
            </w:r>
            <w:r>
              <w:rPr>
                <w:rFonts w:hint="eastAsia" w:ascii="宋体" w:hAnsi="宋体" w:eastAsia="宋体" w:cs="宋体"/>
                <w:color w:val="auto"/>
                <w:sz w:val="21"/>
                <w:szCs w:val="21"/>
                <w:highlight w:val="none"/>
                <w:lang w:val="en-US" w:eastAsia="zh-CN"/>
              </w:rPr>
              <w:t>相控阵</w:t>
            </w:r>
            <w:r>
              <w:rPr>
                <w:rFonts w:hint="eastAsia" w:ascii="宋体" w:hAnsi="宋体" w:eastAsia="宋体" w:cs="宋体"/>
                <w:color w:val="auto"/>
                <w:sz w:val="21"/>
                <w:szCs w:val="21"/>
                <w:highlight w:val="none"/>
              </w:rPr>
              <w:t>探头</w:t>
            </w:r>
          </w:p>
        </w:tc>
        <w:tc>
          <w:tcPr>
            <w:tcW w:w="2749" w:type="dxa"/>
            <w:noWrap w:val="0"/>
            <w:vAlign w:val="center"/>
          </w:tcPr>
          <w:p w14:paraId="59E31280">
            <w:pPr>
              <w:pageBreakBefore w:val="0"/>
              <w:kinsoku/>
              <w:wordWrap/>
              <w:overflowPunct/>
              <w:topLinePunct w:val="0"/>
              <w:autoSpaceDE/>
              <w:autoSpaceDN/>
              <w:bidi w:val="0"/>
              <w:spacing w:line="0" w:lineRule="atLeast"/>
              <w:jc w:val="center"/>
              <w:textAlignment w:val="auto"/>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1把</w:t>
            </w:r>
          </w:p>
        </w:tc>
      </w:tr>
      <w:tr w14:paraId="73755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4621" w:type="dxa"/>
            <w:noWrap w:val="0"/>
            <w:vAlign w:val="center"/>
          </w:tcPr>
          <w:p w14:paraId="502FEB22">
            <w:pPr>
              <w:pageBreakBefore w:val="0"/>
              <w:kinsoku/>
              <w:wordWrap/>
              <w:overflowPunct/>
              <w:topLinePunct w:val="0"/>
              <w:autoSpaceDE/>
              <w:autoSpaceDN/>
              <w:bidi w:val="0"/>
              <w:spacing w:line="0" w:lineRule="atLeast"/>
              <w:jc w:val="left"/>
              <w:textAlignment w:val="auto"/>
              <w:rPr>
                <w:rFonts w:hint="eastAsia" w:ascii="宋体" w:hAnsi="宋体" w:eastAsia="宋体" w:cs="宋体"/>
                <w:color w:val="auto"/>
                <w:sz w:val="21"/>
                <w:szCs w:val="21"/>
                <w:highlight w:val="none"/>
                <w:vertAlign w:val="baseline"/>
                <w:lang w:val="en-US" w:eastAsia="zh-CN"/>
              </w:rPr>
            </w:pPr>
            <w:r>
              <w:rPr>
                <w:rFonts w:hint="eastAsia" w:ascii="宋体" w:hAnsi="宋体" w:cs="宋体"/>
                <w:color w:val="auto"/>
                <w:highlight w:val="none"/>
                <w:lang w:eastAsia="zh-CN"/>
              </w:rPr>
              <w:t>探头拓展器</w:t>
            </w:r>
          </w:p>
        </w:tc>
        <w:tc>
          <w:tcPr>
            <w:tcW w:w="2749" w:type="dxa"/>
            <w:noWrap w:val="0"/>
            <w:vAlign w:val="center"/>
          </w:tcPr>
          <w:p w14:paraId="68B55D72">
            <w:pPr>
              <w:pageBreakBefore w:val="0"/>
              <w:kinsoku/>
              <w:wordWrap/>
              <w:overflowPunct/>
              <w:topLinePunct w:val="0"/>
              <w:autoSpaceDE/>
              <w:autoSpaceDN/>
              <w:bidi w:val="0"/>
              <w:spacing w:line="0" w:lineRule="atLeast"/>
              <w:jc w:val="center"/>
              <w:textAlignment w:val="auto"/>
              <w:rPr>
                <w:rFonts w:hint="default" w:ascii="宋体" w:hAnsi="宋体" w:eastAsia="宋体" w:cs="宋体"/>
                <w:color w:val="auto"/>
                <w:sz w:val="21"/>
                <w:szCs w:val="21"/>
                <w:highlight w:val="none"/>
                <w:vertAlign w:val="baseline"/>
                <w:lang w:val="en-US" w:eastAsia="zh-CN"/>
              </w:rPr>
            </w:pPr>
            <w:r>
              <w:rPr>
                <w:rFonts w:hint="eastAsia" w:ascii="宋体" w:hAnsi="宋体" w:cs="宋体"/>
                <w:color w:val="auto"/>
                <w:sz w:val="21"/>
                <w:szCs w:val="21"/>
                <w:highlight w:val="none"/>
                <w:vertAlign w:val="baseline"/>
                <w:lang w:val="en-US" w:eastAsia="zh-CN"/>
              </w:rPr>
              <w:t>1个</w:t>
            </w:r>
          </w:p>
        </w:tc>
      </w:tr>
      <w:tr w14:paraId="4F9802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4621" w:type="dxa"/>
            <w:noWrap w:val="0"/>
            <w:vAlign w:val="center"/>
          </w:tcPr>
          <w:p w14:paraId="16AA5FEE">
            <w:pPr>
              <w:pageBreakBefore w:val="0"/>
              <w:kinsoku/>
              <w:wordWrap/>
              <w:overflowPunct/>
              <w:topLinePunct w:val="0"/>
              <w:autoSpaceDE/>
              <w:autoSpaceDN/>
              <w:bidi w:val="0"/>
              <w:spacing w:line="0" w:lineRule="atLeast"/>
              <w:jc w:val="left"/>
              <w:textAlignment w:val="auto"/>
              <w:rPr>
                <w:rFonts w:hint="eastAsia" w:ascii="宋体" w:hAnsi="宋体" w:eastAsia="宋体" w:cs="宋体"/>
                <w:color w:val="auto"/>
                <w:sz w:val="21"/>
                <w:szCs w:val="21"/>
                <w:highlight w:val="none"/>
                <w:vertAlign w:val="baseline"/>
                <w:lang w:val="en-US" w:eastAsia="zh-CN"/>
              </w:rPr>
            </w:pPr>
            <w:r>
              <w:rPr>
                <w:rFonts w:hint="eastAsia" w:ascii="宋体" w:hAnsi="宋体" w:cs="宋体"/>
                <w:color w:val="auto"/>
                <w:highlight w:val="none"/>
                <w:lang w:eastAsia="zh-CN"/>
              </w:rPr>
              <w:t>台车</w:t>
            </w:r>
          </w:p>
        </w:tc>
        <w:tc>
          <w:tcPr>
            <w:tcW w:w="2749" w:type="dxa"/>
            <w:noWrap w:val="0"/>
            <w:vAlign w:val="center"/>
          </w:tcPr>
          <w:p w14:paraId="3C4BEE36">
            <w:pPr>
              <w:pageBreakBefore w:val="0"/>
              <w:kinsoku/>
              <w:wordWrap/>
              <w:overflowPunct/>
              <w:topLinePunct w:val="0"/>
              <w:autoSpaceDE/>
              <w:autoSpaceDN/>
              <w:bidi w:val="0"/>
              <w:spacing w:line="0" w:lineRule="atLeast"/>
              <w:jc w:val="center"/>
              <w:textAlignment w:val="auto"/>
              <w:rPr>
                <w:rFonts w:hint="default" w:ascii="宋体" w:hAnsi="宋体" w:eastAsia="宋体" w:cs="宋体"/>
                <w:color w:val="auto"/>
                <w:sz w:val="21"/>
                <w:szCs w:val="21"/>
                <w:highlight w:val="none"/>
                <w:vertAlign w:val="baseline"/>
                <w:lang w:val="en-US" w:eastAsia="zh-CN"/>
              </w:rPr>
            </w:pPr>
            <w:r>
              <w:rPr>
                <w:rFonts w:hint="eastAsia" w:ascii="宋体" w:hAnsi="宋体" w:cs="宋体"/>
                <w:color w:val="auto"/>
                <w:sz w:val="21"/>
                <w:szCs w:val="21"/>
                <w:highlight w:val="none"/>
                <w:vertAlign w:val="baseline"/>
                <w:lang w:val="en-US" w:eastAsia="zh-CN"/>
              </w:rPr>
              <w:t>1台</w:t>
            </w:r>
          </w:p>
        </w:tc>
      </w:tr>
    </w:tbl>
    <w:p w14:paraId="1904E3EA">
      <w:pPr>
        <w:pageBreakBefore w:val="0"/>
        <w:kinsoku/>
        <w:wordWrap/>
        <w:overflowPunct/>
        <w:topLinePunct w:val="0"/>
        <w:autoSpaceDE/>
        <w:autoSpaceDN/>
        <w:bidi w:val="0"/>
        <w:spacing w:line="0" w:lineRule="atLeast"/>
        <w:textAlignment w:val="auto"/>
        <w:rPr>
          <w:rFonts w:hint="eastAsia" w:ascii="宋体" w:hAnsi="宋体" w:eastAsia="宋体" w:cs="宋体"/>
          <w:color w:val="auto"/>
          <w:sz w:val="21"/>
          <w:szCs w:val="21"/>
          <w:highlight w:val="none"/>
        </w:rPr>
      </w:pPr>
    </w:p>
    <w:p w14:paraId="3C707A82">
      <w:pPr>
        <w:pageBreakBefore w:val="0"/>
        <w:kinsoku/>
        <w:wordWrap/>
        <w:overflowPunct/>
        <w:topLinePunct w:val="0"/>
        <w:autoSpaceDE/>
        <w:autoSpaceDN/>
        <w:bidi w:val="0"/>
        <w:spacing w:line="360" w:lineRule="auto"/>
        <w:textAlignment w:val="auto"/>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eastAsia="zh-CN"/>
        </w:rPr>
        <w:t>九、商务要求</w:t>
      </w:r>
    </w:p>
    <w:p w14:paraId="43D26330">
      <w:pPr>
        <w:pageBreakBefore w:val="0"/>
        <w:kinsoku/>
        <w:wordWrap/>
        <w:overflowPunct/>
        <w:topLinePunct w:val="0"/>
        <w:autoSpaceDE/>
        <w:autoSpaceDN/>
        <w:bidi w:val="0"/>
        <w:spacing w:line="360" w:lineRule="auto"/>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9.</w:t>
      </w:r>
      <w:r>
        <w:rPr>
          <w:rFonts w:hint="eastAsia" w:ascii="宋体" w:hAnsi="宋体" w:eastAsia="宋体" w:cs="宋体"/>
          <w:color w:val="auto"/>
          <w:sz w:val="21"/>
          <w:szCs w:val="21"/>
          <w:highlight w:val="none"/>
          <w:lang w:eastAsia="zh-CN"/>
        </w:rPr>
        <w:t>1、运输、装卸、培训、安装调试：由中标人负责承担，最终通过使用科室、设备科及相关部门确认验收交付使用。国产设备交付，设备必须为6个月内生产的产品；进口设备交付，设备必须为一年内生产的产品。</w:t>
      </w:r>
    </w:p>
    <w:p w14:paraId="7AE2F062">
      <w:pPr>
        <w:pageBreakBefore w:val="0"/>
        <w:kinsoku/>
        <w:wordWrap/>
        <w:overflowPunct/>
        <w:topLinePunct w:val="0"/>
        <w:autoSpaceDE/>
        <w:autoSpaceDN/>
        <w:bidi w:val="0"/>
        <w:spacing w:line="360" w:lineRule="auto"/>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9.</w:t>
      </w:r>
      <w:r>
        <w:rPr>
          <w:rFonts w:hint="eastAsia" w:ascii="宋体" w:hAnsi="宋体" w:eastAsia="宋体" w:cs="宋体"/>
          <w:color w:val="auto"/>
          <w:sz w:val="21"/>
          <w:szCs w:val="21"/>
          <w:highlight w:val="none"/>
          <w:lang w:eastAsia="zh-CN"/>
        </w:rPr>
        <w:t>2、交货时间：按合同约定的日期交货。</w:t>
      </w:r>
    </w:p>
    <w:p w14:paraId="2B8F606A">
      <w:pPr>
        <w:pageBreakBefore w:val="0"/>
        <w:kinsoku/>
        <w:wordWrap/>
        <w:overflowPunct/>
        <w:topLinePunct w:val="0"/>
        <w:autoSpaceDE/>
        <w:autoSpaceDN/>
        <w:bidi w:val="0"/>
        <w:spacing w:line="360" w:lineRule="auto"/>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9.</w:t>
      </w:r>
      <w:r>
        <w:rPr>
          <w:rFonts w:hint="eastAsia" w:ascii="宋体" w:hAnsi="宋体" w:eastAsia="宋体" w:cs="宋体"/>
          <w:color w:val="auto"/>
          <w:sz w:val="21"/>
          <w:szCs w:val="21"/>
          <w:highlight w:val="none"/>
          <w:lang w:eastAsia="zh-CN"/>
        </w:rPr>
        <w:t>3、交货地点：娄底市中心医院指定地点。</w:t>
      </w:r>
    </w:p>
    <w:p w14:paraId="1F2D1BC9">
      <w:pPr>
        <w:pageBreakBefore w:val="0"/>
        <w:kinsoku/>
        <w:wordWrap/>
        <w:overflowPunct/>
        <w:topLinePunct w:val="0"/>
        <w:autoSpaceDE/>
        <w:autoSpaceDN/>
        <w:bidi w:val="0"/>
        <w:spacing w:line="360" w:lineRule="auto"/>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9.</w:t>
      </w:r>
      <w:r>
        <w:rPr>
          <w:rFonts w:hint="eastAsia" w:ascii="宋体" w:hAnsi="宋体" w:eastAsia="宋体" w:cs="宋体"/>
          <w:color w:val="auto"/>
          <w:sz w:val="21"/>
          <w:szCs w:val="21"/>
          <w:highlight w:val="none"/>
          <w:lang w:eastAsia="zh-CN"/>
        </w:rPr>
        <w:t>4、付款方式：设备验收合格后，供应商将发票交到娄底市中心医院后按程序支付货款90%（按医院财务制度一般情况下4个月内支付、特殊情况下最多不超过6个月），甲方在设备验收合格满3年后支付10%余款给乙方。</w:t>
      </w:r>
    </w:p>
    <w:p w14:paraId="7E5C7DAB">
      <w:pPr>
        <w:pageBreakBefore w:val="0"/>
        <w:kinsoku/>
        <w:wordWrap/>
        <w:overflowPunct/>
        <w:topLinePunct w:val="0"/>
        <w:autoSpaceDE/>
        <w:autoSpaceDN/>
        <w:bidi w:val="0"/>
        <w:spacing w:line="360" w:lineRule="auto"/>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9.</w:t>
      </w:r>
      <w:r>
        <w:rPr>
          <w:rFonts w:hint="eastAsia" w:ascii="宋体" w:hAnsi="宋体" w:eastAsia="宋体" w:cs="宋体"/>
          <w:color w:val="auto"/>
          <w:sz w:val="21"/>
          <w:szCs w:val="21"/>
          <w:highlight w:val="none"/>
          <w:lang w:eastAsia="zh-CN"/>
        </w:rPr>
        <w:t>5、质保与售后：整机保修3 年</w:t>
      </w:r>
      <w:r>
        <w:rPr>
          <w:rFonts w:hint="eastAsia"/>
          <w:color w:val="auto"/>
          <w:highlight w:val="none"/>
          <w:lang w:eastAsia="zh-CN"/>
        </w:rPr>
        <w:t>（含探头）</w:t>
      </w:r>
      <w:r>
        <w:rPr>
          <w:rFonts w:hint="eastAsia" w:ascii="宋体" w:hAnsi="宋体" w:eastAsia="宋体" w:cs="宋体"/>
          <w:color w:val="auto"/>
          <w:sz w:val="21"/>
          <w:szCs w:val="21"/>
          <w:highlight w:val="none"/>
          <w:lang w:eastAsia="zh-CN"/>
        </w:rPr>
        <w:t>，终身维修。验收时出具原厂售后质保承诺书，质保期内每年巡检一次，并提交巡检记录。质保期内出现故障，1小时响应，响应后24小时上门服务。</w:t>
      </w:r>
    </w:p>
    <w:p w14:paraId="585C3C43">
      <w:pPr>
        <w:pageBreakBefore w:val="0"/>
        <w:kinsoku/>
        <w:wordWrap/>
        <w:overflowPunct/>
        <w:topLinePunct w:val="0"/>
        <w:autoSpaceDE/>
        <w:autoSpaceDN/>
        <w:bidi w:val="0"/>
        <w:spacing w:line="360" w:lineRule="auto"/>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9.</w:t>
      </w:r>
      <w:r>
        <w:rPr>
          <w:rFonts w:hint="eastAsia" w:ascii="宋体" w:hAnsi="宋体" w:eastAsia="宋体" w:cs="宋体"/>
          <w:color w:val="auto"/>
          <w:sz w:val="21"/>
          <w:szCs w:val="21"/>
          <w:highlight w:val="none"/>
          <w:lang w:eastAsia="zh-CN"/>
        </w:rPr>
        <w:t>6、在投标文件中必须提供相关技术资料并加盖投标人公章（如技术参数、技术白皮书、说明书、彩页等），并在响应表中对</w:t>
      </w:r>
      <w:r>
        <w:rPr>
          <w:rFonts w:hint="eastAsia" w:ascii="宋体" w:hAnsi="宋体" w:cs="宋体"/>
          <w:color w:val="auto"/>
          <w:sz w:val="21"/>
          <w:szCs w:val="21"/>
          <w:highlight w:val="none"/>
          <w:lang w:val="en-US" w:eastAsia="zh-CN"/>
        </w:rPr>
        <w:t>技术参数中</w:t>
      </w:r>
      <w:r>
        <w:rPr>
          <w:rFonts w:hint="eastAsia" w:ascii="宋体" w:hAnsi="宋体" w:eastAsia="宋体" w:cs="宋体"/>
          <w:color w:val="auto"/>
          <w:sz w:val="21"/>
          <w:szCs w:val="21"/>
          <w:highlight w:val="none"/>
          <w:lang w:eastAsia="zh-CN"/>
        </w:rPr>
        <w:t>“★”、“▲”以及要求提供佐证材料的条款备注该条参数响应或正偏离的佐证资料所在页码。</w:t>
      </w:r>
    </w:p>
    <w:p w14:paraId="3D73B493">
      <w:pPr>
        <w:pageBreakBefore w:val="0"/>
        <w:kinsoku/>
        <w:wordWrap/>
        <w:overflowPunct/>
        <w:topLinePunct w:val="0"/>
        <w:autoSpaceDE/>
        <w:autoSpaceDN/>
        <w:bidi w:val="0"/>
        <w:spacing w:line="360" w:lineRule="auto"/>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9.</w:t>
      </w:r>
      <w:r>
        <w:rPr>
          <w:rFonts w:hint="eastAsia" w:ascii="宋体" w:hAnsi="宋体" w:eastAsia="宋体" w:cs="宋体"/>
          <w:color w:val="auto"/>
          <w:sz w:val="21"/>
          <w:szCs w:val="21"/>
          <w:highlight w:val="none"/>
          <w:lang w:eastAsia="zh-CN"/>
        </w:rPr>
        <w:t>7、设备如涉及网络接口费用，由中标人承担，采购人不再出具任何费用。</w:t>
      </w:r>
    </w:p>
    <w:p w14:paraId="6542A739">
      <w:pPr>
        <w:pStyle w:val="22"/>
        <w:adjustRightInd w:val="0"/>
        <w:snapToGrid w:val="0"/>
        <w:spacing w:line="360" w:lineRule="auto"/>
        <w:jc w:val="center"/>
        <w:outlineLvl w:val="9"/>
        <w:rPr>
          <w:rFonts w:hint="eastAsia" w:ascii="宋体" w:hAnsi="宋体" w:eastAsia="宋体" w:cs="宋体"/>
          <w:b/>
          <w:bCs/>
          <w:color w:val="auto"/>
          <w:sz w:val="21"/>
          <w:szCs w:val="21"/>
          <w:highlight w:val="none"/>
          <w:lang w:val="en-US" w:eastAsia="zh-CN"/>
        </w:rPr>
      </w:pPr>
    </w:p>
    <w:p w14:paraId="6A2CF483">
      <w:pPr>
        <w:pStyle w:val="22"/>
        <w:adjustRightInd w:val="0"/>
        <w:snapToGrid w:val="0"/>
        <w:spacing w:line="360" w:lineRule="auto"/>
        <w:jc w:val="center"/>
        <w:outlineLvl w:val="9"/>
        <w:rPr>
          <w:rFonts w:hint="eastAsia" w:ascii="宋体" w:hAnsi="宋体" w:eastAsia="宋体" w:cs="宋体"/>
          <w:b/>
          <w:bCs/>
          <w:color w:val="auto"/>
          <w:sz w:val="21"/>
          <w:szCs w:val="21"/>
          <w:highlight w:val="none"/>
          <w:lang w:val="en-US" w:eastAsia="zh-CN"/>
        </w:rPr>
      </w:pPr>
    </w:p>
    <w:p w14:paraId="35412C3F">
      <w:pPr>
        <w:pStyle w:val="22"/>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1"/>
        <w:rPr>
          <w:rFonts w:hint="eastAsia" w:ascii="宋体" w:hAnsi="宋体" w:eastAsia="宋体" w:cs="宋体"/>
          <w:b/>
          <w:bCs/>
          <w:color w:val="auto"/>
          <w:kern w:val="2"/>
          <w:sz w:val="21"/>
          <w:szCs w:val="21"/>
          <w:highlight w:val="none"/>
          <w:lang w:val="en-US" w:eastAsia="zh-CN" w:bidi="ar-SA"/>
        </w:rPr>
      </w:pPr>
      <w:bookmarkStart w:id="1216" w:name="_Toc2096623660"/>
      <w:r>
        <w:rPr>
          <w:rFonts w:hint="eastAsia" w:ascii="宋体" w:hAnsi="宋体" w:eastAsia="宋体" w:cs="宋体"/>
          <w:b/>
          <w:bCs/>
          <w:color w:val="auto"/>
          <w:sz w:val="21"/>
          <w:szCs w:val="21"/>
          <w:highlight w:val="none"/>
          <w:lang w:val="en-US" w:eastAsia="zh-CN"/>
        </w:rPr>
        <w:t>序号</w:t>
      </w:r>
      <w:r>
        <w:rPr>
          <w:rFonts w:hint="eastAsia" w:hAnsi="宋体" w:cs="宋体"/>
          <w:b/>
          <w:bCs/>
          <w:color w:val="auto"/>
          <w:kern w:val="2"/>
          <w:sz w:val="21"/>
          <w:szCs w:val="21"/>
          <w:highlight w:val="none"/>
          <w:lang w:val="en-US" w:eastAsia="zh-CN" w:bidi="ar-SA"/>
        </w:rPr>
        <w:t>5</w:t>
      </w:r>
      <w:r>
        <w:rPr>
          <w:rFonts w:hint="eastAsia" w:ascii="宋体" w:hAnsi="宋体" w:eastAsia="宋体" w:cs="宋体"/>
          <w:b/>
          <w:bCs/>
          <w:color w:val="auto"/>
          <w:kern w:val="2"/>
          <w:sz w:val="21"/>
          <w:szCs w:val="21"/>
          <w:highlight w:val="none"/>
          <w:lang w:val="en-US" w:eastAsia="zh-CN" w:bidi="ar-SA"/>
        </w:rPr>
        <w:t>便携式彩色多普勒超声诊断仪</w:t>
      </w:r>
      <w:bookmarkEnd w:id="1216"/>
    </w:p>
    <w:p w14:paraId="0ED7E44F">
      <w:pPr>
        <w:pageBreakBefore w:val="0"/>
        <w:kinsoku/>
        <w:wordWrap/>
        <w:overflowPunct/>
        <w:topLinePunct w:val="0"/>
        <w:autoSpaceDE/>
        <w:autoSpaceDN/>
        <w:bidi w:val="0"/>
        <w:spacing w:line="360" w:lineRule="auto"/>
        <w:textAlignment w:val="auto"/>
        <w:rPr>
          <w:rFonts w:hint="eastAsia" w:ascii="宋体" w:hAnsi="宋体" w:eastAsia="宋体" w:cs="宋体"/>
          <w:color w:val="auto"/>
          <w:sz w:val="21"/>
          <w:szCs w:val="21"/>
          <w:highlight w:val="none"/>
          <w:lang w:val="en-US" w:eastAsia="zh-CN"/>
        </w:rPr>
      </w:pPr>
      <w:r>
        <w:rPr>
          <w:rFonts w:hint="eastAsia" w:ascii="宋体" w:hAnsi="宋体" w:cs="宋体"/>
          <w:b/>
          <w:bCs/>
          <w:color w:val="auto"/>
          <w:sz w:val="21"/>
          <w:szCs w:val="21"/>
          <w:highlight w:val="none"/>
          <w:lang w:eastAsia="zh-CN"/>
        </w:rPr>
        <w:t>一、</w:t>
      </w:r>
      <w:r>
        <w:rPr>
          <w:rFonts w:hint="eastAsia" w:ascii="宋体" w:hAnsi="宋体" w:eastAsia="宋体" w:cs="宋体"/>
          <w:b/>
          <w:bCs/>
          <w:color w:val="auto"/>
          <w:sz w:val="21"/>
          <w:szCs w:val="21"/>
          <w:highlight w:val="none"/>
          <w:lang w:eastAsia="zh-CN"/>
        </w:rPr>
        <w:t>货物名称：</w:t>
      </w:r>
      <w:r>
        <w:rPr>
          <w:rFonts w:hint="eastAsia" w:ascii="宋体" w:hAnsi="宋体" w:eastAsia="宋体" w:cs="宋体"/>
          <w:color w:val="auto"/>
          <w:sz w:val="21"/>
          <w:szCs w:val="21"/>
          <w:highlight w:val="none"/>
          <w:lang w:val="en-US" w:eastAsia="zh-CN"/>
        </w:rPr>
        <w:t>便携式彩色多普勒超声诊断仪</w:t>
      </w:r>
    </w:p>
    <w:p w14:paraId="54F5A56C">
      <w:pPr>
        <w:pageBreakBefore w:val="0"/>
        <w:kinsoku/>
        <w:wordWrap/>
        <w:overflowPunct/>
        <w:topLinePunct w:val="0"/>
        <w:autoSpaceDE/>
        <w:autoSpaceDN/>
        <w:bidi w:val="0"/>
        <w:spacing w:line="360" w:lineRule="auto"/>
        <w:textAlignment w:val="auto"/>
        <w:rPr>
          <w:rFonts w:hint="eastAsia" w:ascii="宋体" w:hAnsi="宋体" w:eastAsia="宋体" w:cs="宋体"/>
          <w:color w:val="auto"/>
          <w:sz w:val="21"/>
          <w:szCs w:val="21"/>
          <w:highlight w:val="none"/>
          <w:lang w:eastAsia="zh-CN"/>
        </w:rPr>
      </w:pPr>
      <w:r>
        <w:rPr>
          <w:rFonts w:hint="eastAsia" w:ascii="宋体" w:hAnsi="宋体" w:eastAsia="宋体" w:cs="宋体"/>
          <w:b/>
          <w:bCs/>
          <w:color w:val="auto"/>
          <w:sz w:val="21"/>
          <w:szCs w:val="21"/>
          <w:highlight w:val="none"/>
          <w:lang w:val="en-US" w:eastAsia="zh-CN"/>
        </w:rPr>
        <w:t>二</w:t>
      </w:r>
      <w:r>
        <w:rPr>
          <w:rFonts w:hint="eastAsia" w:ascii="宋体" w:hAnsi="宋体" w:eastAsia="宋体" w:cs="宋体"/>
          <w:b/>
          <w:bCs/>
          <w:color w:val="auto"/>
          <w:sz w:val="21"/>
          <w:szCs w:val="21"/>
          <w:highlight w:val="none"/>
          <w:lang w:eastAsia="zh-CN"/>
        </w:rPr>
        <w:t>、产品用途说明：</w:t>
      </w:r>
      <w:r>
        <w:rPr>
          <w:rFonts w:hint="eastAsia" w:ascii="宋体" w:hAnsi="宋体" w:eastAsia="宋体" w:cs="宋体"/>
          <w:color w:val="auto"/>
          <w:sz w:val="21"/>
          <w:szCs w:val="21"/>
          <w:highlight w:val="none"/>
          <w:lang w:eastAsia="zh-CN"/>
        </w:rPr>
        <w:t>满足适用于介入、腹部、产科、妇科、心脏、小器官、 泌尿、血管、儿科、神经、急重诊等应用。</w:t>
      </w:r>
    </w:p>
    <w:p w14:paraId="518BE8AA">
      <w:pPr>
        <w:pageBreakBefore w:val="0"/>
        <w:kinsoku/>
        <w:wordWrap/>
        <w:overflowPunct/>
        <w:topLinePunct w:val="0"/>
        <w:autoSpaceDE/>
        <w:autoSpaceDN/>
        <w:bidi w:val="0"/>
        <w:spacing w:line="360" w:lineRule="auto"/>
        <w:textAlignment w:val="auto"/>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val="en-US" w:eastAsia="zh-CN"/>
        </w:rPr>
        <w:t>三</w:t>
      </w:r>
      <w:r>
        <w:rPr>
          <w:rFonts w:hint="eastAsia" w:ascii="宋体" w:hAnsi="宋体" w:eastAsia="宋体" w:cs="宋体"/>
          <w:b/>
          <w:bCs/>
          <w:color w:val="auto"/>
          <w:sz w:val="21"/>
          <w:szCs w:val="21"/>
          <w:highlight w:val="none"/>
          <w:lang w:eastAsia="zh-CN"/>
        </w:rPr>
        <w:t>、系统技术规格及概述：</w:t>
      </w:r>
    </w:p>
    <w:p w14:paraId="2ED36E5F">
      <w:pPr>
        <w:pageBreakBefore w:val="0"/>
        <w:kinsoku/>
        <w:wordWrap/>
        <w:overflowPunct/>
        <w:topLinePunct w:val="0"/>
        <w:autoSpaceDE/>
        <w:autoSpaceDN/>
        <w:bidi w:val="0"/>
        <w:spacing w:line="360" w:lineRule="auto"/>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3.1</w:t>
      </w:r>
      <w:r>
        <w:rPr>
          <w:rFonts w:hint="eastAsia" w:ascii="宋体" w:hAnsi="宋体" w:eastAsia="宋体" w:cs="宋体"/>
          <w:color w:val="auto"/>
          <w:sz w:val="21"/>
          <w:szCs w:val="21"/>
          <w:highlight w:val="none"/>
          <w:lang w:eastAsia="zh-CN"/>
        </w:rPr>
        <w:t>系统通用功能</w:t>
      </w:r>
    </w:p>
    <w:p w14:paraId="470C8827">
      <w:pPr>
        <w:pageBreakBefore w:val="0"/>
        <w:kinsoku/>
        <w:wordWrap/>
        <w:overflowPunct/>
        <w:topLinePunct w:val="0"/>
        <w:autoSpaceDE/>
        <w:autoSpaceDN/>
        <w:bidi w:val="0"/>
        <w:spacing w:line="360" w:lineRule="auto"/>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3.1.1</w:t>
      </w:r>
      <w:r>
        <w:rPr>
          <w:rFonts w:hint="eastAsia" w:ascii="宋体" w:hAnsi="宋体" w:eastAsia="宋体" w:cs="宋体"/>
          <w:color w:val="auto"/>
          <w:sz w:val="21"/>
          <w:szCs w:val="21"/>
          <w:highlight w:val="none"/>
          <w:lang w:eastAsia="zh-CN"/>
        </w:rPr>
        <w:t>≥15英寸高分辨率LED显示器，可独立主机调节，角度≥170°</w:t>
      </w:r>
    </w:p>
    <w:p w14:paraId="40851D93">
      <w:pPr>
        <w:pageBreakBefore w:val="0"/>
        <w:kinsoku/>
        <w:wordWrap/>
        <w:overflowPunct/>
        <w:topLinePunct w:val="0"/>
        <w:autoSpaceDE/>
        <w:autoSpaceDN/>
        <w:bidi w:val="0"/>
        <w:spacing w:line="360" w:lineRule="auto"/>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3.1.2</w:t>
      </w:r>
      <w:r>
        <w:rPr>
          <w:rFonts w:hint="eastAsia" w:ascii="宋体" w:hAnsi="宋体" w:eastAsia="宋体" w:cs="宋体"/>
          <w:color w:val="auto"/>
          <w:sz w:val="21"/>
          <w:szCs w:val="21"/>
          <w:highlight w:val="none"/>
          <w:lang w:eastAsia="zh-CN"/>
        </w:rPr>
        <w:t>主机内置相同大小探头接口≥2个</w:t>
      </w:r>
    </w:p>
    <w:p w14:paraId="0831A3BA">
      <w:pPr>
        <w:pageBreakBefore w:val="0"/>
        <w:kinsoku/>
        <w:wordWrap/>
        <w:overflowPunct/>
        <w:topLinePunct w:val="0"/>
        <w:autoSpaceDE/>
        <w:autoSpaceDN/>
        <w:bidi w:val="0"/>
        <w:spacing w:line="360" w:lineRule="auto"/>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3.2</w:t>
      </w:r>
      <w:r>
        <w:rPr>
          <w:rFonts w:hint="eastAsia" w:ascii="宋体" w:hAnsi="宋体" w:eastAsia="宋体" w:cs="宋体"/>
          <w:color w:val="auto"/>
          <w:sz w:val="21"/>
          <w:szCs w:val="21"/>
          <w:highlight w:val="none"/>
          <w:lang w:eastAsia="zh-CN"/>
        </w:rPr>
        <w:t>二维灰阶模式</w:t>
      </w:r>
    </w:p>
    <w:p w14:paraId="68A7BE2E">
      <w:pPr>
        <w:pageBreakBefore w:val="0"/>
        <w:kinsoku/>
        <w:wordWrap/>
        <w:overflowPunct/>
        <w:topLinePunct w:val="0"/>
        <w:autoSpaceDE/>
        <w:autoSpaceDN/>
        <w:bidi w:val="0"/>
        <w:spacing w:line="360" w:lineRule="auto"/>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3.2.1</w:t>
      </w:r>
      <w:r>
        <w:rPr>
          <w:rFonts w:hint="eastAsia" w:ascii="宋体" w:hAnsi="宋体" w:eastAsia="宋体" w:cs="宋体"/>
          <w:color w:val="auto"/>
          <w:sz w:val="21"/>
          <w:szCs w:val="21"/>
          <w:highlight w:val="none"/>
          <w:lang w:eastAsia="zh-CN"/>
        </w:rPr>
        <w:t>组织谐波成像</w:t>
      </w:r>
    </w:p>
    <w:p w14:paraId="14519AA6">
      <w:pPr>
        <w:pageBreakBefore w:val="0"/>
        <w:kinsoku/>
        <w:wordWrap/>
        <w:overflowPunct/>
        <w:topLinePunct w:val="0"/>
        <w:autoSpaceDE/>
        <w:autoSpaceDN/>
        <w:bidi w:val="0"/>
        <w:spacing w:line="360" w:lineRule="auto"/>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3.2.2</w:t>
      </w:r>
      <w:r>
        <w:rPr>
          <w:rFonts w:hint="eastAsia" w:ascii="宋体" w:hAnsi="宋体" w:eastAsia="宋体" w:cs="宋体"/>
          <w:color w:val="auto"/>
          <w:sz w:val="21"/>
          <w:szCs w:val="21"/>
          <w:highlight w:val="none"/>
          <w:lang w:eastAsia="zh-CN"/>
        </w:rPr>
        <w:t>组织特异性成像</w:t>
      </w:r>
    </w:p>
    <w:p w14:paraId="4276837F">
      <w:pPr>
        <w:pageBreakBefore w:val="0"/>
        <w:kinsoku/>
        <w:wordWrap/>
        <w:overflowPunct/>
        <w:topLinePunct w:val="0"/>
        <w:autoSpaceDE/>
        <w:autoSpaceDN/>
        <w:bidi w:val="0"/>
        <w:spacing w:line="360" w:lineRule="auto"/>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3.2.3</w:t>
      </w:r>
      <w:r>
        <w:rPr>
          <w:rFonts w:hint="eastAsia" w:ascii="宋体" w:hAnsi="宋体" w:eastAsia="宋体" w:cs="宋体"/>
          <w:color w:val="auto"/>
          <w:sz w:val="21"/>
          <w:szCs w:val="21"/>
          <w:highlight w:val="none"/>
          <w:lang w:eastAsia="zh-CN"/>
        </w:rPr>
        <w:t>多角度空间复合成像技术，≥3档可调</w:t>
      </w:r>
    </w:p>
    <w:p w14:paraId="1004BA48">
      <w:pPr>
        <w:pageBreakBefore w:val="0"/>
        <w:kinsoku/>
        <w:wordWrap/>
        <w:overflowPunct/>
        <w:topLinePunct w:val="0"/>
        <w:autoSpaceDE/>
        <w:autoSpaceDN/>
        <w:bidi w:val="0"/>
        <w:spacing w:line="360" w:lineRule="auto"/>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3.2.4</w:t>
      </w:r>
      <w:r>
        <w:rPr>
          <w:rFonts w:hint="eastAsia" w:ascii="宋体" w:hAnsi="宋体" w:eastAsia="宋体" w:cs="宋体"/>
          <w:color w:val="auto"/>
          <w:sz w:val="21"/>
          <w:szCs w:val="21"/>
          <w:highlight w:val="none"/>
          <w:lang w:eastAsia="zh-CN"/>
        </w:rPr>
        <w:t>斑点噪声抑制成像，≥7档可调</w:t>
      </w:r>
    </w:p>
    <w:p w14:paraId="2E179D90">
      <w:pPr>
        <w:pageBreakBefore w:val="0"/>
        <w:kinsoku/>
        <w:wordWrap/>
        <w:overflowPunct/>
        <w:topLinePunct w:val="0"/>
        <w:autoSpaceDE/>
        <w:autoSpaceDN/>
        <w:bidi w:val="0"/>
        <w:spacing w:line="360" w:lineRule="auto"/>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 xml:space="preserve">3.2.5 </w:t>
      </w:r>
      <w:r>
        <w:rPr>
          <w:rFonts w:hint="eastAsia" w:ascii="宋体" w:hAnsi="宋体" w:eastAsia="宋体" w:cs="宋体"/>
          <w:color w:val="auto"/>
          <w:sz w:val="21"/>
          <w:szCs w:val="21"/>
          <w:highlight w:val="none"/>
          <w:lang w:eastAsia="zh-CN"/>
        </w:rPr>
        <w:t>B图像偏转，≥5档可调</w:t>
      </w:r>
    </w:p>
    <w:p w14:paraId="30D51F9F">
      <w:pPr>
        <w:pageBreakBefore w:val="0"/>
        <w:kinsoku/>
        <w:wordWrap/>
        <w:overflowPunct/>
        <w:topLinePunct w:val="0"/>
        <w:autoSpaceDE/>
        <w:autoSpaceDN/>
        <w:bidi w:val="0"/>
        <w:spacing w:line="360" w:lineRule="auto"/>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 xml:space="preserve">3.2.6 </w:t>
      </w:r>
      <w:r>
        <w:rPr>
          <w:rFonts w:hint="eastAsia" w:ascii="宋体" w:hAnsi="宋体" w:eastAsia="宋体" w:cs="宋体"/>
          <w:color w:val="auto"/>
          <w:sz w:val="21"/>
          <w:szCs w:val="21"/>
          <w:highlight w:val="none"/>
          <w:lang w:eastAsia="zh-CN"/>
        </w:rPr>
        <w:t>TGC8段、LGC8段</w:t>
      </w:r>
    </w:p>
    <w:p w14:paraId="10568792">
      <w:pPr>
        <w:pageBreakBefore w:val="0"/>
        <w:kinsoku/>
        <w:wordWrap/>
        <w:overflowPunct/>
        <w:topLinePunct w:val="0"/>
        <w:autoSpaceDE/>
        <w:autoSpaceDN/>
        <w:bidi w:val="0"/>
        <w:spacing w:line="360" w:lineRule="auto"/>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 xml:space="preserve">3.3 </w:t>
      </w:r>
      <w:r>
        <w:rPr>
          <w:rFonts w:hint="eastAsia" w:ascii="宋体" w:hAnsi="宋体" w:eastAsia="宋体" w:cs="宋体"/>
          <w:color w:val="auto"/>
          <w:sz w:val="21"/>
          <w:szCs w:val="21"/>
          <w:highlight w:val="none"/>
          <w:lang w:eastAsia="zh-CN"/>
        </w:rPr>
        <w:t>M型成像模式</w:t>
      </w:r>
    </w:p>
    <w:p w14:paraId="2C593BE5">
      <w:pPr>
        <w:pageBreakBefore w:val="0"/>
        <w:kinsoku/>
        <w:wordWrap/>
        <w:overflowPunct/>
        <w:topLinePunct w:val="0"/>
        <w:autoSpaceDE/>
        <w:autoSpaceDN/>
        <w:bidi w:val="0"/>
        <w:spacing w:line="360" w:lineRule="auto"/>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3.3.1</w:t>
      </w:r>
      <w:r>
        <w:rPr>
          <w:rFonts w:hint="eastAsia" w:ascii="宋体" w:hAnsi="宋体" w:eastAsia="宋体" w:cs="宋体"/>
          <w:color w:val="auto"/>
          <w:sz w:val="21"/>
          <w:szCs w:val="21"/>
          <w:highlight w:val="none"/>
          <w:lang w:eastAsia="zh-CN"/>
        </w:rPr>
        <w:t>彩色M型</w:t>
      </w:r>
    </w:p>
    <w:p w14:paraId="7F56636F">
      <w:pPr>
        <w:pageBreakBefore w:val="0"/>
        <w:kinsoku/>
        <w:wordWrap/>
        <w:overflowPunct/>
        <w:topLinePunct w:val="0"/>
        <w:autoSpaceDE/>
        <w:autoSpaceDN/>
        <w:bidi w:val="0"/>
        <w:spacing w:line="360" w:lineRule="auto"/>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3.3.2</w:t>
      </w:r>
      <w:r>
        <w:rPr>
          <w:rFonts w:hint="eastAsia" w:ascii="宋体" w:hAnsi="宋体" w:eastAsia="宋体" w:cs="宋体"/>
          <w:color w:val="auto"/>
          <w:sz w:val="21"/>
          <w:szCs w:val="21"/>
          <w:highlight w:val="none"/>
          <w:lang w:eastAsia="zh-CN"/>
        </w:rPr>
        <w:t>解剖M型，取样线≥3线，可360度任意旋转</w:t>
      </w:r>
    </w:p>
    <w:p w14:paraId="58981832">
      <w:pPr>
        <w:pageBreakBefore w:val="0"/>
        <w:kinsoku/>
        <w:wordWrap/>
        <w:overflowPunct/>
        <w:topLinePunct w:val="0"/>
        <w:autoSpaceDE/>
        <w:autoSpaceDN/>
        <w:bidi w:val="0"/>
        <w:spacing w:line="360" w:lineRule="auto"/>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3.4</w:t>
      </w:r>
      <w:r>
        <w:rPr>
          <w:rFonts w:hint="eastAsia" w:ascii="宋体" w:hAnsi="宋体" w:eastAsia="宋体" w:cs="宋体"/>
          <w:color w:val="auto"/>
          <w:sz w:val="21"/>
          <w:szCs w:val="21"/>
          <w:highlight w:val="none"/>
          <w:lang w:eastAsia="zh-CN"/>
        </w:rPr>
        <w:t>彩色多普勒成像（包括彩色、能量、方向能量多普勒模式）</w:t>
      </w:r>
    </w:p>
    <w:p w14:paraId="261251F4">
      <w:pPr>
        <w:pageBreakBefore w:val="0"/>
        <w:kinsoku/>
        <w:wordWrap/>
        <w:overflowPunct/>
        <w:topLinePunct w:val="0"/>
        <w:autoSpaceDE/>
        <w:autoSpaceDN/>
        <w:bidi w:val="0"/>
        <w:spacing w:line="360" w:lineRule="auto"/>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3.4.1</w:t>
      </w:r>
      <w:r>
        <w:rPr>
          <w:rFonts w:hint="eastAsia" w:ascii="宋体" w:hAnsi="宋体" w:eastAsia="宋体" w:cs="宋体"/>
          <w:color w:val="auto"/>
          <w:sz w:val="21"/>
          <w:szCs w:val="21"/>
          <w:highlight w:val="none"/>
          <w:lang w:eastAsia="zh-CN"/>
        </w:rPr>
        <w:t>双实时同屏对比显示</w:t>
      </w:r>
    </w:p>
    <w:p w14:paraId="3C73EAFA">
      <w:pPr>
        <w:pageBreakBefore w:val="0"/>
        <w:kinsoku/>
        <w:wordWrap/>
        <w:overflowPunct/>
        <w:topLinePunct w:val="0"/>
        <w:autoSpaceDE/>
        <w:autoSpaceDN/>
        <w:bidi w:val="0"/>
        <w:spacing w:line="360" w:lineRule="auto"/>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3.4.2</w:t>
      </w:r>
      <w:r>
        <w:rPr>
          <w:rFonts w:hint="eastAsia" w:ascii="宋体" w:hAnsi="宋体" w:eastAsia="宋体" w:cs="宋体"/>
          <w:color w:val="auto"/>
          <w:sz w:val="21"/>
          <w:szCs w:val="21"/>
          <w:highlight w:val="none"/>
          <w:lang w:eastAsia="zh-CN"/>
        </w:rPr>
        <w:t>自动调节取样框的角度及位置</w:t>
      </w:r>
    </w:p>
    <w:p w14:paraId="342C27AA">
      <w:pPr>
        <w:pageBreakBefore w:val="0"/>
        <w:kinsoku/>
        <w:wordWrap/>
        <w:overflowPunct/>
        <w:topLinePunct w:val="0"/>
        <w:autoSpaceDE/>
        <w:autoSpaceDN/>
        <w:bidi w:val="0"/>
        <w:spacing w:line="360" w:lineRule="auto"/>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3.4.3</w:t>
      </w:r>
      <w:r>
        <w:rPr>
          <w:rFonts w:hint="eastAsia" w:ascii="宋体" w:hAnsi="宋体" w:eastAsia="宋体" w:cs="宋体"/>
          <w:color w:val="auto"/>
          <w:sz w:val="21"/>
          <w:szCs w:val="21"/>
          <w:highlight w:val="none"/>
          <w:lang w:eastAsia="zh-CN"/>
        </w:rPr>
        <w:t>取样框偏转：线阵探头支持≥±20度，取样框可根据探头血流方向自动调节</w:t>
      </w:r>
    </w:p>
    <w:p w14:paraId="5D0C2998">
      <w:pPr>
        <w:pageBreakBefore w:val="0"/>
        <w:kinsoku/>
        <w:wordWrap/>
        <w:overflowPunct/>
        <w:topLinePunct w:val="0"/>
        <w:autoSpaceDE/>
        <w:autoSpaceDN/>
        <w:bidi w:val="0"/>
        <w:spacing w:line="360" w:lineRule="auto"/>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3.5</w:t>
      </w:r>
      <w:r>
        <w:rPr>
          <w:rFonts w:hint="eastAsia" w:ascii="宋体" w:hAnsi="宋体" w:eastAsia="宋体" w:cs="宋体"/>
          <w:color w:val="auto"/>
          <w:sz w:val="21"/>
          <w:szCs w:val="21"/>
          <w:highlight w:val="none"/>
          <w:lang w:eastAsia="zh-CN"/>
        </w:rPr>
        <w:t>频谱多普勒成像</w:t>
      </w:r>
    </w:p>
    <w:p w14:paraId="72F70ABC">
      <w:pPr>
        <w:pageBreakBefore w:val="0"/>
        <w:kinsoku/>
        <w:wordWrap/>
        <w:overflowPunct/>
        <w:topLinePunct w:val="0"/>
        <w:autoSpaceDE/>
        <w:autoSpaceDN/>
        <w:bidi w:val="0"/>
        <w:spacing w:line="360" w:lineRule="auto"/>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3.5.1</w:t>
      </w:r>
      <w:r>
        <w:rPr>
          <w:rFonts w:hint="eastAsia" w:ascii="宋体" w:hAnsi="宋体" w:eastAsia="宋体" w:cs="宋体"/>
          <w:color w:val="auto"/>
          <w:sz w:val="21"/>
          <w:szCs w:val="21"/>
          <w:highlight w:val="none"/>
          <w:lang w:eastAsia="zh-CN"/>
        </w:rPr>
        <w:t>脉冲多普勒、连续多普勒</w:t>
      </w:r>
    </w:p>
    <w:p w14:paraId="34B90E63">
      <w:pPr>
        <w:pageBreakBefore w:val="0"/>
        <w:kinsoku/>
        <w:wordWrap/>
        <w:overflowPunct/>
        <w:topLinePunct w:val="0"/>
        <w:autoSpaceDE/>
        <w:autoSpaceDN/>
        <w:bidi w:val="0"/>
        <w:spacing w:line="360" w:lineRule="auto"/>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3.5.2</w:t>
      </w:r>
      <w:r>
        <w:rPr>
          <w:rFonts w:hint="eastAsia" w:ascii="宋体" w:hAnsi="宋体" w:eastAsia="宋体" w:cs="宋体"/>
          <w:color w:val="auto"/>
          <w:sz w:val="21"/>
          <w:szCs w:val="21"/>
          <w:highlight w:val="none"/>
          <w:lang w:eastAsia="zh-CN"/>
        </w:rPr>
        <w:t>自动计算心动周期</w:t>
      </w:r>
    </w:p>
    <w:p w14:paraId="46096D0B">
      <w:pPr>
        <w:pageBreakBefore w:val="0"/>
        <w:kinsoku/>
        <w:wordWrap/>
        <w:overflowPunct/>
        <w:topLinePunct w:val="0"/>
        <w:autoSpaceDE/>
        <w:autoSpaceDN/>
        <w:bidi w:val="0"/>
        <w:spacing w:line="360" w:lineRule="auto"/>
        <w:textAlignment w:val="auto"/>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lang w:val="en-US" w:eastAsia="zh-CN"/>
        </w:rPr>
        <w:t>.6</w:t>
      </w:r>
      <w:r>
        <w:rPr>
          <w:rFonts w:hint="eastAsia" w:ascii="宋体" w:hAnsi="宋体" w:eastAsia="宋体" w:cs="宋体"/>
          <w:color w:val="auto"/>
          <w:sz w:val="21"/>
          <w:szCs w:val="21"/>
          <w:highlight w:val="none"/>
          <w:lang w:eastAsia="zh-CN"/>
        </w:rPr>
        <w:t>一键自动优化（包括应用于二维、彩色、频谱模式、造影等）</w:t>
      </w:r>
    </w:p>
    <w:p w14:paraId="5D699927">
      <w:pPr>
        <w:pageBreakBefore w:val="0"/>
        <w:kinsoku/>
        <w:wordWrap/>
        <w:overflowPunct/>
        <w:topLinePunct w:val="0"/>
        <w:autoSpaceDE/>
        <w:autoSpaceDN/>
        <w:bidi w:val="0"/>
        <w:spacing w:line="360" w:lineRule="auto"/>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3.7</w:t>
      </w:r>
      <w:r>
        <w:rPr>
          <w:rFonts w:hint="eastAsia" w:ascii="宋体" w:hAnsi="宋体" w:eastAsia="宋体" w:cs="宋体"/>
          <w:color w:val="auto"/>
          <w:sz w:val="21"/>
          <w:szCs w:val="21"/>
          <w:highlight w:val="none"/>
          <w:lang w:eastAsia="zh-CN"/>
        </w:rPr>
        <w:t>穿刺针增强：应用于超声引导下的穿刺手术，动态增 强超声图像中针体显示，具有双屏实时 对比显示，增强前后效果，并支持自适 应校正角度</w:t>
      </w:r>
    </w:p>
    <w:p w14:paraId="3990A0A7">
      <w:pPr>
        <w:pageBreakBefore w:val="0"/>
        <w:kinsoku/>
        <w:wordWrap/>
        <w:overflowPunct/>
        <w:topLinePunct w:val="0"/>
        <w:autoSpaceDE/>
        <w:autoSpaceDN/>
        <w:bidi w:val="0"/>
        <w:spacing w:line="360" w:lineRule="auto"/>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3.8</w:t>
      </w:r>
      <w:r>
        <w:rPr>
          <w:rFonts w:hint="eastAsia" w:ascii="宋体" w:hAnsi="宋体" w:eastAsia="宋体" w:cs="宋体"/>
          <w:color w:val="auto"/>
          <w:sz w:val="21"/>
          <w:szCs w:val="21"/>
          <w:highlight w:val="none"/>
          <w:lang w:eastAsia="zh-CN"/>
        </w:rPr>
        <w:t>超声教学助手</w:t>
      </w:r>
    </w:p>
    <w:p w14:paraId="5E39D3A9">
      <w:pPr>
        <w:pageBreakBefore w:val="0"/>
        <w:kinsoku/>
        <w:wordWrap/>
        <w:overflowPunct/>
        <w:topLinePunct w:val="0"/>
        <w:autoSpaceDE/>
        <w:autoSpaceDN/>
        <w:bidi w:val="0"/>
        <w:spacing w:line="360" w:lineRule="auto"/>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四</w:t>
      </w:r>
      <w:r>
        <w:rPr>
          <w:rFonts w:hint="eastAsia" w:ascii="宋体" w:hAnsi="宋体" w:eastAsia="宋体" w:cs="宋体"/>
          <w:color w:val="auto"/>
          <w:sz w:val="21"/>
          <w:szCs w:val="21"/>
          <w:highlight w:val="none"/>
          <w:lang w:eastAsia="zh-CN"/>
        </w:rPr>
        <w:t>、测量分析和报告</w:t>
      </w:r>
    </w:p>
    <w:p w14:paraId="4423B118">
      <w:pPr>
        <w:pageBreakBefore w:val="0"/>
        <w:kinsoku/>
        <w:wordWrap/>
        <w:overflowPunct/>
        <w:topLinePunct w:val="0"/>
        <w:autoSpaceDE/>
        <w:autoSpaceDN/>
        <w:bidi w:val="0"/>
        <w:spacing w:line="360" w:lineRule="auto"/>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4.1</w:t>
      </w:r>
      <w:r>
        <w:rPr>
          <w:rFonts w:hint="eastAsia" w:ascii="宋体" w:hAnsi="宋体" w:eastAsia="宋体" w:cs="宋体"/>
          <w:color w:val="auto"/>
          <w:sz w:val="21"/>
          <w:szCs w:val="21"/>
          <w:highlight w:val="none"/>
          <w:lang w:eastAsia="zh-CN"/>
        </w:rPr>
        <w:t>常规测量软件包</w:t>
      </w:r>
    </w:p>
    <w:p w14:paraId="78082FCD">
      <w:pPr>
        <w:pStyle w:val="137"/>
        <w:pageBreakBefore w:val="0"/>
        <w:numPr>
          <w:ilvl w:val="1"/>
          <w:numId w:val="0"/>
        </w:numPr>
        <w:kinsoku/>
        <w:wordWrap/>
        <w:overflowPunct/>
        <w:topLinePunct w:val="0"/>
        <w:autoSpaceDE/>
        <w:autoSpaceDN/>
        <w:bidi w:val="0"/>
        <w:spacing w:line="360" w:lineRule="auto"/>
        <w:ind w:left="0" w:leftChars="0" w:firstLine="0" w:firstLineChars="0"/>
        <w:jc w:val="left"/>
        <w:textAlignment w:val="auto"/>
        <w:rPr>
          <w:rFonts w:hint="eastAsia" w:ascii="宋体" w:hAnsi="宋体" w:eastAsia="宋体" w:cs="宋体"/>
          <w:vanish/>
          <w:color w:val="auto"/>
          <w:sz w:val="21"/>
          <w:szCs w:val="21"/>
          <w:highlight w:val="none"/>
        </w:rPr>
      </w:pPr>
      <w:r>
        <w:rPr>
          <w:rFonts w:hint="eastAsia" w:ascii="宋体" w:hAnsi="宋体" w:eastAsia="宋体" w:cs="宋体"/>
          <w:vanish/>
          <w:color w:val="auto"/>
          <w:kern w:val="2"/>
          <w:sz w:val="21"/>
          <w:szCs w:val="21"/>
          <w:highlight w:val="none"/>
          <w:lang w:val="en-US" w:eastAsia="zh-CN" w:bidi="ar-SA"/>
        </w:rPr>
        <w:t>5.</w:t>
      </w:r>
      <w:r>
        <w:rPr>
          <w:rFonts w:hint="eastAsia" w:ascii="宋体" w:hAnsi="宋体" w:eastAsia="宋体" w:cs="宋体"/>
          <w:color w:val="auto"/>
          <w:sz w:val="21"/>
          <w:szCs w:val="21"/>
          <w:highlight w:val="none"/>
        </w:rPr>
        <w:t>血管内中膜自动测量</w:t>
      </w:r>
    </w:p>
    <w:p w14:paraId="7A0E93EC">
      <w:pPr>
        <w:pStyle w:val="137"/>
        <w:pageBreakBefore w:val="0"/>
        <w:numPr>
          <w:ilvl w:val="1"/>
          <w:numId w:val="0"/>
        </w:numPr>
        <w:kinsoku/>
        <w:wordWrap/>
        <w:overflowPunct/>
        <w:topLinePunct w:val="0"/>
        <w:autoSpaceDE/>
        <w:autoSpaceDN/>
        <w:bidi w:val="0"/>
        <w:spacing w:line="360" w:lineRule="auto"/>
        <w:ind w:left="0" w:leftChars="0" w:firstLine="0" w:firstLineChars="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2"/>
          <w:sz w:val="21"/>
          <w:szCs w:val="21"/>
          <w:highlight w:val="none"/>
          <w:lang w:val="en-US" w:eastAsia="zh-CN" w:bidi="ar-SA"/>
        </w:rPr>
        <w:t>6.</w:t>
      </w:r>
      <w:r>
        <w:rPr>
          <w:rFonts w:hint="eastAsia" w:ascii="宋体" w:hAnsi="宋体" w:eastAsia="宋体" w:cs="宋体"/>
          <w:color w:val="auto"/>
          <w:sz w:val="21"/>
          <w:szCs w:val="21"/>
          <w:highlight w:val="none"/>
        </w:rPr>
        <w:t>可同时进行血管前、后壁的内中膜一段距离的自动描记、自动生成测量数据结果</w:t>
      </w:r>
    </w:p>
    <w:p w14:paraId="17142AF1">
      <w:pPr>
        <w:pStyle w:val="137"/>
        <w:pageBreakBefore w:val="0"/>
        <w:numPr>
          <w:ilvl w:val="0"/>
          <w:numId w:val="0"/>
        </w:numPr>
        <w:kinsoku/>
        <w:wordWrap/>
        <w:overflowPunct/>
        <w:topLinePunct w:val="0"/>
        <w:autoSpaceDE/>
        <w:autoSpaceDN/>
        <w:bidi w:val="0"/>
        <w:spacing w:line="360" w:lineRule="auto"/>
        <w:ind w:left="0" w:leftChars="0" w:firstLine="0" w:firstLineChars="0"/>
        <w:jc w:val="left"/>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4.2</w:t>
      </w:r>
      <w:r>
        <w:rPr>
          <w:rFonts w:hint="eastAsia" w:ascii="宋体" w:hAnsi="宋体" w:eastAsia="宋体" w:cs="宋体"/>
          <w:color w:val="auto"/>
          <w:sz w:val="21"/>
          <w:szCs w:val="21"/>
          <w:highlight w:val="none"/>
          <w:lang w:eastAsia="zh-CN"/>
        </w:rPr>
        <w:t>配备腹部凸阵探头，浅表线阵探头</w:t>
      </w:r>
    </w:p>
    <w:p w14:paraId="4E81BD1D">
      <w:pPr>
        <w:pStyle w:val="137"/>
        <w:pageBreakBefore w:val="0"/>
        <w:numPr>
          <w:ilvl w:val="0"/>
          <w:numId w:val="8"/>
        </w:numPr>
        <w:kinsoku/>
        <w:wordWrap/>
        <w:overflowPunct/>
        <w:topLinePunct w:val="0"/>
        <w:autoSpaceDE/>
        <w:autoSpaceDN/>
        <w:bidi w:val="0"/>
        <w:spacing w:line="360" w:lineRule="auto"/>
        <w:ind w:firstLineChars="0"/>
        <w:jc w:val="left"/>
        <w:textAlignment w:val="auto"/>
        <w:rPr>
          <w:rFonts w:hint="eastAsia" w:ascii="宋体" w:hAnsi="宋体" w:eastAsia="宋体" w:cs="宋体"/>
          <w:vanish/>
          <w:color w:val="auto"/>
          <w:sz w:val="21"/>
          <w:szCs w:val="21"/>
          <w:highlight w:val="none"/>
        </w:rPr>
      </w:pPr>
    </w:p>
    <w:p w14:paraId="6C51916F">
      <w:pPr>
        <w:pStyle w:val="137"/>
        <w:pageBreakBefore w:val="0"/>
        <w:numPr>
          <w:ilvl w:val="0"/>
          <w:numId w:val="8"/>
        </w:numPr>
        <w:kinsoku/>
        <w:wordWrap/>
        <w:overflowPunct/>
        <w:topLinePunct w:val="0"/>
        <w:autoSpaceDE/>
        <w:autoSpaceDN/>
        <w:bidi w:val="0"/>
        <w:spacing w:line="360" w:lineRule="auto"/>
        <w:ind w:firstLineChars="0"/>
        <w:jc w:val="left"/>
        <w:textAlignment w:val="auto"/>
        <w:rPr>
          <w:rFonts w:hint="eastAsia" w:ascii="宋体" w:hAnsi="宋体" w:eastAsia="宋体" w:cs="宋体"/>
          <w:vanish/>
          <w:color w:val="auto"/>
          <w:sz w:val="21"/>
          <w:szCs w:val="21"/>
          <w:highlight w:val="none"/>
        </w:rPr>
      </w:pPr>
    </w:p>
    <w:p w14:paraId="363BF855">
      <w:pPr>
        <w:pStyle w:val="137"/>
        <w:pageBreakBefore w:val="0"/>
        <w:numPr>
          <w:ilvl w:val="0"/>
          <w:numId w:val="8"/>
        </w:numPr>
        <w:kinsoku/>
        <w:wordWrap/>
        <w:overflowPunct/>
        <w:topLinePunct w:val="0"/>
        <w:autoSpaceDE/>
        <w:autoSpaceDN/>
        <w:bidi w:val="0"/>
        <w:spacing w:line="360" w:lineRule="auto"/>
        <w:ind w:firstLineChars="0"/>
        <w:jc w:val="left"/>
        <w:textAlignment w:val="auto"/>
        <w:rPr>
          <w:rFonts w:hint="eastAsia" w:ascii="宋体" w:hAnsi="宋体" w:eastAsia="宋体" w:cs="宋体"/>
          <w:vanish/>
          <w:color w:val="auto"/>
          <w:sz w:val="21"/>
          <w:szCs w:val="21"/>
          <w:highlight w:val="none"/>
        </w:rPr>
      </w:pPr>
    </w:p>
    <w:p w14:paraId="731B5F2A">
      <w:pPr>
        <w:pStyle w:val="137"/>
        <w:pageBreakBefore w:val="0"/>
        <w:numPr>
          <w:ilvl w:val="0"/>
          <w:numId w:val="8"/>
        </w:numPr>
        <w:kinsoku/>
        <w:wordWrap/>
        <w:overflowPunct/>
        <w:topLinePunct w:val="0"/>
        <w:autoSpaceDE/>
        <w:autoSpaceDN/>
        <w:bidi w:val="0"/>
        <w:spacing w:line="360" w:lineRule="auto"/>
        <w:ind w:firstLineChars="0"/>
        <w:jc w:val="left"/>
        <w:textAlignment w:val="auto"/>
        <w:rPr>
          <w:rFonts w:hint="eastAsia" w:ascii="宋体" w:hAnsi="宋体" w:eastAsia="宋体" w:cs="宋体"/>
          <w:vanish/>
          <w:color w:val="auto"/>
          <w:sz w:val="21"/>
          <w:szCs w:val="21"/>
          <w:highlight w:val="none"/>
        </w:rPr>
      </w:pPr>
    </w:p>
    <w:p w14:paraId="5855662B">
      <w:pPr>
        <w:pStyle w:val="137"/>
        <w:pageBreakBefore w:val="0"/>
        <w:numPr>
          <w:ilvl w:val="0"/>
          <w:numId w:val="8"/>
        </w:numPr>
        <w:kinsoku/>
        <w:wordWrap/>
        <w:overflowPunct/>
        <w:topLinePunct w:val="0"/>
        <w:autoSpaceDE/>
        <w:autoSpaceDN/>
        <w:bidi w:val="0"/>
        <w:spacing w:line="360" w:lineRule="auto"/>
        <w:ind w:firstLineChars="0"/>
        <w:jc w:val="left"/>
        <w:textAlignment w:val="auto"/>
        <w:rPr>
          <w:rFonts w:hint="eastAsia" w:ascii="宋体" w:hAnsi="宋体" w:eastAsia="宋体" w:cs="宋体"/>
          <w:vanish/>
          <w:color w:val="auto"/>
          <w:sz w:val="21"/>
          <w:szCs w:val="21"/>
          <w:highlight w:val="none"/>
        </w:rPr>
      </w:pPr>
    </w:p>
    <w:p w14:paraId="23A32F58">
      <w:pPr>
        <w:pStyle w:val="137"/>
        <w:pageBreakBefore w:val="0"/>
        <w:numPr>
          <w:ilvl w:val="0"/>
          <w:numId w:val="8"/>
        </w:numPr>
        <w:kinsoku/>
        <w:wordWrap/>
        <w:overflowPunct/>
        <w:topLinePunct w:val="0"/>
        <w:autoSpaceDE/>
        <w:autoSpaceDN/>
        <w:bidi w:val="0"/>
        <w:spacing w:line="360" w:lineRule="auto"/>
        <w:ind w:firstLineChars="0"/>
        <w:jc w:val="left"/>
        <w:textAlignment w:val="auto"/>
        <w:rPr>
          <w:rFonts w:hint="eastAsia" w:ascii="宋体" w:hAnsi="宋体" w:eastAsia="宋体" w:cs="宋体"/>
          <w:vanish/>
          <w:color w:val="auto"/>
          <w:sz w:val="21"/>
          <w:szCs w:val="21"/>
          <w:highlight w:val="none"/>
        </w:rPr>
      </w:pPr>
    </w:p>
    <w:p w14:paraId="16AAB5C5">
      <w:pPr>
        <w:pStyle w:val="137"/>
        <w:pageBreakBefore w:val="0"/>
        <w:numPr>
          <w:ilvl w:val="0"/>
          <w:numId w:val="0"/>
        </w:numPr>
        <w:tabs>
          <w:tab w:val="left" w:pos="426"/>
        </w:tabs>
        <w:kinsoku/>
        <w:wordWrap/>
        <w:overflowPunct/>
        <w:topLinePunct w:val="0"/>
        <w:autoSpaceDE/>
        <w:autoSpaceDN/>
        <w:bidi w:val="0"/>
        <w:spacing w:line="360" w:lineRule="auto"/>
        <w:ind w:leftChars="0"/>
        <w:textAlignment w:val="auto"/>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val="en-US" w:eastAsia="zh-CN"/>
        </w:rPr>
        <w:t>五</w:t>
      </w:r>
      <w:r>
        <w:rPr>
          <w:rFonts w:hint="eastAsia" w:ascii="宋体" w:hAnsi="宋体" w:eastAsia="宋体" w:cs="宋体"/>
          <w:b/>
          <w:bCs/>
          <w:color w:val="auto"/>
          <w:sz w:val="21"/>
          <w:szCs w:val="21"/>
          <w:highlight w:val="none"/>
          <w:lang w:eastAsia="zh-CN"/>
        </w:rPr>
        <w:t>、电影回放及原始数据处理</w:t>
      </w:r>
    </w:p>
    <w:p w14:paraId="510FC1AD">
      <w:pPr>
        <w:pStyle w:val="137"/>
        <w:pageBreakBefore w:val="0"/>
        <w:numPr>
          <w:ilvl w:val="0"/>
          <w:numId w:val="9"/>
        </w:numPr>
        <w:kinsoku/>
        <w:wordWrap/>
        <w:overflowPunct/>
        <w:topLinePunct w:val="0"/>
        <w:autoSpaceDE/>
        <w:autoSpaceDN/>
        <w:bidi w:val="0"/>
        <w:spacing w:line="360" w:lineRule="auto"/>
        <w:ind w:firstLineChars="0"/>
        <w:jc w:val="left"/>
        <w:textAlignment w:val="auto"/>
        <w:rPr>
          <w:rFonts w:hint="eastAsia" w:ascii="宋体" w:hAnsi="宋体" w:eastAsia="宋体" w:cs="宋体"/>
          <w:vanish/>
          <w:color w:val="auto"/>
          <w:sz w:val="21"/>
          <w:szCs w:val="21"/>
          <w:highlight w:val="none"/>
        </w:rPr>
      </w:pPr>
    </w:p>
    <w:p w14:paraId="68626C74">
      <w:pPr>
        <w:pStyle w:val="137"/>
        <w:pageBreakBefore w:val="0"/>
        <w:numPr>
          <w:ilvl w:val="0"/>
          <w:numId w:val="0"/>
        </w:numPr>
        <w:kinsoku/>
        <w:wordWrap/>
        <w:overflowPunct/>
        <w:topLinePunct w:val="0"/>
        <w:autoSpaceDE/>
        <w:autoSpaceDN/>
        <w:bidi w:val="0"/>
        <w:spacing w:line="360" w:lineRule="auto"/>
        <w:ind w:leftChars="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5.1</w:t>
      </w:r>
      <w:r>
        <w:rPr>
          <w:rFonts w:hint="eastAsia" w:ascii="宋体" w:hAnsi="宋体" w:eastAsia="宋体" w:cs="宋体"/>
          <w:color w:val="auto"/>
          <w:sz w:val="21"/>
          <w:szCs w:val="21"/>
          <w:highlight w:val="none"/>
        </w:rPr>
        <w:t>电影回放</w:t>
      </w:r>
    </w:p>
    <w:p w14:paraId="6570DCA4">
      <w:pPr>
        <w:pStyle w:val="137"/>
        <w:pageBreakBefore w:val="0"/>
        <w:numPr>
          <w:ilvl w:val="0"/>
          <w:numId w:val="0"/>
        </w:numPr>
        <w:kinsoku/>
        <w:wordWrap/>
        <w:overflowPunct/>
        <w:topLinePunct w:val="0"/>
        <w:autoSpaceDE/>
        <w:autoSpaceDN/>
        <w:bidi w:val="0"/>
        <w:spacing w:line="360"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5.1.1</w:t>
      </w:r>
      <w:r>
        <w:rPr>
          <w:rFonts w:hint="eastAsia" w:ascii="宋体" w:hAnsi="宋体" w:eastAsia="宋体" w:cs="宋体"/>
          <w:color w:val="auto"/>
          <w:sz w:val="21"/>
          <w:szCs w:val="21"/>
          <w:highlight w:val="none"/>
        </w:rPr>
        <w:t>所有模式下支持手动、自动回放</w:t>
      </w:r>
    </w:p>
    <w:p w14:paraId="316A35AB">
      <w:pPr>
        <w:pStyle w:val="137"/>
        <w:pageBreakBefore w:val="0"/>
        <w:numPr>
          <w:ilvl w:val="0"/>
          <w:numId w:val="0"/>
        </w:numPr>
        <w:kinsoku/>
        <w:wordWrap/>
        <w:overflowPunct/>
        <w:topLinePunct w:val="0"/>
        <w:autoSpaceDE/>
        <w:autoSpaceDN/>
        <w:bidi w:val="0"/>
        <w:spacing w:line="360"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5.1.2</w:t>
      </w:r>
      <w:r>
        <w:rPr>
          <w:rFonts w:hint="eastAsia" w:ascii="宋体" w:hAnsi="宋体" w:eastAsia="宋体" w:cs="宋体"/>
          <w:color w:val="auto"/>
          <w:sz w:val="21"/>
          <w:szCs w:val="21"/>
          <w:highlight w:val="none"/>
        </w:rPr>
        <w:t>支持向后存储和向前存储，时间长度可预置，向后存储≥7分钟的电影</w:t>
      </w:r>
    </w:p>
    <w:p w14:paraId="3F0EAD1C">
      <w:pPr>
        <w:pStyle w:val="137"/>
        <w:pageBreakBefore w:val="0"/>
        <w:numPr>
          <w:ilvl w:val="0"/>
          <w:numId w:val="0"/>
        </w:numPr>
        <w:tabs>
          <w:tab w:val="left" w:pos="426"/>
        </w:tabs>
        <w:kinsoku/>
        <w:wordWrap/>
        <w:overflowPunct/>
        <w:topLinePunct w:val="0"/>
        <w:autoSpaceDE/>
        <w:autoSpaceDN/>
        <w:bidi w:val="0"/>
        <w:spacing w:line="360" w:lineRule="auto"/>
        <w:ind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val="en-US" w:eastAsia="zh-CN"/>
        </w:rPr>
        <w:t>六</w:t>
      </w:r>
      <w:r>
        <w:rPr>
          <w:rFonts w:hint="eastAsia" w:ascii="宋体" w:hAnsi="宋体" w:eastAsia="宋体" w:cs="宋体"/>
          <w:b/>
          <w:bCs/>
          <w:color w:val="auto"/>
          <w:sz w:val="21"/>
          <w:szCs w:val="21"/>
          <w:highlight w:val="none"/>
          <w:lang w:eastAsia="zh-CN"/>
        </w:rPr>
        <w:t>、</w:t>
      </w:r>
      <w:r>
        <w:rPr>
          <w:rFonts w:hint="eastAsia" w:ascii="宋体" w:hAnsi="宋体" w:eastAsia="宋体" w:cs="宋体"/>
          <w:b/>
          <w:bCs/>
          <w:color w:val="auto"/>
          <w:sz w:val="21"/>
          <w:szCs w:val="21"/>
          <w:highlight w:val="none"/>
        </w:rPr>
        <w:t>信息管理与存储</w:t>
      </w:r>
    </w:p>
    <w:p w14:paraId="557C3462">
      <w:pPr>
        <w:pStyle w:val="137"/>
        <w:pageBreakBefore w:val="0"/>
        <w:numPr>
          <w:ilvl w:val="0"/>
          <w:numId w:val="0"/>
        </w:numPr>
        <w:kinsoku/>
        <w:wordWrap/>
        <w:overflowPunct/>
        <w:topLinePunct w:val="0"/>
        <w:autoSpaceDE/>
        <w:autoSpaceDN/>
        <w:bidi w:val="0"/>
        <w:spacing w:line="360" w:lineRule="auto"/>
        <w:ind w:left="420" w:leftChars="0" w:hanging="420" w:firstLineChars="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2"/>
          <w:sz w:val="21"/>
          <w:szCs w:val="21"/>
          <w:highlight w:val="none"/>
          <w:lang w:val="en-US" w:eastAsia="zh-CN" w:bidi="ar-SA"/>
        </w:rPr>
        <w:t xml:space="preserve">6.1 </w:t>
      </w:r>
      <w:r>
        <w:rPr>
          <w:rFonts w:hint="eastAsia" w:ascii="宋体" w:hAnsi="宋体" w:eastAsia="宋体" w:cs="宋体"/>
          <w:color w:val="auto"/>
          <w:sz w:val="21"/>
          <w:szCs w:val="21"/>
          <w:highlight w:val="none"/>
        </w:rPr>
        <w:t>≥512G SSD固态硬盘</w:t>
      </w:r>
    </w:p>
    <w:p w14:paraId="53223498">
      <w:pPr>
        <w:pStyle w:val="137"/>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2"/>
          <w:sz w:val="21"/>
          <w:szCs w:val="21"/>
          <w:highlight w:val="none"/>
          <w:lang w:val="en-US" w:eastAsia="zh-CN" w:bidi="ar-SA"/>
        </w:rPr>
        <w:t>6.2</w:t>
      </w:r>
      <w:r>
        <w:rPr>
          <w:rFonts w:hint="eastAsia" w:ascii="宋体" w:hAnsi="宋体" w:eastAsia="宋体" w:cs="宋体"/>
          <w:color w:val="auto"/>
          <w:sz w:val="21"/>
          <w:szCs w:val="21"/>
          <w:highlight w:val="none"/>
        </w:rPr>
        <w:t>内置超声工作站，支持同步存储，即后台存储或导出图像数据的同时前台可以完成实时扫描，不影响检查操作</w:t>
      </w:r>
    </w:p>
    <w:p w14:paraId="68A8ABBB">
      <w:pPr>
        <w:pStyle w:val="137"/>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2"/>
          <w:sz w:val="21"/>
          <w:szCs w:val="21"/>
          <w:highlight w:val="none"/>
          <w:lang w:val="en-US" w:eastAsia="zh-CN" w:bidi="ar-SA"/>
        </w:rPr>
        <w:t>6.3</w:t>
      </w:r>
      <w:r>
        <w:rPr>
          <w:rFonts w:hint="eastAsia" w:ascii="宋体" w:hAnsi="宋体" w:eastAsia="宋体" w:cs="宋体"/>
          <w:color w:val="auto"/>
          <w:sz w:val="21"/>
          <w:szCs w:val="21"/>
          <w:highlight w:val="none"/>
        </w:rPr>
        <w:t>动态图像、静态图像以PC格式直接导出（支持单帧图像文件包含： DCM、TIFF、BMP、JPG单帧，电影文件包括：CIN、AVI、DCM、MP4），无需特殊软件即能在普通PC 机上直接观看图像。</w:t>
      </w:r>
    </w:p>
    <w:p w14:paraId="5A52824F">
      <w:pPr>
        <w:pStyle w:val="137"/>
        <w:pageBreakBefore w:val="0"/>
        <w:numPr>
          <w:ilvl w:val="0"/>
          <w:numId w:val="0"/>
        </w:numPr>
        <w:tabs>
          <w:tab w:val="left" w:pos="426"/>
        </w:tabs>
        <w:kinsoku/>
        <w:wordWrap/>
        <w:overflowPunct/>
        <w:topLinePunct w:val="0"/>
        <w:autoSpaceDE/>
        <w:autoSpaceDN/>
        <w:bidi w:val="0"/>
        <w:spacing w:line="360" w:lineRule="auto"/>
        <w:ind w:leftChars="0"/>
        <w:textAlignment w:val="auto"/>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val="en-US" w:eastAsia="zh-CN"/>
        </w:rPr>
        <w:t>七</w:t>
      </w:r>
      <w:r>
        <w:rPr>
          <w:rFonts w:hint="eastAsia" w:ascii="宋体" w:hAnsi="宋体" w:eastAsia="宋体" w:cs="宋体"/>
          <w:b/>
          <w:bCs/>
          <w:color w:val="auto"/>
          <w:sz w:val="21"/>
          <w:szCs w:val="21"/>
          <w:highlight w:val="none"/>
          <w:lang w:eastAsia="zh-CN"/>
        </w:rPr>
        <w:t>、连通性</w:t>
      </w:r>
    </w:p>
    <w:p w14:paraId="40BA8587">
      <w:pPr>
        <w:pStyle w:val="137"/>
        <w:pageBreakBefore w:val="0"/>
        <w:numPr>
          <w:ilvl w:val="0"/>
          <w:numId w:val="9"/>
        </w:numPr>
        <w:kinsoku/>
        <w:wordWrap/>
        <w:overflowPunct/>
        <w:topLinePunct w:val="0"/>
        <w:autoSpaceDE/>
        <w:autoSpaceDN/>
        <w:bidi w:val="0"/>
        <w:spacing w:line="360" w:lineRule="auto"/>
        <w:ind w:firstLineChars="0"/>
        <w:jc w:val="left"/>
        <w:textAlignment w:val="auto"/>
        <w:rPr>
          <w:rFonts w:hint="eastAsia" w:ascii="宋体" w:hAnsi="宋体" w:eastAsia="宋体" w:cs="宋体"/>
          <w:vanish/>
          <w:color w:val="auto"/>
          <w:sz w:val="21"/>
          <w:szCs w:val="21"/>
          <w:highlight w:val="none"/>
        </w:rPr>
      </w:pPr>
    </w:p>
    <w:p w14:paraId="7FDE67D7">
      <w:pPr>
        <w:pStyle w:val="137"/>
        <w:pageBreakBefore w:val="0"/>
        <w:numPr>
          <w:ilvl w:val="0"/>
          <w:numId w:val="0"/>
        </w:numPr>
        <w:kinsoku/>
        <w:wordWrap/>
        <w:overflowPunct/>
        <w:topLinePunct w:val="0"/>
        <w:autoSpaceDE/>
        <w:autoSpaceDN/>
        <w:bidi w:val="0"/>
        <w:spacing w:line="360" w:lineRule="auto"/>
        <w:ind w:left="425" w:leftChars="0" w:hanging="425" w:firstLineChars="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2"/>
          <w:sz w:val="21"/>
          <w:szCs w:val="21"/>
          <w:highlight w:val="none"/>
          <w:lang w:val="en-US" w:eastAsia="zh-CN" w:bidi="ar-SA"/>
        </w:rPr>
        <w:t>7.1</w:t>
      </w:r>
      <w:r>
        <w:rPr>
          <w:rFonts w:hint="eastAsia" w:ascii="宋体" w:hAnsi="宋体" w:eastAsia="宋体" w:cs="宋体"/>
          <w:color w:val="auto"/>
          <w:sz w:val="21"/>
          <w:szCs w:val="21"/>
          <w:highlight w:val="none"/>
        </w:rPr>
        <w:t>主机内置HDMI、USB3.0、Type-c</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网络接口</w:t>
      </w:r>
    </w:p>
    <w:p w14:paraId="431D814D">
      <w:pPr>
        <w:pStyle w:val="137"/>
        <w:pageBreakBefore w:val="0"/>
        <w:numPr>
          <w:ilvl w:val="0"/>
          <w:numId w:val="0"/>
        </w:numPr>
        <w:kinsoku/>
        <w:wordWrap/>
        <w:overflowPunct/>
        <w:topLinePunct w:val="0"/>
        <w:autoSpaceDE/>
        <w:autoSpaceDN/>
        <w:bidi w:val="0"/>
        <w:spacing w:line="360" w:lineRule="auto"/>
        <w:ind w:left="425" w:leftChars="0" w:hanging="425" w:firstLineChars="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2"/>
          <w:sz w:val="21"/>
          <w:szCs w:val="21"/>
          <w:highlight w:val="none"/>
          <w:lang w:val="en-US" w:eastAsia="zh-CN" w:bidi="ar-SA"/>
        </w:rPr>
        <w:t xml:space="preserve">7.2 </w:t>
      </w:r>
      <w:r>
        <w:rPr>
          <w:rFonts w:hint="eastAsia" w:ascii="宋体" w:hAnsi="宋体" w:eastAsia="宋体" w:cs="宋体"/>
          <w:color w:val="auto"/>
          <w:sz w:val="21"/>
          <w:szCs w:val="21"/>
          <w:highlight w:val="none"/>
        </w:rPr>
        <w:t>DICOM3.0系统</w:t>
      </w:r>
    </w:p>
    <w:p w14:paraId="03348DAF">
      <w:pPr>
        <w:pStyle w:val="137"/>
        <w:pageBreakBefore w:val="0"/>
        <w:numPr>
          <w:ilvl w:val="0"/>
          <w:numId w:val="0"/>
        </w:numPr>
        <w:kinsoku/>
        <w:wordWrap/>
        <w:overflowPunct/>
        <w:topLinePunct w:val="0"/>
        <w:autoSpaceDE/>
        <w:autoSpaceDN/>
        <w:bidi w:val="0"/>
        <w:spacing w:line="360" w:lineRule="auto"/>
        <w:ind w:left="425" w:leftChars="0" w:hanging="425" w:firstLineChars="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2"/>
          <w:sz w:val="21"/>
          <w:szCs w:val="21"/>
          <w:highlight w:val="none"/>
          <w:lang w:val="en-US" w:eastAsia="zh-CN" w:bidi="ar-SA"/>
        </w:rPr>
        <w:t>7.3</w:t>
      </w:r>
      <w:r>
        <w:rPr>
          <w:rFonts w:hint="eastAsia" w:ascii="宋体" w:hAnsi="宋体" w:eastAsia="宋体" w:cs="宋体"/>
          <w:color w:val="auto"/>
          <w:sz w:val="21"/>
          <w:szCs w:val="21"/>
          <w:highlight w:val="none"/>
        </w:rPr>
        <w:t>多功能台车：可拆卸的储物篮，电源缆线专用放置架，防撞支架</w:t>
      </w:r>
    </w:p>
    <w:p w14:paraId="3A586CCC">
      <w:pPr>
        <w:pStyle w:val="137"/>
        <w:pageBreakBefore w:val="0"/>
        <w:numPr>
          <w:ilvl w:val="0"/>
          <w:numId w:val="0"/>
        </w:numPr>
        <w:kinsoku/>
        <w:wordWrap/>
        <w:overflowPunct/>
        <w:topLinePunct w:val="0"/>
        <w:autoSpaceDE/>
        <w:autoSpaceDN/>
        <w:bidi w:val="0"/>
        <w:spacing w:line="360" w:lineRule="auto"/>
        <w:ind w:left="425" w:leftChars="0" w:hanging="425" w:firstLineChars="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2"/>
          <w:sz w:val="21"/>
          <w:szCs w:val="21"/>
          <w:highlight w:val="none"/>
          <w:lang w:val="en-US" w:eastAsia="zh-CN" w:bidi="ar-SA"/>
        </w:rPr>
        <w:t>7.4</w:t>
      </w:r>
      <w:r>
        <w:rPr>
          <w:rFonts w:hint="eastAsia" w:ascii="宋体" w:hAnsi="宋体" w:eastAsia="宋体" w:cs="宋体"/>
          <w:color w:val="auto"/>
          <w:sz w:val="21"/>
          <w:szCs w:val="21"/>
          <w:highlight w:val="none"/>
        </w:rPr>
        <w:t>专用旅行箱，可装载主机、探头及相关备件</w:t>
      </w:r>
    </w:p>
    <w:p w14:paraId="090B7F08">
      <w:pPr>
        <w:pStyle w:val="137"/>
        <w:pageBreakBefore w:val="0"/>
        <w:numPr>
          <w:ilvl w:val="0"/>
          <w:numId w:val="0"/>
        </w:numPr>
        <w:kinsoku/>
        <w:wordWrap/>
        <w:overflowPunct/>
        <w:topLinePunct w:val="0"/>
        <w:autoSpaceDE/>
        <w:autoSpaceDN/>
        <w:bidi w:val="0"/>
        <w:spacing w:line="360" w:lineRule="auto"/>
        <w:jc w:val="left"/>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color w:val="auto"/>
          <w:highlight w:val="none"/>
        </w:rPr>
        <w:t>★</w:t>
      </w:r>
      <w:r>
        <w:rPr>
          <w:rFonts w:hint="eastAsia" w:ascii="宋体" w:hAnsi="宋体" w:eastAsia="宋体" w:cs="宋体"/>
          <w:b/>
          <w:bCs/>
          <w:color w:val="auto"/>
          <w:sz w:val="21"/>
          <w:szCs w:val="21"/>
          <w:highlight w:val="none"/>
          <w:lang w:val="en-US" w:eastAsia="zh-CN"/>
        </w:rPr>
        <w:t>八</w:t>
      </w:r>
      <w:r>
        <w:rPr>
          <w:rFonts w:hint="eastAsia" w:ascii="宋体" w:hAnsi="宋体" w:eastAsia="宋体" w:cs="宋体"/>
          <w:b/>
          <w:bCs/>
          <w:color w:val="auto"/>
          <w:sz w:val="21"/>
          <w:szCs w:val="21"/>
          <w:highlight w:val="none"/>
          <w:lang w:eastAsia="zh-CN"/>
        </w:rPr>
        <w:t>、</w:t>
      </w:r>
      <w:r>
        <w:rPr>
          <w:rFonts w:hint="eastAsia" w:ascii="宋体" w:hAnsi="宋体" w:eastAsia="宋体" w:cs="宋体"/>
          <w:b/>
          <w:bCs/>
          <w:color w:val="auto"/>
          <w:sz w:val="21"/>
          <w:szCs w:val="21"/>
          <w:highlight w:val="none"/>
          <w:lang w:val="en-US" w:eastAsia="zh-CN"/>
        </w:rPr>
        <w:t>配置清单</w:t>
      </w:r>
    </w:p>
    <w:tbl>
      <w:tblPr>
        <w:tblStyle w:val="48"/>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78"/>
        <w:gridCol w:w="3542"/>
      </w:tblGrid>
      <w:tr w14:paraId="09B1F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2921" w:type="pct"/>
            <w:noWrap w:val="0"/>
            <w:vAlign w:val="center"/>
          </w:tcPr>
          <w:p w14:paraId="5EFCB3E8">
            <w:pPr>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auto"/>
                <w:sz w:val="21"/>
                <w:szCs w:val="21"/>
                <w:highlight w:val="none"/>
                <w:vertAlign w:val="baseline"/>
                <w:lang w:val="en-US" w:eastAsia="zh-CN"/>
              </w:rPr>
            </w:pPr>
            <w:r>
              <w:rPr>
                <w:rFonts w:hint="eastAsia" w:ascii="宋体" w:hAnsi="宋体" w:eastAsia="宋体" w:cs="宋体"/>
                <w:b/>
                <w:bCs/>
                <w:color w:val="auto"/>
                <w:sz w:val="21"/>
                <w:szCs w:val="21"/>
                <w:highlight w:val="none"/>
                <w:vertAlign w:val="baseline"/>
                <w:lang w:val="en-US" w:eastAsia="zh-CN"/>
              </w:rPr>
              <w:t>名称</w:t>
            </w:r>
          </w:p>
        </w:tc>
        <w:tc>
          <w:tcPr>
            <w:tcW w:w="2078" w:type="pct"/>
            <w:noWrap w:val="0"/>
            <w:vAlign w:val="center"/>
          </w:tcPr>
          <w:p w14:paraId="42CEA5B6">
            <w:pPr>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auto"/>
                <w:sz w:val="21"/>
                <w:szCs w:val="21"/>
                <w:highlight w:val="none"/>
                <w:vertAlign w:val="baseline"/>
                <w:lang w:val="en-US" w:eastAsia="zh-CN"/>
              </w:rPr>
            </w:pPr>
            <w:r>
              <w:rPr>
                <w:rFonts w:hint="eastAsia" w:ascii="宋体" w:hAnsi="宋体" w:eastAsia="宋体" w:cs="宋体"/>
                <w:b/>
                <w:bCs/>
                <w:color w:val="auto"/>
                <w:sz w:val="21"/>
                <w:szCs w:val="21"/>
                <w:highlight w:val="none"/>
                <w:vertAlign w:val="baseline"/>
                <w:lang w:val="en-US" w:eastAsia="zh-CN"/>
              </w:rPr>
              <w:t>数量</w:t>
            </w:r>
          </w:p>
        </w:tc>
      </w:tr>
      <w:tr w14:paraId="27E97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trPr>
        <w:tc>
          <w:tcPr>
            <w:tcW w:w="2921" w:type="pct"/>
            <w:noWrap w:val="0"/>
            <w:vAlign w:val="center"/>
          </w:tcPr>
          <w:p w14:paraId="32C6732E">
            <w:pPr>
              <w:pageBreakBefore w:val="0"/>
              <w:kinsoku/>
              <w:wordWrap/>
              <w:overflowPunct/>
              <w:topLinePunct w:val="0"/>
              <w:autoSpaceDE/>
              <w:autoSpaceDN/>
              <w:bidi w:val="0"/>
              <w:spacing w:line="360" w:lineRule="auto"/>
              <w:jc w:val="center"/>
              <w:textAlignment w:val="auto"/>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kern w:val="0"/>
                <w:sz w:val="21"/>
                <w:szCs w:val="21"/>
                <w:highlight w:val="none"/>
                <w:lang w:val="en-US" w:eastAsia="zh-CN" w:bidi="ar"/>
              </w:rPr>
              <w:t>便携式彩色多普勒超声诊断仪</w:t>
            </w:r>
          </w:p>
        </w:tc>
        <w:tc>
          <w:tcPr>
            <w:tcW w:w="2078" w:type="pct"/>
            <w:noWrap w:val="0"/>
            <w:vAlign w:val="center"/>
          </w:tcPr>
          <w:p w14:paraId="317CA8F9">
            <w:pPr>
              <w:pageBreakBefore w:val="0"/>
              <w:kinsoku/>
              <w:wordWrap/>
              <w:overflowPunct/>
              <w:topLinePunct w:val="0"/>
              <w:autoSpaceDE/>
              <w:autoSpaceDN/>
              <w:bidi w:val="0"/>
              <w:spacing w:line="360" w:lineRule="auto"/>
              <w:jc w:val="center"/>
              <w:textAlignment w:val="auto"/>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1套</w:t>
            </w:r>
          </w:p>
        </w:tc>
      </w:tr>
      <w:tr w14:paraId="6FC6A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2921" w:type="pct"/>
            <w:noWrap w:val="0"/>
            <w:vAlign w:val="center"/>
          </w:tcPr>
          <w:p w14:paraId="61A7DC33">
            <w:pPr>
              <w:pageBreakBefore w:val="0"/>
              <w:kinsoku/>
              <w:wordWrap/>
              <w:overflowPunct/>
              <w:topLinePunct w:val="0"/>
              <w:autoSpaceDE/>
              <w:autoSpaceDN/>
              <w:bidi w:val="0"/>
              <w:spacing w:line="360" w:lineRule="auto"/>
              <w:jc w:val="center"/>
              <w:textAlignment w:val="auto"/>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台车</w:t>
            </w:r>
          </w:p>
        </w:tc>
        <w:tc>
          <w:tcPr>
            <w:tcW w:w="2078" w:type="pct"/>
            <w:noWrap w:val="0"/>
            <w:vAlign w:val="center"/>
          </w:tcPr>
          <w:p w14:paraId="27561C84">
            <w:pPr>
              <w:pageBreakBefore w:val="0"/>
              <w:kinsoku/>
              <w:wordWrap/>
              <w:overflowPunct/>
              <w:topLinePunct w:val="0"/>
              <w:autoSpaceDE/>
              <w:autoSpaceDN/>
              <w:bidi w:val="0"/>
              <w:spacing w:line="360" w:lineRule="auto"/>
              <w:jc w:val="center"/>
              <w:textAlignment w:val="auto"/>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1台</w:t>
            </w:r>
          </w:p>
        </w:tc>
      </w:tr>
      <w:tr w14:paraId="0380A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2921" w:type="pct"/>
            <w:noWrap w:val="0"/>
            <w:vAlign w:val="center"/>
          </w:tcPr>
          <w:p w14:paraId="18347CA2">
            <w:pPr>
              <w:pageBreakBefore w:val="0"/>
              <w:kinsoku/>
              <w:wordWrap/>
              <w:overflowPunct/>
              <w:topLinePunct w:val="0"/>
              <w:autoSpaceDE/>
              <w:autoSpaceDN/>
              <w:bidi w:val="0"/>
              <w:spacing w:line="360" w:lineRule="auto"/>
              <w:jc w:val="center"/>
              <w:textAlignment w:val="auto"/>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浅表血管线阵探头</w:t>
            </w:r>
          </w:p>
        </w:tc>
        <w:tc>
          <w:tcPr>
            <w:tcW w:w="2078" w:type="pct"/>
            <w:noWrap w:val="0"/>
            <w:vAlign w:val="center"/>
          </w:tcPr>
          <w:p w14:paraId="4C7E3140">
            <w:pPr>
              <w:pageBreakBefore w:val="0"/>
              <w:kinsoku/>
              <w:wordWrap/>
              <w:overflowPunct/>
              <w:topLinePunct w:val="0"/>
              <w:autoSpaceDE/>
              <w:autoSpaceDN/>
              <w:bidi w:val="0"/>
              <w:spacing w:line="360" w:lineRule="auto"/>
              <w:jc w:val="center"/>
              <w:textAlignment w:val="auto"/>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1把</w:t>
            </w:r>
          </w:p>
        </w:tc>
      </w:tr>
      <w:tr w14:paraId="1049F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921" w:type="pct"/>
            <w:noWrap w:val="0"/>
            <w:vAlign w:val="center"/>
          </w:tcPr>
          <w:p w14:paraId="1EAF5FD9">
            <w:pPr>
              <w:pageBreakBefore w:val="0"/>
              <w:kinsoku/>
              <w:wordWrap/>
              <w:overflowPunct/>
              <w:topLinePunct w:val="0"/>
              <w:autoSpaceDE/>
              <w:autoSpaceDN/>
              <w:bidi w:val="0"/>
              <w:spacing w:line="360" w:lineRule="auto"/>
              <w:jc w:val="center"/>
              <w:textAlignment w:val="auto"/>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腹部血管凸阵探头</w:t>
            </w:r>
          </w:p>
        </w:tc>
        <w:tc>
          <w:tcPr>
            <w:tcW w:w="2078" w:type="pct"/>
            <w:noWrap w:val="0"/>
            <w:vAlign w:val="center"/>
          </w:tcPr>
          <w:p w14:paraId="245D9749">
            <w:pPr>
              <w:pageBreakBefore w:val="0"/>
              <w:kinsoku/>
              <w:wordWrap/>
              <w:overflowPunct/>
              <w:topLinePunct w:val="0"/>
              <w:autoSpaceDE/>
              <w:autoSpaceDN/>
              <w:bidi w:val="0"/>
              <w:spacing w:line="360" w:lineRule="auto"/>
              <w:jc w:val="center"/>
              <w:textAlignment w:val="auto"/>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1把</w:t>
            </w:r>
          </w:p>
        </w:tc>
      </w:tr>
    </w:tbl>
    <w:p w14:paraId="478C0E33">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十、商务要求</w:t>
      </w:r>
    </w:p>
    <w:p w14:paraId="465B8BF7">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10.</w:t>
      </w:r>
      <w:r>
        <w:rPr>
          <w:rFonts w:hint="eastAsia" w:ascii="宋体" w:hAnsi="宋体" w:eastAsia="宋体" w:cs="宋体"/>
          <w:color w:val="auto"/>
          <w:sz w:val="21"/>
          <w:szCs w:val="21"/>
          <w:highlight w:val="none"/>
        </w:rPr>
        <w:t>1、运输、装卸、培训、安装调试：由中标人负责承担，最终通过使用科室、设备科及相关部门确认验收交付使用</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国产设备交付，设备必须为6个月内生产的产品；进口设备交付，设备必须为一年内生产的产品</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rPr>
        <w:cr/>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10.</w:t>
      </w:r>
      <w:r>
        <w:rPr>
          <w:rFonts w:hint="eastAsia" w:ascii="宋体" w:hAnsi="宋体" w:eastAsia="宋体" w:cs="宋体"/>
          <w:color w:val="auto"/>
          <w:sz w:val="21"/>
          <w:szCs w:val="21"/>
          <w:highlight w:val="none"/>
        </w:rPr>
        <w:t>2、交货时间：按</w:t>
      </w:r>
      <w:r>
        <w:rPr>
          <w:rFonts w:hint="eastAsia" w:ascii="宋体" w:hAnsi="宋体" w:eastAsia="宋体" w:cs="宋体"/>
          <w:color w:val="auto"/>
          <w:sz w:val="21"/>
          <w:szCs w:val="21"/>
          <w:highlight w:val="none"/>
          <w:lang w:val="en-US" w:eastAsia="zh-CN"/>
        </w:rPr>
        <w:t>合同约定的日期交货。</w:t>
      </w:r>
    </w:p>
    <w:p w14:paraId="40B9313A">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10.3</w:t>
      </w:r>
      <w:r>
        <w:rPr>
          <w:rFonts w:hint="eastAsia" w:ascii="宋体" w:hAnsi="宋体" w:eastAsia="宋体" w:cs="宋体"/>
          <w:color w:val="auto"/>
          <w:sz w:val="21"/>
          <w:szCs w:val="21"/>
          <w:highlight w:val="none"/>
        </w:rPr>
        <w:t>、交货地点：娄底市中心医院</w:t>
      </w:r>
      <w:r>
        <w:rPr>
          <w:rFonts w:hint="eastAsia" w:ascii="宋体" w:hAnsi="宋体" w:eastAsia="宋体" w:cs="宋体"/>
          <w:color w:val="auto"/>
          <w:sz w:val="21"/>
          <w:szCs w:val="21"/>
          <w:highlight w:val="none"/>
          <w:lang w:val="en-US" w:eastAsia="zh-CN"/>
        </w:rPr>
        <w:t>指定地点</w:t>
      </w:r>
      <w:r>
        <w:rPr>
          <w:rFonts w:hint="eastAsia" w:ascii="宋体" w:hAnsi="宋体" w:eastAsia="宋体" w:cs="宋体"/>
          <w:color w:val="auto"/>
          <w:sz w:val="21"/>
          <w:szCs w:val="21"/>
          <w:highlight w:val="none"/>
        </w:rPr>
        <w:t>。</w:t>
      </w:r>
    </w:p>
    <w:p w14:paraId="17F4BDCE">
      <w:pPr>
        <w:keepNext w:val="0"/>
        <w:keepLines w:val="0"/>
        <w:pageBreakBefore w:val="0"/>
        <w:widowControl/>
        <w:numPr>
          <w:ilvl w:val="0"/>
          <w:numId w:val="0"/>
        </w:numPr>
        <w:kinsoku/>
        <w:wordWrap/>
        <w:overflowPunct/>
        <w:topLinePunct w:val="0"/>
        <w:autoSpaceDE/>
        <w:autoSpaceDN/>
        <w:bidi w:val="0"/>
        <w:adjustRightInd w:val="0"/>
        <w:snapToGrid w:val="0"/>
        <w:spacing w:after="0" w:line="360" w:lineRule="auto"/>
        <w:ind w:left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10.4</w:t>
      </w:r>
      <w:r>
        <w:rPr>
          <w:rFonts w:hint="eastAsia" w:ascii="宋体" w:hAnsi="宋体" w:eastAsia="宋体" w:cs="宋体"/>
          <w:color w:val="auto"/>
          <w:sz w:val="21"/>
          <w:szCs w:val="21"/>
          <w:highlight w:val="none"/>
        </w:rPr>
        <w:t>、付款方式：设备验收合格后，供应商将发票交到娄底市中心医院后按程序支付货款90%（按医院财务制度一般情况下4个月内支付、特殊情况下最多不超过6个月），甲方在设备验收合格</w:t>
      </w:r>
      <w:r>
        <w:rPr>
          <w:rFonts w:hint="eastAsia" w:ascii="宋体" w:hAnsi="宋体" w:eastAsia="宋体" w:cs="宋体"/>
          <w:color w:val="auto"/>
          <w:sz w:val="21"/>
          <w:szCs w:val="21"/>
          <w:highlight w:val="none"/>
          <w:lang w:val="en-US" w:eastAsia="zh-CN"/>
        </w:rPr>
        <w:t>满</w:t>
      </w:r>
      <w:r>
        <w:rPr>
          <w:rFonts w:hint="eastAsia" w:ascii="宋体" w:hAnsi="宋体" w:eastAsia="宋体" w:cs="宋体"/>
          <w:color w:val="auto"/>
          <w:sz w:val="21"/>
          <w:szCs w:val="21"/>
          <w:highlight w:val="none"/>
          <w:u w:val="none"/>
          <w:lang w:val="en-US" w:eastAsia="zh-CN"/>
        </w:rPr>
        <w:t>3年</w:t>
      </w:r>
      <w:r>
        <w:rPr>
          <w:rFonts w:hint="eastAsia" w:ascii="宋体" w:hAnsi="宋体" w:eastAsia="宋体" w:cs="宋体"/>
          <w:color w:val="auto"/>
          <w:sz w:val="21"/>
          <w:szCs w:val="21"/>
          <w:highlight w:val="none"/>
        </w:rPr>
        <w:t>后支付10%余款给乙方。</w:t>
      </w:r>
      <w:r>
        <w:rPr>
          <w:rFonts w:hint="eastAsia" w:ascii="宋体" w:hAnsi="宋体" w:eastAsia="宋体" w:cs="宋体"/>
          <w:color w:val="auto"/>
          <w:sz w:val="21"/>
          <w:szCs w:val="21"/>
          <w:highlight w:val="none"/>
        </w:rPr>
        <w:cr/>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10.</w:t>
      </w:r>
      <w:r>
        <w:rPr>
          <w:rFonts w:hint="eastAsia" w:ascii="宋体" w:hAnsi="宋体" w:eastAsia="宋体" w:cs="宋体"/>
          <w:color w:val="auto"/>
          <w:sz w:val="21"/>
          <w:szCs w:val="21"/>
          <w:highlight w:val="none"/>
        </w:rPr>
        <w:t>5、质保与售后：整机保修</w:t>
      </w:r>
      <w:r>
        <w:rPr>
          <w:rFonts w:hint="eastAsia" w:ascii="宋体" w:hAnsi="宋体" w:eastAsia="宋体" w:cs="宋体"/>
          <w:color w:val="auto"/>
          <w:sz w:val="21"/>
          <w:szCs w:val="21"/>
          <w:highlight w:val="none"/>
          <w:lang w:val="en-US" w:eastAsia="zh-CN"/>
        </w:rPr>
        <w:t xml:space="preserve">3 </w:t>
      </w:r>
      <w:r>
        <w:rPr>
          <w:rFonts w:hint="eastAsia" w:ascii="宋体" w:hAnsi="宋体" w:eastAsia="宋体" w:cs="宋体"/>
          <w:color w:val="auto"/>
          <w:sz w:val="21"/>
          <w:szCs w:val="21"/>
          <w:highlight w:val="none"/>
        </w:rPr>
        <w:t>年</w:t>
      </w:r>
      <w:r>
        <w:rPr>
          <w:rFonts w:hint="eastAsia"/>
          <w:color w:val="auto"/>
          <w:highlight w:val="none"/>
          <w:lang w:eastAsia="zh-CN"/>
        </w:rPr>
        <w:t>（含探头）</w:t>
      </w:r>
      <w:r>
        <w:rPr>
          <w:rFonts w:hint="eastAsia" w:ascii="宋体" w:hAnsi="宋体" w:eastAsia="宋体" w:cs="宋体"/>
          <w:color w:val="auto"/>
          <w:sz w:val="21"/>
          <w:szCs w:val="21"/>
          <w:highlight w:val="none"/>
        </w:rPr>
        <w:t>，终身维修。</w:t>
      </w:r>
      <w:r>
        <w:rPr>
          <w:rFonts w:hint="eastAsia" w:ascii="宋体" w:hAnsi="宋体" w:eastAsia="宋体" w:cs="宋体"/>
          <w:color w:val="auto"/>
          <w:sz w:val="21"/>
          <w:szCs w:val="21"/>
          <w:highlight w:val="none"/>
          <w:lang w:val="en-US" w:eastAsia="zh-CN"/>
        </w:rPr>
        <w:t>验收时</w:t>
      </w:r>
      <w:r>
        <w:rPr>
          <w:rFonts w:hint="eastAsia" w:ascii="宋体" w:hAnsi="宋体" w:eastAsia="宋体" w:cs="宋体"/>
          <w:color w:val="auto"/>
          <w:sz w:val="21"/>
          <w:szCs w:val="21"/>
          <w:highlight w:val="none"/>
        </w:rPr>
        <w:t>出具原厂售后质保承诺书，质保期内每年巡检</w:t>
      </w:r>
      <w:r>
        <w:rPr>
          <w:rFonts w:hint="eastAsia" w:ascii="宋体" w:hAnsi="宋体" w:eastAsia="宋体" w:cs="宋体"/>
          <w:color w:val="auto"/>
          <w:sz w:val="21"/>
          <w:szCs w:val="21"/>
          <w:highlight w:val="none"/>
          <w:lang w:val="en-US" w:eastAsia="zh-CN"/>
        </w:rPr>
        <w:t>一</w:t>
      </w:r>
      <w:r>
        <w:rPr>
          <w:rFonts w:hint="eastAsia" w:ascii="宋体" w:hAnsi="宋体" w:eastAsia="宋体" w:cs="宋体"/>
          <w:color w:val="auto"/>
          <w:sz w:val="21"/>
          <w:szCs w:val="21"/>
          <w:highlight w:val="none"/>
        </w:rPr>
        <w:t>次</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并提交巡检记录</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zh-CN" w:eastAsia="zh-CN"/>
        </w:rPr>
        <w:t>质保期内</w:t>
      </w:r>
      <w:r>
        <w:rPr>
          <w:rFonts w:hint="eastAsia" w:ascii="宋体" w:hAnsi="宋体" w:eastAsia="宋体" w:cs="宋体"/>
          <w:color w:val="auto"/>
          <w:sz w:val="21"/>
          <w:szCs w:val="21"/>
          <w:highlight w:val="none"/>
          <w:lang w:val="en-US" w:eastAsia="zh-CN"/>
        </w:rPr>
        <w:t>出现故障，1小时响应，响应后24小时上门服务。</w:t>
      </w:r>
    </w:p>
    <w:p w14:paraId="03D67ED4">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★10.6、在投标文件中必须提供相关技术资料并加盖投标人公章（如技术参数、技术白皮书、说明书、彩页等），并在响应表中对</w:t>
      </w:r>
      <w:r>
        <w:rPr>
          <w:rFonts w:hint="eastAsia" w:ascii="宋体" w:hAnsi="宋体" w:cs="宋体"/>
          <w:color w:val="auto"/>
          <w:sz w:val="21"/>
          <w:szCs w:val="21"/>
          <w:highlight w:val="none"/>
          <w:lang w:val="en-US" w:eastAsia="zh-CN"/>
        </w:rPr>
        <w:t>技术参数中</w:t>
      </w:r>
      <w:r>
        <w:rPr>
          <w:rFonts w:hint="eastAsia" w:ascii="宋体" w:hAnsi="宋体" w:eastAsia="宋体" w:cs="宋体"/>
          <w:color w:val="auto"/>
          <w:sz w:val="21"/>
          <w:szCs w:val="21"/>
          <w:highlight w:val="none"/>
          <w:lang w:val="en-US" w:eastAsia="zh-CN"/>
        </w:rPr>
        <w:t>“★”、“▲”以及要求提供佐证材料的条款备注该条参数响应或正偏离的佐证资料所在页码。</w:t>
      </w:r>
    </w:p>
    <w:p w14:paraId="36B4A9B3">
      <w:pPr>
        <w:pStyle w:val="137"/>
        <w:pageBreakBefore w:val="0"/>
        <w:numPr>
          <w:ilvl w:val="0"/>
          <w:numId w:val="0"/>
        </w:numPr>
        <w:kinsoku/>
        <w:wordWrap/>
        <w:overflowPunct/>
        <w:topLinePunct w:val="0"/>
        <w:autoSpaceDE/>
        <w:autoSpaceDN/>
        <w:bidi w:val="0"/>
        <w:spacing w:line="360" w:lineRule="auto"/>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★10.7、设备如涉及网络接口费用，由中标人承担，采购人不再出具任何费用。</w:t>
      </w:r>
    </w:p>
    <w:p w14:paraId="489F0208">
      <w:pPr>
        <w:pStyle w:val="22"/>
        <w:adjustRightInd w:val="0"/>
        <w:snapToGrid w:val="0"/>
        <w:spacing w:line="360" w:lineRule="auto"/>
        <w:jc w:val="center"/>
        <w:outlineLvl w:val="9"/>
        <w:rPr>
          <w:rFonts w:hint="eastAsia" w:ascii="宋体" w:hAnsi="宋体" w:eastAsia="宋体" w:cs="宋体"/>
          <w:b/>
          <w:bCs/>
          <w:color w:val="auto"/>
          <w:sz w:val="21"/>
          <w:szCs w:val="21"/>
          <w:highlight w:val="none"/>
          <w:lang w:val="en-US" w:eastAsia="zh-CN"/>
        </w:rPr>
      </w:pPr>
    </w:p>
    <w:p w14:paraId="24F818E4">
      <w:pPr>
        <w:pStyle w:val="22"/>
        <w:adjustRightInd w:val="0"/>
        <w:snapToGrid w:val="0"/>
        <w:spacing w:line="360" w:lineRule="auto"/>
        <w:jc w:val="center"/>
        <w:outlineLvl w:val="9"/>
        <w:rPr>
          <w:rFonts w:hint="eastAsia" w:ascii="宋体" w:hAnsi="宋体" w:eastAsia="宋体" w:cs="宋体"/>
          <w:b/>
          <w:bCs/>
          <w:color w:val="auto"/>
          <w:sz w:val="21"/>
          <w:szCs w:val="21"/>
          <w:highlight w:val="none"/>
          <w:lang w:val="en-US" w:eastAsia="zh-CN"/>
        </w:rPr>
      </w:pPr>
    </w:p>
    <w:p w14:paraId="56852BB5">
      <w:pPr>
        <w:pStyle w:val="22"/>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1"/>
        <w:rPr>
          <w:rFonts w:hint="eastAsia" w:ascii="宋体" w:hAnsi="宋体" w:eastAsia="宋体" w:cs="宋体"/>
          <w:b/>
          <w:bCs/>
          <w:color w:val="auto"/>
          <w:kern w:val="2"/>
          <w:sz w:val="21"/>
          <w:szCs w:val="21"/>
          <w:highlight w:val="none"/>
          <w:lang w:val="en-US" w:eastAsia="zh-CN" w:bidi="ar-SA"/>
        </w:rPr>
      </w:pPr>
      <w:bookmarkStart w:id="1217" w:name="_Toc1316121527"/>
      <w:r>
        <w:rPr>
          <w:rFonts w:hint="eastAsia" w:ascii="宋体" w:hAnsi="宋体" w:eastAsia="宋体" w:cs="宋体"/>
          <w:b/>
          <w:bCs/>
          <w:color w:val="auto"/>
          <w:sz w:val="21"/>
          <w:szCs w:val="21"/>
          <w:highlight w:val="none"/>
          <w:lang w:val="en-US" w:eastAsia="zh-CN"/>
        </w:rPr>
        <w:t>序号</w:t>
      </w:r>
      <w:r>
        <w:rPr>
          <w:rFonts w:hint="eastAsia" w:hAnsi="宋体" w:cs="宋体"/>
          <w:b/>
          <w:bCs/>
          <w:color w:val="auto"/>
          <w:kern w:val="2"/>
          <w:sz w:val="21"/>
          <w:szCs w:val="21"/>
          <w:highlight w:val="none"/>
          <w:lang w:val="en-US" w:eastAsia="zh-CN" w:bidi="ar-SA"/>
        </w:rPr>
        <w:t>6</w:t>
      </w:r>
      <w:r>
        <w:rPr>
          <w:rFonts w:hint="eastAsia" w:ascii="宋体" w:hAnsi="宋体" w:eastAsia="宋体" w:cs="宋体"/>
          <w:b/>
          <w:bCs/>
          <w:color w:val="auto"/>
          <w:kern w:val="2"/>
          <w:sz w:val="21"/>
          <w:szCs w:val="21"/>
          <w:highlight w:val="none"/>
          <w:lang w:val="en-US" w:eastAsia="zh-CN" w:bidi="ar-SA"/>
        </w:rPr>
        <w:t>便携式彩色多普勒超声诊断仪</w:t>
      </w:r>
      <w:bookmarkEnd w:id="1217"/>
    </w:p>
    <w:p w14:paraId="322AF5B2">
      <w:pPr>
        <w:pStyle w:val="137"/>
        <w:numPr>
          <w:ilvl w:val="0"/>
          <w:numId w:val="0"/>
        </w:numPr>
        <w:tabs>
          <w:tab w:val="left" w:pos="426"/>
        </w:tabs>
        <w:spacing w:line="360" w:lineRule="auto"/>
        <w:ind w:leftChars="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一</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货物名称：</w:t>
      </w:r>
      <w:r>
        <w:rPr>
          <w:rFonts w:hint="eastAsia" w:ascii="宋体" w:hAnsi="宋体" w:eastAsia="宋体" w:cs="宋体"/>
          <w:color w:val="auto"/>
          <w:kern w:val="0"/>
          <w:sz w:val="21"/>
          <w:szCs w:val="21"/>
          <w:highlight w:val="none"/>
          <w:lang w:val="en-US" w:eastAsia="zh-CN" w:bidi="ar"/>
        </w:rPr>
        <w:t>便携式彩色多普勒超声诊断仪</w:t>
      </w:r>
    </w:p>
    <w:p w14:paraId="653E7DD4">
      <w:pPr>
        <w:widowControl/>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二、</w:t>
      </w:r>
      <w:r>
        <w:rPr>
          <w:rFonts w:hint="eastAsia" w:ascii="宋体" w:hAnsi="宋体" w:eastAsia="宋体" w:cs="宋体"/>
          <w:color w:val="auto"/>
          <w:sz w:val="21"/>
          <w:szCs w:val="21"/>
          <w:highlight w:val="none"/>
        </w:rPr>
        <w:t>产品用途说明：满足</w:t>
      </w:r>
      <w:r>
        <w:rPr>
          <w:rFonts w:hint="eastAsia" w:ascii="宋体" w:hAnsi="宋体" w:eastAsia="宋体" w:cs="宋体"/>
          <w:color w:val="auto"/>
          <w:kern w:val="0"/>
          <w:sz w:val="21"/>
          <w:szCs w:val="21"/>
          <w:highlight w:val="none"/>
          <w:lang w:bidi="ar"/>
        </w:rPr>
        <w:t>适用于</w:t>
      </w:r>
      <w:r>
        <w:rPr>
          <w:rFonts w:hint="eastAsia" w:ascii="宋体" w:hAnsi="宋体" w:eastAsia="宋体" w:cs="宋体"/>
          <w:color w:val="auto"/>
          <w:kern w:val="0"/>
          <w:sz w:val="21"/>
          <w:szCs w:val="21"/>
          <w:highlight w:val="none"/>
          <w:lang w:eastAsia="zh-CN" w:bidi="ar"/>
        </w:rPr>
        <w:t>介入、</w:t>
      </w:r>
      <w:r>
        <w:rPr>
          <w:rFonts w:hint="eastAsia" w:ascii="宋体" w:hAnsi="宋体" w:eastAsia="宋体" w:cs="宋体"/>
          <w:color w:val="auto"/>
          <w:kern w:val="0"/>
          <w:sz w:val="21"/>
          <w:szCs w:val="21"/>
          <w:highlight w:val="none"/>
          <w:lang w:bidi="ar"/>
        </w:rPr>
        <w:t>腹部、产科、妇科、心脏、小器官、 泌尿、血管、儿科、神经、急重诊等应用。</w:t>
      </w:r>
    </w:p>
    <w:p w14:paraId="686ACBBA">
      <w:pPr>
        <w:pStyle w:val="137"/>
        <w:numPr>
          <w:ilvl w:val="0"/>
          <w:numId w:val="0"/>
        </w:numPr>
        <w:tabs>
          <w:tab w:val="left" w:pos="426"/>
        </w:tabs>
        <w:spacing w:line="360" w:lineRule="auto"/>
        <w:ind w:left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三、</w:t>
      </w:r>
      <w:r>
        <w:rPr>
          <w:rFonts w:hint="eastAsia" w:ascii="宋体" w:hAnsi="宋体" w:eastAsia="宋体" w:cs="宋体"/>
          <w:color w:val="auto"/>
          <w:sz w:val="21"/>
          <w:szCs w:val="21"/>
          <w:highlight w:val="none"/>
        </w:rPr>
        <w:t>系统技术规格及概述：</w:t>
      </w:r>
    </w:p>
    <w:p w14:paraId="7135FB33">
      <w:pPr>
        <w:pStyle w:val="137"/>
        <w:numPr>
          <w:ilvl w:val="0"/>
          <w:numId w:val="10"/>
        </w:numPr>
        <w:spacing w:line="360" w:lineRule="auto"/>
        <w:ind w:firstLineChars="0"/>
        <w:jc w:val="left"/>
        <w:rPr>
          <w:rFonts w:hint="eastAsia" w:ascii="宋体" w:hAnsi="宋体" w:eastAsia="宋体" w:cs="宋体"/>
          <w:vanish/>
          <w:color w:val="auto"/>
          <w:sz w:val="21"/>
          <w:szCs w:val="21"/>
          <w:highlight w:val="none"/>
        </w:rPr>
      </w:pPr>
    </w:p>
    <w:p w14:paraId="046C2CAF">
      <w:pPr>
        <w:pStyle w:val="137"/>
        <w:numPr>
          <w:ilvl w:val="0"/>
          <w:numId w:val="10"/>
        </w:numPr>
        <w:spacing w:line="360" w:lineRule="auto"/>
        <w:ind w:firstLineChars="0"/>
        <w:jc w:val="left"/>
        <w:rPr>
          <w:rFonts w:hint="eastAsia" w:ascii="宋体" w:hAnsi="宋体" w:eastAsia="宋体" w:cs="宋体"/>
          <w:vanish/>
          <w:color w:val="auto"/>
          <w:sz w:val="21"/>
          <w:szCs w:val="21"/>
          <w:highlight w:val="none"/>
        </w:rPr>
      </w:pPr>
    </w:p>
    <w:p w14:paraId="06C6886B">
      <w:pPr>
        <w:pStyle w:val="137"/>
        <w:numPr>
          <w:ilvl w:val="0"/>
          <w:numId w:val="10"/>
        </w:numPr>
        <w:spacing w:line="360" w:lineRule="auto"/>
        <w:ind w:firstLineChars="0"/>
        <w:jc w:val="left"/>
        <w:rPr>
          <w:rFonts w:hint="eastAsia" w:ascii="宋体" w:hAnsi="宋体" w:eastAsia="宋体" w:cs="宋体"/>
          <w:vanish/>
          <w:color w:val="auto"/>
          <w:sz w:val="21"/>
          <w:szCs w:val="21"/>
          <w:highlight w:val="none"/>
        </w:rPr>
      </w:pPr>
    </w:p>
    <w:p w14:paraId="34FCA0AA">
      <w:pPr>
        <w:pStyle w:val="137"/>
        <w:numPr>
          <w:ilvl w:val="0"/>
          <w:numId w:val="10"/>
        </w:numPr>
        <w:spacing w:line="360" w:lineRule="auto"/>
        <w:ind w:firstLineChars="0"/>
        <w:jc w:val="left"/>
        <w:rPr>
          <w:rFonts w:hint="eastAsia" w:ascii="宋体" w:hAnsi="宋体" w:eastAsia="宋体" w:cs="宋体"/>
          <w:vanish/>
          <w:color w:val="auto"/>
          <w:sz w:val="21"/>
          <w:szCs w:val="21"/>
          <w:highlight w:val="none"/>
        </w:rPr>
      </w:pPr>
    </w:p>
    <w:p w14:paraId="3AEDEC80">
      <w:pPr>
        <w:pStyle w:val="137"/>
        <w:numPr>
          <w:ilvl w:val="0"/>
          <w:numId w:val="0"/>
        </w:numPr>
        <w:spacing w:line="360" w:lineRule="auto"/>
        <w:ind w:left="425" w:leftChars="0" w:hanging="425" w:firstLineChars="0"/>
        <w:jc w:val="left"/>
        <w:rPr>
          <w:rFonts w:hint="eastAsia" w:ascii="宋体" w:hAnsi="宋体" w:eastAsia="宋体" w:cs="宋体"/>
          <w:color w:val="auto"/>
          <w:sz w:val="21"/>
          <w:szCs w:val="21"/>
          <w:highlight w:val="none"/>
        </w:rPr>
      </w:pPr>
      <w:r>
        <w:rPr>
          <w:rFonts w:hint="eastAsia" w:ascii="宋体" w:hAnsi="宋体" w:eastAsia="宋体" w:cs="宋体"/>
          <w:color w:val="auto"/>
          <w:kern w:val="2"/>
          <w:sz w:val="21"/>
          <w:szCs w:val="21"/>
          <w:highlight w:val="none"/>
          <w:lang w:val="en-US" w:eastAsia="zh-CN" w:bidi="ar-SA"/>
        </w:rPr>
        <w:t>3.1</w:t>
      </w:r>
      <w:r>
        <w:rPr>
          <w:rFonts w:hint="eastAsia" w:ascii="宋体" w:hAnsi="宋体" w:eastAsia="宋体" w:cs="宋体"/>
          <w:color w:val="auto"/>
          <w:sz w:val="21"/>
          <w:szCs w:val="21"/>
          <w:highlight w:val="none"/>
        </w:rPr>
        <w:t>系统通用功能</w:t>
      </w:r>
    </w:p>
    <w:p w14:paraId="7EA22609">
      <w:pPr>
        <w:pStyle w:val="137"/>
        <w:numPr>
          <w:ilvl w:val="1"/>
          <w:numId w:val="0"/>
        </w:numPr>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kern w:val="2"/>
          <w:sz w:val="21"/>
          <w:szCs w:val="21"/>
          <w:highlight w:val="none"/>
          <w:lang w:val="en-US" w:eastAsia="zh-CN" w:bidi="ar-SA"/>
        </w:rPr>
        <w:t>3.1.1</w:t>
      </w:r>
      <w:r>
        <w:rPr>
          <w:rFonts w:hint="eastAsia" w:ascii="宋体" w:hAnsi="宋体" w:eastAsia="宋体" w:cs="宋体"/>
          <w:color w:val="auto"/>
          <w:sz w:val="21"/>
          <w:szCs w:val="21"/>
          <w:highlight w:val="none"/>
        </w:rPr>
        <w:t>≥15英寸高分辨率LED显示器，可独立主机调节，角度≥170°</w:t>
      </w:r>
    </w:p>
    <w:p w14:paraId="4C810B72">
      <w:pPr>
        <w:pStyle w:val="137"/>
        <w:numPr>
          <w:ilvl w:val="1"/>
          <w:numId w:val="0"/>
        </w:numPr>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kern w:val="2"/>
          <w:sz w:val="21"/>
          <w:szCs w:val="21"/>
          <w:highlight w:val="none"/>
          <w:lang w:val="en-US" w:eastAsia="zh-CN" w:bidi="ar-SA"/>
        </w:rPr>
        <w:t>3.1.2</w:t>
      </w:r>
      <w:r>
        <w:rPr>
          <w:rFonts w:hint="eastAsia" w:ascii="宋体" w:hAnsi="宋体" w:eastAsia="宋体" w:cs="宋体"/>
          <w:color w:val="auto"/>
          <w:sz w:val="21"/>
          <w:szCs w:val="21"/>
          <w:highlight w:val="none"/>
        </w:rPr>
        <w:t>主机内置相同大小探头接口2个</w:t>
      </w:r>
    </w:p>
    <w:p w14:paraId="684A32EE">
      <w:pPr>
        <w:pStyle w:val="137"/>
        <w:numPr>
          <w:ilvl w:val="1"/>
          <w:numId w:val="0"/>
        </w:numPr>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r>
        <w:rPr>
          <w:rFonts w:hint="eastAsia" w:ascii="宋体" w:hAnsi="宋体" w:eastAsia="宋体" w:cs="宋体"/>
          <w:color w:val="auto"/>
          <w:kern w:val="2"/>
          <w:sz w:val="21"/>
          <w:szCs w:val="21"/>
          <w:highlight w:val="none"/>
          <w:lang w:val="en-US" w:eastAsia="zh-CN" w:bidi="ar-SA"/>
        </w:rPr>
        <w:t>3.1.3</w:t>
      </w:r>
      <w:r>
        <w:rPr>
          <w:rFonts w:hint="eastAsia" w:ascii="宋体" w:hAnsi="宋体" w:eastAsia="宋体" w:cs="宋体"/>
          <w:color w:val="auto"/>
          <w:sz w:val="21"/>
          <w:szCs w:val="21"/>
          <w:highlight w:val="none"/>
          <w:lang w:eastAsia="zh-CN"/>
        </w:rPr>
        <w:t>主机重量≤4kg（含电池）</w:t>
      </w:r>
    </w:p>
    <w:p w14:paraId="0FA1F7FE">
      <w:pPr>
        <w:pStyle w:val="137"/>
        <w:numPr>
          <w:ilvl w:val="0"/>
          <w:numId w:val="0"/>
        </w:numPr>
        <w:spacing w:line="360" w:lineRule="auto"/>
        <w:ind w:left="425" w:leftChars="0" w:hanging="425" w:firstLineChars="0"/>
        <w:jc w:val="left"/>
        <w:rPr>
          <w:rFonts w:hint="eastAsia" w:ascii="宋体" w:hAnsi="宋体" w:eastAsia="宋体" w:cs="宋体"/>
          <w:color w:val="auto"/>
          <w:sz w:val="21"/>
          <w:szCs w:val="21"/>
          <w:highlight w:val="none"/>
        </w:rPr>
      </w:pPr>
      <w:r>
        <w:rPr>
          <w:rFonts w:hint="eastAsia" w:ascii="宋体" w:hAnsi="宋体" w:eastAsia="宋体" w:cs="宋体"/>
          <w:color w:val="auto"/>
          <w:kern w:val="2"/>
          <w:sz w:val="21"/>
          <w:szCs w:val="21"/>
          <w:highlight w:val="none"/>
          <w:lang w:val="en-US" w:eastAsia="zh-CN" w:bidi="ar-SA"/>
        </w:rPr>
        <w:t>3.2</w:t>
      </w:r>
      <w:r>
        <w:rPr>
          <w:rFonts w:hint="eastAsia" w:ascii="宋体" w:hAnsi="宋体" w:eastAsia="宋体" w:cs="宋体"/>
          <w:color w:val="auto"/>
          <w:sz w:val="21"/>
          <w:szCs w:val="21"/>
          <w:highlight w:val="none"/>
        </w:rPr>
        <w:t>二维灰阶模式</w:t>
      </w:r>
    </w:p>
    <w:p w14:paraId="0B3DA856">
      <w:pPr>
        <w:pStyle w:val="137"/>
        <w:numPr>
          <w:ilvl w:val="1"/>
          <w:numId w:val="0"/>
        </w:numPr>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kern w:val="2"/>
          <w:sz w:val="21"/>
          <w:szCs w:val="21"/>
          <w:highlight w:val="none"/>
          <w:lang w:val="en-US" w:eastAsia="zh-CN" w:bidi="ar-SA"/>
        </w:rPr>
        <w:t>3.2.1</w:t>
      </w:r>
      <w:r>
        <w:rPr>
          <w:rFonts w:hint="eastAsia" w:ascii="宋体" w:hAnsi="宋体" w:eastAsia="宋体" w:cs="宋体"/>
          <w:color w:val="auto"/>
          <w:sz w:val="21"/>
          <w:szCs w:val="21"/>
          <w:highlight w:val="none"/>
        </w:rPr>
        <w:t>组织谐波成像</w:t>
      </w:r>
    </w:p>
    <w:p w14:paraId="0AE2CBB5">
      <w:pPr>
        <w:pStyle w:val="137"/>
        <w:numPr>
          <w:ilvl w:val="1"/>
          <w:numId w:val="0"/>
        </w:numPr>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kern w:val="2"/>
          <w:sz w:val="21"/>
          <w:szCs w:val="21"/>
          <w:highlight w:val="none"/>
          <w:lang w:val="en-US" w:eastAsia="zh-CN" w:bidi="ar-SA"/>
        </w:rPr>
        <w:t>3.2.2</w:t>
      </w:r>
      <w:r>
        <w:rPr>
          <w:rFonts w:hint="eastAsia" w:ascii="宋体" w:hAnsi="宋体" w:eastAsia="宋体" w:cs="宋体"/>
          <w:color w:val="auto"/>
          <w:sz w:val="21"/>
          <w:szCs w:val="21"/>
          <w:highlight w:val="none"/>
        </w:rPr>
        <w:t>组织特异性成像</w:t>
      </w:r>
    </w:p>
    <w:p w14:paraId="7B6627F2">
      <w:pPr>
        <w:pStyle w:val="137"/>
        <w:numPr>
          <w:ilvl w:val="1"/>
          <w:numId w:val="0"/>
        </w:numPr>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kern w:val="2"/>
          <w:sz w:val="21"/>
          <w:szCs w:val="21"/>
          <w:highlight w:val="none"/>
          <w:lang w:val="en-US" w:eastAsia="zh-CN" w:bidi="ar-SA"/>
        </w:rPr>
        <w:t>3.2.3</w:t>
      </w:r>
      <w:r>
        <w:rPr>
          <w:rFonts w:hint="eastAsia" w:ascii="宋体" w:hAnsi="宋体" w:eastAsia="宋体" w:cs="宋体"/>
          <w:color w:val="auto"/>
          <w:sz w:val="21"/>
          <w:szCs w:val="21"/>
          <w:highlight w:val="none"/>
        </w:rPr>
        <w:t>多角度空间复合成像技术，</w:t>
      </w:r>
      <w:r>
        <w:rPr>
          <w:rFonts w:hint="eastAsia"/>
          <w:color w:val="auto"/>
          <w:highlight w:val="none"/>
          <w:lang w:eastAsia="zh-CN"/>
        </w:rPr>
        <w:t>≥</w:t>
      </w:r>
      <w:r>
        <w:rPr>
          <w:rFonts w:hint="eastAsia" w:ascii="宋体" w:hAnsi="宋体" w:eastAsia="宋体" w:cs="宋体"/>
          <w:color w:val="auto"/>
          <w:sz w:val="21"/>
          <w:szCs w:val="21"/>
          <w:highlight w:val="none"/>
        </w:rPr>
        <w:t>3档可调</w:t>
      </w:r>
    </w:p>
    <w:p w14:paraId="6F7B0044">
      <w:pPr>
        <w:pStyle w:val="137"/>
        <w:numPr>
          <w:ilvl w:val="1"/>
          <w:numId w:val="0"/>
        </w:numPr>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kern w:val="2"/>
          <w:sz w:val="21"/>
          <w:szCs w:val="21"/>
          <w:highlight w:val="none"/>
          <w:lang w:val="en-US" w:eastAsia="zh-CN" w:bidi="ar-SA"/>
        </w:rPr>
        <w:t>3.2.4</w:t>
      </w:r>
      <w:r>
        <w:rPr>
          <w:rFonts w:hint="eastAsia" w:ascii="宋体" w:hAnsi="宋体" w:eastAsia="宋体" w:cs="宋体"/>
          <w:color w:val="auto"/>
          <w:sz w:val="21"/>
          <w:szCs w:val="21"/>
          <w:highlight w:val="none"/>
        </w:rPr>
        <w:t>斑点噪声抑制成像，</w:t>
      </w:r>
      <w:r>
        <w:rPr>
          <w:rFonts w:hint="eastAsia"/>
          <w:color w:val="auto"/>
          <w:highlight w:val="none"/>
          <w:lang w:eastAsia="zh-CN"/>
        </w:rPr>
        <w:t>≥</w:t>
      </w:r>
      <w:r>
        <w:rPr>
          <w:rFonts w:hint="eastAsia" w:ascii="宋体" w:hAnsi="宋体" w:eastAsia="宋体" w:cs="宋体"/>
          <w:color w:val="auto"/>
          <w:sz w:val="21"/>
          <w:szCs w:val="21"/>
          <w:highlight w:val="none"/>
        </w:rPr>
        <w:t>7档可调</w:t>
      </w:r>
    </w:p>
    <w:p w14:paraId="1C9A3A14">
      <w:pPr>
        <w:pStyle w:val="137"/>
        <w:numPr>
          <w:ilvl w:val="1"/>
          <w:numId w:val="0"/>
        </w:numPr>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kern w:val="2"/>
          <w:sz w:val="21"/>
          <w:szCs w:val="21"/>
          <w:highlight w:val="none"/>
          <w:lang w:val="en-US" w:eastAsia="zh-CN" w:bidi="ar-SA"/>
        </w:rPr>
        <w:t xml:space="preserve">3.2.5 </w:t>
      </w:r>
      <w:r>
        <w:rPr>
          <w:rFonts w:hint="eastAsia" w:ascii="宋体" w:hAnsi="宋体" w:eastAsia="宋体" w:cs="宋体"/>
          <w:color w:val="auto"/>
          <w:sz w:val="21"/>
          <w:szCs w:val="21"/>
          <w:highlight w:val="none"/>
        </w:rPr>
        <w:t>B图像偏转，</w:t>
      </w:r>
      <w:r>
        <w:rPr>
          <w:rFonts w:hint="eastAsia"/>
          <w:color w:val="auto"/>
          <w:highlight w:val="none"/>
          <w:lang w:eastAsia="zh-CN"/>
        </w:rPr>
        <w:t>≥</w:t>
      </w:r>
      <w:r>
        <w:rPr>
          <w:rFonts w:hint="eastAsia" w:ascii="宋体" w:hAnsi="宋体" w:eastAsia="宋体" w:cs="宋体"/>
          <w:color w:val="auto"/>
          <w:sz w:val="21"/>
          <w:szCs w:val="21"/>
          <w:highlight w:val="none"/>
        </w:rPr>
        <w:t>5档可调</w:t>
      </w:r>
    </w:p>
    <w:p w14:paraId="4107A430">
      <w:pPr>
        <w:pStyle w:val="137"/>
        <w:numPr>
          <w:ilvl w:val="1"/>
          <w:numId w:val="0"/>
        </w:numPr>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kern w:val="2"/>
          <w:sz w:val="21"/>
          <w:szCs w:val="21"/>
          <w:highlight w:val="none"/>
          <w:lang w:val="en-US" w:eastAsia="zh-CN" w:bidi="ar-SA"/>
        </w:rPr>
        <w:t xml:space="preserve">3.2.6 </w:t>
      </w:r>
      <w:r>
        <w:rPr>
          <w:rFonts w:hint="eastAsia" w:ascii="宋体" w:hAnsi="宋体" w:eastAsia="宋体" w:cs="宋体"/>
          <w:color w:val="auto"/>
          <w:sz w:val="21"/>
          <w:szCs w:val="21"/>
          <w:highlight w:val="none"/>
        </w:rPr>
        <w:t>TGC8段、LGC8段</w:t>
      </w:r>
    </w:p>
    <w:p w14:paraId="519A5919">
      <w:pPr>
        <w:pStyle w:val="137"/>
        <w:numPr>
          <w:ilvl w:val="0"/>
          <w:numId w:val="0"/>
        </w:numPr>
        <w:spacing w:line="360" w:lineRule="auto"/>
        <w:ind w:left="425" w:leftChars="0" w:hanging="425" w:firstLineChars="0"/>
        <w:jc w:val="left"/>
        <w:rPr>
          <w:rFonts w:hint="eastAsia" w:ascii="宋体" w:hAnsi="宋体" w:eastAsia="宋体" w:cs="宋体"/>
          <w:color w:val="auto"/>
          <w:sz w:val="21"/>
          <w:szCs w:val="21"/>
          <w:highlight w:val="none"/>
        </w:rPr>
      </w:pPr>
      <w:r>
        <w:rPr>
          <w:rFonts w:hint="eastAsia" w:ascii="宋体" w:hAnsi="宋体" w:eastAsia="宋体" w:cs="宋体"/>
          <w:color w:val="auto"/>
          <w:kern w:val="2"/>
          <w:sz w:val="21"/>
          <w:szCs w:val="21"/>
          <w:highlight w:val="none"/>
          <w:lang w:val="en-US" w:eastAsia="zh-CN" w:bidi="ar-SA"/>
        </w:rPr>
        <w:t xml:space="preserve">3.3 </w:t>
      </w:r>
      <w:r>
        <w:rPr>
          <w:rFonts w:hint="eastAsia" w:ascii="宋体" w:hAnsi="宋体" w:eastAsia="宋体" w:cs="宋体"/>
          <w:color w:val="auto"/>
          <w:sz w:val="21"/>
          <w:szCs w:val="21"/>
          <w:highlight w:val="none"/>
        </w:rPr>
        <w:t>M型成像模式</w:t>
      </w:r>
    </w:p>
    <w:p w14:paraId="2B805C6E">
      <w:pPr>
        <w:pStyle w:val="137"/>
        <w:numPr>
          <w:ilvl w:val="1"/>
          <w:numId w:val="0"/>
        </w:numPr>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kern w:val="2"/>
          <w:sz w:val="21"/>
          <w:szCs w:val="21"/>
          <w:highlight w:val="none"/>
          <w:lang w:val="en-US" w:eastAsia="zh-CN" w:bidi="ar-SA"/>
        </w:rPr>
        <w:t>3.3.1</w:t>
      </w:r>
      <w:r>
        <w:rPr>
          <w:rFonts w:hint="eastAsia" w:ascii="宋体" w:hAnsi="宋体" w:eastAsia="宋体" w:cs="宋体"/>
          <w:color w:val="auto"/>
          <w:sz w:val="21"/>
          <w:szCs w:val="21"/>
          <w:highlight w:val="none"/>
        </w:rPr>
        <w:t>彩色M型</w:t>
      </w:r>
    </w:p>
    <w:p w14:paraId="32FE0535">
      <w:pPr>
        <w:pStyle w:val="137"/>
        <w:numPr>
          <w:ilvl w:val="1"/>
          <w:numId w:val="0"/>
        </w:numPr>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kern w:val="2"/>
          <w:sz w:val="21"/>
          <w:szCs w:val="21"/>
          <w:highlight w:val="none"/>
          <w:lang w:val="en-US" w:eastAsia="zh-CN" w:bidi="ar-SA"/>
        </w:rPr>
        <w:t>3.3.2</w:t>
      </w:r>
      <w:r>
        <w:rPr>
          <w:rFonts w:hint="eastAsia" w:ascii="宋体" w:hAnsi="宋体" w:eastAsia="宋体" w:cs="宋体"/>
          <w:color w:val="auto"/>
          <w:sz w:val="21"/>
          <w:szCs w:val="21"/>
          <w:highlight w:val="none"/>
        </w:rPr>
        <w:t>解剖M型，取样线≥3线，可360度任意旋转</w:t>
      </w:r>
    </w:p>
    <w:p w14:paraId="33C56C7C">
      <w:pPr>
        <w:pStyle w:val="137"/>
        <w:numPr>
          <w:ilvl w:val="0"/>
          <w:numId w:val="0"/>
        </w:numPr>
        <w:spacing w:line="360" w:lineRule="auto"/>
        <w:ind w:left="425" w:leftChars="0" w:hanging="425" w:firstLineChars="0"/>
        <w:jc w:val="left"/>
        <w:rPr>
          <w:rFonts w:hint="eastAsia" w:ascii="宋体" w:hAnsi="宋体" w:eastAsia="宋体" w:cs="宋体"/>
          <w:color w:val="auto"/>
          <w:sz w:val="21"/>
          <w:szCs w:val="21"/>
          <w:highlight w:val="none"/>
        </w:rPr>
      </w:pPr>
      <w:r>
        <w:rPr>
          <w:rFonts w:hint="eastAsia" w:ascii="宋体" w:hAnsi="宋体" w:eastAsia="宋体" w:cs="宋体"/>
          <w:color w:val="auto"/>
          <w:kern w:val="2"/>
          <w:sz w:val="21"/>
          <w:szCs w:val="21"/>
          <w:highlight w:val="none"/>
          <w:lang w:val="en-US" w:eastAsia="zh-CN" w:bidi="ar-SA"/>
        </w:rPr>
        <w:t>3.4</w:t>
      </w:r>
      <w:r>
        <w:rPr>
          <w:rFonts w:hint="eastAsia" w:ascii="宋体" w:hAnsi="宋体" w:eastAsia="宋体" w:cs="宋体"/>
          <w:color w:val="auto"/>
          <w:sz w:val="21"/>
          <w:szCs w:val="21"/>
          <w:highlight w:val="none"/>
        </w:rPr>
        <w:t>彩色多普勒成像（包括彩色、能量、方向能量多普勒模式）</w:t>
      </w:r>
    </w:p>
    <w:p w14:paraId="124A9C9A">
      <w:pPr>
        <w:pStyle w:val="137"/>
        <w:numPr>
          <w:ilvl w:val="1"/>
          <w:numId w:val="0"/>
        </w:numPr>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kern w:val="2"/>
          <w:sz w:val="21"/>
          <w:szCs w:val="21"/>
          <w:highlight w:val="none"/>
          <w:lang w:val="en-US" w:eastAsia="zh-CN" w:bidi="ar-SA"/>
        </w:rPr>
        <w:t>3.4.1</w:t>
      </w:r>
      <w:r>
        <w:rPr>
          <w:rFonts w:hint="eastAsia" w:ascii="宋体" w:hAnsi="宋体" w:eastAsia="宋体" w:cs="宋体"/>
          <w:color w:val="auto"/>
          <w:sz w:val="21"/>
          <w:szCs w:val="21"/>
          <w:highlight w:val="none"/>
        </w:rPr>
        <w:t>双实时同屏对比显示</w:t>
      </w:r>
    </w:p>
    <w:p w14:paraId="0A2A0045">
      <w:pPr>
        <w:pStyle w:val="137"/>
        <w:numPr>
          <w:ilvl w:val="1"/>
          <w:numId w:val="0"/>
        </w:num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kern w:val="2"/>
          <w:sz w:val="21"/>
          <w:szCs w:val="21"/>
          <w:highlight w:val="none"/>
          <w:lang w:val="en-US" w:eastAsia="zh-CN" w:bidi="ar-SA"/>
        </w:rPr>
        <w:t>3.4.2</w:t>
      </w:r>
      <w:r>
        <w:rPr>
          <w:rFonts w:hint="eastAsia" w:ascii="宋体" w:hAnsi="宋体" w:eastAsia="宋体" w:cs="宋体"/>
          <w:color w:val="auto"/>
          <w:sz w:val="21"/>
          <w:szCs w:val="21"/>
          <w:highlight w:val="none"/>
        </w:rPr>
        <w:t>自动调节取样框的角度及位置</w:t>
      </w:r>
    </w:p>
    <w:p w14:paraId="3476BF2E">
      <w:pPr>
        <w:pStyle w:val="137"/>
        <w:numPr>
          <w:ilvl w:val="1"/>
          <w:numId w:val="0"/>
        </w:num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kern w:val="2"/>
          <w:sz w:val="21"/>
          <w:szCs w:val="21"/>
          <w:highlight w:val="none"/>
          <w:lang w:val="en-US" w:eastAsia="zh-CN" w:bidi="ar-SA"/>
        </w:rPr>
        <w:t>3.4.3</w:t>
      </w:r>
      <w:r>
        <w:rPr>
          <w:rFonts w:hint="eastAsia" w:ascii="宋体" w:hAnsi="宋体" w:eastAsia="宋体" w:cs="宋体"/>
          <w:color w:val="auto"/>
          <w:sz w:val="21"/>
          <w:szCs w:val="21"/>
          <w:highlight w:val="none"/>
        </w:rPr>
        <w:t>取样框偏转：线阵探头支持≥ ±20 度，取样框可根据探头血流方向自动调节</w:t>
      </w:r>
    </w:p>
    <w:p w14:paraId="5BB323C3">
      <w:pPr>
        <w:pStyle w:val="137"/>
        <w:numPr>
          <w:ilvl w:val="0"/>
          <w:numId w:val="0"/>
        </w:numPr>
        <w:spacing w:line="360" w:lineRule="auto"/>
        <w:ind w:left="425" w:leftChars="0" w:hanging="425" w:firstLineChars="0"/>
        <w:jc w:val="left"/>
        <w:rPr>
          <w:rFonts w:hint="eastAsia" w:ascii="宋体" w:hAnsi="宋体" w:eastAsia="宋体" w:cs="宋体"/>
          <w:color w:val="auto"/>
          <w:sz w:val="21"/>
          <w:szCs w:val="21"/>
          <w:highlight w:val="none"/>
        </w:rPr>
      </w:pPr>
      <w:r>
        <w:rPr>
          <w:rFonts w:hint="eastAsia" w:ascii="宋体" w:hAnsi="宋体" w:eastAsia="宋体" w:cs="宋体"/>
          <w:color w:val="auto"/>
          <w:kern w:val="2"/>
          <w:sz w:val="21"/>
          <w:szCs w:val="21"/>
          <w:highlight w:val="none"/>
          <w:lang w:val="en-US" w:eastAsia="zh-CN" w:bidi="ar-SA"/>
        </w:rPr>
        <w:t>3.5</w:t>
      </w:r>
      <w:r>
        <w:rPr>
          <w:rFonts w:hint="eastAsia" w:ascii="宋体" w:hAnsi="宋体" w:eastAsia="宋体" w:cs="宋体"/>
          <w:color w:val="auto"/>
          <w:sz w:val="21"/>
          <w:szCs w:val="21"/>
          <w:highlight w:val="none"/>
        </w:rPr>
        <w:t>频谱多普勒成像</w:t>
      </w:r>
    </w:p>
    <w:p w14:paraId="5BDBB37C">
      <w:pPr>
        <w:pStyle w:val="137"/>
        <w:numPr>
          <w:ilvl w:val="1"/>
          <w:numId w:val="0"/>
        </w:numPr>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kern w:val="2"/>
          <w:sz w:val="21"/>
          <w:szCs w:val="21"/>
          <w:highlight w:val="none"/>
          <w:lang w:val="en-US" w:eastAsia="zh-CN" w:bidi="ar-SA"/>
        </w:rPr>
        <w:t>3.5.1</w:t>
      </w:r>
      <w:r>
        <w:rPr>
          <w:rFonts w:hint="eastAsia" w:ascii="宋体" w:hAnsi="宋体" w:eastAsia="宋体" w:cs="宋体"/>
          <w:color w:val="auto"/>
          <w:sz w:val="21"/>
          <w:szCs w:val="21"/>
          <w:highlight w:val="none"/>
        </w:rPr>
        <w:t>脉冲多普勒、连续多普勒</w:t>
      </w:r>
    </w:p>
    <w:p w14:paraId="78BD0F4F">
      <w:pPr>
        <w:pStyle w:val="137"/>
        <w:numPr>
          <w:ilvl w:val="1"/>
          <w:numId w:val="0"/>
        </w:numPr>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kern w:val="2"/>
          <w:sz w:val="21"/>
          <w:szCs w:val="21"/>
          <w:highlight w:val="none"/>
          <w:lang w:val="en-US" w:eastAsia="zh-CN" w:bidi="ar-SA"/>
        </w:rPr>
        <w:t>3.5.2</w:t>
      </w:r>
      <w:r>
        <w:rPr>
          <w:rFonts w:hint="eastAsia" w:ascii="宋体" w:hAnsi="宋体" w:eastAsia="宋体" w:cs="宋体"/>
          <w:color w:val="auto"/>
          <w:sz w:val="21"/>
          <w:szCs w:val="21"/>
          <w:highlight w:val="none"/>
        </w:rPr>
        <w:t>自动计算心动周期</w:t>
      </w:r>
    </w:p>
    <w:p w14:paraId="34520ACC">
      <w:pPr>
        <w:pStyle w:val="137"/>
        <w:numPr>
          <w:ilvl w:val="0"/>
          <w:numId w:val="11"/>
        </w:numPr>
        <w:spacing w:line="360" w:lineRule="auto"/>
        <w:ind w:firstLineChars="0"/>
        <w:jc w:val="left"/>
        <w:rPr>
          <w:rFonts w:hint="eastAsia" w:ascii="宋体" w:hAnsi="宋体" w:eastAsia="宋体" w:cs="宋体"/>
          <w:vanish/>
          <w:color w:val="auto"/>
          <w:sz w:val="21"/>
          <w:szCs w:val="21"/>
          <w:highlight w:val="none"/>
        </w:rPr>
      </w:pPr>
    </w:p>
    <w:p w14:paraId="7183F1DA">
      <w:pPr>
        <w:pStyle w:val="137"/>
        <w:numPr>
          <w:ilvl w:val="0"/>
          <w:numId w:val="11"/>
        </w:numPr>
        <w:spacing w:line="360" w:lineRule="auto"/>
        <w:ind w:firstLineChars="0"/>
        <w:jc w:val="left"/>
        <w:rPr>
          <w:rFonts w:hint="eastAsia" w:ascii="宋体" w:hAnsi="宋体" w:eastAsia="宋体" w:cs="宋体"/>
          <w:vanish/>
          <w:color w:val="auto"/>
          <w:sz w:val="21"/>
          <w:szCs w:val="21"/>
          <w:highlight w:val="none"/>
        </w:rPr>
      </w:pPr>
    </w:p>
    <w:p w14:paraId="35719EFE">
      <w:pPr>
        <w:pStyle w:val="137"/>
        <w:numPr>
          <w:ilvl w:val="0"/>
          <w:numId w:val="11"/>
        </w:numPr>
        <w:spacing w:line="360" w:lineRule="auto"/>
        <w:ind w:firstLineChars="0"/>
        <w:jc w:val="left"/>
        <w:rPr>
          <w:rFonts w:hint="eastAsia" w:ascii="宋体" w:hAnsi="宋体" w:eastAsia="宋体" w:cs="宋体"/>
          <w:vanish/>
          <w:color w:val="auto"/>
          <w:sz w:val="21"/>
          <w:szCs w:val="21"/>
          <w:highlight w:val="none"/>
        </w:rPr>
      </w:pPr>
    </w:p>
    <w:p w14:paraId="27C1FE35">
      <w:pPr>
        <w:pStyle w:val="137"/>
        <w:numPr>
          <w:ilvl w:val="0"/>
          <w:numId w:val="11"/>
        </w:numPr>
        <w:spacing w:line="360" w:lineRule="auto"/>
        <w:ind w:firstLineChars="0"/>
        <w:jc w:val="left"/>
        <w:rPr>
          <w:rFonts w:hint="eastAsia" w:ascii="宋体" w:hAnsi="宋体" w:eastAsia="宋体" w:cs="宋体"/>
          <w:vanish/>
          <w:color w:val="auto"/>
          <w:sz w:val="21"/>
          <w:szCs w:val="21"/>
          <w:highlight w:val="none"/>
        </w:rPr>
      </w:pPr>
    </w:p>
    <w:p w14:paraId="6B14A20E">
      <w:pPr>
        <w:pStyle w:val="137"/>
        <w:numPr>
          <w:ilvl w:val="0"/>
          <w:numId w:val="11"/>
        </w:numPr>
        <w:spacing w:line="360" w:lineRule="auto"/>
        <w:ind w:firstLineChars="0"/>
        <w:jc w:val="left"/>
        <w:rPr>
          <w:rFonts w:hint="eastAsia" w:ascii="宋体" w:hAnsi="宋体" w:eastAsia="宋体" w:cs="宋体"/>
          <w:vanish/>
          <w:color w:val="auto"/>
          <w:sz w:val="21"/>
          <w:szCs w:val="21"/>
          <w:highlight w:val="none"/>
        </w:rPr>
      </w:pPr>
    </w:p>
    <w:p w14:paraId="7482CFC0">
      <w:pPr>
        <w:pStyle w:val="137"/>
        <w:numPr>
          <w:ilvl w:val="0"/>
          <w:numId w:val="11"/>
        </w:numPr>
        <w:spacing w:line="360" w:lineRule="auto"/>
        <w:ind w:firstLineChars="0"/>
        <w:jc w:val="left"/>
        <w:rPr>
          <w:rFonts w:hint="eastAsia" w:ascii="宋体" w:hAnsi="宋体" w:eastAsia="宋体" w:cs="宋体"/>
          <w:vanish/>
          <w:color w:val="auto"/>
          <w:sz w:val="21"/>
          <w:szCs w:val="21"/>
          <w:highlight w:val="none"/>
        </w:rPr>
      </w:pPr>
    </w:p>
    <w:p w14:paraId="503871F3">
      <w:pPr>
        <w:pStyle w:val="137"/>
        <w:numPr>
          <w:ilvl w:val="0"/>
          <w:numId w:val="11"/>
        </w:numPr>
        <w:spacing w:line="360" w:lineRule="auto"/>
        <w:ind w:firstLineChars="0"/>
        <w:jc w:val="left"/>
        <w:rPr>
          <w:rFonts w:hint="eastAsia" w:ascii="宋体" w:hAnsi="宋体" w:eastAsia="宋体" w:cs="宋体"/>
          <w:vanish/>
          <w:color w:val="auto"/>
          <w:sz w:val="21"/>
          <w:szCs w:val="21"/>
          <w:highlight w:val="none"/>
        </w:rPr>
      </w:pPr>
    </w:p>
    <w:p w14:paraId="52D0B33D">
      <w:pPr>
        <w:pStyle w:val="137"/>
        <w:numPr>
          <w:ilvl w:val="0"/>
          <w:numId w:val="11"/>
        </w:numPr>
        <w:spacing w:line="360" w:lineRule="auto"/>
        <w:ind w:firstLineChars="0"/>
        <w:jc w:val="left"/>
        <w:rPr>
          <w:rFonts w:hint="eastAsia" w:ascii="宋体" w:hAnsi="宋体" w:eastAsia="宋体" w:cs="宋体"/>
          <w:vanish/>
          <w:color w:val="auto"/>
          <w:sz w:val="21"/>
          <w:szCs w:val="21"/>
          <w:highlight w:val="none"/>
        </w:rPr>
      </w:pPr>
    </w:p>
    <w:p w14:paraId="70CAC9EC">
      <w:pPr>
        <w:pStyle w:val="137"/>
        <w:numPr>
          <w:ilvl w:val="0"/>
          <w:numId w:val="0"/>
        </w:numPr>
        <w:spacing w:line="360" w:lineRule="auto"/>
        <w:ind w:left="425" w:leftChars="0" w:hanging="425" w:firstLineChars="0"/>
        <w:jc w:val="left"/>
        <w:rPr>
          <w:rFonts w:hint="eastAsia" w:ascii="宋体" w:hAnsi="宋体" w:eastAsia="宋体" w:cs="宋体"/>
          <w:color w:val="auto"/>
          <w:sz w:val="21"/>
          <w:szCs w:val="21"/>
          <w:highlight w:val="none"/>
        </w:rPr>
      </w:pPr>
      <w:r>
        <w:rPr>
          <w:rFonts w:hint="eastAsia" w:ascii="宋体" w:hAnsi="宋体" w:eastAsia="宋体" w:cs="宋体"/>
          <w:color w:val="auto"/>
          <w:kern w:val="2"/>
          <w:sz w:val="21"/>
          <w:szCs w:val="21"/>
          <w:highlight w:val="none"/>
          <w:lang w:val="en-US" w:eastAsia="zh-CN" w:bidi="ar-SA"/>
        </w:rPr>
        <w:t>3.6</w:t>
      </w:r>
      <w:r>
        <w:rPr>
          <w:rFonts w:hint="eastAsia" w:ascii="宋体" w:hAnsi="宋体" w:eastAsia="宋体" w:cs="宋体"/>
          <w:color w:val="auto"/>
          <w:sz w:val="21"/>
          <w:szCs w:val="21"/>
          <w:highlight w:val="none"/>
        </w:rPr>
        <w:t>一键自动优化（包括应用于二维、彩色、频谱模式、造影等）</w:t>
      </w:r>
    </w:p>
    <w:p w14:paraId="19F545F6">
      <w:pPr>
        <w:pStyle w:val="137"/>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r>
        <w:rPr>
          <w:rFonts w:hint="eastAsia" w:ascii="宋体" w:hAnsi="宋体" w:eastAsia="宋体" w:cs="宋体"/>
          <w:color w:val="auto"/>
          <w:kern w:val="2"/>
          <w:sz w:val="21"/>
          <w:szCs w:val="21"/>
          <w:highlight w:val="none"/>
          <w:lang w:val="en-US" w:eastAsia="zh-CN" w:bidi="ar-SA"/>
        </w:rPr>
        <w:t>3.7</w:t>
      </w:r>
      <w:r>
        <w:rPr>
          <w:rFonts w:hint="eastAsia" w:ascii="宋体" w:hAnsi="宋体" w:eastAsia="宋体" w:cs="宋体"/>
          <w:color w:val="auto"/>
          <w:sz w:val="21"/>
          <w:szCs w:val="21"/>
          <w:highlight w:val="none"/>
        </w:rPr>
        <w:t>穿刺针增强：</w:t>
      </w:r>
      <w:r>
        <w:rPr>
          <w:rFonts w:hint="eastAsia" w:ascii="宋体" w:hAnsi="宋体" w:eastAsia="宋体" w:cs="宋体"/>
          <w:color w:val="auto"/>
          <w:kern w:val="0"/>
          <w:sz w:val="21"/>
          <w:szCs w:val="21"/>
          <w:highlight w:val="none"/>
          <w:lang w:bidi="ar"/>
        </w:rPr>
        <w:t>应用于超声引导下的穿刺手术，动态增强超声图像中针体显示，具有双屏实时对比显示，增强前后效果，并支持自适应校正角度</w:t>
      </w:r>
    </w:p>
    <w:p w14:paraId="37AAADC7">
      <w:pPr>
        <w:pStyle w:val="137"/>
        <w:numPr>
          <w:ilvl w:val="0"/>
          <w:numId w:val="0"/>
        </w:numPr>
        <w:spacing w:line="360" w:lineRule="auto"/>
        <w:ind w:left="425" w:leftChars="0" w:hanging="425" w:firstLineChars="0"/>
        <w:jc w:val="left"/>
        <w:rPr>
          <w:rFonts w:hint="eastAsia" w:ascii="宋体" w:hAnsi="宋体" w:eastAsia="宋体" w:cs="宋体"/>
          <w:color w:val="auto"/>
          <w:sz w:val="21"/>
          <w:szCs w:val="21"/>
          <w:highlight w:val="none"/>
        </w:rPr>
      </w:pPr>
      <w:r>
        <w:rPr>
          <w:rFonts w:hint="eastAsia" w:ascii="宋体" w:hAnsi="宋体" w:eastAsia="宋体" w:cs="宋体"/>
          <w:color w:val="auto"/>
          <w:kern w:val="2"/>
          <w:sz w:val="21"/>
          <w:szCs w:val="21"/>
          <w:highlight w:val="none"/>
          <w:lang w:val="en-US" w:eastAsia="zh-CN" w:bidi="ar-SA"/>
        </w:rPr>
        <w:t>3.8</w:t>
      </w:r>
      <w:r>
        <w:rPr>
          <w:rFonts w:hint="eastAsia" w:ascii="宋体" w:hAnsi="宋体" w:eastAsia="宋体" w:cs="宋体"/>
          <w:color w:val="auto"/>
          <w:sz w:val="21"/>
          <w:szCs w:val="21"/>
          <w:highlight w:val="none"/>
        </w:rPr>
        <w:t>超声教学助手</w:t>
      </w:r>
    </w:p>
    <w:p w14:paraId="2E18FE76">
      <w:pPr>
        <w:pStyle w:val="137"/>
        <w:numPr>
          <w:ilvl w:val="0"/>
          <w:numId w:val="0"/>
        </w:numPr>
        <w:tabs>
          <w:tab w:val="left" w:pos="426"/>
        </w:tabs>
        <w:spacing w:line="360" w:lineRule="auto"/>
        <w:ind w:left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四、</w:t>
      </w:r>
      <w:r>
        <w:rPr>
          <w:rFonts w:hint="eastAsia" w:ascii="宋体" w:hAnsi="宋体" w:eastAsia="宋体" w:cs="宋体"/>
          <w:color w:val="auto"/>
          <w:sz w:val="21"/>
          <w:szCs w:val="21"/>
          <w:highlight w:val="none"/>
        </w:rPr>
        <w:t>测量分析和报告</w:t>
      </w:r>
    </w:p>
    <w:p w14:paraId="6278BF08">
      <w:pPr>
        <w:pStyle w:val="137"/>
        <w:numPr>
          <w:ilvl w:val="0"/>
          <w:numId w:val="9"/>
        </w:numPr>
        <w:spacing w:line="360" w:lineRule="auto"/>
        <w:ind w:firstLineChars="0"/>
        <w:jc w:val="left"/>
        <w:rPr>
          <w:rFonts w:hint="eastAsia" w:ascii="宋体" w:hAnsi="宋体" w:eastAsia="宋体" w:cs="宋体"/>
          <w:vanish/>
          <w:color w:val="auto"/>
          <w:sz w:val="21"/>
          <w:szCs w:val="21"/>
          <w:highlight w:val="none"/>
        </w:rPr>
      </w:pPr>
    </w:p>
    <w:p w14:paraId="0D2D1D8E">
      <w:pPr>
        <w:pStyle w:val="137"/>
        <w:numPr>
          <w:ilvl w:val="1"/>
          <w:numId w:val="0"/>
        </w:numPr>
        <w:spacing w:line="360" w:lineRule="auto"/>
        <w:ind w:left="0" w:leftChars="0" w:firstLine="0" w:firstLineChars="0"/>
        <w:jc w:val="left"/>
        <w:rPr>
          <w:rFonts w:hint="eastAsia" w:ascii="宋体" w:hAnsi="宋体" w:eastAsia="宋体" w:cs="宋体"/>
          <w:color w:val="auto"/>
          <w:sz w:val="21"/>
          <w:szCs w:val="21"/>
          <w:highlight w:val="none"/>
        </w:rPr>
      </w:pPr>
      <w:r>
        <w:rPr>
          <w:rFonts w:hint="eastAsia" w:ascii="宋体" w:hAnsi="宋体" w:eastAsia="宋体" w:cs="宋体"/>
          <w:color w:val="auto"/>
          <w:kern w:val="2"/>
          <w:sz w:val="21"/>
          <w:szCs w:val="21"/>
          <w:highlight w:val="none"/>
          <w:lang w:val="en-US" w:eastAsia="zh-CN" w:bidi="ar-SA"/>
        </w:rPr>
        <w:t>4.1</w:t>
      </w:r>
      <w:r>
        <w:rPr>
          <w:rFonts w:hint="eastAsia" w:ascii="宋体" w:hAnsi="宋体" w:eastAsia="宋体" w:cs="宋体"/>
          <w:color w:val="auto"/>
          <w:sz w:val="21"/>
          <w:szCs w:val="21"/>
          <w:highlight w:val="none"/>
        </w:rPr>
        <w:t>常规测量软件包</w:t>
      </w:r>
    </w:p>
    <w:p w14:paraId="7DC8936C">
      <w:pPr>
        <w:pStyle w:val="137"/>
        <w:numPr>
          <w:ilvl w:val="1"/>
          <w:numId w:val="0"/>
        </w:numPr>
        <w:spacing w:line="360" w:lineRule="auto"/>
        <w:ind w:left="0" w:leftChars="0" w:firstLine="0" w:firstLineChars="0"/>
        <w:jc w:val="left"/>
        <w:rPr>
          <w:rFonts w:hint="eastAsia" w:ascii="宋体" w:hAnsi="宋体" w:eastAsia="宋体" w:cs="宋体"/>
          <w:color w:val="auto"/>
          <w:sz w:val="21"/>
          <w:szCs w:val="21"/>
          <w:highlight w:val="none"/>
        </w:rPr>
      </w:pPr>
      <w:r>
        <w:rPr>
          <w:rFonts w:hint="eastAsia" w:ascii="宋体" w:hAnsi="宋体" w:eastAsia="宋体" w:cs="宋体"/>
          <w:vanish/>
          <w:color w:val="auto"/>
          <w:kern w:val="2"/>
          <w:sz w:val="21"/>
          <w:szCs w:val="21"/>
          <w:highlight w:val="none"/>
          <w:lang w:val="en-US" w:eastAsia="zh-CN" w:bidi="ar-SA"/>
        </w:rPr>
        <w:t>8.</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4.2</w:t>
      </w:r>
      <w:r>
        <w:rPr>
          <w:rFonts w:hint="eastAsia" w:ascii="宋体" w:hAnsi="宋体" w:eastAsia="宋体" w:cs="宋体"/>
          <w:color w:val="auto"/>
          <w:sz w:val="21"/>
          <w:szCs w:val="21"/>
          <w:highlight w:val="none"/>
        </w:rPr>
        <w:t>血管内中膜自动测量</w:t>
      </w:r>
      <w:r>
        <w:rPr>
          <w:rFonts w:hint="eastAsia" w:ascii="宋体" w:hAnsi="宋体" w:eastAsia="宋体" w:cs="宋体"/>
          <w:color w:val="auto"/>
          <w:sz w:val="21"/>
          <w:szCs w:val="21"/>
          <w:highlight w:val="none"/>
          <w:lang w:eastAsia="zh-CN"/>
        </w:rPr>
        <w:t>，</w:t>
      </w:r>
      <w:r>
        <w:rPr>
          <w:rFonts w:hint="eastAsia" w:ascii="宋体" w:hAnsi="宋体" w:eastAsia="宋体" w:cs="宋体"/>
          <w:vanish/>
          <w:color w:val="auto"/>
          <w:sz w:val="21"/>
          <w:szCs w:val="21"/>
          <w:highlight w:val="none"/>
          <w:lang w:eastAsia="zh-CN"/>
        </w:rPr>
        <w:t>，，，，，</w:t>
      </w:r>
      <w:r>
        <w:rPr>
          <w:rFonts w:hint="eastAsia" w:ascii="宋体" w:hAnsi="宋体" w:eastAsia="宋体" w:cs="宋体"/>
          <w:color w:val="auto"/>
          <w:sz w:val="21"/>
          <w:szCs w:val="21"/>
          <w:highlight w:val="none"/>
        </w:rPr>
        <w:t>可同时进行血管前、后壁的内中膜一段距离的自动描记、自动生成测量数据结果</w:t>
      </w:r>
    </w:p>
    <w:p w14:paraId="389FACC7">
      <w:pPr>
        <w:pStyle w:val="137"/>
        <w:numPr>
          <w:ilvl w:val="0"/>
          <w:numId w:val="0"/>
        </w:numPr>
        <w:spacing w:line="360" w:lineRule="auto"/>
        <w:ind w:left="0" w:leftChars="0" w:firstLine="0" w:firstLineChars="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4.3</w:t>
      </w:r>
      <w:r>
        <w:rPr>
          <w:rFonts w:hint="eastAsia" w:ascii="宋体" w:hAnsi="宋体" w:eastAsia="宋体" w:cs="宋体"/>
          <w:color w:val="auto"/>
          <w:sz w:val="21"/>
          <w:szCs w:val="21"/>
          <w:highlight w:val="none"/>
          <w:lang w:eastAsia="zh-CN"/>
        </w:rPr>
        <w:t>配备腹部凸阵探头，浅表线阵探头</w:t>
      </w:r>
    </w:p>
    <w:p w14:paraId="7D05549D">
      <w:pPr>
        <w:pStyle w:val="137"/>
        <w:numPr>
          <w:ilvl w:val="0"/>
          <w:numId w:val="8"/>
        </w:numPr>
        <w:spacing w:line="360" w:lineRule="auto"/>
        <w:ind w:firstLineChars="0"/>
        <w:jc w:val="left"/>
        <w:rPr>
          <w:rFonts w:hint="eastAsia" w:ascii="宋体" w:hAnsi="宋体" w:eastAsia="宋体" w:cs="宋体"/>
          <w:vanish/>
          <w:color w:val="auto"/>
          <w:sz w:val="21"/>
          <w:szCs w:val="21"/>
          <w:highlight w:val="none"/>
        </w:rPr>
      </w:pPr>
    </w:p>
    <w:p w14:paraId="2B8C5849">
      <w:pPr>
        <w:pStyle w:val="137"/>
        <w:numPr>
          <w:ilvl w:val="0"/>
          <w:numId w:val="8"/>
        </w:numPr>
        <w:spacing w:line="360" w:lineRule="auto"/>
        <w:ind w:firstLineChars="0"/>
        <w:jc w:val="left"/>
        <w:rPr>
          <w:rFonts w:hint="eastAsia" w:ascii="宋体" w:hAnsi="宋体" w:eastAsia="宋体" w:cs="宋体"/>
          <w:vanish/>
          <w:color w:val="auto"/>
          <w:sz w:val="21"/>
          <w:szCs w:val="21"/>
          <w:highlight w:val="none"/>
        </w:rPr>
      </w:pPr>
    </w:p>
    <w:p w14:paraId="11B419E4">
      <w:pPr>
        <w:pStyle w:val="137"/>
        <w:numPr>
          <w:ilvl w:val="0"/>
          <w:numId w:val="8"/>
        </w:numPr>
        <w:spacing w:line="360" w:lineRule="auto"/>
        <w:ind w:firstLineChars="0"/>
        <w:jc w:val="left"/>
        <w:rPr>
          <w:rFonts w:hint="eastAsia" w:ascii="宋体" w:hAnsi="宋体" w:eastAsia="宋体" w:cs="宋体"/>
          <w:vanish/>
          <w:color w:val="auto"/>
          <w:sz w:val="21"/>
          <w:szCs w:val="21"/>
          <w:highlight w:val="none"/>
        </w:rPr>
      </w:pPr>
    </w:p>
    <w:p w14:paraId="2C745E80">
      <w:pPr>
        <w:pStyle w:val="137"/>
        <w:numPr>
          <w:ilvl w:val="0"/>
          <w:numId w:val="8"/>
        </w:numPr>
        <w:spacing w:line="360" w:lineRule="auto"/>
        <w:ind w:firstLineChars="0"/>
        <w:jc w:val="left"/>
        <w:rPr>
          <w:rFonts w:hint="eastAsia" w:ascii="宋体" w:hAnsi="宋体" w:eastAsia="宋体" w:cs="宋体"/>
          <w:vanish/>
          <w:color w:val="auto"/>
          <w:sz w:val="21"/>
          <w:szCs w:val="21"/>
          <w:highlight w:val="none"/>
        </w:rPr>
      </w:pPr>
    </w:p>
    <w:p w14:paraId="153E55FE">
      <w:pPr>
        <w:pStyle w:val="137"/>
        <w:numPr>
          <w:ilvl w:val="0"/>
          <w:numId w:val="8"/>
        </w:numPr>
        <w:spacing w:line="360" w:lineRule="auto"/>
        <w:ind w:firstLineChars="0"/>
        <w:jc w:val="left"/>
        <w:rPr>
          <w:rFonts w:hint="eastAsia" w:ascii="宋体" w:hAnsi="宋体" w:eastAsia="宋体" w:cs="宋体"/>
          <w:vanish/>
          <w:color w:val="auto"/>
          <w:sz w:val="21"/>
          <w:szCs w:val="21"/>
          <w:highlight w:val="none"/>
        </w:rPr>
      </w:pPr>
    </w:p>
    <w:p w14:paraId="5535EB3B">
      <w:pPr>
        <w:pStyle w:val="137"/>
        <w:numPr>
          <w:ilvl w:val="0"/>
          <w:numId w:val="8"/>
        </w:numPr>
        <w:spacing w:line="360" w:lineRule="auto"/>
        <w:ind w:firstLineChars="0"/>
        <w:jc w:val="left"/>
        <w:rPr>
          <w:rFonts w:hint="eastAsia" w:ascii="宋体" w:hAnsi="宋体" w:eastAsia="宋体" w:cs="宋体"/>
          <w:vanish/>
          <w:color w:val="auto"/>
          <w:sz w:val="21"/>
          <w:szCs w:val="21"/>
          <w:highlight w:val="none"/>
        </w:rPr>
      </w:pPr>
    </w:p>
    <w:p w14:paraId="6AE7D83F">
      <w:pPr>
        <w:pStyle w:val="137"/>
        <w:numPr>
          <w:ilvl w:val="0"/>
          <w:numId w:val="0"/>
        </w:numPr>
        <w:tabs>
          <w:tab w:val="left" w:pos="426"/>
        </w:tabs>
        <w:spacing w:line="360" w:lineRule="auto"/>
        <w:ind w:left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四、</w:t>
      </w:r>
      <w:r>
        <w:rPr>
          <w:rFonts w:hint="eastAsia" w:ascii="宋体" w:hAnsi="宋体" w:eastAsia="宋体" w:cs="宋体"/>
          <w:color w:val="auto"/>
          <w:sz w:val="21"/>
          <w:szCs w:val="21"/>
          <w:highlight w:val="none"/>
        </w:rPr>
        <w:t>电影回放及原始数据处理</w:t>
      </w:r>
    </w:p>
    <w:p w14:paraId="51569580">
      <w:pPr>
        <w:pStyle w:val="137"/>
        <w:numPr>
          <w:ilvl w:val="0"/>
          <w:numId w:val="9"/>
        </w:numPr>
        <w:spacing w:line="360" w:lineRule="auto"/>
        <w:ind w:firstLineChars="0"/>
        <w:jc w:val="left"/>
        <w:rPr>
          <w:rFonts w:hint="eastAsia" w:ascii="宋体" w:hAnsi="宋体" w:eastAsia="宋体" w:cs="宋体"/>
          <w:vanish/>
          <w:color w:val="auto"/>
          <w:sz w:val="21"/>
          <w:szCs w:val="21"/>
          <w:highlight w:val="none"/>
        </w:rPr>
      </w:pPr>
    </w:p>
    <w:p w14:paraId="1F55E4B8">
      <w:pPr>
        <w:pStyle w:val="137"/>
        <w:numPr>
          <w:ilvl w:val="0"/>
          <w:numId w:val="0"/>
        </w:numPr>
        <w:spacing w:line="360" w:lineRule="auto"/>
        <w:ind w:left="420" w:leftChars="0" w:hanging="420" w:firstLineChars="0"/>
        <w:jc w:val="left"/>
        <w:rPr>
          <w:rFonts w:hint="eastAsia" w:ascii="宋体" w:hAnsi="宋体" w:eastAsia="宋体" w:cs="宋体"/>
          <w:color w:val="auto"/>
          <w:sz w:val="21"/>
          <w:szCs w:val="21"/>
          <w:highlight w:val="none"/>
        </w:rPr>
      </w:pPr>
      <w:r>
        <w:rPr>
          <w:rFonts w:hint="eastAsia" w:ascii="宋体" w:hAnsi="宋体" w:eastAsia="宋体" w:cs="宋体"/>
          <w:color w:val="auto"/>
          <w:kern w:val="2"/>
          <w:sz w:val="21"/>
          <w:szCs w:val="21"/>
          <w:highlight w:val="none"/>
          <w:lang w:val="en-US" w:eastAsia="zh-CN" w:bidi="ar-SA"/>
        </w:rPr>
        <w:t>4.1</w:t>
      </w:r>
      <w:r>
        <w:rPr>
          <w:rFonts w:hint="eastAsia" w:ascii="宋体" w:hAnsi="宋体" w:eastAsia="宋体" w:cs="宋体"/>
          <w:color w:val="auto"/>
          <w:sz w:val="21"/>
          <w:szCs w:val="21"/>
          <w:highlight w:val="none"/>
        </w:rPr>
        <w:t>电影回放</w:t>
      </w:r>
    </w:p>
    <w:p w14:paraId="7F26A8F8">
      <w:pPr>
        <w:pStyle w:val="137"/>
        <w:numPr>
          <w:ilvl w:val="1"/>
          <w:numId w:val="0"/>
        </w:numPr>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kern w:val="2"/>
          <w:sz w:val="21"/>
          <w:szCs w:val="21"/>
          <w:highlight w:val="none"/>
          <w:lang w:val="en-US" w:eastAsia="zh-CN" w:bidi="ar-SA"/>
        </w:rPr>
        <w:t>4.1.1</w:t>
      </w:r>
      <w:r>
        <w:rPr>
          <w:rFonts w:hint="eastAsia" w:ascii="宋体" w:hAnsi="宋体" w:eastAsia="宋体" w:cs="宋体"/>
          <w:color w:val="auto"/>
          <w:sz w:val="21"/>
          <w:szCs w:val="21"/>
          <w:highlight w:val="none"/>
        </w:rPr>
        <w:t>所有模式下支持手动、自动回放</w:t>
      </w:r>
    </w:p>
    <w:p w14:paraId="5B56DCAE">
      <w:pPr>
        <w:pStyle w:val="137"/>
        <w:numPr>
          <w:ilvl w:val="1"/>
          <w:numId w:val="0"/>
        </w:numPr>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kern w:val="2"/>
          <w:sz w:val="21"/>
          <w:szCs w:val="21"/>
          <w:highlight w:val="none"/>
          <w:lang w:val="en-US" w:eastAsia="zh-CN" w:bidi="ar-SA"/>
        </w:rPr>
        <w:t>4.1.2</w:t>
      </w:r>
      <w:r>
        <w:rPr>
          <w:rFonts w:hint="eastAsia" w:ascii="宋体" w:hAnsi="宋体" w:eastAsia="宋体" w:cs="宋体"/>
          <w:color w:val="auto"/>
          <w:sz w:val="21"/>
          <w:szCs w:val="21"/>
          <w:highlight w:val="none"/>
        </w:rPr>
        <w:t>支持向后存储和向前存储，时间长度可预置，向后存储≥7分钟的电影</w:t>
      </w:r>
    </w:p>
    <w:p w14:paraId="394959EF">
      <w:pPr>
        <w:pStyle w:val="137"/>
        <w:numPr>
          <w:ilvl w:val="0"/>
          <w:numId w:val="0"/>
        </w:numPr>
        <w:tabs>
          <w:tab w:val="left" w:pos="426"/>
        </w:tabs>
        <w:spacing w:line="360" w:lineRule="auto"/>
        <w:ind w:left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五</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信息管理与存储</w:t>
      </w:r>
    </w:p>
    <w:p w14:paraId="5D9C42E5">
      <w:pPr>
        <w:pStyle w:val="137"/>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2"/>
          <w:sz w:val="21"/>
          <w:szCs w:val="21"/>
          <w:highlight w:val="none"/>
          <w:lang w:val="en-US" w:eastAsia="zh-CN" w:bidi="ar-SA"/>
        </w:rPr>
        <w:t xml:space="preserve">5.1 </w:t>
      </w:r>
      <w:r>
        <w:rPr>
          <w:rFonts w:hint="eastAsia" w:ascii="宋体" w:hAnsi="宋体" w:eastAsia="宋体" w:cs="宋体"/>
          <w:color w:val="auto"/>
          <w:sz w:val="21"/>
          <w:szCs w:val="21"/>
          <w:highlight w:val="none"/>
        </w:rPr>
        <w:t>512G SSD固态硬盘</w:t>
      </w:r>
    </w:p>
    <w:p w14:paraId="57ED622D">
      <w:pPr>
        <w:pStyle w:val="137"/>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2"/>
          <w:sz w:val="21"/>
          <w:szCs w:val="21"/>
          <w:highlight w:val="none"/>
          <w:lang w:val="en-US" w:eastAsia="zh-CN" w:bidi="ar-SA"/>
        </w:rPr>
        <w:t>5.2</w:t>
      </w:r>
      <w:r>
        <w:rPr>
          <w:rFonts w:hint="eastAsia" w:ascii="宋体" w:hAnsi="宋体" w:eastAsia="宋体" w:cs="宋体"/>
          <w:color w:val="auto"/>
          <w:sz w:val="21"/>
          <w:szCs w:val="21"/>
          <w:highlight w:val="none"/>
        </w:rPr>
        <w:t>内置超声工作站，支持同步存储，即后台存储或导出图像数据的同时前台可以完成实时扫描，不影响检查操作</w:t>
      </w:r>
    </w:p>
    <w:p w14:paraId="6FEEA2FD">
      <w:pPr>
        <w:pStyle w:val="137"/>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2"/>
          <w:sz w:val="21"/>
          <w:szCs w:val="21"/>
          <w:highlight w:val="none"/>
          <w:lang w:val="en-US" w:eastAsia="zh-CN" w:bidi="ar-SA"/>
        </w:rPr>
        <w:t>5.3</w:t>
      </w:r>
      <w:r>
        <w:rPr>
          <w:rFonts w:hint="eastAsia" w:ascii="宋体" w:hAnsi="宋体" w:eastAsia="宋体" w:cs="宋体"/>
          <w:color w:val="auto"/>
          <w:sz w:val="21"/>
          <w:szCs w:val="21"/>
          <w:highlight w:val="none"/>
        </w:rPr>
        <w:t>动态图像、静态图像以PC格式直接导出（支持单帧图像文件包含： DCM、TIFF、BMP、JPG单帧，电影文件包括：CIN、AVI、DCM、MP4），无需特殊软件即能在普通PC 机上直接观看图像。</w:t>
      </w:r>
    </w:p>
    <w:p w14:paraId="20237562">
      <w:pPr>
        <w:pStyle w:val="137"/>
        <w:numPr>
          <w:ilvl w:val="0"/>
          <w:numId w:val="0"/>
        </w:numPr>
        <w:tabs>
          <w:tab w:val="left" w:pos="426"/>
        </w:tabs>
        <w:spacing w:line="360" w:lineRule="auto"/>
        <w:ind w:left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六</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连通性</w:t>
      </w:r>
    </w:p>
    <w:p w14:paraId="4E84C427">
      <w:pPr>
        <w:pStyle w:val="137"/>
        <w:numPr>
          <w:ilvl w:val="0"/>
          <w:numId w:val="9"/>
        </w:numPr>
        <w:spacing w:line="360" w:lineRule="auto"/>
        <w:ind w:firstLineChars="0"/>
        <w:jc w:val="left"/>
        <w:rPr>
          <w:rFonts w:hint="eastAsia" w:ascii="宋体" w:hAnsi="宋体" w:eastAsia="宋体" w:cs="宋体"/>
          <w:vanish/>
          <w:color w:val="auto"/>
          <w:sz w:val="21"/>
          <w:szCs w:val="21"/>
          <w:highlight w:val="none"/>
        </w:rPr>
      </w:pPr>
    </w:p>
    <w:p w14:paraId="5695B5B0">
      <w:pPr>
        <w:pStyle w:val="137"/>
        <w:numPr>
          <w:ilvl w:val="0"/>
          <w:numId w:val="0"/>
        </w:numPr>
        <w:spacing w:line="360" w:lineRule="auto"/>
        <w:ind w:left="425" w:leftChars="0" w:hanging="425" w:firstLineChars="0"/>
        <w:jc w:val="left"/>
        <w:rPr>
          <w:rFonts w:hint="eastAsia" w:ascii="宋体" w:hAnsi="宋体" w:eastAsia="宋体" w:cs="宋体"/>
          <w:color w:val="auto"/>
          <w:sz w:val="21"/>
          <w:szCs w:val="21"/>
          <w:highlight w:val="none"/>
        </w:rPr>
      </w:pPr>
      <w:r>
        <w:rPr>
          <w:rFonts w:hint="eastAsia" w:ascii="宋体" w:hAnsi="宋体" w:eastAsia="宋体" w:cs="宋体"/>
          <w:color w:val="auto"/>
          <w:kern w:val="2"/>
          <w:sz w:val="21"/>
          <w:szCs w:val="21"/>
          <w:highlight w:val="none"/>
          <w:lang w:val="en-US" w:eastAsia="zh-CN" w:bidi="ar-SA"/>
        </w:rPr>
        <w:t>6.1</w:t>
      </w:r>
      <w:r>
        <w:rPr>
          <w:rFonts w:hint="eastAsia" w:ascii="宋体" w:hAnsi="宋体" w:eastAsia="宋体" w:cs="宋体"/>
          <w:color w:val="auto"/>
          <w:sz w:val="21"/>
          <w:szCs w:val="21"/>
          <w:highlight w:val="none"/>
        </w:rPr>
        <w:t>主机内置HDMI、USB3.0、Type-c、网络接口</w:t>
      </w:r>
    </w:p>
    <w:p w14:paraId="5D991F11">
      <w:pPr>
        <w:pStyle w:val="137"/>
        <w:numPr>
          <w:ilvl w:val="0"/>
          <w:numId w:val="0"/>
        </w:numPr>
        <w:spacing w:line="360" w:lineRule="auto"/>
        <w:ind w:left="425" w:leftChars="0" w:hanging="425" w:firstLineChars="0"/>
        <w:jc w:val="left"/>
        <w:rPr>
          <w:rFonts w:hint="eastAsia" w:ascii="宋体" w:hAnsi="宋体" w:eastAsia="宋体" w:cs="宋体"/>
          <w:color w:val="auto"/>
          <w:sz w:val="21"/>
          <w:szCs w:val="21"/>
          <w:highlight w:val="none"/>
        </w:rPr>
      </w:pPr>
      <w:r>
        <w:rPr>
          <w:rFonts w:hint="eastAsia" w:ascii="宋体" w:hAnsi="宋体" w:eastAsia="宋体" w:cs="宋体"/>
          <w:color w:val="auto"/>
          <w:kern w:val="2"/>
          <w:sz w:val="21"/>
          <w:szCs w:val="21"/>
          <w:highlight w:val="none"/>
          <w:lang w:val="en-US" w:eastAsia="zh-CN" w:bidi="ar-SA"/>
        </w:rPr>
        <w:t xml:space="preserve">6.2 </w:t>
      </w:r>
      <w:r>
        <w:rPr>
          <w:rFonts w:hint="eastAsia" w:ascii="宋体" w:hAnsi="宋体" w:eastAsia="宋体" w:cs="宋体"/>
          <w:color w:val="auto"/>
          <w:sz w:val="21"/>
          <w:szCs w:val="21"/>
          <w:highlight w:val="none"/>
        </w:rPr>
        <w:t>DICOM3.0系统</w:t>
      </w:r>
    </w:p>
    <w:p w14:paraId="69C3DFFD">
      <w:pPr>
        <w:pStyle w:val="137"/>
        <w:numPr>
          <w:ilvl w:val="0"/>
          <w:numId w:val="0"/>
        </w:numPr>
        <w:spacing w:line="360" w:lineRule="auto"/>
        <w:ind w:left="425" w:leftChars="0" w:hanging="425" w:firstLineChars="0"/>
        <w:jc w:val="left"/>
        <w:rPr>
          <w:rFonts w:hint="eastAsia" w:ascii="宋体" w:hAnsi="宋体" w:eastAsia="宋体" w:cs="宋体"/>
          <w:color w:val="auto"/>
          <w:sz w:val="21"/>
          <w:szCs w:val="21"/>
          <w:highlight w:val="none"/>
        </w:rPr>
      </w:pPr>
      <w:r>
        <w:rPr>
          <w:rFonts w:hint="eastAsia" w:ascii="宋体" w:hAnsi="宋体" w:eastAsia="宋体" w:cs="宋体"/>
          <w:color w:val="auto"/>
          <w:kern w:val="2"/>
          <w:sz w:val="21"/>
          <w:szCs w:val="21"/>
          <w:highlight w:val="none"/>
          <w:lang w:val="en-US" w:eastAsia="zh-CN" w:bidi="ar-SA"/>
        </w:rPr>
        <w:t>6.3</w:t>
      </w:r>
      <w:r>
        <w:rPr>
          <w:rFonts w:hint="eastAsia" w:ascii="宋体" w:hAnsi="宋体" w:eastAsia="宋体" w:cs="宋体"/>
          <w:color w:val="auto"/>
          <w:sz w:val="21"/>
          <w:szCs w:val="21"/>
          <w:highlight w:val="none"/>
        </w:rPr>
        <w:t>多功能台车：可拆卸的储物篮，电源缆线专用放置架，防撞支架</w:t>
      </w:r>
    </w:p>
    <w:p w14:paraId="6D606A95">
      <w:pPr>
        <w:pStyle w:val="137"/>
        <w:numPr>
          <w:ilvl w:val="0"/>
          <w:numId w:val="0"/>
        </w:numPr>
        <w:spacing w:line="360" w:lineRule="auto"/>
        <w:ind w:left="425" w:leftChars="0" w:hanging="425" w:firstLineChars="0"/>
        <w:jc w:val="left"/>
        <w:rPr>
          <w:rFonts w:hint="eastAsia" w:ascii="宋体" w:hAnsi="宋体" w:eastAsia="宋体" w:cs="宋体"/>
          <w:color w:val="auto"/>
          <w:sz w:val="21"/>
          <w:szCs w:val="21"/>
          <w:highlight w:val="none"/>
        </w:rPr>
      </w:pPr>
      <w:r>
        <w:rPr>
          <w:rFonts w:hint="eastAsia" w:ascii="宋体" w:hAnsi="宋体" w:eastAsia="宋体" w:cs="宋体"/>
          <w:color w:val="auto"/>
          <w:kern w:val="2"/>
          <w:sz w:val="21"/>
          <w:szCs w:val="21"/>
          <w:highlight w:val="none"/>
          <w:lang w:val="en-US" w:eastAsia="zh-CN" w:bidi="ar-SA"/>
        </w:rPr>
        <w:t>6.4</w:t>
      </w:r>
      <w:r>
        <w:rPr>
          <w:rFonts w:hint="eastAsia" w:ascii="宋体" w:hAnsi="宋体" w:eastAsia="宋体" w:cs="宋体"/>
          <w:color w:val="auto"/>
          <w:sz w:val="21"/>
          <w:szCs w:val="21"/>
          <w:highlight w:val="none"/>
        </w:rPr>
        <w:t>专用旅行箱，可装载主机、探头及相关备件</w:t>
      </w:r>
    </w:p>
    <w:p w14:paraId="0937CEBE">
      <w:pPr>
        <w:pStyle w:val="137"/>
        <w:numPr>
          <w:ilvl w:val="0"/>
          <w:numId w:val="0"/>
        </w:numPr>
        <w:spacing w:line="360" w:lineRule="auto"/>
        <w:ind w:leftChars="0"/>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七</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配置清单</w:t>
      </w:r>
    </w:p>
    <w:tbl>
      <w:tblPr>
        <w:tblStyle w:val="48"/>
        <w:tblW w:w="478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61"/>
        <w:gridCol w:w="2798"/>
      </w:tblGrid>
      <w:tr w14:paraId="73420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trPr>
        <w:tc>
          <w:tcPr>
            <w:tcW w:w="6268" w:type="dxa"/>
            <w:noWrap w:val="0"/>
            <w:vAlign w:val="center"/>
          </w:tcPr>
          <w:p w14:paraId="04CDE85D">
            <w:pPr>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b/>
                <w:bCs/>
                <w:color w:val="auto"/>
                <w:sz w:val="21"/>
                <w:szCs w:val="21"/>
                <w:highlight w:val="none"/>
                <w:vertAlign w:val="baseline"/>
                <w:lang w:val="en-US" w:eastAsia="zh-CN"/>
              </w:rPr>
            </w:pPr>
            <w:r>
              <w:rPr>
                <w:rFonts w:hint="eastAsia" w:ascii="宋体" w:hAnsi="宋体" w:eastAsia="宋体" w:cs="宋体"/>
                <w:b/>
                <w:bCs/>
                <w:color w:val="auto"/>
                <w:sz w:val="21"/>
                <w:szCs w:val="21"/>
                <w:highlight w:val="none"/>
                <w:vertAlign w:val="baseline"/>
                <w:lang w:val="en-US" w:eastAsia="zh-CN"/>
              </w:rPr>
              <w:t>名称</w:t>
            </w:r>
          </w:p>
        </w:tc>
        <w:tc>
          <w:tcPr>
            <w:tcW w:w="3271" w:type="dxa"/>
            <w:noWrap w:val="0"/>
            <w:vAlign w:val="center"/>
          </w:tcPr>
          <w:p w14:paraId="65E09343">
            <w:pPr>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b/>
                <w:bCs/>
                <w:color w:val="auto"/>
                <w:sz w:val="21"/>
                <w:szCs w:val="21"/>
                <w:highlight w:val="none"/>
                <w:vertAlign w:val="baseline"/>
                <w:lang w:val="en-US" w:eastAsia="zh-CN"/>
              </w:rPr>
            </w:pPr>
            <w:r>
              <w:rPr>
                <w:rFonts w:hint="eastAsia" w:ascii="宋体" w:hAnsi="宋体" w:eastAsia="宋体" w:cs="宋体"/>
                <w:b/>
                <w:bCs/>
                <w:color w:val="auto"/>
                <w:sz w:val="21"/>
                <w:szCs w:val="21"/>
                <w:highlight w:val="none"/>
                <w:vertAlign w:val="baseline"/>
                <w:lang w:val="en-US" w:eastAsia="zh-CN"/>
              </w:rPr>
              <w:t>数量</w:t>
            </w:r>
          </w:p>
        </w:tc>
      </w:tr>
      <w:tr w14:paraId="4A185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trPr>
        <w:tc>
          <w:tcPr>
            <w:tcW w:w="6268" w:type="dxa"/>
            <w:noWrap w:val="0"/>
            <w:vAlign w:val="center"/>
          </w:tcPr>
          <w:p w14:paraId="4E6D0C75">
            <w:pPr>
              <w:jc w:val="center"/>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kern w:val="0"/>
                <w:sz w:val="21"/>
                <w:szCs w:val="21"/>
                <w:highlight w:val="none"/>
                <w:lang w:val="en-US" w:eastAsia="zh-CN" w:bidi="ar"/>
              </w:rPr>
              <w:t>便携式彩色多普勒超声诊断仪</w:t>
            </w:r>
          </w:p>
        </w:tc>
        <w:tc>
          <w:tcPr>
            <w:tcW w:w="3271" w:type="dxa"/>
            <w:noWrap w:val="0"/>
            <w:vAlign w:val="center"/>
          </w:tcPr>
          <w:p w14:paraId="5E7C7197">
            <w:pPr>
              <w:jc w:val="center"/>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1套</w:t>
            </w:r>
          </w:p>
        </w:tc>
      </w:tr>
      <w:tr w14:paraId="00A9F4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trPr>
        <w:tc>
          <w:tcPr>
            <w:tcW w:w="6268" w:type="dxa"/>
            <w:noWrap w:val="0"/>
            <w:vAlign w:val="center"/>
          </w:tcPr>
          <w:p w14:paraId="44FC7E81">
            <w:pPr>
              <w:jc w:val="center"/>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台车</w:t>
            </w:r>
          </w:p>
        </w:tc>
        <w:tc>
          <w:tcPr>
            <w:tcW w:w="3271" w:type="dxa"/>
            <w:noWrap w:val="0"/>
            <w:vAlign w:val="center"/>
          </w:tcPr>
          <w:p w14:paraId="6B5E6397">
            <w:pPr>
              <w:jc w:val="center"/>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1台</w:t>
            </w:r>
          </w:p>
        </w:tc>
      </w:tr>
      <w:tr w14:paraId="062755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trPr>
        <w:tc>
          <w:tcPr>
            <w:tcW w:w="6268" w:type="dxa"/>
            <w:noWrap w:val="0"/>
            <w:vAlign w:val="center"/>
          </w:tcPr>
          <w:p w14:paraId="6EE1ED37">
            <w:pPr>
              <w:jc w:val="center"/>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浅表血管线阵探头</w:t>
            </w:r>
          </w:p>
        </w:tc>
        <w:tc>
          <w:tcPr>
            <w:tcW w:w="3271" w:type="dxa"/>
            <w:noWrap w:val="0"/>
            <w:vAlign w:val="center"/>
          </w:tcPr>
          <w:p w14:paraId="77DF8A0F">
            <w:pPr>
              <w:jc w:val="center"/>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1把</w:t>
            </w:r>
          </w:p>
        </w:tc>
      </w:tr>
      <w:tr w14:paraId="588431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6268" w:type="dxa"/>
            <w:noWrap w:val="0"/>
            <w:vAlign w:val="center"/>
          </w:tcPr>
          <w:p w14:paraId="56BF35DA">
            <w:pPr>
              <w:jc w:val="center"/>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腹部血管凸阵探头</w:t>
            </w:r>
          </w:p>
        </w:tc>
        <w:tc>
          <w:tcPr>
            <w:tcW w:w="3271" w:type="dxa"/>
            <w:noWrap w:val="0"/>
            <w:vAlign w:val="center"/>
          </w:tcPr>
          <w:p w14:paraId="4CCEFE34">
            <w:pPr>
              <w:jc w:val="center"/>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1把</w:t>
            </w:r>
          </w:p>
        </w:tc>
      </w:tr>
    </w:tbl>
    <w:p w14:paraId="1DF7AE20">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八、商务要求</w:t>
      </w:r>
    </w:p>
    <w:p w14:paraId="5EC04DB4">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8.</w:t>
      </w:r>
      <w:r>
        <w:rPr>
          <w:rFonts w:hint="eastAsia" w:ascii="宋体" w:hAnsi="宋体" w:eastAsia="宋体" w:cs="宋体"/>
          <w:color w:val="auto"/>
          <w:sz w:val="21"/>
          <w:szCs w:val="21"/>
          <w:highlight w:val="none"/>
        </w:rPr>
        <w:t>1、运输、装卸、培训、安装调试：由中标人负责承担，最终通过使用科室、设备科及相关部门确认验收交付使用</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国产设备交付，设备必须为6个月内生产的产品；进口设备交付，设备必须为一年内生产的产品</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rPr>
        <w:cr/>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8.</w:t>
      </w:r>
      <w:r>
        <w:rPr>
          <w:rFonts w:hint="eastAsia" w:ascii="宋体" w:hAnsi="宋体" w:eastAsia="宋体" w:cs="宋体"/>
          <w:color w:val="auto"/>
          <w:sz w:val="21"/>
          <w:szCs w:val="21"/>
          <w:highlight w:val="none"/>
        </w:rPr>
        <w:t>2、交货时间：按</w:t>
      </w:r>
      <w:r>
        <w:rPr>
          <w:rFonts w:hint="eastAsia" w:ascii="宋体" w:hAnsi="宋体" w:eastAsia="宋体" w:cs="宋体"/>
          <w:color w:val="auto"/>
          <w:sz w:val="21"/>
          <w:szCs w:val="21"/>
          <w:highlight w:val="none"/>
          <w:lang w:val="en-US" w:eastAsia="zh-CN"/>
        </w:rPr>
        <w:t>合同约定的日期交货。</w:t>
      </w:r>
    </w:p>
    <w:p w14:paraId="5B62B619">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8.3</w:t>
      </w:r>
      <w:r>
        <w:rPr>
          <w:rFonts w:hint="eastAsia" w:ascii="宋体" w:hAnsi="宋体" w:eastAsia="宋体" w:cs="宋体"/>
          <w:color w:val="auto"/>
          <w:sz w:val="21"/>
          <w:szCs w:val="21"/>
          <w:highlight w:val="none"/>
        </w:rPr>
        <w:t>、交货地点：娄底市中心医院</w:t>
      </w:r>
      <w:r>
        <w:rPr>
          <w:rFonts w:hint="eastAsia" w:ascii="宋体" w:hAnsi="宋体" w:eastAsia="宋体" w:cs="宋体"/>
          <w:color w:val="auto"/>
          <w:sz w:val="21"/>
          <w:szCs w:val="21"/>
          <w:highlight w:val="none"/>
          <w:lang w:val="en-US" w:eastAsia="zh-CN"/>
        </w:rPr>
        <w:t>指定地点</w:t>
      </w:r>
      <w:r>
        <w:rPr>
          <w:rFonts w:hint="eastAsia" w:ascii="宋体" w:hAnsi="宋体" w:eastAsia="宋体" w:cs="宋体"/>
          <w:color w:val="auto"/>
          <w:sz w:val="21"/>
          <w:szCs w:val="21"/>
          <w:highlight w:val="none"/>
        </w:rPr>
        <w:t>。</w:t>
      </w:r>
    </w:p>
    <w:p w14:paraId="3C7E20B4">
      <w:pPr>
        <w:keepNext w:val="0"/>
        <w:keepLines w:val="0"/>
        <w:pageBreakBefore w:val="0"/>
        <w:widowControl/>
        <w:numPr>
          <w:ilvl w:val="0"/>
          <w:numId w:val="0"/>
        </w:numPr>
        <w:kinsoku/>
        <w:wordWrap/>
        <w:overflowPunct/>
        <w:topLinePunct w:val="0"/>
        <w:autoSpaceDE/>
        <w:autoSpaceDN/>
        <w:bidi w:val="0"/>
        <w:adjustRightInd w:val="0"/>
        <w:snapToGrid w:val="0"/>
        <w:spacing w:after="0" w:line="360" w:lineRule="auto"/>
        <w:ind w:left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8.4</w:t>
      </w:r>
      <w:r>
        <w:rPr>
          <w:rFonts w:hint="eastAsia" w:ascii="宋体" w:hAnsi="宋体" w:eastAsia="宋体" w:cs="宋体"/>
          <w:color w:val="auto"/>
          <w:sz w:val="21"/>
          <w:szCs w:val="21"/>
          <w:highlight w:val="none"/>
        </w:rPr>
        <w:t>、付款方式：设备验收合格后，供应商将发票交到娄底市中心医院后按程序支付货款90%（按医院财务制度一般情况下4个月内支付、特殊情况下最多不超过6个月），甲方在设备验收合格</w:t>
      </w:r>
      <w:r>
        <w:rPr>
          <w:rFonts w:hint="eastAsia" w:ascii="宋体" w:hAnsi="宋体" w:eastAsia="宋体" w:cs="宋体"/>
          <w:color w:val="auto"/>
          <w:sz w:val="21"/>
          <w:szCs w:val="21"/>
          <w:highlight w:val="none"/>
          <w:lang w:val="en-US" w:eastAsia="zh-CN"/>
        </w:rPr>
        <w:t>满</w:t>
      </w:r>
      <w:r>
        <w:rPr>
          <w:rFonts w:hint="eastAsia" w:ascii="宋体" w:hAnsi="宋体" w:eastAsia="宋体" w:cs="宋体"/>
          <w:color w:val="auto"/>
          <w:sz w:val="21"/>
          <w:szCs w:val="21"/>
          <w:highlight w:val="none"/>
          <w:u w:val="none"/>
          <w:lang w:val="en-US" w:eastAsia="zh-CN"/>
        </w:rPr>
        <w:t>3年</w:t>
      </w:r>
      <w:r>
        <w:rPr>
          <w:rFonts w:hint="eastAsia" w:ascii="宋体" w:hAnsi="宋体" w:eastAsia="宋体" w:cs="宋体"/>
          <w:color w:val="auto"/>
          <w:sz w:val="21"/>
          <w:szCs w:val="21"/>
          <w:highlight w:val="none"/>
        </w:rPr>
        <w:t>后支付10%余款给乙方。</w:t>
      </w:r>
      <w:r>
        <w:rPr>
          <w:rFonts w:hint="eastAsia" w:ascii="宋体" w:hAnsi="宋体" w:eastAsia="宋体" w:cs="宋体"/>
          <w:color w:val="auto"/>
          <w:sz w:val="21"/>
          <w:szCs w:val="21"/>
          <w:highlight w:val="none"/>
        </w:rPr>
        <w:cr/>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8.</w:t>
      </w:r>
      <w:r>
        <w:rPr>
          <w:rFonts w:hint="eastAsia" w:ascii="宋体" w:hAnsi="宋体" w:eastAsia="宋体" w:cs="宋体"/>
          <w:color w:val="auto"/>
          <w:sz w:val="21"/>
          <w:szCs w:val="21"/>
          <w:highlight w:val="none"/>
        </w:rPr>
        <w:t>5、质保与售后：整机保修</w:t>
      </w:r>
      <w:r>
        <w:rPr>
          <w:rFonts w:hint="eastAsia" w:ascii="宋体" w:hAnsi="宋体" w:eastAsia="宋体" w:cs="宋体"/>
          <w:color w:val="auto"/>
          <w:sz w:val="21"/>
          <w:szCs w:val="21"/>
          <w:highlight w:val="none"/>
          <w:lang w:val="en-US" w:eastAsia="zh-CN"/>
        </w:rPr>
        <w:t xml:space="preserve">3 </w:t>
      </w:r>
      <w:r>
        <w:rPr>
          <w:rFonts w:hint="eastAsia" w:ascii="宋体" w:hAnsi="宋体" w:eastAsia="宋体" w:cs="宋体"/>
          <w:color w:val="auto"/>
          <w:sz w:val="21"/>
          <w:szCs w:val="21"/>
          <w:highlight w:val="none"/>
        </w:rPr>
        <w:t>年</w:t>
      </w:r>
      <w:r>
        <w:rPr>
          <w:rFonts w:hint="eastAsia"/>
          <w:color w:val="auto"/>
          <w:highlight w:val="none"/>
          <w:lang w:eastAsia="zh-CN"/>
        </w:rPr>
        <w:t>（含探头）</w:t>
      </w:r>
      <w:r>
        <w:rPr>
          <w:rFonts w:hint="eastAsia" w:ascii="宋体" w:hAnsi="宋体" w:eastAsia="宋体" w:cs="宋体"/>
          <w:color w:val="auto"/>
          <w:sz w:val="21"/>
          <w:szCs w:val="21"/>
          <w:highlight w:val="none"/>
        </w:rPr>
        <w:t>，终身维修。</w:t>
      </w:r>
      <w:r>
        <w:rPr>
          <w:rFonts w:hint="eastAsia" w:ascii="宋体" w:hAnsi="宋体" w:eastAsia="宋体" w:cs="宋体"/>
          <w:color w:val="auto"/>
          <w:sz w:val="21"/>
          <w:szCs w:val="21"/>
          <w:highlight w:val="none"/>
          <w:lang w:val="en-US" w:eastAsia="zh-CN"/>
        </w:rPr>
        <w:t>验收时</w:t>
      </w:r>
      <w:r>
        <w:rPr>
          <w:rFonts w:hint="eastAsia" w:ascii="宋体" w:hAnsi="宋体" w:eastAsia="宋体" w:cs="宋体"/>
          <w:color w:val="auto"/>
          <w:sz w:val="21"/>
          <w:szCs w:val="21"/>
          <w:highlight w:val="none"/>
        </w:rPr>
        <w:t>出具原厂售后质保承诺书，质保期内每年巡检</w:t>
      </w:r>
      <w:r>
        <w:rPr>
          <w:rFonts w:hint="eastAsia" w:ascii="宋体" w:hAnsi="宋体" w:eastAsia="宋体" w:cs="宋体"/>
          <w:color w:val="auto"/>
          <w:sz w:val="21"/>
          <w:szCs w:val="21"/>
          <w:highlight w:val="none"/>
          <w:lang w:val="en-US" w:eastAsia="zh-CN"/>
        </w:rPr>
        <w:t>一</w:t>
      </w:r>
      <w:r>
        <w:rPr>
          <w:rFonts w:hint="eastAsia" w:ascii="宋体" w:hAnsi="宋体" w:eastAsia="宋体" w:cs="宋体"/>
          <w:color w:val="auto"/>
          <w:sz w:val="21"/>
          <w:szCs w:val="21"/>
          <w:highlight w:val="none"/>
        </w:rPr>
        <w:t>次</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并提交巡检记录</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zh-CN" w:eastAsia="zh-CN"/>
        </w:rPr>
        <w:t>质保期内</w:t>
      </w:r>
      <w:r>
        <w:rPr>
          <w:rFonts w:hint="eastAsia" w:ascii="宋体" w:hAnsi="宋体" w:eastAsia="宋体" w:cs="宋体"/>
          <w:color w:val="auto"/>
          <w:sz w:val="21"/>
          <w:szCs w:val="21"/>
          <w:highlight w:val="none"/>
          <w:lang w:val="en-US" w:eastAsia="zh-CN"/>
        </w:rPr>
        <w:t>出现故障，1小时响应，响应后24小时上门服务。</w:t>
      </w:r>
    </w:p>
    <w:p w14:paraId="1D17CA12">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★8.6、在投标文件中必须提供相关技术资料并加盖投标人公章（如技术参数、技术白皮书、说明书、彩页等），并在响应表中对</w:t>
      </w:r>
      <w:r>
        <w:rPr>
          <w:rFonts w:hint="eastAsia" w:ascii="宋体" w:hAnsi="宋体" w:cs="宋体"/>
          <w:color w:val="auto"/>
          <w:sz w:val="21"/>
          <w:szCs w:val="21"/>
          <w:highlight w:val="none"/>
          <w:lang w:val="en-US" w:eastAsia="zh-CN"/>
        </w:rPr>
        <w:t>技术参数中</w:t>
      </w:r>
      <w:r>
        <w:rPr>
          <w:rFonts w:hint="eastAsia" w:ascii="宋体" w:hAnsi="宋体" w:eastAsia="宋体" w:cs="宋体"/>
          <w:color w:val="auto"/>
          <w:sz w:val="21"/>
          <w:szCs w:val="21"/>
          <w:highlight w:val="none"/>
          <w:lang w:val="en-US" w:eastAsia="zh-CN"/>
        </w:rPr>
        <w:t>“★”、“▲”以及要求提供佐证材料的条款备注该条参数响应或正偏离的佐证资料所在页码。</w:t>
      </w:r>
    </w:p>
    <w:p w14:paraId="73C27629">
      <w:pPr>
        <w:pStyle w:val="22"/>
        <w:keepNext w:val="0"/>
        <w:keepLines w:val="0"/>
        <w:pageBreakBefore w:val="0"/>
        <w:widowControl w:val="0"/>
        <w:kinsoku/>
        <w:wordWrap/>
        <w:overflowPunct/>
        <w:topLinePunct w:val="0"/>
        <w:autoSpaceDE/>
        <w:autoSpaceDN/>
        <w:bidi w:val="0"/>
        <w:adjustRightInd w:val="0"/>
        <w:snapToGrid w:val="0"/>
        <w:spacing w:line="360" w:lineRule="auto"/>
        <w:jc w:val="both"/>
        <w:textAlignment w:val="auto"/>
        <w:outlineLvl w:val="9"/>
        <w:rPr>
          <w:rFonts w:hint="eastAsia" w:asciiTheme="minorEastAsia" w:hAnsiTheme="minorEastAsia" w:eastAsiaTheme="minorEastAsia" w:cstheme="minorEastAsia"/>
          <w:b/>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★8.7、设备如涉及网络接口费用，由中标人承担，采购人不再出具任何费用。</w:t>
      </w:r>
    </w:p>
    <w:p w14:paraId="766CF74F">
      <w:pPr>
        <w:pStyle w:val="22"/>
        <w:adjustRightInd w:val="0"/>
        <w:snapToGrid w:val="0"/>
        <w:spacing w:line="360" w:lineRule="auto"/>
        <w:jc w:val="center"/>
        <w:outlineLvl w:val="9"/>
        <w:rPr>
          <w:rFonts w:hint="eastAsia" w:ascii="黑体" w:hAnsi="华文中宋" w:eastAsia="黑体"/>
          <w:b/>
          <w:color w:val="auto"/>
          <w:sz w:val="32"/>
          <w:szCs w:val="32"/>
          <w:highlight w:val="none"/>
        </w:rPr>
      </w:pPr>
    </w:p>
    <w:p w14:paraId="3B01AB41">
      <w:pPr>
        <w:pStyle w:val="22"/>
        <w:adjustRightInd w:val="0"/>
        <w:snapToGrid w:val="0"/>
        <w:spacing w:line="360" w:lineRule="auto"/>
        <w:jc w:val="center"/>
        <w:outlineLvl w:val="9"/>
        <w:rPr>
          <w:rFonts w:hint="eastAsia" w:ascii="黑体" w:hAnsi="华文中宋" w:eastAsia="黑体"/>
          <w:b/>
          <w:color w:val="auto"/>
          <w:sz w:val="32"/>
          <w:szCs w:val="32"/>
          <w:highlight w:val="none"/>
        </w:rPr>
      </w:pPr>
    </w:p>
    <w:p w14:paraId="6F6E4D6F">
      <w:pPr>
        <w:rPr>
          <w:rFonts w:hint="eastAsia" w:ascii="黑体" w:hAnsi="华文中宋" w:eastAsia="黑体"/>
          <w:b/>
          <w:color w:val="auto"/>
          <w:sz w:val="32"/>
          <w:szCs w:val="32"/>
          <w:highlight w:val="none"/>
        </w:rPr>
      </w:pPr>
      <w:bookmarkStart w:id="1218" w:name="_Toc21007"/>
      <w:r>
        <w:rPr>
          <w:rFonts w:hint="eastAsia" w:ascii="黑体" w:hAnsi="华文中宋" w:eastAsia="黑体"/>
          <w:b/>
          <w:color w:val="auto"/>
          <w:sz w:val="32"/>
          <w:szCs w:val="32"/>
          <w:highlight w:val="none"/>
        </w:rPr>
        <w:br w:type="page"/>
      </w:r>
    </w:p>
    <w:p w14:paraId="0BEFA27D">
      <w:pPr>
        <w:pStyle w:val="22"/>
        <w:adjustRightInd w:val="0"/>
        <w:snapToGrid w:val="0"/>
        <w:spacing w:line="360" w:lineRule="auto"/>
        <w:jc w:val="center"/>
        <w:outlineLvl w:val="0"/>
        <w:rPr>
          <w:rFonts w:ascii="黑体" w:hAnsi="华文中宋" w:eastAsia="黑体"/>
          <w:b/>
          <w:color w:val="auto"/>
          <w:sz w:val="32"/>
          <w:szCs w:val="32"/>
          <w:highlight w:val="none"/>
        </w:rPr>
      </w:pPr>
      <w:bookmarkStart w:id="1219" w:name="_Toc689282396"/>
      <w:r>
        <w:rPr>
          <w:rFonts w:hint="eastAsia" w:ascii="黑体" w:hAnsi="华文中宋" w:eastAsia="黑体"/>
          <w:b/>
          <w:color w:val="auto"/>
          <w:sz w:val="32"/>
          <w:szCs w:val="32"/>
          <w:highlight w:val="none"/>
        </w:rPr>
        <w:t>第六章 政府采购合同</w:t>
      </w:r>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8"/>
      <w:bookmarkEnd w:id="1219"/>
    </w:p>
    <w:p w14:paraId="60179558">
      <w:pPr>
        <w:pStyle w:val="2"/>
        <w:adjustRightInd w:val="0"/>
        <w:snapToGrid w:val="0"/>
        <w:spacing w:before="156" w:beforeLines="50"/>
        <w:jc w:val="center"/>
        <w:rPr>
          <w:rFonts w:ascii="黑体" w:hAnsi="华文中宋" w:eastAsia="黑体"/>
          <w:color w:val="auto"/>
          <w:sz w:val="28"/>
          <w:szCs w:val="28"/>
          <w:highlight w:val="none"/>
        </w:rPr>
      </w:pPr>
      <w:bookmarkStart w:id="1220" w:name="_Toc1225"/>
      <w:bookmarkStart w:id="1221" w:name="_Toc34637778"/>
      <w:bookmarkStart w:id="1222" w:name="_Toc22201110"/>
      <w:bookmarkStart w:id="1223" w:name="_Toc287979694"/>
      <w:bookmarkStart w:id="1224" w:name="_Toc29470"/>
      <w:bookmarkStart w:id="1225" w:name="_Toc27490"/>
      <w:r>
        <w:rPr>
          <w:rFonts w:hint="eastAsia" w:ascii="黑体" w:hAnsi="华文中宋" w:eastAsia="黑体"/>
          <w:color w:val="auto"/>
          <w:sz w:val="28"/>
          <w:szCs w:val="28"/>
          <w:highlight w:val="none"/>
        </w:rPr>
        <w:t xml:space="preserve">第一节 </w:t>
      </w:r>
      <w:bookmarkEnd w:id="1220"/>
      <w:bookmarkEnd w:id="1221"/>
      <w:bookmarkEnd w:id="1222"/>
      <w:r>
        <w:rPr>
          <w:rFonts w:hint="eastAsia" w:ascii="宋体" w:hAnsi="宋体" w:cs="黑体"/>
          <w:color w:val="auto"/>
          <w:sz w:val="32"/>
          <w:highlight w:val="none"/>
        </w:rPr>
        <w:t xml:space="preserve"> 政府采购合同协议书</w:t>
      </w:r>
      <w:bookmarkEnd w:id="1223"/>
      <w:bookmarkEnd w:id="1224"/>
      <w:bookmarkEnd w:id="1225"/>
    </w:p>
    <w:p w14:paraId="00F75EBD">
      <w:pPr>
        <w:keepNext w:val="0"/>
        <w:keepLines w:val="0"/>
        <w:pageBreakBefore w:val="0"/>
        <w:widowControl w:val="0"/>
        <w:kinsoku/>
        <w:wordWrap/>
        <w:overflowPunct/>
        <w:topLinePunct w:val="0"/>
        <w:autoSpaceDE/>
        <w:autoSpaceDN/>
        <w:bidi w:val="0"/>
        <w:adjustRightInd/>
        <w:snapToGrid/>
        <w:spacing w:line="480" w:lineRule="exact"/>
        <w:jc w:val="right"/>
        <w:textAlignment w:val="auto"/>
        <w:outlineLvl w:val="2"/>
        <w:rPr>
          <w:rFonts w:hint="eastAsia" w:ascii="宋体" w:hAnsi="宋体" w:eastAsia="宋体" w:cs="宋体"/>
          <w:b w:val="0"/>
          <w:bCs w:val="0"/>
          <w:color w:val="auto"/>
          <w:sz w:val="24"/>
          <w:szCs w:val="24"/>
          <w:highlight w:val="none"/>
          <w:lang w:val="en-US" w:eastAsia="zh-CN"/>
        </w:rPr>
      </w:pPr>
      <w:bookmarkStart w:id="1226" w:name="_Toc112704987"/>
      <w:bookmarkStart w:id="1227" w:name="_Toc95601409"/>
      <w:bookmarkStart w:id="1228" w:name="_Toc21989"/>
      <w:bookmarkStart w:id="1229" w:name="_Toc154428433"/>
      <w:bookmarkStart w:id="1230" w:name="_Toc285"/>
      <w:bookmarkStart w:id="1231" w:name="_Toc100670469"/>
      <w:bookmarkStart w:id="1232" w:name="_Toc75289594"/>
      <w:bookmarkStart w:id="1233" w:name="_Toc7939"/>
      <w:bookmarkStart w:id="1234" w:name="_Toc28139"/>
      <w:bookmarkStart w:id="1235" w:name="_Toc94367924"/>
      <w:bookmarkStart w:id="1236" w:name="_Toc13532"/>
      <w:bookmarkStart w:id="1237" w:name="_Toc117192494"/>
      <w:bookmarkStart w:id="1238" w:name="_Toc23724"/>
      <w:bookmarkStart w:id="1239" w:name="_Toc78450001"/>
      <w:bookmarkStart w:id="1240" w:name="_Toc75289276"/>
      <w:bookmarkStart w:id="1241" w:name="_Toc85972974"/>
      <w:bookmarkStart w:id="1242" w:name="_Toc108341984"/>
      <w:bookmarkStart w:id="1243" w:name="_Toc100670717"/>
      <w:bookmarkStart w:id="1244" w:name="_Toc114036758"/>
      <w:bookmarkStart w:id="1245" w:name="_Toc15888524"/>
      <w:bookmarkStart w:id="1246" w:name="_Toc27523"/>
      <w:bookmarkStart w:id="1247" w:name="_Toc77199448"/>
      <w:bookmarkStart w:id="1248" w:name="_Toc78314308"/>
      <w:bookmarkStart w:id="1249" w:name="_Toc171273715"/>
      <w:bookmarkStart w:id="1250" w:name="_Toc77676512"/>
      <w:bookmarkStart w:id="1251" w:name="_Toc192951256"/>
      <w:bookmarkStart w:id="1252" w:name="_Toc192949745"/>
      <w:bookmarkStart w:id="1253" w:name="_Toc20466"/>
      <w:bookmarkStart w:id="1254" w:name="_Toc192949646"/>
      <w:r>
        <w:rPr>
          <w:rFonts w:hint="eastAsia" w:ascii="宋体" w:hAnsi="宋体" w:eastAsia="宋体" w:cs="宋体"/>
          <w:b w:val="0"/>
          <w:bCs w:val="0"/>
          <w:color w:val="auto"/>
          <w:sz w:val="24"/>
          <w:szCs w:val="24"/>
          <w:highlight w:val="none"/>
          <w:lang w:val="en-US" w:eastAsia="zh-CN"/>
        </w:rPr>
        <w:t xml:space="preserve"> 合同编号：</w:t>
      </w:r>
    </w:p>
    <w:p w14:paraId="5CD67D0F">
      <w:pPr>
        <w:keepNext w:val="0"/>
        <w:keepLines w:val="0"/>
        <w:pageBreakBefore w:val="0"/>
        <w:widowControl w:val="0"/>
        <w:kinsoku/>
        <w:wordWrap/>
        <w:overflowPunct/>
        <w:topLinePunct w:val="0"/>
        <w:autoSpaceDE/>
        <w:autoSpaceDN/>
        <w:bidi w:val="0"/>
        <w:adjustRightInd/>
        <w:snapToGrid/>
        <w:spacing w:line="480" w:lineRule="exact"/>
        <w:jc w:val="center"/>
        <w:textAlignment w:val="auto"/>
        <w:outlineLvl w:val="2"/>
        <w:rPr>
          <w:rFonts w:hint="eastAsia" w:ascii="宋体" w:hAnsi="宋体" w:eastAsia="宋体" w:cs="宋体"/>
          <w:b/>
          <w:bCs/>
          <w:color w:val="auto"/>
          <w:sz w:val="24"/>
          <w:szCs w:val="24"/>
          <w:highlight w:val="none"/>
          <w:lang w:val="en-US" w:eastAsia="zh-CN"/>
        </w:rPr>
      </w:pPr>
      <w:r>
        <w:rPr>
          <w:rFonts w:hint="eastAsia" w:ascii="黑体" w:hAnsi="黑体" w:eastAsia="黑体" w:cs="黑体"/>
          <w:color w:val="auto"/>
          <w:sz w:val="44"/>
          <w:szCs w:val="44"/>
          <w:highlight w:val="none"/>
          <w:lang w:val="en-US" w:eastAsia="zh-CN"/>
        </w:rPr>
        <w:t>医疗设备采购合同</w:t>
      </w:r>
    </w:p>
    <w:p w14:paraId="29F508DA">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甲方（采购方）：</w:t>
      </w:r>
      <w:r>
        <w:rPr>
          <w:rFonts w:hint="eastAsia" w:ascii="宋体" w:hAnsi="宋体" w:eastAsia="宋体" w:cs="宋体"/>
          <w:color w:val="auto"/>
          <w:sz w:val="21"/>
          <w:szCs w:val="21"/>
          <w:highlight w:val="none"/>
          <w:lang w:val="en-US" w:eastAsia="zh-CN"/>
        </w:rPr>
        <w:t>娄底市中心医院</w:t>
      </w:r>
    </w:p>
    <w:p w14:paraId="55778909">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法定代表人：杨吉军</w:t>
      </w:r>
    </w:p>
    <w:p w14:paraId="5083B530">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统一社会信用代码：12431300447162073W</w:t>
      </w:r>
    </w:p>
    <w:p w14:paraId="05B41D46">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地址：湖南省娄底市娄星区长青中街51号</w:t>
      </w:r>
    </w:p>
    <w:p w14:paraId="362E0B97">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联系人：朱振宇</w:t>
      </w:r>
    </w:p>
    <w:p w14:paraId="0FC5BB9B">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联系电话：15673845559</w:t>
      </w:r>
    </w:p>
    <w:p w14:paraId="39A301CA">
      <w:pPr>
        <w:keepNext w:val="0"/>
        <w:keepLines w:val="0"/>
        <w:pageBreakBefore w:val="0"/>
        <w:widowControl w:val="0"/>
        <w:kinsoku/>
        <w:wordWrap/>
        <w:overflowPunct/>
        <w:topLinePunct w:val="0"/>
        <w:autoSpaceDE/>
        <w:autoSpaceDN/>
        <w:bidi w:val="0"/>
        <w:adjustRightInd/>
        <w:snapToGrid/>
        <w:spacing w:line="480" w:lineRule="exact"/>
        <w:jc w:val="both"/>
        <w:textAlignment w:val="auto"/>
        <w:outlineLvl w:val="2"/>
        <w:rPr>
          <w:rFonts w:hint="eastAsia" w:ascii="宋体" w:hAnsi="宋体" w:eastAsia="宋体" w:cs="宋体"/>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乙方（供货方）：</w:t>
      </w:r>
    </w:p>
    <w:p w14:paraId="4FC697AA">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法定代表人：</w:t>
      </w:r>
    </w:p>
    <w:p w14:paraId="6B8B7EE1">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统一社会信用代码：</w:t>
      </w:r>
    </w:p>
    <w:p w14:paraId="53D84181">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地址：</w:t>
      </w:r>
    </w:p>
    <w:p w14:paraId="07EEB1DF">
      <w:pPr>
        <w:keepNext w:val="0"/>
        <w:keepLines w:val="0"/>
        <w:pageBreakBefore w:val="0"/>
        <w:widowControl w:val="0"/>
        <w:kinsoku/>
        <w:wordWrap/>
        <w:overflowPunct/>
        <w:topLinePunct w:val="0"/>
        <w:autoSpaceDE/>
        <w:autoSpaceDN/>
        <w:bidi w:val="0"/>
        <w:adjustRightInd/>
        <w:snapToGrid/>
        <w:spacing w:line="48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联系人：</w:t>
      </w:r>
    </w:p>
    <w:p w14:paraId="0B50EFE4">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联系电话：</w:t>
      </w:r>
    </w:p>
    <w:p w14:paraId="53236966">
      <w:pPr>
        <w:keepNext w:val="0"/>
        <w:keepLines w:val="0"/>
        <w:pageBreakBefore w:val="0"/>
        <w:widowControl w:val="0"/>
        <w:kinsoku/>
        <w:wordWrap/>
        <w:overflowPunct/>
        <w:topLinePunct w:val="0"/>
        <w:autoSpaceDE/>
        <w:autoSpaceDN/>
        <w:bidi w:val="0"/>
        <w:adjustRightInd/>
        <w:snapToGrid/>
        <w:spacing w:line="480" w:lineRule="exact"/>
        <w:ind w:firstLine="420" w:firstLineChars="20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甲方通过（☑</w:t>
      </w:r>
      <w:r>
        <w:rPr>
          <w:rFonts w:hint="eastAsia" w:ascii="宋体" w:hAnsi="宋体" w:eastAsia="宋体" w:cs="宋体"/>
          <w:color w:val="auto"/>
          <w:sz w:val="21"/>
          <w:szCs w:val="21"/>
          <w:highlight w:val="none"/>
          <w:u w:val="none"/>
          <w:lang w:val="en-US" w:eastAsia="zh-CN"/>
        </w:rPr>
        <w:t>公开招标</w:t>
      </w:r>
      <w:r>
        <w:rPr>
          <w:rFonts w:hint="eastAsia" w:ascii="宋体" w:hAnsi="宋体" w:eastAsia="宋体" w:cs="宋体"/>
          <w:color w:val="auto"/>
          <w:sz w:val="21"/>
          <w:szCs w:val="21"/>
          <w:highlight w:val="none"/>
          <w:lang w:val="en-US" w:eastAsia="zh-CN"/>
        </w:rPr>
        <w:t>□医院公开挂网□医院院内议价□湖南政府采购电子卖场竞价）</w:t>
      </w:r>
      <w:r>
        <w:rPr>
          <w:rFonts w:hint="eastAsia" w:ascii="宋体" w:hAnsi="宋体" w:eastAsia="宋体" w:cs="宋体"/>
          <w:color w:val="auto"/>
          <w:sz w:val="21"/>
          <w:szCs w:val="21"/>
          <w:highlight w:val="none"/>
          <w:u w:val="none"/>
          <w:lang w:val="en-US" w:eastAsia="zh-CN"/>
        </w:rPr>
        <w:t>方式</w:t>
      </w:r>
      <w:r>
        <w:rPr>
          <w:rFonts w:hint="eastAsia" w:ascii="宋体" w:hAnsi="宋体" w:eastAsia="宋体" w:cs="宋体"/>
          <w:color w:val="auto"/>
          <w:sz w:val="21"/>
          <w:szCs w:val="21"/>
          <w:highlight w:val="none"/>
          <w:lang w:val="en-US" w:eastAsia="zh-CN"/>
        </w:rPr>
        <w:t>采购</w:t>
      </w:r>
      <w:r>
        <w:rPr>
          <w:rFonts w:hint="eastAsia" w:ascii="宋体" w:hAnsi="宋体" w:eastAsia="宋体" w:cs="宋体"/>
          <w:color w:val="auto"/>
          <w:sz w:val="21"/>
          <w:szCs w:val="21"/>
          <w:highlight w:val="none"/>
          <w:u w:val="single"/>
          <w:lang w:val="en-US" w:eastAsia="zh-CN"/>
        </w:rPr>
        <w:t>彩色超声多普勒诊断仪一批</w:t>
      </w:r>
      <w:r>
        <w:rPr>
          <w:rFonts w:hint="eastAsia" w:ascii="宋体" w:hAnsi="宋体" w:eastAsia="宋体" w:cs="宋体"/>
          <w:color w:val="auto"/>
          <w:sz w:val="21"/>
          <w:szCs w:val="21"/>
          <w:highlight w:val="none"/>
          <w:lang w:val="en-US" w:eastAsia="zh-CN"/>
        </w:rPr>
        <w:t>，乙方为中标/中选供应商，</w:t>
      </w:r>
      <w:r>
        <w:rPr>
          <w:rFonts w:hint="eastAsia" w:ascii="宋体" w:hAnsi="宋体" w:eastAsia="宋体" w:cs="宋体"/>
          <w:color w:val="auto"/>
          <w:sz w:val="21"/>
          <w:szCs w:val="21"/>
          <w:highlight w:val="none"/>
          <w:u w:val="none"/>
          <w:lang w:val="en-US" w:eastAsia="zh-CN"/>
        </w:rPr>
        <w:t>项目编号：</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none"/>
          <w:lang w:val="en-US" w:eastAsia="zh-CN"/>
        </w:rPr>
        <w:t xml:space="preserve"> </w:t>
      </w:r>
      <w:r>
        <w:rPr>
          <w:rFonts w:hint="eastAsia" w:ascii="宋体" w:hAnsi="宋体" w:eastAsia="宋体" w:cs="宋体"/>
          <w:color w:val="auto"/>
          <w:sz w:val="21"/>
          <w:szCs w:val="21"/>
          <w:highlight w:val="none"/>
          <w:lang w:val="en-US" w:eastAsia="zh-CN"/>
        </w:rPr>
        <w:t>。根据《中华人民共和国民法典》《中华人民共和国政府采购法》等相关法律规定，甲乙双方在采购项目确定的基础上，就采购</w:t>
      </w:r>
      <w:r>
        <w:rPr>
          <w:rFonts w:hint="eastAsia" w:ascii="宋体" w:hAnsi="宋体" w:eastAsia="宋体" w:cs="宋体"/>
          <w:color w:val="auto"/>
          <w:sz w:val="21"/>
          <w:szCs w:val="21"/>
          <w:highlight w:val="none"/>
          <w:u w:val="single"/>
          <w:lang w:val="en-US" w:eastAsia="zh-CN"/>
        </w:rPr>
        <w:t xml:space="preserve"> 彩色超声多普勒诊断仪一批</w:t>
      </w:r>
      <w:r>
        <w:rPr>
          <w:rFonts w:hint="eastAsia" w:ascii="宋体" w:hAnsi="宋体" w:eastAsia="宋体" w:cs="宋体"/>
          <w:color w:val="auto"/>
          <w:sz w:val="21"/>
          <w:szCs w:val="21"/>
          <w:highlight w:val="none"/>
          <w:u w:val="none"/>
          <w:lang w:val="en-US" w:eastAsia="zh-CN"/>
        </w:rPr>
        <w:t>相关</w:t>
      </w:r>
      <w:r>
        <w:rPr>
          <w:rFonts w:hint="eastAsia" w:ascii="宋体" w:hAnsi="宋体" w:eastAsia="宋体" w:cs="宋体"/>
          <w:color w:val="auto"/>
          <w:sz w:val="21"/>
          <w:szCs w:val="21"/>
          <w:highlight w:val="none"/>
          <w:lang w:val="en-US" w:eastAsia="zh-CN"/>
        </w:rPr>
        <w:t>事宜平等、自愿、公平、诚信协商，达成一致，特订立本合同，以资共同遵守。</w:t>
      </w:r>
    </w:p>
    <w:p w14:paraId="06F0EC18">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22" w:firstLineChars="200"/>
        <w:jc w:val="both"/>
        <w:textAlignment w:val="auto"/>
        <w:outlineLvl w:val="2"/>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kern w:val="2"/>
          <w:sz w:val="21"/>
          <w:szCs w:val="21"/>
          <w:highlight w:val="none"/>
          <w:lang w:val="en-US" w:eastAsia="zh-CN" w:bidi="ar-SA"/>
        </w:rPr>
        <w:t xml:space="preserve">第一条  </w:t>
      </w:r>
      <w:r>
        <w:rPr>
          <w:rFonts w:hint="eastAsia" w:ascii="宋体" w:hAnsi="宋体" w:eastAsia="宋体" w:cs="宋体"/>
          <w:b/>
          <w:bCs/>
          <w:color w:val="auto"/>
          <w:sz w:val="21"/>
          <w:szCs w:val="21"/>
          <w:highlight w:val="none"/>
          <w:lang w:val="en-US" w:eastAsia="zh-CN"/>
        </w:rPr>
        <w:t>采购内容</w:t>
      </w:r>
    </w:p>
    <w:p w14:paraId="0981DEDD">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20" w:firstLineChars="20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1.1 设备名称、品牌、型号、价格</w:t>
      </w:r>
    </w:p>
    <w:tbl>
      <w:tblPr>
        <w:tblStyle w:val="47"/>
        <w:tblpPr w:leftFromText="180" w:rightFromText="180" w:vertAnchor="text" w:horzAnchor="page" w:tblpX="1965" w:tblpY="148"/>
        <w:tblOverlap w:val="never"/>
        <w:tblW w:w="84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33"/>
        <w:gridCol w:w="1116"/>
        <w:gridCol w:w="748"/>
        <w:gridCol w:w="1320"/>
        <w:gridCol w:w="940"/>
        <w:gridCol w:w="1654"/>
      </w:tblGrid>
      <w:tr w14:paraId="483CCC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2633" w:type="dxa"/>
            <w:vAlign w:val="top"/>
          </w:tcPr>
          <w:p w14:paraId="3EDEC363">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设备</w:t>
            </w:r>
            <w:r>
              <w:rPr>
                <w:rFonts w:hint="eastAsia" w:ascii="宋体" w:hAnsi="宋体" w:eastAsia="宋体" w:cs="宋体"/>
                <w:color w:val="auto"/>
                <w:kern w:val="0"/>
                <w:sz w:val="21"/>
                <w:szCs w:val="21"/>
                <w:highlight w:val="none"/>
              </w:rPr>
              <w:t>名称</w:t>
            </w:r>
          </w:p>
        </w:tc>
        <w:tc>
          <w:tcPr>
            <w:tcW w:w="1116" w:type="dxa"/>
            <w:vAlign w:val="top"/>
          </w:tcPr>
          <w:p w14:paraId="68D30D3E">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eastAsia="zh-CN"/>
              </w:rPr>
              <w:t>品牌</w:t>
            </w:r>
          </w:p>
        </w:tc>
        <w:tc>
          <w:tcPr>
            <w:tcW w:w="748" w:type="dxa"/>
            <w:vAlign w:val="top"/>
          </w:tcPr>
          <w:p w14:paraId="35C702A1">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eastAsia="zh-CN"/>
              </w:rPr>
              <w:t>型号</w:t>
            </w:r>
          </w:p>
        </w:tc>
        <w:tc>
          <w:tcPr>
            <w:tcW w:w="1320" w:type="dxa"/>
            <w:vAlign w:val="top"/>
          </w:tcPr>
          <w:p w14:paraId="7DD1C20D">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单价（元）</w:t>
            </w:r>
          </w:p>
        </w:tc>
        <w:tc>
          <w:tcPr>
            <w:tcW w:w="940" w:type="dxa"/>
            <w:vAlign w:val="top"/>
          </w:tcPr>
          <w:p w14:paraId="6C4E50CB">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数量</w:t>
            </w:r>
          </w:p>
        </w:tc>
        <w:tc>
          <w:tcPr>
            <w:tcW w:w="1654" w:type="dxa"/>
            <w:vAlign w:val="top"/>
          </w:tcPr>
          <w:p w14:paraId="718090D4">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金额（元）</w:t>
            </w:r>
          </w:p>
        </w:tc>
      </w:tr>
      <w:tr w14:paraId="09990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trPr>
        <w:tc>
          <w:tcPr>
            <w:tcW w:w="2633" w:type="dxa"/>
            <w:vAlign w:val="top"/>
          </w:tcPr>
          <w:p w14:paraId="1469BBF2">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高档彩色多普勒超声诊断仪</w:t>
            </w:r>
          </w:p>
        </w:tc>
        <w:tc>
          <w:tcPr>
            <w:tcW w:w="1116" w:type="dxa"/>
            <w:vAlign w:val="center"/>
          </w:tcPr>
          <w:p w14:paraId="15E622E1">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 xml:space="preserve"> </w:t>
            </w:r>
          </w:p>
        </w:tc>
        <w:tc>
          <w:tcPr>
            <w:tcW w:w="748" w:type="dxa"/>
            <w:vAlign w:val="top"/>
          </w:tcPr>
          <w:p w14:paraId="2F0911DC">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auto"/>
                <w:kern w:val="0"/>
                <w:sz w:val="21"/>
                <w:szCs w:val="21"/>
                <w:highlight w:val="none"/>
                <w:lang w:val="en-US" w:eastAsia="zh-CN"/>
              </w:rPr>
            </w:pPr>
          </w:p>
        </w:tc>
        <w:tc>
          <w:tcPr>
            <w:tcW w:w="1320" w:type="dxa"/>
            <w:vAlign w:val="top"/>
          </w:tcPr>
          <w:p w14:paraId="7F69A41C">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 xml:space="preserve"> </w:t>
            </w:r>
          </w:p>
        </w:tc>
        <w:tc>
          <w:tcPr>
            <w:tcW w:w="940" w:type="dxa"/>
            <w:vAlign w:val="top"/>
          </w:tcPr>
          <w:p w14:paraId="07DC1063">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auto"/>
                <w:kern w:val="0"/>
                <w:sz w:val="21"/>
                <w:szCs w:val="21"/>
                <w:highlight w:val="none"/>
                <w:lang w:val="en-US" w:eastAsia="zh-CN"/>
              </w:rPr>
            </w:pPr>
          </w:p>
        </w:tc>
        <w:tc>
          <w:tcPr>
            <w:tcW w:w="1654" w:type="dxa"/>
            <w:vAlign w:val="top"/>
          </w:tcPr>
          <w:p w14:paraId="42134765">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auto"/>
                <w:kern w:val="0"/>
                <w:sz w:val="21"/>
                <w:szCs w:val="21"/>
                <w:highlight w:val="none"/>
                <w:lang w:val="en-US" w:eastAsia="zh-CN"/>
              </w:rPr>
            </w:pPr>
          </w:p>
        </w:tc>
      </w:tr>
      <w:tr w14:paraId="25E2B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633" w:type="dxa"/>
            <w:vAlign w:val="top"/>
          </w:tcPr>
          <w:p w14:paraId="66557821">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kern w:val="0"/>
                <w:sz w:val="21"/>
                <w:szCs w:val="21"/>
                <w:highlight w:val="none"/>
                <w:lang w:val="en-US" w:eastAsia="zh-CN"/>
              </w:rPr>
            </w:pPr>
          </w:p>
        </w:tc>
        <w:tc>
          <w:tcPr>
            <w:tcW w:w="1116" w:type="dxa"/>
            <w:vAlign w:val="center"/>
          </w:tcPr>
          <w:p w14:paraId="45651026">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auto"/>
                <w:kern w:val="0"/>
                <w:sz w:val="21"/>
                <w:szCs w:val="21"/>
                <w:highlight w:val="none"/>
                <w:lang w:val="en-US" w:eastAsia="zh-CN"/>
              </w:rPr>
            </w:pPr>
          </w:p>
        </w:tc>
        <w:tc>
          <w:tcPr>
            <w:tcW w:w="748" w:type="dxa"/>
            <w:vAlign w:val="top"/>
          </w:tcPr>
          <w:p w14:paraId="34FFD298">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auto"/>
                <w:kern w:val="0"/>
                <w:sz w:val="21"/>
                <w:szCs w:val="21"/>
                <w:highlight w:val="none"/>
                <w:lang w:val="en-US" w:eastAsia="zh-CN"/>
              </w:rPr>
            </w:pPr>
          </w:p>
        </w:tc>
        <w:tc>
          <w:tcPr>
            <w:tcW w:w="1320" w:type="dxa"/>
            <w:vAlign w:val="top"/>
          </w:tcPr>
          <w:p w14:paraId="5444718B">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auto"/>
                <w:kern w:val="0"/>
                <w:sz w:val="21"/>
                <w:szCs w:val="21"/>
                <w:highlight w:val="none"/>
                <w:lang w:val="en-US" w:eastAsia="zh-CN"/>
              </w:rPr>
            </w:pPr>
          </w:p>
        </w:tc>
        <w:tc>
          <w:tcPr>
            <w:tcW w:w="940" w:type="dxa"/>
            <w:vAlign w:val="top"/>
          </w:tcPr>
          <w:p w14:paraId="7C372396">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auto"/>
                <w:kern w:val="0"/>
                <w:sz w:val="21"/>
                <w:szCs w:val="21"/>
                <w:highlight w:val="none"/>
                <w:lang w:val="en-US" w:eastAsia="zh-CN"/>
              </w:rPr>
            </w:pPr>
          </w:p>
        </w:tc>
        <w:tc>
          <w:tcPr>
            <w:tcW w:w="1654" w:type="dxa"/>
            <w:vAlign w:val="top"/>
          </w:tcPr>
          <w:p w14:paraId="7FF30339">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auto"/>
                <w:kern w:val="0"/>
                <w:sz w:val="21"/>
                <w:szCs w:val="21"/>
                <w:highlight w:val="none"/>
                <w:lang w:val="en-US" w:eastAsia="zh-CN"/>
              </w:rPr>
            </w:pPr>
          </w:p>
        </w:tc>
      </w:tr>
      <w:tr w14:paraId="7616C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8411" w:type="dxa"/>
            <w:gridSpan w:val="6"/>
            <w:vAlign w:val="top"/>
          </w:tcPr>
          <w:p w14:paraId="4117F420">
            <w:pPr>
              <w:keepNext w:val="0"/>
              <w:keepLines w:val="0"/>
              <w:pageBreakBefore w:val="0"/>
              <w:widowControl w:val="0"/>
              <w:kinsoku/>
              <w:wordWrap/>
              <w:overflowPunct/>
              <w:topLinePunct w:val="0"/>
              <w:autoSpaceDE/>
              <w:autoSpaceDN/>
              <w:bidi w:val="0"/>
              <w:adjustRightInd/>
              <w:snapToGrid/>
              <w:spacing w:line="480" w:lineRule="exact"/>
              <w:jc w:val="left"/>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rPr>
              <w:t>合计</w:t>
            </w:r>
            <w:r>
              <w:rPr>
                <w:rFonts w:hint="eastAsia" w:ascii="宋体" w:hAnsi="宋体" w:eastAsia="宋体" w:cs="宋体"/>
                <w:color w:val="auto"/>
                <w:kern w:val="0"/>
                <w:sz w:val="21"/>
                <w:szCs w:val="21"/>
                <w:highlight w:val="none"/>
                <w:lang w:eastAsia="zh-CN"/>
              </w:rPr>
              <w:t>价款</w:t>
            </w:r>
            <w:r>
              <w:rPr>
                <w:rFonts w:hint="eastAsia" w:ascii="宋体" w:hAnsi="宋体" w:eastAsia="宋体" w:cs="宋体"/>
                <w:color w:val="auto"/>
                <w:kern w:val="0"/>
                <w:sz w:val="21"/>
                <w:szCs w:val="21"/>
                <w:highlight w:val="none"/>
              </w:rPr>
              <w:t>金额人民币（大写）：</w:t>
            </w:r>
            <w:r>
              <w:rPr>
                <w:rFonts w:hint="eastAsia" w:ascii="宋体" w:hAnsi="宋体" w:eastAsia="宋体" w:cs="宋体"/>
                <w:color w:val="auto"/>
                <w:kern w:val="0"/>
                <w:sz w:val="21"/>
                <w:szCs w:val="21"/>
                <w:highlight w:val="none"/>
                <w:u w:val="single"/>
                <w:lang w:val="en-US" w:eastAsia="zh-CN"/>
              </w:rPr>
              <w:t xml:space="preserve">         </w:t>
            </w:r>
            <w:r>
              <w:rPr>
                <w:rFonts w:hint="eastAsia" w:ascii="宋体" w:hAnsi="宋体" w:eastAsia="宋体" w:cs="宋体"/>
                <w:color w:val="auto"/>
                <w:kern w:val="0"/>
                <w:sz w:val="21"/>
                <w:szCs w:val="21"/>
                <w:highlight w:val="none"/>
                <w:lang w:eastAsia="zh-CN"/>
              </w:rPr>
              <w:t>元</w:t>
            </w:r>
            <w:r>
              <w:rPr>
                <w:rFonts w:hint="eastAsia" w:ascii="宋体" w:hAnsi="宋体" w:eastAsia="宋体" w:cs="宋体"/>
                <w:color w:val="auto"/>
                <w:kern w:val="0"/>
                <w:sz w:val="21"/>
                <w:szCs w:val="21"/>
                <w:highlight w:val="none"/>
                <w:lang w:val="en-US" w:eastAsia="zh-CN"/>
              </w:rPr>
              <w:t xml:space="preserve">整      </w:t>
            </w:r>
            <w:r>
              <w:rPr>
                <w:rFonts w:hint="eastAsia" w:ascii="宋体" w:hAnsi="宋体" w:eastAsia="宋体" w:cs="宋体"/>
                <w:color w:val="auto"/>
                <w:kern w:val="0"/>
                <w:sz w:val="21"/>
                <w:szCs w:val="21"/>
                <w:highlight w:val="none"/>
              </w:rPr>
              <w:t>（小写）：</w:t>
            </w:r>
            <w:r>
              <w:rPr>
                <w:rFonts w:hint="eastAsia" w:ascii="宋体" w:hAnsi="宋体" w:eastAsia="宋体" w:cs="宋体"/>
                <w:color w:val="auto"/>
                <w:kern w:val="0"/>
                <w:sz w:val="21"/>
                <w:szCs w:val="21"/>
                <w:highlight w:val="none"/>
                <w:u w:val="single"/>
                <w:lang w:val="en-US" w:eastAsia="zh-CN"/>
              </w:rPr>
              <w:t xml:space="preserve">        </w:t>
            </w:r>
            <w:r>
              <w:rPr>
                <w:rFonts w:hint="eastAsia" w:ascii="宋体" w:hAnsi="宋体" w:eastAsia="宋体" w:cs="宋体"/>
                <w:color w:val="auto"/>
                <w:kern w:val="0"/>
                <w:sz w:val="21"/>
                <w:szCs w:val="21"/>
                <w:highlight w:val="none"/>
                <w:lang w:val="en-US" w:eastAsia="zh-CN"/>
              </w:rPr>
              <w:t>元</w:t>
            </w:r>
          </w:p>
        </w:tc>
      </w:tr>
    </w:tbl>
    <w:p w14:paraId="011B13E6">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20" w:firstLineChars="20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1.2 本合同约定价格为（□固定总价□固定单价），不因物价、市场波动变更，约定价格包括且不限于设计费、材料费、人工费、安装费、包装费、运输费、装卸费、调试费、接口费、检测费、检验费、税费、保险费、售后服务费、附随服务费等在内所有费用。 </w:t>
      </w:r>
    </w:p>
    <w:p w14:paraId="59AE944B">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1.3 □</w:t>
      </w:r>
      <w:r>
        <w:rPr>
          <w:rFonts w:hint="eastAsia" w:ascii="宋体" w:hAnsi="宋体" w:eastAsia="宋体" w:cs="宋体"/>
          <w:color w:val="auto"/>
          <w:sz w:val="21"/>
          <w:szCs w:val="21"/>
          <w:highlight w:val="none"/>
        </w:rPr>
        <w:t>本合同设备</w:t>
      </w:r>
      <w:r>
        <w:rPr>
          <w:rFonts w:hint="eastAsia" w:ascii="宋体" w:hAnsi="宋体" w:eastAsia="宋体" w:cs="宋体"/>
          <w:color w:val="auto"/>
          <w:sz w:val="21"/>
          <w:szCs w:val="21"/>
          <w:highlight w:val="none"/>
          <w:lang w:eastAsia="zh-CN"/>
        </w:rPr>
        <w:t>无需</w:t>
      </w:r>
      <w:r>
        <w:rPr>
          <w:rFonts w:hint="eastAsia" w:ascii="宋体" w:hAnsi="宋体" w:eastAsia="宋体" w:cs="宋体"/>
          <w:color w:val="auto"/>
          <w:sz w:val="21"/>
          <w:szCs w:val="21"/>
          <w:highlight w:val="none"/>
        </w:rPr>
        <w:t>与甲方</w:t>
      </w:r>
      <w:r>
        <w:rPr>
          <w:rFonts w:hint="eastAsia" w:ascii="宋体" w:hAnsi="宋体" w:eastAsia="宋体" w:cs="宋体"/>
          <w:color w:val="auto"/>
          <w:sz w:val="21"/>
          <w:szCs w:val="21"/>
          <w:highlight w:val="none"/>
          <w:lang w:eastAsia="zh-CN"/>
        </w:rPr>
        <w:t>使用的</w:t>
      </w:r>
      <w:r>
        <w:rPr>
          <w:rFonts w:hint="eastAsia" w:ascii="宋体" w:hAnsi="宋体" w:eastAsia="宋体" w:cs="宋体"/>
          <w:color w:val="auto"/>
          <w:sz w:val="21"/>
          <w:szCs w:val="21"/>
          <w:highlight w:val="none"/>
        </w:rPr>
        <w:t>信息系统</w:t>
      </w:r>
      <w:r>
        <w:rPr>
          <w:rFonts w:hint="eastAsia" w:ascii="宋体" w:hAnsi="宋体" w:eastAsia="宋体" w:cs="宋体"/>
          <w:color w:val="auto"/>
          <w:sz w:val="21"/>
          <w:szCs w:val="21"/>
          <w:highlight w:val="none"/>
          <w:lang w:eastAsia="zh-CN"/>
        </w:rPr>
        <w:t>对接。</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rPr>
        <w:t>本合同设备</w:t>
      </w:r>
      <w:r>
        <w:rPr>
          <w:rFonts w:hint="eastAsia" w:ascii="宋体" w:hAnsi="宋体" w:eastAsia="宋体" w:cs="宋体"/>
          <w:color w:val="auto"/>
          <w:sz w:val="21"/>
          <w:szCs w:val="21"/>
          <w:highlight w:val="none"/>
          <w:lang w:eastAsia="zh-CN"/>
        </w:rPr>
        <w:t>需要</w:t>
      </w:r>
      <w:r>
        <w:rPr>
          <w:rFonts w:hint="eastAsia" w:ascii="宋体" w:hAnsi="宋体" w:eastAsia="宋体" w:cs="宋体"/>
          <w:color w:val="auto"/>
          <w:sz w:val="21"/>
          <w:szCs w:val="21"/>
          <w:highlight w:val="none"/>
        </w:rPr>
        <w:t>与甲方</w:t>
      </w:r>
      <w:r>
        <w:rPr>
          <w:rFonts w:hint="eastAsia" w:ascii="宋体" w:hAnsi="宋体" w:eastAsia="宋体" w:cs="宋体"/>
          <w:color w:val="auto"/>
          <w:sz w:val="21"/>
          <w:szCs w:val="21"/>
          <w:highlight w:val="none"/>
          <w:lang w:eastAsia="zh-CN"/>
        </w:rPr>
        <w:t>使用的</w:t>
      </w:r>
      <w:r>
        <w:rPr>
          <w:rFonts w:hint="eastAsia" w:ascii="宋体" w:hAnsi="宋体" w:eastAsia="宋体" w:cs="宋体"/>
          <w:color w:val="auto"/>
          <w:sz w:val="21"/>
          <w:szCs w:val="21"/>
          <w:highlight w:val="none"/>
        </w:rPr>
        <w:t>信息系统</w:t>
      </w:r>
      <w:r>
        <w:rPr>
          <w:rFonts w:hint="eastAsia" w:ascii="宋体" w:hAnsi="宋体" w:eastAsia="宋体" w:cs="宋体"/>
          <w:color w:val="auto"/>
          <w:sz w:val="21"/>
          <w:szCs w:val="21"/>
          <w:highlight w:val="none"/>
          <w:lang w:eastAsia="zh-CN"/>
        </w:rPr>
        <w:t>对接，因</w:t>
      </w:r>
      <w:r>
        <w:rPr>
          <w:rFonts w:hint="eastAsia" w:ascii="宋体" w:hAnsi="宋体" w:eastAsia="宋体" w:cs="宋体"/>
          <w:color w:val="auto"/>
          <w:sz w:val="21"/>
          <w:szCs w:val="21"/>
          <w:highlight w:val="none"/>
        </w:rPr>
        <w:t>对接产生的接口开发等</w:t>
      </w:r>
      <w:r>
        <w:rPr>
          <w:rFonts w:hint="eastAsia" w:ascii="宋体" w:hAnsi="宋体" w:eastAsia="宋体" w:cs="宋体"/>
          <w:color w:val="auto"/>
          <w:sz w:val="21"/>
          <w:szCs w:val="21"/>
          <w:highlight w:val="none"/>
          <w:lang w:eastAsia="zh-CN"/>
        </w:rPr>
        <w:t>乙方及第三方需要收取的</w:t>
      </w:r>
      <w:r>
        <w:rPr>
          <w:rFonts w:hint="eastAsia" w:ascii="宋体" w:hAnsi="宋体" w:eastAsia="宋体" w:cs="宋体"/>
          <w:color w:val="auto"/>
          <w:sz w:val="21"/>
          <w:szCs w:val="21"/>
          <w:highlight w:val="none"/>
        </w:rPr>
        <w:t>全部费用均由乙方承担。</w:t>
      </w:r>
    </w:p>
    <w:p w14:paraId="1CC32993">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leftChars="0" w:firstLine="422" w:firstLineChars="200"/>
        <w:jc w:val="both"/>
        <w:textAlignment w:val="auto"/>
        <w:outlineLvl w:val="2"/>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kern w:val="2"/>
          <w:sz w:val="21"/>
          <w:szCs w:val="21"/>
          <w:highlight w:val="none"/>
          <w:lang w:val="en-US" w:eastAsia="zh-CN" w:bidi="ar-SA"/>
        </w:rPr>
        <w:t xml:space="preserve">第二条  </w:t>
      </w:r>
      <w:r>
        <w:rPr>
          <w:rFonts w:hint="eastAsia" w:ascii="宋体" w:hAnsi="宋体" w:eastAsia="宋体" w:cs="宋体"/>
          <w:b/>
          <w:bCs/>
          <w:color w:val="auto"/>
          <w:sz w:val="21"/>
          <w:szCs w:val="21"/>
          <w:highlight w:val="none"/>
          <w:lang w:val="en-US" w:eastAsia="zh-CN"/>
        </w:rPr>
        <w:t>交货时间、地点、运输、装卸、搬运</w:t>
      </w:r>
    </w:p>
    <w:p w14:paraId="063814F4">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20" w:firstLineChars="20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2.1 交货时间：乙方应在（</w:t>
      </w:r>
      <w:r>
        <w:rPr>
          <w:rFonts w:hint="eastAsia" w:ascii="宋体" w:hAnsi="宋体" w:eastAsia="宋体" w:cs="宋体"/>
          <w:color w:val="auto"/>
          <w:sz w:val="21"/>
          <w:szCs w:val="21"/>
          <w:highlight w:val="none"/>
          <w:u w:val="none"/>
          <w:lang w:val="en-US" w:eastAsia="zh-CN"/>
        </w:rPr>
        <w:t>□自接到甲方通知之日起</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none"/>
          <w:lang w:val="en-US" w:eastAsia="zh-CN"/>
        </w:rPr>
        <w:t>日内□</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none"/>
          <w:lang w:val="en-US" w:eastAsia="zh-CN"/>
        </w:rPr>
        <w:t>年</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none"/>
          <w:lang w:val="en-US" w:eastAsia="zh-CN"/>
        </w:rPr>
        <w:t>月</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none"/>
          <w:lang w:val="en-US" w:eastAsia="zh-CN"/>
        </w:rPr>
        <w:t>日之前）</w:t>
      </w:r>
      <w:r>
        <w:rPr>
          <w:rFonts w:hint="eastAsia" w:ascii="宋体" w:hAnsi="宋体" w:eastAsia="宋体" w:cs="宋体"/>
          <w:color w:val="auto"/>
          <w:sz w:val="21"/>
          <w:szCs w:val="21"/>
          <w:highlight w:val="none"/>
          <w:lang w:val="en-US" w:eastAsia="zh-CN"/>
        </w:rPr>
        <w:t>将设备运至甲方指定交货地点，并在（</w:t>
      </w:r>
      <w:r>
        <w:rPr>
          <w:rFonts w:hint="eastAsia" w:ascii="宋体" w:hAnsi="宋体" w:eastAsia="宋体" w:cs="宋体"/>
          <w:color w:val="auto"/>
          <w:sz w:val="21"/>
          <w:szCs w:val="21"/>
          <w:highlight w:val="none"/>
          <w:u w:val="none"/>
          <w:lang w:val="en-US" w:eastAsia="zh-CN"/>
        </w:rPr>
        <w:t>□到货后</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none"/>
          <w:lang w:val="en-US" w:eastAsia="zh-CN"/>
        </w:rPr>
        <w:t>日内□</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none"/>
          <w:lang w:val="en-US" w:eastAsia="zh-CN"/>
        </w:rPr>
        <w:t>年</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none"/>
          <w:lang w:val="en-US" w:eastAsia="zh-CN"/>
        </w:rPr>
        <w:t>月</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none"/>
          <w:lang w:val="en-US" w:eastAsia="zh-CN"/>
        </w:rPr>
        <w:t>日之前）</w:t>
      </w:r>
      <w:r>
        <w:rPr>
          <w:rFonts w:hint="eastAsia" w:ascii="宋体" w:hAnsi="宋体" w:eastAsia="宋体" w:cs="宋体"/>
          <w:color w:val="auto"/>
          <w:sz w:val="21"/>
          <w:szCs w:val="21"/>
          <w:highlight w:val="none"/>
          <w:lang w:val="en-US" w:eastAsia="zh-CN"/>
        </w:rPr>
        <w:t>完成安装、调试，办理验收手续并交付甲方使用。</w:t>
      </w:r>
    </w:p>
    <w:p w14:paraId="6F612A45">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20" w:firstLineChars="20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2.2 甲方指定交货地点：湖南省娄底市娄星区长青中街51号 娄底市中心医院设备科。 </w:t>
      </w:r>
    </w:p>
    <w:p w14:paraId="3546F410">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20" w:firstLineChars="20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2.3 运输、装卸、搬运：由乙方自备交通运输工具将设备运至合同约定地点，并负责设备装卸、搬运的人工及费用。</w:t>
      </w:r>
    </w:p>
    <w:p w14:paraId="60F54340">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22" w:firstLineChars="200"/>
        <w:jc w:val="both"/>
        <w:textAlignment w:val="auto"/>
        <w:outlineLvl w:val="2"/>
        <w:rPr>
          <w:rFonts w:hint="eastAsia" w:ascii="宋体" w:hAnsi="宋体" w:eastAsia="宋体" w:cs="宋体"/>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第三条 质量标准、质量验收、包装要求</w:t>
      </w:r>
    </w:p>
    <w:p w14:paraId="0DBC8AD7">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20" w:firstLineChars="20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3.1 质量标准：乙方提供设备的质量、安装应符合或优于国家标准；如投标文件/响应文件中的技术参数和质量标准高于国家标准，则设备的技术参数和质量标准以投标文件/响应文件为准；如乙方应交付的设备属于国产设备，则应保证该设备为交付时起近</w:t>
      </w:r>
      <w:r>
        <w:rPr>
          <w:rFonts w:hint="eastAsia" w:ascii="宋体" w:hAnsi="宋体" w:eastAsia="宋体" w:cs="宋体"/>
          <w:color w:val="auto"/>
          <w:sz w:val="21"/>
          <w:szCs w:val="21"/>
          <w:highlight w:val="none"/>
          <w:lang w:eastAsia="zh-CN"/>
        </w:rPr>
        <w:t>6个月内生产的产品；</w:t>
      </w:r>
      <w:r>
        <w:rPr>
          <w:rFonts w:hint="eastAsia" w:ascii="宋体" w:hAnsi="宋体" w:eastAsia="宋体" w:cs="宋体"/>
          <w:color w:val="auto"/>
          <w:sz w:val="21"/>
          <w:szCs w:val="21"/>
          <w:highlight w:val="none"/>
          <w:lang w:val="en-US" w:eastAsia="zh-CN"/>
        </w:rPr>
        <w:t>如乙方应交付的设备属于进口设备，则应保证该设备</w:t>
      </w:r>
      <w:r>
        <w:rPr>
          <w:rFonts w:hint="eastAsia" w:ascii="宋体" w:hAnsi="宋体" w:eastAsia="宋体" w:cs="宋体"/>
          <w:color w:val="auto"/>
          <w:sz w:val="21"/>
          <w:szCs w:val="21"/>
          <w:highlight w:val="none"/>
          <w:lang w:eastAsia="zh-CN"/>
        </w:rPr>
        <w:t>为</w:t>
      </w:r>
      <w:r>
        <w:rPr>
          <w:rFonts w:hint="eastAsia" w:ascii="宋体" w:hAnsi="宋体" w:eastAsia="宋体" w:cs="宋体"/>
          <w:color w:val="auto"/>
          <w:sz w:val="21"/>
          <w:szCs w:val="21"/>
          <w:highlight w:val="none"/>
          <w:lang w:val="en-US" w:eastAsia="zh-CN"/>
        </w:rPr>
        <w:t>交付时起近一年</w:t>
      </w:r>
      <w:r>
        <w:rPr>
          <w:rFonts w:hint="eastAsia" w:ascii="宋体" w:hAnsi="宋体" w:eastAsia="宋体" w:cs="宋体"/>
          <w:color w:val="auto"/>
          <w:sz w:val="21"/>
          <w:szCs w:val="21"/>
          <w:highlight w:val="none"/>
          <w:lang w:eastAsia="zh-CN"/>
        </w:rPr>
        <w:t>内生产的产品</w:t>
      </w:r>
      <w:r>
        <w:rPr>
          <w:rFonts w:hint="eastAsia" w:ascii="宋体" w:hAnsi="宋体" w:eastAsia="宋体" w:cs="宋体"/>
          <w:color w:val="auto"/>
          <w:sz w:val="21"/>
          <w:szCs w:val="21"/>
          <w:highlight w:val="none"/>
          <w:lang w:val="en-US" w:eastAsia="zh-CN"/>
        </w:rPr>
        <w:t>。</w:t>
      </w:r>
    </w:p>
    <w:p w14:paraId="619DD7DA">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20" w:firstLineChars="20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3.2 质量验收：以本合同约定标准按以下方式进行验收： </w:t>
      </w:r>
    </w:p>
    <w:p w14:paraId="1F6499C6">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20" w:firstLineChars="20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3.2.1 到货验收：乙方将设备运至指定交货地点后，应通知甲方，并向甲方提供厂家标准资料文件（进口设备需提供真实有效的海关报关单，其他设备需提供产品合格证）和原厂售后质保承诺书。甲方自接到乙方通知之日起</w:t>
      </w:r>
      <w:r>
        <w:rPr>
          <w:rFonts w:hint="eastAsia" w:ascii="宋体" w:hAnsi="宋体" w:eastAsia="宋体" w:cs="宋体"/>
          <w:color w:val="auto"/>
          <w:sz w:val="21"/>
          <w:szCs w:val="21"/>
          <w:highlight w:val="none"/>
          <w:u w:val="single"/>
          <w:lang w:val="en-US" w:eastAsia="zh-CN"/>
        </w:rPr>
        <w:t xml:space="preserve"> 7</w:t>
      </w:r>
      <w:r>
        <w:rPr>
          <w:rFonts w:hint="eastAsia" w:ascii="宋体" w:hAnsi="宋体" w:eastAsia="宋体" w:cs="宋体"/>
          <w:color w:val="auto"/>
          <w:sz w:val="21"/>
          <w:szCs w:val="21"/>
          <w:highlight w:val="none"/>
          <w:lang w:val="en-US" w:eastAsia="zh-CN"/>
        </w:rPr>
        <w:t>日内组织人员对设备按合同约定及厂家出厂装箱单进行到货验收，经甲方验收合格后签署验收报告单，乙方方可进行现场拆包、安装、调试、培训。如经甲方验收不合格，乙方应在</w:t>
      </w:r>
      <w:r>
        <w:rPr>
          <w:rFonts w:hint="eastAsia" w:ascii="宋体" w:hAnsi="宋体" w:eastAsia="宋体" w:cs="宋体"/>
          <w:color w:val="auto"/>
          <w:sz w:val="21"/>
          <w:szCs w:val="21"/>
          <w:highlight w:val="none"/>
          <w:u w:val="single"/>
          <w:lang w:val="en-US" w:eastAsia="zh-CN"/>
        </w:rPr>
        <w:t xml:space="preserve"> 7</w:t>
      </w:r>
      <w:r>
        <w:rPr>
          <w:rFonts w:hint="eastAsia" w:ascii="宋体" w:hAnsi="宋体" w:eastAsia="宋体" w:cs="宋体"/>
          <w:color w:val="auto"/>
          <w:sz w:val="21"/>
          <w:szCs w:val="21"/>
          <w:highlight w:val="none"/>
          <w:lang w:val="en-US" w:eastAsia="zh-CN"/>
        </w:rPr>
        <w:t>日内无条件予以更换。</w:t>
      </w:r>
    </w:p>
    <w:p w14:paraId="202D9546">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20" w:firstLineChars="20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3.2.2 总体验收：乙方将设备全部拆包、安装、调试、培训后应及时通知甲方，甲方自接到乙方通知之日起</w:t>
      </w:r>
      <w:r>
        <w:rPr>
          <w:rFonts w:hint="eastAsia" w:ascii="宋体" w:hAnsi="宋体" w:eastAsia="宋体" w:cs="宋体"/>
          <w:color w:val="auto"/>
          <w:sz w:val="21"/>
          <w:szCs w:val="21"/>
          <w:highlight w:val="none"/>
          <w:u w:val="single"/>
          <w:lang w:val="en-US" w:eastAsia="zh-CN"/>
        </w:rPr>
        <w:t>7</w:t>
      </w:r>
      <w:r>
        <w:rPr>
          <w:rFonts w:hint="eastAsia" w:ascii="宋体" w:hAnsi="宋体" w:eastAsia="宋体" w:cs="宋体"/>
          <w:color w:val="auto"/>
          <w:sz w:val="21"/>
          <w:szCs w:val="21"/>
          <w:highlight w:val="none"/>
          <w:lang w:val="en-US" w:eastAsia="zh-CN"/>
        </w:rPr>
        <w:t>日内自行组织或委托第三方进行总体验收，验收合格后签署总体验收报告单。如经甲方或第三方验收不合格，乙方应在</w:t>
      </w:r>
      <w:r>
        <w:rPr>
          <w:rFonts w:hint="eastAsia" w:ascii="宋体" w:hAnsi="宋体" w:eastAsia="宋体" w:cs="宋体"/>
          <w:color w:val="auto"/>
          <w:sz w:val="21"/>
          <w:szCs w:val="21"/>
          <w:highlight w:val="none"/>
          <w:u w:val="single"/>
          <w:lang w:val="en-US" w:eastAsia="zh-CN"/>
        </w:rPr>
        <w:t xml:space="preserve"> 7</w:t>
      </w:r>
      <w:r>
        <w:rPr>
          <w:rFonts w:hint="eastAsia" w:ascii="宋体" w:hAnsi="宋体" w:eastAsia="宋体" w:cs="宋体"/>
          <w:color w:val="auto"/>
          <w:sz w:val="21"/>
          <w:szCs w:val="21"/>
          <w:highlight w:val="none"/>
          <w:lang w:val="en-US" w:eastAsia="zh-CN"/>
        </w:rPr>
        <w:t>日内无条件予以返工并承担所有费用。</w:t>
      </w:r>
    </w:p>
    <w:p w14:paraId="4A32F1AC">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20" w:firstLineChars="20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3.2.3 甲方验收时如发现乙方所交付、安装的设备不符合本合同约定，甲方应做出详尽的现场记录，由甲乙双方签署备忘录，该现场记录和备忘录作为乙方补交缺少部件、更换不符标准部件的有效依据，由此产生的一切经济损失由乙方承担。</w:t>
      </w:r>
    </w:p>
    <w:p w14:paraId="01D99466">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20" w:firstLineChars="20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3.3 包装要求：乙方提供的设备必须为原厂包装，外包装到货时应保证完好无损，否则甲方有权拒绝收货，由此造成的延期交货违约责任和一切经济损失全部由乙方承担。</w:t>
      </w:r>
    </w:p>
    <w:p w14:paraId="1918CC53">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22" w:firstLineChars="200"/>
        <w:jc w:val="both"/>
        <w:textAlignment w:val="auto"/>
        <w:outlineLvl w:val="2"/>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第四条 安装、培训等事项</w:t>
      </w:r>
    </w:p>
    <w:p w14:paraId="7E622231">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20" w:firstLineChars="20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4.1 甲方负责协调、处理与安装、调试有关事宜，为乙方创造良好的安装、调试环境。</w:t>
      </w:r>
    </w:p>
    <w:p w14:paraId="19E3ECC1">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20" w:firstLineChars="20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4.2 甲方委派</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邓时敏</w:t>
      </w:r>
      <w:r>
        <w:rPr>
          <w:rFonts w:hint="eastAsia" w:ascii="宋体" w:hAnsi="宋体" w:eastAsia="宋体" w:cs="宋体"/>
          <w:color w:val="auto"/>
          <w:sz w:val="21"/>
          <w:szCs w:val="21"/>
          <w:highlight w:val="none"/>
          <w:u w:val="single"/>
          <w:lang w:val="en-US" w:eastAsia="zh-CN"/>
        </w:rPr>
        <w:t xml:space="preserve">13723814432 </w:t>
      </w:r>
      <w:r>
        <w:rPr>
          <w:rFonts w:hint="eastAsia" w:ascii="宋体" w:hAnsi="宋体" w:eastAsia="宋体" w:cs="宋体"/>
          <w:color w:val="auto"/>
          <w:sz w:val="21"/>
          <w:szCs w:val="21"/>
          <w:highlight w:val="none"/>
          <w:lang w:val="en-US" w:eastAsia="zh-CN"/>
        </w:rPr>
        <w:t>作为代表，跟踪、检查安装、调试现场。</w:t>
      </w:r>
    </w:p>
    <w:p w14:paraId="46A6EF74">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20" w:firstLineChars="20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4.3 乙方负责对甲方的操作人员进行免费培训。</w:t>
      </w:r>
    </w:p>
    <w:p w14:paraId="7C41042A">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20" w:firstLineChars="20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4.4 乙方在安装、调试过程中应加强操作人员的安全教育，杜绝安全事故的发生。 </w:t>
      </w:r>
    </w:p>
    <w:p w14:paraId="4974DD80">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22" w:firstLineChars="200"/>
        <w:jc w:val="both"/>
        <w:textAlignment w:val="auto"/>
        <w:outlineLvl w:val="2"/>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第五条 售后服务</w:t>
      </w:r>
    </w:p>
    <w:p w14:paraId="4B7290F8">
      <w:pPr>
        <w:keepNext w:val="0"/>
        <w:keepLines w:val="0"/>
        <w:pageBreakBefore w:val="0"/>
        <w:widowControl w:val="0"/>
        <w:numPr>
          <w:ilvl w:val="-1"/>
          <w:numId w:val="0"/>
        </w:numPr>
        <w:kinsoku/>
        <w:wordWrap/>
        <w:overflowPunct/>
        <w:topLinePunct w:val="0"/>
        <w:autoSpaceDE/>
        <w:autoSpaceDN/>
        <w:bidi w:val="0"/>
        <w:adjustRightInd/>
        <w:snapToGrid/>
        <w:spacing w:line="480" w:lineRule="exact"/>
        <w:ind w:firstLine="420" w:firstLineChars="20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5.1 本合同设备质保期为</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lang w:val="en-US" w:eastAsia="zh-CN"/>
        </w:rPr>
        <w:t>年，自甲方在总体验收报告单上签字确认合格之日起开始计算。</w:t>
      </w:r>
    </w:p>
    <w:p w14:paraId="24376201">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20" w:firstLineChars="20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5.2 </w:t>
      </w:r>
      <w:r>
        <w:rPr>
          <w:rFonts w:hint="eastAsia" w:ascii="宋体" w:hAnsi="宋体" w:eastAsia="宋体" w:cs="宋体"/>
          <w:color w:val="auto"/>
          <w:sz w:val="21"/>
          <w:szCs w:val="21"/>
          <w:highlight w:val="none"/>
        </w:rPr>
        <w:t>乙方在质保期内免费提供维修、更换、保养、咨询等服务。</w:t>
      </w:r>
      <w:r>
        <w:rPr>
          <w:rFonts w:hint="eastAsia" w:ascii="宋体" w:hAnsi="宋体" w:eastAsia="宋体" w:cs="宋体"/>
          <w:color w:val="auto"/>
          <w:sz w:val="21"/>
          <w:szCs w:val="21"/>
          <w:highlight w:val="none"/>
          <w:lang w:val="en-US" w:eastAsia="zh-CN"/>
        </w:rPr>
        <w:t>如设备在</w:t>
      </w:r>
      <w:r>
        <w:rPr>
          <w:rFonts w:hint="eastAsia" w:ascii="宋体" w:hAnsi="宋体" w:eastAsia="宋体" w:cs="宋体"/>
          <w:color w:val="auto"/>
          <w:sz w:val="21"/>
          <w:szCs w:val="21"/>
          <w:highlight w:val="none"/>
        </w:rPr>
        <w:t>质</w:t>
      </w:r>
      <w:r>
        <w:rPr>
          <w:rFonts w:hint="eastAsia" w:ascii="宋体" w:hAnsi="宋体" w:eastAsia="宋体" w:cs="宋体"/>
          <w:color w:val="auto"/>
          <w:sz w:val="21"/>
          <w:szCs w:val="21"/>
          <w:highlight w:val="none"/>
          <w:lang w:val="en-US" w:eastAsia="zh-CN"/>
        </w:rPr>
        <w:t>保期内出现质量问题，乙方应在接到甲方通知（包括电话通知）后</w:t>
      </w:r>
      <w:r>
        <w:rPr>
          <w:rFonts w:hint="eastAsia" w:ascii="宋体" w:hAnsi="宋体" w:eastAsia="宋体" w:cs="宋体"/>
          <w:color w:val="auto"/>
          <w:sz w:val="21"/>
          <w:szCs w:val="21"/>
          <w:highlight w:val="none"/>
          <w:u w:val="single"/>
          <w:lang w:val="en-US" w:eastAsia="zh-CN"/>
        </w:rPr>
        <w:t>1</w:t>
      </w:r>
      <w:r>
        <w:rPr>
          <w:rFonts w:hint="eastAsia" w:ascii="宋体" w:hAnsi="宋体" w:eastAsia="宋体" w:cs="宋体"/>
          <w:color w:val="auto"/>
          <w:sz w:val="21"/>
          <w:szCs w:val="21"/>
          <w:highlight w:val="none"/>
          <w:lang w:val="en-US" w:eastAsia="zh-CN"/>
        </w:rPr>
        <w:t>小时内响应，响应后</w:t>
      </w:r>
    </w:p>
    <w:p w14:paraId="1B4B460C">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u w:val="single"/>
          <w:lang w:val="en-US" w:eastAsia="zh-CN"/>
        </w:rPr>
        <w:t>24</w:t>
      </w:r>
      <w:r>
        <w:rPr>
          <w:rFonts w:hint="eastAsia" w:ascii="宋体" w:hAnsi="宋体" w:eastAsia="宋体" w:cs="宋体"/>
          <w:color w:val="auto"/>
          <w:sz w:val="21"/>
          <w:szCs w:val="21"/>
          <w:highlight w:val="none"/>
          <w:lang w:val="en-US" w:eastAsia="zh-CN"/>
        </w:rPr>
        <w:t>小时内赶到甲方提供服务，相关费用由乙方承担。如乙方不及时提供服务，甲方有权委托第三方提供</w:t>
      </w:r>
      <w:r>
        <w:rPr>
          <w:rFonts w:hint="eastAsia" w:ascii="宋体" w:hAnsi="宋体" w:eastAsia="宋体" w:cs="宋体"/>
          <w:color w:val="auto"/>
          <w:sz w:val="21"/>
          <w:szCs w:val="21"/>
          <w:highlight w:val="none"/>
        </w:rPr>
        <w:t>维修、更换、保养、咨询等服务</w:t>
      </w:r>
      <w:r>
        <w:rPr>
          <w:rFonts w:hint="eastAsia" w:ascii="宋体" w:hAnsi="宋体" w:eastAsia="宋体" w:cs="宋体"/>
          <w:color w:val="auto"/>
          <w:sz w:val="21"/>
          <w:szCs w:val="21"/>
          <w:highlight w:val="none"/>
          <w:lang w:val="en-US" w:eastAsia="zh-CN"/>
        </w:rPr>
        <w:t>，由此产生的相关费用，甲方有权在应付款中扣除、不足部分由乙方另行补足，或要求乙方将第三方提供服务产生的相关费用直接支付给甲方。</w:t>
      </w:r>
    </w:p>
    <w:p w14:paraId="40C63A74">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479" w:leftChars="228" w:firstLine="0" w:firstLineChars="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5.3 质保期内，乙方每年至少对设备进行一次巡检并向甲方提交巡检记录。</w:t>
      </w:r>
    </w:p>
    <w:p w14:paraId="1079FCC1">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20" w:firstLineChars="20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5.4 质保期届满后，如设备出现问题，乙方应在接到甲方通知（包括电话通知）后</w:t>
      </w:r>
      <w:r>
        <w:rPr>
          <w:rFonts w:hint="eastAsia" w:ascii="宋体" w:hAnsi="宋体" w:eastAsia="宋体" w:cs="宋体"/>
          <w:color w:val="auto"/>
          <w:sz w:val="21"/>
          <w:szCs w:val="21"/>
          <w:highlight w:val="none"/>
          <w:u w:val="single"/>
          <w:lang w:val="en-US" w:eastAsia="zh-CN"/>
        </w:rPr>
        <w:t xml:space="preserve"> 1 </w:t>
      </w:r>
      <w:r>
        <w:rPr>
          <w:rFonts w:hint="eastAsia" w:ascii="宋体" w:hAnsi="宋体" w:eastAsia="宋体" w:cs="宋体"/>
          <w:color w:val="auto"/>
          <w:sz w:val="21"/>
          <w:szCs w:val="21"/>
          <w:highlight w:val="none"/>
          <w:lang w:val="en-US" w:eastAsia="zh-CN"/>
        </w:rPr>
        <w:t>小时内响应，响应后</w:t>
      </w:r>
      <w:r>
        <w:rPr>
          <w:rFonts w:hint="eastAsia" w:ascii="宋体" w:hAnsi="宋体" w:eastAsia="宋体" w:cs="宋体"/>
          <w:color w:val="auto"/>
          <w:sz w:val="21"/>
          <w:szCs w:val="21"/>
          <w:highlight w:val="none"/>
          <w:u w:val="single"/>
          <w:lang w:val="en-US" w:eastAsia="zh-CN"/>
        </w:rPr>
        <w:t>24</w:t>
      </w:r>
      <w:r>
        <w:rPr>
          <w:rFonts w:hint="eastAsia" w:ascii="宋体" w:hAnsi="宋体" w:eastAsia="宋体" w:cs="宋体"/>
          <w:color w:val="auto"/>
          <w:sz w:val="21"/>
          <w:szCs w:val="21"/>
          <w:highlight w:val="none"/>
          <w:lang w:val="en-US" w:eastAsia="zh-CN"/>
        </w:rPr>
        <w:t>小时上门服务，相关费用由甲方承担。</w:t>
      </w:r>
    </w:p>
    <w:p w14:paraId="6838A217">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20" w:firstLineChars="200"/>
        <w:textAlignment w:val="auto"/>
        <w:rPr>
          <w:rFonts w:hint="eastAsia" w:ascii="宋体" w:hAnsi="宋体" w:eastAsia="宋体" w:cs="宋体"/>
          <w:b w:val="0"/>
          <w:color w:val="auto"/>
          <w:sz w:val="21"/>
          <w:szCs w:val="21"/>
          <w:highlight w:val="none"/>
          <w:lang w:val="en-US" w:eastAsia="zh-CN"/>
        </w:rPr>
      </w:pPr>
      <w:r>
        <w:rPr>
          <w:rFonts w:hint="eastAsia" w:ascii="宋体" w:hAnsi="宋体" w:eastAsia="宋体" w:cs="宋体"/>
          <w:color w:val="auto"/>
          <w:sz w:val="21"/>
          <w:szCs w:val="21"/>
          <w:highlight w:val="none"/>
        </w:rPr>
        <w:t>5</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 xml:space="preserve">5 </w:t>
      </w:r>
      <w:r>
        <w:rPr>
          <w:rFonts w:hint="eastAsia" w:ascii="宋体" w:hAnsi="宋体" w:eastAsia="宋体" w:cs="宋体"/>
          <w:color w:val="auto"/>
          <w:sz w:val="21"/>
          <w:szCs w:val="21"/>
          <w:highlight w:val="none"/>
        </w:rPr>
        <w:t>乙方须指派</w:t>
      </w:r>
      <w:r>
        <w:rPr>
          <w:rFonts w:hint="eastAsia" w:ascii="宋体" w:hAnsi="宋体" w:eastAsia="宋体" w:cs="宋体"/>
          <w:color w:val="auto"/>
          <w:sz w:val="21"/>
          <w:szCs w:val="21"/>
          <w:highlight w:val="none"/>
          <w:u w:val="non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电话：</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专门负责与甲方联系售后服务事宜，如人员发生变动，应及时通知甲方。</w:t>
      </w:r>
    </w:p>
    <w:p w14:paraId="12855BE6">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22" w:firstLineChars="200"/>
        <w:jc w:val="both"/>
        <w:textAlignment w:val="auto"/>
        <w:outlineLvl w:val="2"/>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第六条 付款时间、方式</w:t>
      </w:r>
    </w:p>
    <w:p w14:paraId="3A77BC60">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20" w:firstLineChars="20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6.1 甲方通过银行转账方式向乙方指定银行账户支付款项；甲方在总体验收报告单上签字确认合格之日起4个月内，向乙方支付</w:t>
      </w:r>
      <w:r>
        <w:rPr>
          <w:rFonts w:hint="eastAsia" w:ascii="宋体" w:hAnsi="宋体" w:eastAsia="宋体" w:cs="宋体"/>
          <w:color w:val="auto"/>
          <w:sz w:val="21"/>
          <w:szCs w:val="21"/>
          <w:highlight w:val="none"/>
          <w:u w:val="none"/>
          <w:lang w:val="en-US" w:eastAsia="zh-CN"/>
        </w:rPr>
        <w:t>合同约定总价款</w:t>
      </w:r>
      <w:r>
        <w:rPr>
          <w:rFonts w:hint="eastAsia" w:ascii="宋体" w:hAnsi="宋体" w:eastAsia="宋体" w:cs="宋体"/>
          <w:color w:val="auto"/>
          <w:sz w:val="21"/>
          <w:szCs w:val="21"/>
          <w:highlight w:val="none"/>
          <w:lang w:val="en-US" w:eastAsia="zh-CN"/>
        </w:rPr>
        <w:t>的90%；余款10%，甲方在质保期届满且不存在需被扣除情形之日起10个工作日内，免息支付给乙方。</w:t>
      </w:r>
    </w:p>
    <w:p w14:paraId="618A994C">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20" w:firstLineChars="200"/>
        <w:jc w:val="both"/>
        <w:textAlignment w:val="auto"/>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lang w:val="en-US" w:eastAsia="zh-CN"/>
        </w:rPr>
        <w:t>6.2 乙方指定收款银行账户的开户名：</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none"/>
          <w:lang w:val="en-US" w:eastAsia="zh-CN"/>
        </w:rPr>
        <w:t>；</w:t>
      </w:r>
      <w:r>
        <w:rPr>
          <w:rFonts w:hint="eastAsia" w:ascii="宋体" w:hAnsi="宋体" w:eastAsia="宋体" w:cs="宋体"/>
          <w:color w:val="auto"/>
          <w:sz w:val="21"/>
          <w:szCs w:val="21"/>
          <w:highlight w:val="none"/>
          <w:lang w:val="en-US" w:eastAsia="zh-CN"/>
        </w:rPr>
        <w:t>开户银行：</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none"/>
          <w:lang w:val="en-US" w:eastAsia="zh-CN"/>
        </w:rPr>
        <w:t xml:space="preserve">； </w:t>
      </w:r>
      <w:r>
        <w:rPr>
          <w:rFonts w:hint="eastAsia" w:ascii="宋体" w:hAnsi="宋体" w:eastAsia="宋体" w:cs="宋体"/>
          <w:color w:val="auto"/>
          <w:sz w:val="21"/>
          <w:szCs w:val="21"/>
          <w:highlight w:val="none"/>
          <w:lang w:val="en-US" w:eastAsia="zh-CN"/>
        </w:rPr>
        <w:t>账号：</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none"/>
          <w:lang w:val="en-US" w:eastAsia="zh-CN"/>
        </w:rPr>
        <w:t xml:space="preserve">。  </w:t>
      </w:r>
    </w:p>
    <w:p w14:paraId="4B0EE2C7">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20" w:firstLineChars="20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6.3 乙方应在甲方首次付款前，向甲方提供以乙方自己名义开具的与本合同总价等额的增值税普通发票；如乙方未及时提供发票，甲方有权顺延付款，由此产生的责任均由乙方自行承担。</w:t>
      </w:r>
    </w:p>
    <w:p w14:paraId="33034488">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22" w:firstLineChars="200"/>
        <w:jc w:val="both"/>
        <w:textAlignment w:val="auto"/>
        <w:outlineLvl w:val="2"/>
        <w:rPr>
          <w:rFonts w:hint="eastAsia" w:ascii="宋体" w:hAnsi="宋体" w:eastAsia="宋体" w:cs="宋体"/>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第七条 风险承担</w:t>
      </w:r>
    </w:p>
    <w:p w14:paraId="4971572F">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20" w:firstLineChars="20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7.1 乙方履行本合同过程中发生事故，包括但不限于在运输、装卸、安装及调试过程中发生事故，给甲方、乙方或第三方人身、财产造成的所有损失，均由乙方负责处理和承担全部法律责任、经济赔偿。</w:t>
      </w:r>
    </w:p>
    <w:p w14:paraId="424D8971">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20" w:firstLineChars="20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7.2 本合同设备毁损、丢失的风险自甲方在总体验收报告单上签字确认合格后转移给甲方，此前设备的一切风险均由乙方承担。</w:t>
      </w:r>
    </w:p>
    <w:p w14:paraId="0B8D87B4">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20" w:firstLineChars="20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7.3 如甲方因乙方设备、质保服务等原因涉及纠纷、诉讼或被处以行政处罚，由乙方承担甲方因纠纷、诉讼、罚款等造成的全部经济损失。</w:t>
      </w:r>
    </w:p>
    <w:p w14:paraId="20B631C9">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22" w:firstLineChars="200"/>
        <w:jc w:val="both"/>
        <w:textAlignment w:val="auto"/>
        <w:outlineLvl w:val="2"/>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第八条 廉洁条款</w:t>
      </w:r>
    </w:p>
    <w:p w14:paraId="47366FA5">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20" w:firstLineChars="20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8.1 乙方应严格遵守国家相关法律法规，涉及合同的有关业务活动必须坚持公开、公平、公正、诚信原则，不得为获取不正当利益，损害国家、集体和甲方利益。</w:t>
      </w:r>
    </w:p>
    <w:p w14:paraId="2ED975A9">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22" w:firstLineChars="200"/>
        <w:jc w:val="both"/>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val="en-US" w:eastAsia="zh-CN"/>
        </w:rPr>
        <w:t xml:space="preserve">8.2 </w:t>
      </w:r>
      <w:r>
        <w:rPr>
          <w:rFonts w:hint="eastAsia" w:ascii="宋体" w:hAnsi="宋体" w:eastAsia="宋体" w:cs="宋体"/>
          <w:b/>
          <w:bCs/>
          <w:color w:val="auto"/>
          <w:sz w:val="21"/>
          <w:szCs w:val="21"/>
          <w:highlight w:val="none"/>
          <w:u w:val="single"/>
          <w:lang w:val="en-US" w:eastAsia="zh-CN"/>
        </w:rPr>
        <w:t>乙方的任何人员（包括股东、管理人员、普通员工等）及与乙方本业务有关的任何人员（包括与乙方不存在劳动、劳务关系的人员），均不得对甲方工作人员或其亲友、关系人请客、送礼或赠送礼金、有价证券、贵重物品及给予回扣、好处费、感谢费等其他形式的好处，否则甲方有权要求乙方按本合同约定向甲方支付违反廉洁条款的惩罚性违约金。</w:t>
      </w:r>
    </w:p>
    <w:p w14:paraId="2F4FD1A1">
      <w:pPr>
        <w:keepNext w:val="0"/>
        <w:keepLines w:val="0"/>
        <w:pageBreakBefore w:val="0"/>
        <w:widowControl w:val="0"/>
        <w:kinsoku/>
        <w:wordWrap/>
        <w:overflowPunct/>
        <w:topLinePunct w:val="0"/>
        <w:autoSpaceDE/>
        <w:autoSpaceDN/>
        <w:bidi w:val="0"/>
        <w:adjustRightInd/>
        <w:snapToGrid/>
        <w:spacing w:line="480" w:lineRule="exact"/>
        <w:ind w:firstLine="422" w:firstLineChars="200"/>
        <w:textAlignment w:val="auto"/>
        <w:outlineLvl w:val="2"/>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第九条 保密条款</w:t>
      </w:r>
    </w:p>
    <w:p w14:paraId="1B9CDB3C">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9.1 本合同订立、履行、变更等产生的研究、商讨、交流等信息，履行本合同获悉的甲方商业秘密、运营信息、工作人员信息、患陪个人信息等，均属保密信息。</w:t>
      </w:r>
    </w:p>
    <w:p w14:paraId="611085F1">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9.2 乙方应对保密信息采取有效手段严格保密，不得用于非本合同之目的或向第三方泄露。如政府部门、法院或其他有权部门要求乙方提供保密信息，乙方应当立即向甲方通报。</w:t>
      </w:r>
    </w:p>
    <w:p w14:paraId="67DC819B">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9.3 因乙方未履行本合同保密义务造成甲方或第三方损失的，由乙方承担全部赔偿责任。</w:t>
      </w:r>
    </w:p>
    <w:p w14:paraId="7360AD7C">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9.4 本合同保密条款在合同被认定无效、被撤销或终止、解除后仍然有效。</w:t>
      </w:r>
    </w:p>
    <w:p w14:paraId="29704BDB">
      <w:pPr>
        <w:keepNext w:val="0"/>
        <w:keepLines w:val="0"/>
        <w:pageBreakBefore w:val="0"/>
        <w:widowControl w:val="0"/>
        <w:kinsoku/>
        <w:wordWrap/>
        <w:overflowPunct/>
        <w:topLinePunct w:val="0"/>
        <w:autoSpaceDE/>
        <w:autoSpaceDN/>
        <w:bidi w:val="0"/>
        <w:adjustRightInd/>
        <w:snapToGrid/>
        <w:spacing w:line="480" w:lineRule="exact"/>
        <w:ind w:firstLine="422" w:firstLineChars="200"/>
        <w:textAlignment w:val="auto"/>
        <w:outlineLvl w:val="2"/>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第十条 通知与送达</w:t>
      </w:r>
    </w:p>
    <w:p w14:paraId="6FB6B626">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10.1 甲乙双方同意，与本合同有关的任何文书，应以书面方式按照本合同约定发送，书面方式包括手机短信、微信、书面函件、电子邮件等形式。</w:t>
      </w:r>
    </w:p>
    <w:p w14:paraId="32A9A161">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10.2 双方确认的文书（包括未来可能发生的诉讼或仲裁活动中法院或仲裁机构的送达法律文书）送达地址：</w:t>
      </w:r>
    </w:p>
    <w:p w14:paraId="1B16A4EB">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10.2.1 甲方的联系地址：</w:t>
      </w:r>
      <w:r>
        <w:rPr>
          <w:rFonts w:hint="eastAsia" w:ascii="宋体" w:hAnsi="宋体" w:eastAsia="宋体" w:cs="宋体"/>
          <w:b w:val="0"/>
          <w:bCs w:val="0"/>
          <w:color w:val="auto"/>
          <w:sz w:val="21"/>
          <w:szCs w:val="21"/>
          <w:highlight w:val="none"/>
          <w:u w:val="single"/>
          <w:lang w:val="en-US" w:eastAsia="zh-CN"/>
        </w:rPr>
        <w:t>娄底市娄星区长青中街51号</w:t>
      </w:r>
      <w:r>
        <w:rPr>
          <w:rFonts w:hint="eastAsia" w:ascii="宋体" w:hAnsi="宋体" w:eastAsia="宋体" w:cs="宋体"/>
          <w:color w:val="auto"/>
          <w:sz w:val="21"/>
          <w:szCs w:val="21"/>
          <w:highlight w:val="none"/>
          <w:u w:val="single"/>
          <w:lang w:val="en-US" w:eastAsia="zh-CN"/>
        </w:rPr>
        <w:t>娄底市中心医院设备科</w:t>
      </w:r>
      <w:r>
        <w:rPr>
          <w:rFonts w:hint="eastAsia" w:ascii="宋体" w:hAnsi="宋体" w:eastAsia="宋体" w:cs="宋体"/>
          <w:b w:val="0"/>
          <w:bCs w:val="0"/>
          <w:color w:val="auto"/>
          <w:sz w:val="21"/>
          <w:szCs w:val="21"/>
          <w:highlight w:val="none"/>
          <w:lang w:val="en-US" w:eastAsia="zh-CN"/>
        </w:rPr>
        <w:t>，联系人：</w:t>
      </w:r>
      <w:r>
        <w:rPr>
          <w:rFonts w:hint="eastAsia" w:ascii="宋体" w:hAnsi="宋体" w:eastAsia="宋体" w:cs="宋体"/>
          <w:b w:val="0"/>
          <w:bCs w:val="0"/>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lang w:val="en-US" w:eastAsia="zh-CN"/>
        </w:rPr>
        <w:t>朱振宇</w:t>
      </w:r>
      <w:r>
        <w:rPr>
          <w:rFonts w:hint="eastAsia" w:ascii="宋体" w:hAnsi="宋体" w:eastAsia="宋体" w:cs="宋体"/>
          <w:b w:val="0"/>
          <w:bCs w:val="0"/>
          <w:color w:val="auto"/>
          <w:sz w:val="21"/>
          <w:szCs w:val="21"/>
          <w:highlight w:val="none"/>
          <w:lang w:val="en-US" w:eastAsia="zh-CN"/>
        </w:rPr>
        <w:t>，联系电话：</w:t>
      </w:r>
      <w:r>
        <w:rPr>
          <w:rFonts w:hint="eastAsia" w:ascii="宋体" w:hAnsi="宋体" w:eastAsia="宋体" w:cs="宋体"/>
          <w:b w:val="0"/>
          <w:bCs w:val="0"/>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lang w:val="en-US" w:eastAsia="zh-CN"/>
        </w:rPr>
        <w:t>15673845559</w:t>
      </w:r>
      <w:r>
        <w:rPr>
          <w:rFonts w:hint="eastAsia" w:ascii="宋体" w:hAnsi="宋体" w:eastAsia="宋体" w:cs="宋体"/>
          <w:b w:val="0"/>
          <w:bCs w:val="0"/>
          <w:color w:val="auto"/>
          <w:sz w:val="21"/>
          <w:szCs w:val="21"/>
          <w:highlight w:val="none"/>
          <w:u w:val="single"/>
          <w:lang w:val="en-US" w:eastAsia="zh-CN"/>
        </w:rPr>
        <w:t xml:space="preserve"> </w:t>
      </w:r>
      <w:r>
        <w:rPr>
          <w:rFonts w:hint="eastAsia" w:ascii="宋体" w:hAnsi="宋体" w:eastAsia="宋体" w:cs="宋体"/>
          <w:b w:val="0"/>
          <w:bCs w:val="0"/>
          <w:color w:val="auto"/>
          <w:sz w:val="21"/>
          <w:szCs w:val="21"/>
          <w:highlight w:val="none"/>
          <w:lang w:val="en-US" w:eastAsia="zh-CN"/>
        </w:rPr>
        <w:t>，邮箱地址：</w:t>
      </w:r>
      <w:r>
        <w:rPr>
          <w:rFonts w:hint="eastAsia" w:ascii="宋体" w:hAnsi="宋体" w:eastAsia="宋体" w:cs="宋体"/>
          <w:b w:val="0"/>
          <w:bCs w:val="0"/>
          <w:color w:val="auto"/>
          <w:sz w:val="21"/>
          <w:szCs w:val="21"/>
          <w:highlight w:val="none"/>
          <w:u w:val="single"/>
          <w:lang w:val="en-US" w:eastAsia="zh-CN"/>
        </w:rPr>
        <w:t>7248283@qq.com</w:t>
      </w:r>
      <w:r>
        <w:rPr>
          <w:rFonts w:hint="eastAsia" w:ascii="宋体" w:hAnsi="宋体" w:eastAsia="宋体" w:cs="宋体"/>
          <w:b w:val="0"/>
          <w:bCs w:val="0"/>
          <w:color w:val="auto"/>
          <w:sz w:val="21"/>
          <w:szCs w:val="21"/>
          <w:highlight w:val="none"/>
          <w:lang w:val="en-US" w:eastAsia="zh-CN"/>
        </w:rPr>
        <w:t>，或微信号：</w:t>
      </w:r>
      <w:r>
        <w:rPr>
          <w:rFonts w:hint="eastAsia" w:ascii="宋体" w:hAnsi="宋体" w:eastAsia="宋体" w:cs="宋体"/>
          <w:b w:val="0"/>
          <w:bCs w:val="0"/>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lang w:val="en-US" w:eastAsia="zh-CN"/>
        </w:rPr>
        <w:t>15673845559</w:t>
      </w:r>
      <w:r>
        <w:rPr>
          <w:rFonts w:hint="eastAsia" w:ascii="宋体" w:hAnsi="宋体" w:eastAsia="宋体" w:cs="宋体"/>
          <w:b w:val="0"/>
          <w:bCs w:val="0"/>
          <w:color w:val="auto"/>
          <w:sz w:val="21"/>
          <w:szCs w:val="21"/>
          <w:highlight w:val="none"/>
          <w:lang w:val="en-US" w:eastAsia="zh-CN"/>
        </w:rPr>
        <w:t>。</w:t>
      </w:r>
    </w:p>
    <w:p w14:paraId="6CD2A5B8">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10.2.2 乙方的联系地址：</w:t>
      </w:r>
      <w:r>
        <w:rPr>
          <w:rFonts w:hint="eastAsia" w:ascii="宋体" w:hAnsi="宋体" w:eastAsia="宋体" w:cs="宋体"/>
          <w:b w:val="0"/>
          <w:bCs w:val="0"/>
          <w:color w:val="auto"/>
          <w:sz w:val="21"/>
          <w:szCs w:val="21"/>
          <w:highlight w:val="none"/>
          <w:u w:val="single"/>
          <w:lang w:val="en-US" w:eastAsia="zh-CN"/>
        </w:rPr>
        <w:t xml:space="preserve">              </w:t>
      </w:r>
      <w:r>
        <w:rPr>
          <w:rFonts w:hint="eastAsia" w:ascii="宋体" w:hAnsi="宋体" w:eastAsia="宋体" w:cs="宋体"/>
          <w:b w:val="0"/>
          <w:bCs w:val="0"/>
          <w:color w:val="auto"/>
          <w:sz w:val="21"/>
          <w:szCs w:val="21"/>
          <w:highlight w:val="none"/>
          <w:lang w:val="en-US" w:eastAsia="zh-CN"/>
        </w:rPr>
        <w:t xml:space="preserve"> ，联系人：</w:t>
      </w:r>
      <w:r>
        <w:rPr>
          <w:rFonts w:hint="eastAsia" w:ascii="宋体" w:hAnsi="宋体" w:eastAsia="宋体" w:cs="宋体"/>
          <w:b w:val="0"/>
          <w:bCs w:val="0"/>
          <w:color w:val="auto"/>
          <w:sz w:val="21"/>
          <w:szCs w:val="21"/>
          <w:highlight w:val="none"/>
          <w:u w:val="single"/>
          <w:lang w:val="en-US" w:eastAsia="zh-CN"/>
        </w:rPr>
        <w:t xml:space="preserve">          </w:t>
      </w:r>
      <w:r>
        <w:rPr>
          <w:rFonts w:hint="eastAsia" w:ascii="宋体" w:hAnsi="宋体" w:eastAsia="宋体" w:cs="宋体"/>
          <w:b w:val="0"/>
          <w:bCs w:val="0"/>
          <w:color w:val="auto"/>
          <w:sz w:val="21"/>
          <w:szCs w:val="21"/>
          <w:highlight w:val="none"/>
          <w:lang w:val="en-US" w:eastAsia="zh-CN"/>
        </w:rPr>
        <w:t>， 联系电话：</w:t>
      </w:r>
      <w:r>
        <w:rPr>
          <w:rFonts w:hint="eastAsia" w:ascii="宋体" w:hAnsi="宋体" w:eastAsia="宋体" w:cs="宋体"/>
          <w:b w:val="0"/>
          <w:bCs w:val="0"/>
          <w:color w:val="auto"/>
          <w:sz w:val="21"/>
          <w:szCs w:val="21"/>
          <w:highlight w:val="none"/>
          <w:u w:val="single"/>
          <w:lang w:val="en-US" w:eastAsia="zh-CN"/>
        </w:rPr>
        <w:t xml:space="preserve">          </w:t>
      </w:r>
      <w:r>
        <w:rPr>
          <w:rFonts w:hint="eastAsia" w:ascii="宋体" w:hAnsi="宋体" w:eastAsia="宋体" w:cs="宋体"/>
          <w:b w:val="0"/>
          <w:bCs w:val="0"/>
          <w:color w:val="auto"/>
          <w:sz w:val="21"/>
          <w:szCs w:val="21"/>
          <w:highlight w:val="none"/>
          <w:lang w:val="en-US" w:eastAsia="zh-CN"/>
        </w:rPr>
        <w:t>，邮箱地址：</w:t>
      </w:r>
      <w:r>
        <w:rPr>
          <w:rFonts w:hint="eastAsia" w:ascii="宋体" w:hAnsi="宋体" w:eastAsia="宋体" w:cs="宋体"/>
          <w:b w:val="0"/>
          <w:bCs w:val="0"/>
          <w:color w:val="auto"/>
          <w:sz w:val="21"/>
          <w:szCs w:val="21"/>
          <w:highlight w:val="none"/>
          <w:u w:val="single"/>
          <w:lang w:val="en-US" w:eastAsia="zh-CN"/>
        </w:rPr>
        <w:t xml:space="preserve">          </w:t>
      </w:r>
      <w:r>
        <w:rPr>
          <w:rFonts w:hint="eastAsia" w:ascii="宋体" w:hAnsi="宋体" w:eastAsia="宋体" w:cs="宋体"/>
          <w:b w:val="0"/>
          <w:bCs w:val="0"/>
          <w:color w:val="auto"/>
          <w:sz w:val="21"/>
          <w:szCs w:val="21"/>
          <w:highlight w:val="none"/>
          <w:lang w:val="en-US" w:eastAsia="zh-CN"/>
        </w:rPr>
        <w:t xml:space="preserve"> ，或微信号：</w:t>
      </w:r>
      <w:r>
        <w:rPr>
          <w:rFonts w:hint="eastAsia" w:ascii="宋体" w:hAnsi="宋体" w:eastAsia="宋体" w:cs="宋体"/>
          <w:b w:val="0"/>
          <w:bCs w:val="0"/>
          <w:color w:val="auto"/>
          <w:sz w:val="21"/>
          <w:szCs w:val="21"/>
          <w:highlight w:val="none"/>
          <w:u w:val="single"/>
          <w:lang w:val="en-US" w:eastAsia="zh-CN"/>
        </w:rPr>
        <w:t xml:space="preserve">          </w:t>
      </w:r>
      <w:r>
        <w:rPr>
          <w:rFonts w:hint="eastAsia" w:ascii="宋体" w:hAnsi="宋体" w:eastAsia="宋体" w:cs="宋体"/>
          <w:b w:val="0"/>
          <w:bCs w:val="0"/>
          <w:color w:val="auto"/>
          <w:sz w:val="21"/>
          <w:szCs w:val="21"/>
          <w:highlight w:val="none"/>
          <w:lang w:val="en-US" w:eastAsia="zh-CN"/>
        </w:rPr>
        <w:t>。</w:t>
      </w:r>
    </w:p>
    <w:p w14:paraId="55FD3E91">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10.3 上述通知应被视为在下列时间送达：以快递或专人发送的，在收件人签收之日或拒收之日；以挂号邮件发出的，在发出之日起7个工作日；以电子邮件发出的，在电子邮件进入收件方电子邮箱服务器之日。</w:t>
      </w:r>
    </w:p>
    <w:p w14:paraId="663E7DBD">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10.4 以上地址和联系方式，任何一方发生变更应在变更之日起3日内通知对方。如未通知，一方按原地址送达的书面资料被退回的，退回之日视为送达之日。任何一方按照确认地址送到另一方的书面资料被拒绝签收导致邮件被退回的，退回之日视为送达之日。</w:t>
      </w:r>
    </w:p>
    <w:p w14:paraId="332909F9">
      <w:pPr>
        <w:keepNext w:val="0"/>
        <w:keepLines w:val="0"/>
        <w:pageBreakBefore w:val="0"/>
        <w:widowControl w:val="0"/>
        <w:kinsoku/>
        <w:wordWrap/>
        <w:overflowPunct/>
        <w:topLinePunct w:val="0"/>
        <w:autoSpaceDE/>
        <w:autoSpaceDN/>
        <w:bidi w:val="0"/>
        <w:adjustRightInd/>
        <w:snapToGrid/>
        <w:spacing w:line="480" w:lineRule="exact"/>
        <w:ind w:firstLine="422" w:firstLineChars="200"/>
        <w:textAlignment w:val="auto"/>
        <w:outlineLvl w:val="2"/>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eastAsia="zh-CN"/>
        </w:rPr>
        <w:t>第十</w:t>
      </w:r>
      <w:r>
        <w:rPr>
          <w:rFonts w:hint="eastAsia" w:ascii="宋体" w:hAnsi="宋体" w:eastAsia="宋体" w:cs="宋体"/>
          <w:b/>
          <w:bCs/>
          <w:color w:val="auto"/>
          <w:sz w:val="21"/>
          <w:szCs w:val="21"/>
          <w:highlight w:val="none"/>
          <w:lang w:val="en-US" w:eastAsia="zh-CN"/>
        </w:rPr>
        <w:t>一</w:t>
      </w:r>
      <w:r>
        <w:rPr>
          <w:rFonts w:hint="eastAsia" w:ascii="宋体" w:hAnsi="宋体" w:eastAsia="宋体" w:cs="宋体"/>
          <w:b/>
          <w:bCs/>
          <w:color w:val="auto"/>
          <w:sz w:val="21"/>
          <w:szCs w:val="21"/>
          <w:highlight w:val="none"/>
          <w:lang w:eastAsia="zh-CN"/>
        </w:rPr>
        <w:t>条</w:t>
      </w:r>
      <w:r>
        <w:rPr>
          <w:rFonts w:hint="eastAsia" w:ascii="宋体" w:hAnsi="宋体" w:eastAsia="宋体" w:cs="宋体"/>
          <w:b/>
          <w:bCs/>
          <w:color w:val="auto"/>
          <w:sz w:val="21"/>
          <w:szCs w:val="21"/>
          <w:highlight w:val="none"/>
          <w:lang w:val="en-US" w:eastAsia="zh-CN"/>
        </w:rPr>
        <w:t xml:space="preserve"> 合同的变更、解除</w:t>
      </w:r>
    </w:p>
    <w:p w14:paraId="70430007">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11.1 本合同经双方协商一致后可以变更，双方应另行签订补充协议。</w:t>
      </w:r>
    </w:p>
    <w:p w14:paraId="5B80C46E">
      <w:pPr>
        <w:keepNext w:val="0"/>
        <w:keepLines w:val="0"/>
        <w:pageBreakBefore w:val="0"/>
        <w:widowControl w:val="0"/>
        <w:kinsoku/>
        <w:wordWrap/>
        <w:overflowPunct/>
        <w:topLinePunct w:val="0"/>
        <w:autoSpaceDE/>
        <w:autoSpaceDN/>
        <w:bidi w:val="0"/>
        <w:adjustRightInd/>
        <w:snapToGrid/>
        <w:spacing w:line="480" w:lineRule="exact"/>
        <w:ind w:firstLine="422"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b/>
          <w:bCs/>
          <w:color w:val="auto"/>
          <w:sz w:val="21"/>
          <w:szCs w:val="21"/>
          <w:highlight w:val="none"/>
          <w:u w:val="single"/>
          <w:lang w:val="en-US" w:eastAsia="zh-CN"/>
        </w:rPr>
        <w:t>11.2 如甲方因政策变化等非自身主观原因不需要购买本合同全部设备，经书面通知乙方后可以提前终止本合同；如甲方因运营需要等原因不需要购买本合同部分设备，不需要购买的部分自动从采购内容中剔除。</w:t>
      </w:r>
    </w:p>
    <w:p w14:paraId="49412BAD">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11.3 </w:t>
      </w:r>
      <w:r>
        <w:rPr>
          <w:rFonts w:hint="eastAsia" w:ascii="宋体" w:hAnsi="宋体" w:eastAsia="宋体" w:cs="宋体"/>
          <w:color w:val="auto"/>
          <w:sz w:val="21"/>
          <w:szCs w:val="21"/>
          <w:highlight w:val="none"/>
        </w:rPr>
        <w:t>乙方出现以下违约情形之一的，甲方有权拒绝支付任何价款并解除合同：</w:t>
      </w:r>
    </w:p>
    <w:p w14:paraId="5679FD7C">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11</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.1 乙方逾期</w:t>
      </w:r>
      <w:r>
        <w:rPr>
          <w:rFonts w:hint="eastAsia" w:ascii="宋体" w:hAnsi="宋体" w:eastAsia="宋体" w:cs="宋体"/>
          <w:color w:val="auto"/>
          <w:sz w:val="21"/>
          <w:szCs w:val="21"/>
          <w:highlight w:val="none"/>
          <w:u w:val="single"/>
        </w:rPr>
        <w:t>30</w:t>
      </w:r>
      <w:r>
        <w:rPr>
          <w:rFonts w:hint="eastAsia" w:ascii="宋体" w:hAnsi="宋体" w:eastAsia="宋体" w:cs="宋体"/>
          <w:color w:val="auto"/>
          <w:sz w:val="21"/>
          <w:szCs w:val="21"/>
          <w:highlight w:val="none"/>
        </w:rPr>
        <w:t>日仍不能供货；</w:t>
      </w:r>
    </w:p>
    <w:p w14:paraId="37C5BC5F">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11</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.2 乙方提供的设备质量不符合国家标准、本合同标准或</w:t>
      </w:r>
      <w:r>
        <w:rPr>
          <w:rFonts w:hint="eastAsia" w:ascii="宋体" w:hAnsi="宋体" w:eastAsia="宋体" w:cs="宋体"/>
          <w:color w:val="auto"/>
          <w:sz w:val="21"/>
          <w:szCs w:val="21"/>
          <w:highlight w:val="none"/>
          <w:lang w:eastAsia="zh-CN"/>
        </w:rPr>
        <w:t>投标文件</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rPr>
        <w:t>响应文件约定标准；</w:t>
      </w:r>
    </w:p>
    <w:p w14:paraId="4E910DA5">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11</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.3 乙方将</w:t>
      </w:r>
      <w:r>
        <w:rPr>
          <w:rFonts w:hint="eastAsia" w:ascii="宋体" w:hAnsi="宋体" w:eastAsia="宋体" w:cs="宋体"/>
          <w:color w:val="auto"/>
          <w:sz w:val="21"/>
          <w:szCs w:val="21"/>
          <w:highlight w:val="none"/>
          <w:lang w:val="en-US" w:eastAsia="zh-CN"/>
        </w:rPr>
        <w:t>本合同权利义务全部或部分转让给</w:t>
      </w:r>
      <w:r>
        <w:rPr>
          <w:rFonts w:hint="eastAsia" w:ascii="宋体" w:hAnsi="宋体" w:eastAsia="宋体" w:cs="宋体"/>
          <w:color w:val="auto"/>
          <w:sz w:val="21"/>
          <w:szCs w:val="21"/>
          <w:highlight w:val="none"/>
        </w:rPr>
        <w:t>第三方；</w:t>
      </w:r>
    </w:p>
    <w:p w14:paraId="1CA49F8E">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lang w:val="en-US" w:eastAsia="zh-CN"/>
        </w:rPr>
        <w:t>11</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.4 其他根本违约的情形。</w:t>
      </w:r>
    </w:p>
    <w:p w14:paraId="1C9CCADE">
      <w:pPr>
        <w:keepNext w:val="0"/>
        <w:keepLines w:val="0"/>
        <w:pageBreakBefore w:val="0"/>
        <w:widowControl w:val="0"/>
        <w:kinsoku/>
        <w:wordWrap/>
        <w:overflowPunct/>
        <w:topLinePunct w:val="0"/>
        <w:autoSpaceDE/>
        <w:autoSpaceDN/>
        <w:bidi w:val="0"/>
        <w:adjustRightInd/>
        <w:snapToGrid/>
        <w:spacing w:line="480" w:lineRule="exact"/>
        <w:ind w:firstLine="422" w:firstLineChars="200"/>
        <w:textAlignment w:val="auto"/>
        <w:outlineLvl w:val="2"/>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第</w:t>
      </w:r>
      <w:r>
        <w:rPr>
          <w:rFonts w:hint="eastAsia" w:ascii="宋体" w:hAnsi="宋体" w:eastAsia="宋体" w:cs="宋体"/>
          <w:b/>
          <w:bCs/>
          <w:color w:val="auto"/>
          <w:sz w:val="21"/>
          <w:szCs w:val="21"/>
          <w:highlight w:val="none"/>
          <w:lang w:eastAsia="zh-CN"/>
        </w:rPr>
        <w:t>十</w:t>
      </w:r>
      <w:r>
        <w:rPr>
          <w:rFonts w:hint="eastAsia" w:ascii="宋体" w:hAnsi="宋体" w:eastAsia="宋体" w:cs="宋体"/>
          <w:b/>
          <w:bCs/>
          <w:color w:val="auto"/>
          <w:sz w:val="21"/>
          <w:szCs w:val="21"/>
          <w:highlight w:val="none"/>
          <w:lang w:val="en-US" w:eastAsia="zh-CN"/>
        </w:rPr>
        <w:t>二</w:t>
      </w:r>
      <w:r>
        <w:rPr>
          <w:rFonts w:hint="eastAsia" w:ascii="宋体" w:hAnsi="宋体" w:eastAsia="宋体" w:cs="宋体"/>
          <w:b/>
          <w:bCs/>
          <w:color w:val="auto"/>
          <w:sz w:val="21"/>
          <w:szCs w:val="21"/>
          <w:highlight w:val="none"/>
        </w:rPr>
        <w:t>条 违约责任</w:t>
      </w:r>
    </w:p>
    <w:p w14:paraId="12BED93A">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12</w:t>
      </w:r>
      <w:r>
        <w:rPr>
          <w:rFonts w:hint="eastAsia" w:ascii="宋体" w:hAnsi="宋体" w:eastAsia="宋体" w:cs="宋体"/>
          <w:color w:val="auto"/>
          <w:sz w:val="21"/>
          <w:szCs w:val="21"/>
          <w:highlight w:val="none"/>
        </w:rPr>
        <w:t xml:space="preserve">.1 </w:t>
      </w:r>
      <w:r>
        <w:rPr>
          <w:rFonts w:hint="eastAsia" w:ascii="宋体" w:hAnsi="宋体" w:eastAsia="宋体" w:cs="宋体"/>
          <w:color w:val="auto"/>
          <w:sz w:val="21"/>
          <w:szCs w:val="21"/>
          <w:highlight w:val="none"/>
          <w:lang w:eastAsia="zh-CN"/>
        </w:rPr>
        <w:t>甲方因</w:t>
      </w:r>
      <w:r>
        <w:rPr>
          <w:rFonts w:hint="eastAsia" w:ascii="宋体" w:hAnsi="宋体" w:eastAsia="宋体" w:cs="宋体"/>
          <w:color w:val="auto"/>
          <w:sz w:val="21"/>
          <w:szCs w:val="21"/>
          <w:highlight w:val="none"/>
          <w:lang w:val="en-US" w:eastAsia="zh-CN"/>
        </w:rPr>
        <w:t>11.2情形提前终止本合同或剔除部分采购内容均无须承担违约责任，乙方不得因此要求甲方予以任何经济赔偿或补偿。</w:t>
      </w:r>
    </w:p>
    <w:p w14:paraId="56C5ACC7">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12</w:t>
      </w:r>
      <w:r>
        <w:rPr>
          <w:rFonts w:hint="eastAsia" w:ascii="宋体" w:hAnsi="宋体" w:eastAsia="宋体" w:cs="宋体"/>
          <w:color w:val="auto"/>
          <w:sz w:val="21"/>
          <w:szCs w:val="21"/>
          <w:highlight w:val="none"/>
        </w:rPr>
        <w:t>.2 如乙方未在本合同约定时间内将验收合格的</w:t>
      </w:r>
      <w:r>
        <w:rPr>
          <w:rFonts w:hint="eastAsia" w:ascii="宋体" w:hAnsi="宋体" w:eastAsia="宋体" w:cs="宋体"/>
          <w:color w:val="auto"/>
          <w:sz w:val="21"/>
          <w:szCs w:val="21"/>
          <w:highlight w:val="none"/>
          <w:lang w:val="en-US" w:eastAsia="zh-CN"/>
        </w:rPr>
        <w:t>设备</w:t>
      </w:r>
      <w:r>
        <w:rPr>
          <w:rFonts w:hint="eastAsia" w:ascii="宋体" w:hAnsi="宋体" w:eastAsia="宋体" w:cs="宋体"/>
          <w:color w:val="auto"/>
          <w:sz w:val="21"/>
          <w:szCs w:val="21"/>
          <w:highlight w:val="none"/>
        </w:rPr>
        <w:t>交付给甲方使用，除应赔偿甲方因此造成的损失外，每逾期一日，按</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u w:val="none"/>
          <w:lang w:val="en-US" w:eastAsia="zh-CN"/>
        </w:rPr>
        <w:t>□</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none"/>
          <w:lang w:val="en-US" w:eastAsia="zh-CN"/>
        </w:rPr>
        <w:t>元 ☑</w:t>
      </w:r>
      <w:r>
        <w:rPr>
          <w:rFonts w:hint="eastAsia" w:ascii="宋体" w:hAnsi="宋体" w:eastAsia="宋体" w:cs="宋体"/>
          <w:color w:val="auto"/>
          <w:sz w:val="21"/>
          <w:szCs w:val="21"/>
          <w:highlight w:val="none"/>
          <w:u w:val="none"/>
        </w:rPr>
        <w:t>本合同约定总价款的</w:t>
      </w:r>
      <w:r>
        <w:rPr>
          <w:rFonts w:hint="eastAsia" w:ascii="宋体" w:hAnsi="宋体" w:eastAsia="宋体" w:cs="宋体"/>
          <w:color w:val="auto"/>
          <w:sz w:val="21"/>
          <w:szCs w:val="21"/>
          <w:highlight w:val="none"/>
          <w:u w:val="none"/>
          <w:lang w:eastAsia="zh-CN"/>
        </w:rPr>
        <w:t>千分之一</w:t>
      </w:r>
      <w:r>
        <w:rPr>
          <w:rFonts w:hint="eastAsia" w:ascii="宋体" w:hAnsi="宋体" w:eastAsia="宋体" w:cs="宋体"/>
          <w:color w:val="auto"/>
          <w:sz w:val="21"/>
          <w:szCs w:val="21"/>
          <w:highlight w:val="none"/>
          <w:lang w:eastAsia="zh-CN"/>
        </w:rPr>
        <w:t>）标准</w:t>
      </w:r>
      <w:r>
        <w:rPr>
          <w:rFonts w:hint="eastAsia" w:ascii="宋体" w:hAnsi="宋体" w:eastAsia="宋体" w:cs="宋体"/>
          <w:color w:val="auto"/>
          <w:sz w:val="21"/>
          <w:szCs w:val="21"/>
          <w:highlight w:val="none"/>
        </w:rPr>
        <w:t>向甲方支付违约金。</w:t>
      </w:r>
    </w:p>
    <w:p w14:paraId="732D9BE6">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12</w:t>
      </w:r>
      <w:r>
        <w:rPr>
          <w:rFonts w:hint="eastAsia" w:ascii="宋体" w:hAnsi="宋体" w:eastAsia="宋体" w:cs="宋体"/>
          <w:color w:val="auto"/>
          <w:sz w:val="21"/>
          <w:szCs w:val="21"/>
          <w:highlight w:val="none"/>
        </w:rPr>
        <w:t>.3 如乙方单方解除合同或甲方因</w:t>
      </w:r>
      <w:r>
        <w:rPr>
          <w:rFonts w:hint="eastAsia" w:ascii="宋体" w:hAnsi="宋体" w:eastAsia="宋体" w:cs="宋体"/>
          <w:color w:val="auto"/>
          <w:sz w:val="21"/>
          <w:szCs w:val="21"/>
          <w:highlight w:val="none"/>
          <w:lang w:val="en-US" w:eastAsia="zh-CN"/>
        </w:rPr>
        <w:t>11.3情形</w:t>
      </w:r>
      <w:r>
        <w:rPr>
          <w:rFonts w:hint="eastAsia" w:ascii="宋体" w:hAnsi="宋体" w:eastAsia="宋体" w:cs="宋体"/>
          <w:color w:val="auto"/>
          <w:sz w:val="21"/>
          <w:szCs w:val="21"/>
          <w:highlight w:val="none"/>
        </w:rPr>
        <w:t>解除合同，乙方应赔偿给甲方造成的全部经济损失，并按</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u w:val="none"/>
          <w:lang w:val="en-US" w:eastAsia="zh-CN"/>
        </w:rPr>
        <w:t>□</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none"/>
          <w:lang w:val="en-US" w:eastAsia="zh-CN"/>
        </w:rPr>
        <w:t>元 ☑</w:t>
      </w:r>
      <w:r>
        <w:rPr>
          <w:rFonts w:hint="eastAsia" w:ascii="宋体" w:hAnsi="宋体" w:eastAsia="宋体" w:cs="宋体"/>
          <w:color w:val="auto"/>
          <w:sz w:val="21"/>
          <w:szCs w:val="21"/>
          <w:highlight w:val="none"/>
          <w:u w:val="none"/>
        </w:rPr>
        <w:t>本合同总价款30%</w:t>
      </w:r>
      <w:r>
        <w:rPr>
          <w:rFonts w:hint="eastAsia" w:ascii="宋体" w:hAnsi="宋体" w:eastAsia="宋体" w:cs="宋体"/>
          <w:color w:val="auto"/>
          <w:sz w:val="21"/>
          <w:szCs w:val="21"/>
          <w:highlight w:val="none"/>
          <w:u w:val="none"/>
          <w:lang w:eastAsia="zh-CN"/>
        </w:rPr>
        <w:t>）</w:t>
      </w:r>
      <w:r>
        <w:rPr>
          <w:rFonts w:hint="eastAsia" w:ascii="宋体" w:hAnsi="宋体" w:eastAsia="宋体" w:cs="宋体"/>
          <w:color w:val="auto"/>
          <w:sz w:val="21"/>
          <w:szCs w:val="21"/>
          <w:highlight w:val="none"/>
        </w:rPr>
        <w:t>标准</w:t>
      </w:r>
      <w:r>
        <w:rPr>
          <w:rFonts w:hint="eastAsia" w:ascii="宋体" w:hAnsi="宋体" w:eastAsia="宋体" w:cs="宋体"/>
          <w:color w:val="auto"/>
          <w:sz w:val="21"/>
          <w:szCs w:val="21"/>
          <w:highlight w:val="none"/>
          <w:lang w:val="en-US" w:eastAsia="zh-CN"/>
        </w:rPr>
        <w:t>向</w:t>
      </w:r>
      <w:r>
        <w:rPr>
          <w:rFonts w:hint="eastAsia" w:ascii="宋体" w:hAnsi="宋体" w:eastAsia="宋体" w:cs="宋体"/>
          <w:color w:val="auto"/>
          <w:sz w:val="21"/>
          <w:szCs w:val="21"/>
          <w:highlight w:val="none"/>
        </w:rPr>
        <w:t>甲方支付违约金。</w:t>
      </w:r>
    </w:p>
    <w:p w14:paraId="1FFC330F">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22" w:firstLineChars="200"/>
        <w:jc w:val="both"/>
        <w:textAlignment w:val="auto"/>
        <w:rPr>
          <w:rFonts w:hint="eastAsia" w:ascii="宋体" w:hAnsi="宋体" w:eastAsia="宋体" w:cs="宋体"/>
          <w:b/>
          <w:bCs/>
          <w:color w:val="auto"/>
          <w:sz w:val="21"/>
          <w:szCs w:val="21"/>
          <w:highlight w:val="none"/>
          <w:u w:val="single"/>
          <w:lang w:val="en-US" w:eastAsia="zh-CN"/>
        </w:rPr>
      </w:pPr>
      <w:r>
        <w:rPr>
          <w:rFonts w:hint="eastAsia" w:ascii="宋体" w:hAnsi="宋体" w:eastAsia="宋体" w:cs="宋体"/>
          <w:b/>
          <w:bCs/>
          <w:color w:val="auto"/>
          <w:sz w:val="21"/>
          <w:szCs w:val="21"/>
          <w:highlight w:val="none"/>
          <w:u w:val="single"/>
          <w:lang w:val="en-US" w:eastAsia="zh-CN"/>
        </w:rPr>
        <w:t>12.4 无论甲方在任意时候（不限于本合同履行期间）发现存在违反本合同廉洁条款及供应商考核管理制度约定的行为，乙方均须向甲方支付一次性惩罚性违约金，该违约金金额按以下较高者确定：（1）本合同总费用的10%；（2）根据《娄底市中心医院医疗器械供应商考核管理制度》规定计算的廉政违约金金额。如乙方除需承担违反廉洁条款及供应商考核管理制度的违约责任外，同时存在其他违约行为，乙方仍须就其他违约行为承担相应违约责任。</w:t>
      </w:r>
    </w:p>
    <w:p w14:paraId="593381C7">
      <w:pPr>
        <w:keepNext w:val="0"/>
        <w:keepLines w:val="0"/>
        <w:pageBreakBefore w:val="0"/>
        <w:widowControl w:val="0"/>
        <w:kinsoku/>
        <w:wordWrap/>
        <w:overflowPunct/>
        <w:topLinePunct w:val="0"/>
        <w:autoSpaceDE/>
        <w:autoSpaceDN/>
        <w:bidi w:val="0"/>
        <w:adjustRightInd/>
        <w:snapToGrid/>
        <w:spacing w:line="480" w:lineRule="exact"/>
        <w:ind w:firstLine="422" w:firstLineChars="200"/>
        <w:textAlignment w:val="auto"/>
        <w:rPr>
          <w:rFonts w:hint="eastAsia" w:ascii="宋体" w:hAnsi="宋体" w:eastAsia="宋体" w:cs="宋体"/>
          <w:b/>
          <w:bCs/>
          <w:color w:val="auto"/>
          <w:sz w:val="21"/>
          <w:szCs w:val="21"/>
          <w:highlight w:val="none"/>
          <w:u w:val="single"/>
          <w:lang w:val="en-US" w:eastAsia="zh-CN"/>
        </w:rPr>
      </w:pPr>
      <w:r>
        <w:rPr>
          <w:rFonts w:hint="eastAsia" w:ascii="宋体" w:hAnsi="宋体" w:eastAsia="宋体" w:cs="宋体"/>
          <w:b/>
          <w:bCs/>
          <w:color w:val="auto"/>
          <w:sz w:val="21"/>
          <w:szCs w:val="21"/>
          <w:highlight w:val="none"/>
          <w:u w:val="single"/>
          <w:lang w:val="en-US" w:eastAsia="zh-CN"/>
        </w:rPr>
        <w:t>12.5 依据本合同约定乙方应支付给甲方的违约金，甲方有权在应支付给乙方的任意价款中直接予以扣除，如扣除部分不足，乙方应在接到甲方通知后3日内补足。</w:t>
      </w:r>
    </w:p>
    <w:p w14:paraId="60F16F2D">
      <w:pPr>
        <w:keepNext w:val="0"/>
        <w:keepLines w:val="0"/>
        <w:pageBreakBefore w:val="0"/>
        <w:widowControl w:val="0"/>
        <w:kinsoku/>
        <w:wordWrap/>
        <w:overflowPunct/>
        <w:topLinePunct w:val="0"/>
        <w:autoSpaceDE/>
        <w:autoSpaceDN/>
        <w:bidi w:val="0"/>
        <w:adjustRightInd/>
        <w:snapToGrid/>
        <w:spacing w:line="480" w:lineRule="exact"/>
        <w:ind w:firstLine="422" w:firstLineChars="200"/>
        <w:textAlignment w:val="auto"/>
        <w:outlineLvl w:val="2"/>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第</w:t>
      </w:r>
      <w:r>
        <w:rPr>
          <w:rFonts w:hint="eastAsia" w:ascii="宋体" w:hAnsi="宋体" w:eastAsia="宋体" w:cs="宋体"/>
          <w:b/>
          <w:bCs/>
          <w:color w:val="auto"/>
          <w:sz w:val="21"/>
          <w:szCs w:val="21"/>
          <w:highlight w:val="none"/>
          <w:lang w:val="en-US" w:eastAsia="zh-CN"/>
        </w:rPr>
        <w:t>十三</w:t>
      </w:r>
      <w:r>
        <w:rPr>
          <w:rFonts w:hint="eastAsia" w:ascii="宋体" w:hAnsi="宋体" w:eastAsia="宋体" w:cs="宋体"/>
          <w:b/>
          <w:bCs/>
          <w:color w:val="auto"/>
          <w:sz w:val="21"/>
          <w:szCs w:val="21"/>
          <w:highlight w:val="none"/>
        </w:rPr>
        <w:t>条 争议解决</w:t>
      </w:r>
    </w:p>
    <w:p w14:paraId="59217235">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13.1 本合同适用中华人民共和国法律，并按其解释。</w:t>
      </w:r>
    </w:p>
    <w:p w14:paraId="3DCB1904">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13.2 </w:t>
      </w:r>
      <w:r>
        <w:rPr>
          <w:rFonts w:hint="eastAsia" w:ascii="宋体" w:hAnsi="宋体" w:eastAsia="宋体" w:cs="宋体"/>
          <w:color w:val="auto"/>
          <w:sz w:val="21"/>
          <w:szCs w:val="21"/>
          <w:highlight w:val="none"/>
        </w:rPr>
        <w:t>如双方在履行本合同过程中发生争议，双方应先协商解决，协商解决不成的，任一方均可向甲方所在地有管辖权的人民法院提起诉讼解决。</w:t>
      </w:r>
    </w:p>
    <w:p w14:paraId="3E8F58B1">
      <w:pPr>
        <w:keepNext w:val="0"/>
        <w:keepLines w:val="0"/>
        <w:pageBreakBefore w:val="0"/>
        <w:widowControl w:val="0"/>
        <w:kinsoku/>
        <w:wordWrap/>
        <w:overflowPunct/>
        <w:topLinePunct w:val="0"/>
        <w:autoSpaceDE/>
        <w:autoSpaceDN/>
        <w:bidi w:val="0"/>
        <w:adjustRightInd/>
        <w:snapToGrid/>
        <w:spacing w:line="480" w:lineRule="exact"/>
        <w:ind w:firstLine="422" w:firstLineChars="200"/>
        <w:textAlignment w:val="auto"/>
        <w:outlineLvl w:val="2"/>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第十</w:t>
      </w:r>
      <w:r>
        <w:rPr>
          <w:rFonts w:hint="eastAsia" w:ascii="宋体" w:hAnsi="宋体" w:eastAsia="宋体" w:cs="宋体"/>
          <w:b/>
          <w:bCs/>
          <w:color w:val="auto"/>
          <w:sz w:val="21"/>
          <w:szCs w:val="21"/>
          <w:highlight w:val="none"/>
          <w:lang w:val="en-US" w:eastAsia="zh-CN"/>
        </w:rPr>
        <w:t>四</w:t>
      </w:r>
      <w:r>
        <w:rPr>
          <w:rFonts w:hint="eastAsia" w:ascii="宋体" w:hAnsi="宋体" w:eastAsia="宋体" w:cs="宋体"/>
          <w:b/>
          <w:bCs/>
          <w:color w:val="auto"/>
          <w:sz w:val="21"/>
          <w:szCs w:val="21"/>
          <w:highlight w:val="none"/>
        </w:rPr>
        <w:t>条 附则</w:t>
      </w:r>
    </w:p>
    <w:p w14:paraId="00CB60EF">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1 甲方《娄底市中心医院医疗器械供应商考核管理制度》、</w:t>
      </w:r>
      <w:r>
        <w:rPr>
          <w:rFonts w:hint="eastAsia" w:ascii="宋体" w:hAnsi="宋体" w:eastAsia="宋体" w:cs="宋体"/>
          <w:color w:val="auto"/>
          <w:sz w:val="21"/>
          <w:szCs w:val="21"/>
          <w:highlight w:val="none"/>
          <w:lang w:eastAsia="zh-CN"/>
        </w:rPr>
        <w:t>乙方加盖公章的资质复印件、售后承诺等作为本合同附件。</w:t>
      </w:r>
    </w:p>
    <w:p w14:paraId="14CD2E29">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 xml:space="preserve">14.2 </w:t>
      </w:r>
      <w:r>
        <w:rPr>
          <w:rFonts w:hint="eastAsia" w:ascii="宋体" w:hAnsi="宋体" w:eastAsia="宋体" w:cs="宋体"/>
          <w:color w:val="auto"/>
          <w:sz w:val="21"/>
          <w:szCs w:val="21"/>
          <w:highlight w:val="none"/>
        </w:rPr>
        <w:t>本合同组成文件和优先解释顺序：</w:t>
      </w:r>
      <w:r>
        <w:rPr>
          <w:rFonts w:hint="eastAsia" w:ascii="宋体" w:hAnsi="宋体" w:eastAsia="宋体" w:cs="宋体"/>
          <w:color w:val="auto"/>
          <w:sz w:val="21"/>
          <w:szCs w:val="21"/>
          <w:highlight w:val="none"/>
          <w:lang w:eastAsia="zh-CN"/>
        </w:rPr>
        <w:t>乙方在履行本合同中作出的书面承诺；</w:t>
      </w:r>
      <w:r>
        <w:rPr>
          <w:rFonts w:hint="eastAsia" w:ascii="宋体" w:hAnsi="宋体" w:eastAsia="宋体" w:cs="宋体"/>
          <w:color w:val="auto"/>
          <w:sz w:val="21"/>
          <w:szCs w:val="21"/>
          <w:highlight w:val="none"/>
        </w:rPr>
        <w:t>本合同补充协议；本合同及附件；</w:t>
      </w:r>
      <w:r>
        <w:rPr>
          <w:rFonts w:hint="eastAsia" w:ascii="宋体" w:hAnsi="宋体" w:eastAsia="宋体" w:cs="宋体"/>
          <w:color w:val="auto"/>
          <w:sz w:val="21"/>
          <w:szCs w:val="21"/>
          <w:highlight w:val="none"/>
          <w:lang w:eastAsia="zh-CN"/>
        </w:rPr>
        <w:t>中标通知书</w:t>
      </w:r>
      <w:r>
        <w:rPr>
          <w:rFonts w:hint="eastAsia" w:ascii="宋体" w:hAnsi="宋体" w:eastAsia="宋体" w:cs="宋体"/>
          <w:color w:val="auto"/>
          <w:sz w:val="21"/>
          <w:szCs w:val="21"/>
          <w:highlight w:val="none"/>
          <w:lang w:val="en-US" w:eastAsia="zh-CN"/>
        </w:rPr>
        <w:t>/成交通知书/</w:t>
      </w:r>
      <w:r>
        <w:rPr>
          <w:rFonts w:hint="eastAsia" w:ascii="宋体" w:hAnsi="宋体" w:eastAsia="宋体" w:cs="宋体"/>
          <w:color w:val="auto"/>
          <w:sz w:val="21"/>
          <w:szCs w:val="21"/>
          <w:highlight w:val="none"/>
        </w:rPr>
        <w:t>议价结果公示</w:t>
      </w:r>
      <w:r>
        <w:rPr>
          <w:rFonts w:hint="eastAsia" w:ascii="宋体" w:hAnsi="宋体" w:eastAsia="宋体" w:cs="宋体"/>
          <w:color w:val="auto"/>
          <w:sz w:val="21"/>
          <w:szCs w:val="21"/>
          <w:highlight w:val="none"/>
          <w:lang w:val="en-US" w:eastAsia="zh-CN"/>
        </w:rPr>
        <w:t>/成交公告</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eastAsia="zh-CN"/>
        </w:rPr>
        <w:t>投标文件</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rPr>
        <w:t>响应文件；</w:t>
      </w:r>
      <w:r>
        <w:rPr>
          <w:rFonts w:hint="eastAsia" w:ascii="宋体" w:hAnsi="宋体" w:eastAsia="宋体" w:cs="宋体"/>
          <w:color w:val="auto"/>
          <w:sz w:val="21"/>
          <w:szCs w:val="21"/>
          <w:highlight w:val="none"/>
          <w:lang w:eastAsia="zh-CN"/>
        </w:rPr>
        <w:t>招标文件</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rPr>
        <w:t>采购文件</w:t>
      </w:r>
      <w:r>
        <w:rPr>
          <w:rFonts w:hint="eastAsia" w:ascii="宋体" w:hAnsi="宋体" w:eastAsia="宋体" w:cs="宋体"/>
          <w:color w:val="auto"/>
          <w:sz w:val="21"/>
          <w:szCs w:val="21"/>
          <w:highlight w:val="none"/>
          <w:lang w:val="en-US" w:eastAsia="zh-CN"/>
        </w:rPr>
        <w:t>/采购需求</w:t>
      </w:r>
      <w:r>
        <w:rPr>
          <w:rFonts w:hint="eastAsia" w:ascii="宋体" w:hAnsi="宋体" w:eastAsia="宋体" w:cs="宋体"/>
          <w:color w:val="auto"/>
          <w:sz w:val="21"/>
          <w:szCs w:val="21"/>
          <w:highlight w:val="none"/>
        </w:rPr>
        <w:t>；其他与本合同有关的资料。</w:t>
      </w:r>
    </w:p>
    <w:p w14:paraId="47CB3A15">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eastAsia="zh-CN"/>
        </w:rPr>
        <w:t xml:space="preserve">3 </w:t>
      </w:r>
      <w:r>
        <w:rPr>
          <w:rFonts w:hint="eastAsia" w:ascii="宋体" w:hAnsi="宋体" w:eastAsia="宋体" w:cs="宋体"/>
          <w:color w:val="auto"/>
          <w:sz w:val="21"/>
          <w:szCs w:val="21"/>
          <w:highlight w:val="none"/>
        </w:rPr>
        <w:t>本合同一式</w:t>
      </w:r>
      <w:r>
        <w:rPr>
          <w:rFonts w:hint="eastAsia" w:ascii="宋体" w:hAnsi="宋体" w:eastAsia="宋体" w:cs="宋体"/>
          <w:color w:val="auto"/>
          <w:sz w:val="21"/>
          <w:szCs w:val="21"/>
          <w:highlight w:val="none"/>
          <w:lang w:val="en-US" w:eastAsia="zh-CN"/>
        </w:rPr>
        <w:t>伍</w:t>
      </w:r>
      <w:r>
        <w:rPr>
          <w:rFonts w:hint="eastAsia" w:ascii="宋体" w:hAnsi="宋体" w:eastAsia="宋体" w:cs="宋体"/>
          <w:color w:val="auto"/>
          <w:sz w:val="21"/>
          <w:szCs w:val="21"/>
          <w:highlight w:val="none"/>
        </w:rPr>
        <w:t>份，甲方执肆份、乙方执壹份，自双方签字并盖章</w:t>
      </w:r>
      <w:r>
        <w:rPr>
          <w:rFonts w:hint="eastAsia" w:ascii="宋体" w:hAnsi="宋体" w:eastAsia="宋体" w:cs="宋体"/>
          <w:color w:val="auto"/>
          <w:sz w:val="21"/>
          <w:szCs w:val="21"/>
          <w:highlight w:val="none"/>
          <w:lang w:eastAsia="zh-CN"/>
        </w:rPr>
        <w:t>后</w:t>
      </w:r>
      <w:r>
        <w:rPr>
          <w:rFonts w:hint="eastAsia" w:ascii="宋体" w:hAnsi="宋体" w:eastAsia="宋体" w:cs="宋体"/>
          <w:color w:val="auto"/>
          <w:sz w:val="21"/>
          <w:szCs w:val="21"/>
          <w:highlight w:val="none"/>
        </w:rPr>
        <w:t>生效。</w:t>
      </w:r>
    </w:p>
    <w:p w14:paraId="493139AE">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甲方（盖章）：娄底市中心医院        乙方（盖章）：</w:t>
      </w:r>
    </w:p>
    <w:p w14:paraId="285015BE">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法定代表人（签字）：                法定代表人（签字）：  </w:t>
      </w:r>
    </w:p>
    <w:p w14:paraId="22DB96AF">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或委托代理人（签字）：              或委托代理人（签字）：</w:t>
      </w:r>
    </w:p>
    <w:p w14:paraId="1DEABAEF">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合同签订地履行地：娄底市娄星区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签订时间：      年     月     日</w:t>
      </w:r>
    </w:p>
    <w:p w14:paraId="2987BC36">
      <w:pPr>
        <w:rPr>
          <w:rFonts w:hint="eastAsia" w:ascii="黑体" w:hAnsi="黑体" w:eastAsia="黑体"/>
          <w:color w:val="auto"/>
          <w:sz w:val="28"/>
          <w:szCs w:val="28"/>
          <w:highlight w:val="none"/>
        </w:rPr>
      </w:pPr>
      <w:bookmarkStart w:id="1255" w:name="_Toc5978"/>
      <w:r>
        <w:rPr>
          <w:rFonts w:hint="eastAsia" w:ascii="黑体" w:hAnsi="黑体" w:eastAsia="黑体"/>
          <w:color w:val="auto"/>
          <w:sz w:val="28"/>
          <w:szCs w:val="28"/>
          <w:highlight w:val="none"/>
        </w:rPr>
        <w:br w:type="page"/>
      </w:r>
    </w:p>
    <w:p w14:paraId="444920C7">
      <w:pPr>
        <w:pStyle w:val="2"/>
        <w:adjustRightInd w:val="0"/>
        <w:snapToGrid w:val="0"/>
        <w:spacing w:before="156" w:beforeLines="50"/>
        <w:ind w:firstLine="1968" w:firstLineChars="700"/>
        <w:jc w:val="both"/>
        <w:rPr>
          <w:rFonts w:ascii="黑体" w:hAnsi="黑体" w:eastAsia="黑体"/>
          <w:color w:val="auto"/>
          <w:sz w:val="28"/>
          <w:szCs w:val="28"/>
          <w:highlight w:val="none"/>
        </w:rPr>
      </w:pPr>
      <w:bookmarkStart w:id="1256" w:name="_Toc595173977"/>
      <w:r>
        <w:rPr>
          <w:rFonts w:hint="eastAsia" w:ascii="黑体" w:hAnsi="黑体" w:eastAsia="黑体"/>
          <w:color w:val="auto"/>
          <w:sz w:val="28"/>
          <w:szCs w:val="28"/>
          <w:highlight w:val="none"/>
        </w:rPr>
        <w:t>第二节 政府采购合同通用条款</w:t>
      </w:r>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p>
    <w:p w14:paraId="29EA7E82">
      <w:pPr>
        <w:tabs>
          <w:tab w:val="left" w:pos="8820"/>
          <w:tab w:val="left" w:pos="9345"/>
          <w:tab w:val="left" w:pos="9765"/>
        </w:tabs>
        <w:adjustRightInd w:val="0"/>
        <w:snapToGrid w:val="0"/>
        <w:spacing w:before="50" w:line="360" w:lineRule="auto"/>
        <w:jc w:val="left"/>
        <w:outlineLvl w:val="2"/>
        <w:rPr>
          <w:rFonts w:ascii="宋体" w:hAnsi="宋体"/>
          <w:b/>
          <w:bCs/>
          <w:color w:val="auto"/>
          <w:sz w:val="24"/>
          <w:highlight w:val="none"/>
        </w:rPr>
      </w:pPr>
      <w:r>
        <w:rPr>
          <w:rFonts w:hint="eastAsia" w:ascii="宋体" w:hAnsi="宋体"/>
          <w:b/>
          <w:color w:val="auto"/>
          <w:sz w:val="24"/>
          <w:highlight w:val="none"/>
        </w:rPr>
        <w:t>1.</w:t>
      </w:r>
      <w:r>
        <w:rPr>
          <w:rFonts w:hint="eastAsia" w:ascii="宋体" w:hAnsi="宋体"/>
          <w:b/>
          <w:bCs/>
          <w:color w:val="auto"/>
          <w:sz w:val="24"/>
          <w:highlight w:val="none"/>
        </w:rPr>
        <w:t xml:space="preserve"> 定义</w:t>
      </w:r>
    </w:p>
    <w:p w14:paraId="00B6D809">
      <w:pPr>
        <w:autoSpaceDE w:val="0"/>
        <w:autoSpaceDN w:val="0"/>
        <w:adjustRightInd w:val="0"/>
        <w:snapToGrid w:val="0"/>
        <w:spacing w:before="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1.1合同当事人</w:t>
      </w:r>
    </w:p>
    <w:p w14:paraId="3480013D">
      <w:pPr>
        <w:autoSpaceDE w:val="0"/>
        <w:autoSpaceDN w:val="0"/>
        <w:adjustRightInd w:val="0"/>
        <w:snapToGrid w:val="0"/>
        <w:spacing w:before="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（1）采购人（以下称甲方）是指使用财政性资金，通过政府采购方式向供应商购买货物、服务的国家机关、事业单位、团体组织。本次采购的甲方名称、地址见</w:t>
      </w:r>
      <w:r>
        <w:rPr>
          <w:rFonts w:hint="eastAsia" w:ascii="宋体" w:hAnsi="宋体"/>
          <w:b/>
          <w:color w:val="auto"/>
          <w:szCs w:val="21"/>
          <w:highlight w:val="none"/>
        </w:rPr>
        <w:t>【政府采购合同专用条款】。</w:t>
      </w:r>
    </w:p>
    <w:p w14:paraId="1547430B">
      <w:pPr>
        <w:autoSpaceDE w:val="0"/>
        <w:autoSpaceDN w:val="0"/>
        <w:adjustRightInd w:val="0"/>
        <w:snapToGrid w:val="0"/>
        <w:spacing w:before="50" w:line="360" w:lineRule="auto"/>
        <w:ind w:firstLine="420" w:firstLineChars="200"/>
        <w:jc w:val="left"/>
        <w:rPr>
          <w:rFonts w:ascii="宋体" w:hAnsi="宋体"/>
          <w:b/>
          <w:color w:val="auto"/>
          <w:szCs w:val="21"/>
          <w:highlight w:val="none"/>
        </w:rPr>
      </w:pPr>
      <w:r>
        <w:rPr>
          <w:rFonts w:hint="eastAsia" w:ascii="宋体" w:hAnsi="宋体"/>
          <w:color w:val="auto"/>
          <w:szCs w:val="21"/>
          <w:highlight w:val="none"/>
        </w:rPr>
        <w:t>（2）供应商（以下称乙方）是指参加政府采购活动而取得中标结果，并向采购人提供货物、服务的法人、其他组织或者自然人。</w:t>
      </w:r>
    </w:p>
    <w:p w14:paraId="2E17FE92">
      <w:pPr>
        <w:tabs>
          <w:tab w:val="left" w:pos="570"/>
          <w:tab w:val="left" w:pos="9240"/>
          <w:tab w:val="left" w:pos="9555"/>
        </w:tabs>
        <w:adjustRightInd w:val="0"/>
        <w:snapToGrid w:val="0"/>
        <w:spacing w:before="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1.2本合同下列术语应解释为：</w:t>
      </w:r>
    </w:p>
    <w:p w14:paraId="3770368D">
      <w:pPr>
        <w:tabs>
          <w:tab w:val="left" w:pos="570"/>
          <w:tab w:val="left" w:pos="9240"/>
          <w:tab w:val="left" w:pos="9555"/>
        </w:tabs>
        <w:adjustRightInd w:val="0"/>
        <w:snapToGrid w:val="0"/>
        <w:spacing w:before="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（1）“合同”系指甲乙双方签署的、政府采购合同协议书中载明的甲乙双方所达成的协议，包括所有的附件、附录和上述文件所提到的构成合同的所有文件。</w:t>
      </w:r>
    </w:p>
    <w:p w14:paraId="5D288842">
      <w:pPr>
        <w:tabs>
          <w:tab w:val="left" w:pos="570"/>
          <w:tab w:val="left" w:pos="9240"/>
          <w:tab w:val="left" w:pos="9555"/>
        </w:tabs>
        <w:adjustRightInd w:val="0"/>
        <w:snapToGrid w:val="0"/>
        <w:spacing w:before="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（2）“合同价”系指根据本合同规定乙方在正确地完全履行合同义务后甲方应支付给乙方的价款。</w:t>
      </w:r>
    </w:p>
    <w:p w14:paraId="0B1A550E">
      <w:pPr>
        <w:tabs>
          <w:tab w:val="left" w:pos="570"/>
          <w:tab w:val="left" w:pos="9240"/>
          <w:tab w:val="left" w:pos="9555"/>
        </w:tabs>
        <w:adjustRightInd w:val="0"/>
        <w:snapToGrid w:val="0"/>
        <w:spacing w:before="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（3）“货物”系指乙方根据本合同规定须向甲方提供的各种形态和种类的物品，包括原材料、设备、产品（包括软件）及相关的其备品备件、工具、手册及其它技术资料和材料。</w:t>
      </w:r>
    </w:p>
    <w:p w14:paraId="35BA169A">
      <w:pPr>
        <w:tabs>
          <w:tab w:val="left" w:pos="570"/>
          <w:tab w:val="left" w:pos="8880"/>
          <w:tab w:val="left" w:pos="9555"/>
        </w:tabs>
        <w:adjustRightInd w:val="0"/>
        <w:snapToGrid w:val="0"/>
        <w:spacing w:before="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4）“服务”系指根据合同规定，乙方应提供的技术、管理和其它服务，包括但不限于：管理和质量保证、运输、保险、检验、现场准备、安装、集成、调试、培训、维修、技术支持等以及合同中规定乙方应承担的其它义务。</w:t>
      </w:r>
    </w:p>
    <w:p w14:paraId="742B100E">
      <w:pPr>
        <w:tabs>
          <w:tab w:val="left" w:pos="570"/>
          <w:tab w:val="left" w:pos="9240"/>
          <w:tab w:val="left" w:pos="9555"/>
        </w:tabs>
        <w:adjustRightInd w:val="0"/>
        <w:snapToGrid w:val="0"/>
        <w:spacing w:before="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（5）“合同条款”系指本合同及其附件、补充文件约定的全部条款。</w:t>
      </w:r>
    </w:p>
    <w:p w14:paraId="7D0531D3">
      <w:pPr>
        <w:tabs>
          <w:tab w:val="left" w:pos="570"/>
          <w:tab w:val="left" w:pos="9240"/>
          <w:tab w:val="left" w:pos="9555"/>
        </w:tabs>
        <w:adjustRightInd w:val="0"/>
        <w:snapToGrid w:val="0"/>
        <w:spacing w:before="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（6）“项目现场”系指本合同项下货物安装、运行的现场，其名称见</w:t>
      </w:r>
      <w:r>
        <w:rPr>
          <w:rFonts w:hint="eastAsia" w:ascii="宋体" w:hAnsi="宋体"/>
          <w:b/>
          <w:color w:val="auto"/>
          <w:szCs w:val="21"/>
          <w:highlight w:val="none"/>
        </w:rPr>
        <w:t>【政府采购合同专用条款】</w:t>
      </w:r>
      <w:r>
        <w:rPr>
          <w:rFonts w:hint="eastAsia" w:ascii="宋体" w:hAnsi="宋体"/>
          <w:color w:val="auto"/>
          <w:szCs w:val="21"/>
          <w:highlight w:val="none"/>
        </w:rPr>
        <w:t>。</w:t>
      </w:r>
    </w:p>
    <w:p w14:paraId="716E7357">
      <w:pPr>
        <w:autoSpaceDE w:val="0"/>
        <w:autoSpaceDN w:val="0"/>
        <w:adjustRightInd w:val="0"/>
        <w:snapToGrid w:val="0"/>
        <w:spacing w:before="50" w:line="360" w:lineRule="auto"/>
        <w:jc w:val="left"/>
        <w:outlineLvl w:val="2"/>
        <w:rPr>
          <w:rFonts w:ascii="宋体" w:hAnsi="宋体"/>
          <w:b/>
          <w:color w:val="auto"/>
          <w:sz w:val="24"/>
          <w:highlight w:val="none"/>
        </w:rPr>
      </w:pPr>
      <w:r>
        <w:rPr>
          <w:rFonts w:hint="eastAsia" w:ascii="宋体" w:hAnsi="宋体"/>
          <w:b/>
          <w:color w:val="auto"/>
          <w:sz w:val="24"/>
          <w:highlight w:val="none"/>
        </w:rPr>
        <w:t>2.合同的适用范围</w:t>
      </w:r>
    </w:p>
    <w:p w14:paraId="758FC75F">
      <w:pPr>
        <w:autoSpaceDE w:val="0"/>
        <w:autoSpaceDN w:val="0"/>
        <w:adjustRightInd w:val="0"/>
        <w:snapToGrid w:val="0"/>
        <w:spacing w:before="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2.1 本合同条款适用于没有被本合同其他部分的条款所取代的范围。</w:t>
      </w:r>
    </w:p>
    <w:p w14:paraId="6DE1DEA1">
      <w:pPr>
        <w:autoSpaceDE w:val="0"/>
        <w:autoSpaceDN w:val="0"/>
        <w:adjustRightInd w:val="0"/>
        <w:snapToGrid w:val="0"/>
        <w:spacing w:before="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2.2 合同内容根据招标文件、投标文件而确定。</w:t>
      </w:r>
    </w:p>
    <w:p w14:paraId="5BA31415">
      <w:pPr>
        <w:autoSpaceDE w:val="0"/>
        <w:autoSpaceDN w:val="0"/>
        <w:adjustRightInd w:val="0"/>
        <w:snapToGrid w:val="0"/>
        <w:spacing w:before="50" w:line="360" w:lineRule="auto"/>
        <w:jc w:val="left"/>
        <w:outlineLvl w:val="2"/>
        <w:rPr>
          <w:rFonts w:ascii="宋体" w:hAnsi="宋体"/>
          <w:b/>
          <w:bCs/>
          <w:color w:val="auto"/>
          <w:sz w:val="24"/>
          <w:highlight w:val="none"/>
        </w:rPr>
      </w:pPr>
      <w:r>
        <w:rPr>
          <w:rFonts w:hint="eastAsia" w:ascii="宋体" w:hAnsi="宋体"/>
          <w:b/>
          <w:bCs/>
          <w:color w:val="auto"/>
          <w:sz w:val="24"/>
          <w:highlight w:val="none"/>
        </w:rPr>
        <w:t>3.</w:t>
      </w:r>
      <w:r>
        <w:rPr>
          <w:rFonts w:hint="eastAsia" w:ascii="宋体" w:hAnsi="宋体"/>
          <w:b/>
          <w:color w:val="auto"/>
          <w:sz w:val="24"/>
          <w:highlight w:val="none"/>
        </w:rPr>
        <w:t>合同标的及金额</w:t>
      </w:r>
    </w:p>
    <w:p w14:paraId="3038E4A8">
      <w:pPr>
        <w:autoSpaceDE w:val="0"/>
        <w:autoSpaceDN w:val="0"/>
        <w:adjustRightInd w:val="0"/>
        <w:snapToGrid w:val="0"/>
        <w:spacing w:before="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3.1 合同标的及金额应与中标结果一致。</w:t>
      </w:r>
    </w:p>
    <w:p w14:paraId="3F7E5D64">
      <w:pPr>
        <w:autoSpaceDE w:val="0"/>
        <w:autoSpaceDN w:val="0"/>
        <w:adjustRightInd w:val="0"/>
        <w:snapToGrid w:val="0"/>
        <w:spacing w:before="50" w:line="360" w:lineRule="auto"/>
        <w:jc w:val="left"/>
        <w:outlineLvl w:val="2"/>
        <w:rPr>
          <w:rFonts w:ascii="宋体" w:hAnsi="宋体"/>
          <w:b/>
          <w:bCs/>
          <w:color w:val="auto"/>
          <w:sz w:val="24"/>
          <w:highlight w:val="none"/>
        </w:rPr>
      </w:pPr>
      <w:r>
        <w:rPr>
          <w:rFonts w:hint="eastAsia" w:ascii="宋体" w:hAnsi="宋体"/>
          <w:b/>
          <w:bCs/>
          <w:color w:val="auto"/>
          <w:sz w:val="24"/>
          <w:highlight w:val="none"/>
        </w:rPr>
        <w:t>4.</w:t>
      </w:r>
      <w:r>
        <w:rPr>
          <w:rFonts w:hint="eastAsia" w:ascii="宋体" w:hAnsi="宋体"/>
          <w:b/>
          <w:color w:val="auto"/>
          <w:sz w:val="24"/>
          <w:highlight w:val="none"/>
        </w:rPr>
        <w:t>合同价款</w:t>
      </w:r>
    </w:p>
    <w:p w14:paraId="476A27E8">
      <w:pPr>
        <w:adjustRightInd w:val="0"/>
        <w:snapToGrid w:val="0"/>
        <w:spacing w:before="50" w:line="360" w:lineRule="auto"/>
        <w:ind w:firstLine="420" w:firstLineChars="200"/>
        <w:jc w:val="left"/>
        <w:rPr>
          <w:rFonts w:ascii="宋体" w:hAnsi="宋体"/>
          <w:b/>
          <w:bCs/>
          <w:i/>
          <w:iCs/>
          <w:color w:val="auto"/>
          <w:szCs w:val="21"/>
          <w:highlight w:val="none"/>
        </w:rPr>
      </w:pPr>
      <w:r>
        <w:rPr>
          <w:rFonts w:hint="eastAsia" w:ascii="宋体" w:hAnsi="宋体"/>
          <w:color w:val="auto"/>
          <w:szCs w:val="21"/>
          <w:highlight w:val="none"/>
        </w:rPr>
        <w:t>4.1具体合同价款见本合同第3.1条。乙方为履行本合同而发生的所有费用均应包含在合同价款中，甲方不再另行支付其它任何费用。</w:t>
      </w:r>
    </w:p>
    <w:p w14:paraId="5D8BF736">
      <w:pPr>
        <w:adjustRightInd w:val="0"/>
        <w:snapToGrid w:val="0"/>
        <w:spacing w:before="50" w:line="360" w:lineRule="auto"/>
        <w:jc w:val="left"/>
        <w:outlineLvl w:val="2"/>
        <w:rPr>
          <w:rFonts w:ascii="宋体" w:hAnsi="宋体"/>
          <w:b/>
          <w:color w:val="auto"/>
          <w:sz w:val="24"/>
          <w:highlight w:val="none"/>
        </w:rPr>
      </w:pPr>
      <w:r>
        <w:rPr>
          <w:rFonts w:hint="eastAsia" w:ascii="宋体" w:hAnsi="宋体"/>
          <w:b/>
          <w:color w:val="auto"/>
          <w:sz w:val="24"/>
          <w:highlight w:val="none"/>
        </w:rPr>
        <w:t>5.履行合同的时间、地点和方式</w:t>
      </w:r>
    </w:p>
    <w:p w14:paraId="351750F5">
      <w:pPr>
        <w:autoSpaceDE w:val="0"/>
        <w:autoSpaceDN w:val="0"/>
        <w:adjustRightInd w:val="0"/>
        <w:snapToGrid w:val="0"/>
        <w:spacing w:before="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5.1 乙方应当在甲方确定的时间、指定的地点履行合同，具体的交货时间、地点和方式见</w:t>
      </w:r>
      <w:r>
        <w:rPr>
          <w:rFonts w:hint="eastAsia" w:ascii="宋体" w:hAnsi="宋体"/>
          <w:b/>
          <w:color w:val="auto"/>
          <w:szCs w:val="21"/>
          <w:highlight w:val="none"/>
        </w:rPr>
        <w:t>【政府采购合同专用条款】</w:t>
      </w:r>
      <w:r>
        <w:rPr>
          <w:rFonts w:hint="eastAsia" w:ascii="宋体" w:hAnsi="宋体"/>
          <w:color w:val="auto"/>
          <w:szCs w:val="21"/>
          <w:highlight w:val="none"/>
        </w:rPr>
        <w:t>。</w:t>
      </w:r>
    </w:p>
    <w:p w14:paraId="16C287CF">
      <w:pPr>
        <w:autoSpaceDE w:val="0"/>
        <w:autoSpaceDN w:val="0"/>
        <w:adjustRightInd w:val="0"/>
        <w:snapToGrid w:val="0"/>
        <w:spacing w:before="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5.2 乙方提供服务的应当在甲方指定的时间和地点完成服务项目。</w:t>
      </w:r>
    </w:p>
    <w:p w14:paraId="463D29E6">
      <w:pPr>
        <w:adjustRightInd w:val="0"/>
        <w:snapToGrid w:val="0"/>
        <w:spacing w:before="50" w:line="360" w:lineRule="auto"/>
        <w:jc w:val="left"/>
        <w:outlineLvl w:val="2"/>
        <w:rPr>
          <w:rFonts w:ascii="宋体" w:hAnsi="宋体"/>
          <w:b/>
          <w:bCs/>
          <w:color w:val="auto"/>
          <w:sz w:val="24"/>
          <w:highlight w:val="none"/>
        </w:rPr>
      </w:pPr>
      <w:r>
        <w:rPr>
          <w:rFonts w:hint="eastAsia" w:ascii="宋体" w:hAnsi="宋体"/>
          <w:b/>
          <w:bCs/>
          <w:color w:val="auto"/>
          <w:sz w:val="24"/>
          <w:highlight w:val="none"/>
        </w:rPr>
        <w:t>6.</w:t>
      </w:r>
      <w:r>
        <w:rPr>
          <w:rFonts w:hint="eastAsia" w:ascii="宋体" w:hAnsi="宋体"/>
          <w:b/>
          <w:color w:val="auto"/>
          <w:sz w:val="24"/>
          <w:highlight w:val="none"/>
        </w:rPr>
        <w:t>货物的验收</w:t>
      </w:r>
    </w:p>
    <w:p w14:paraId="66EC17A5">
      <w:pPr>
        <w:autoSpaceDE w:val="0"/>
        <w:autoSpaceDN w:val="0"/>
        <w:adjustRightInd w:val="0"/>
        <w:snapToGrid w:val="0"/>
        <w:spacing w:before="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6.1 甲方在收到乙方交付的货物后应当及时组织验收。</w:t>
      </w:r>
    </w:p>
    <w:p w14:paraId="771FC2DB">
      <w:pPr>
        <w:autoSpaceDE w:val="0"/>
        <w:autoSpaceDN w:val="0"/>
        <w:adjustRightInd w:val="0"/>
        <w:snapToGrid w:val="0"/>
        <w:spacing w:before="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6.2 货物的表面瑕疵，甲方应在验收时当面提出；对质量问题有异议的应在安装调试后十个工作日内提出。</w:t>
      </w:r>
    </w:p>
    <w:p w14:paraId="0028D922">
      <w:pPr>
        <w:autoSpaceDE w:val="0"/>
        <w:autoSpaceDN w:val="0"/>
        <w:adjustRightInd w:val="0"/>
        <w:snapToGrid w:val="0"/>
        <w:spacing w:before="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6.3 在验收过程中发现数量不足或有质量、技术等问题，乙方应负责按照甲方的要求采取补足、更换或退货等处理措施，并承担由此发生的一切费用和损失。</w:t>
      </w:r>
    </w:p>
    <w:p w14:paraId="55002AE0">
      <w:pPr>
        <w:autoSpaceDE w:val="0"/>
        <w:autoSpaceDN w:val="0"/>
        <w:adjustRightInd w:val="0"/>
        <w:snapToGrid w:val="0"/>
        <w:spacing w:before="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6.4 甲方在乙方按合同规定交货或安装、调试后，无正当理由而拖延接收、验收或拒绝接收、验收的，应承担因此给乙方造成的直接损失。</w:t>
      </w:r>
    </w:p>
    <w:p w14:paraId="1244F728">
      <w:pPr>
        <w:autoSpaceDE w:val="0"/>
        <w:autoSpaceDN w:val="0"/>
        <w:adjustRightInd w:val="0"/>
        <w:snapToGrid w:val="0"/>
        <w:spacing w:before="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6.5 甲方对货物进行检查验收合格后，应当收取发票并在《交货验收单》上签署验收意见及加盖单位印章。</w:t>
      </w:r>
    </w:p>
    <w:p w14:paraId="799B3517">
      <w:pPr>
        <w:autoSpaceDE w:val="0"/>
        <w:autoSpaceDN w:val="0"/>
        <w:adjustRightInd w:val="0"/>
        <w:snapToGrid w:val="0"/>
        <w:spacing w:before="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6.6 大型或者复杂的货物采购项目，甲方可以邀请国家认可的质量检测机构参加验收工作，并由其出具验收报告单。</w:t>
      </w:r>
    </w:p>
    <w:p w14:paraId="57812D62">
      <w:pPr>
        <w:autoSpaceDE w:val="0"/>
        <w:autoSpaceDN w:val="0"/>
        <w:adjustRightInd w:val="0"/>
        <w:snapToGrid w:val="0"/>
        <w:spacing w:before="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6.7 乙方提供的进口产品，乙方应出示中华人民共和国进出口商品检验部门出具的检验证书（招标文件第五章采购需求另有约定的除外）。</w:t>
      </w:r>
    </w:p>
    <w:p w14:paraId="7487436C">
      <w:pPr>
        <w:adjustRightInd w:val="0"/>
        <w:snapToGrid w:val="0"/>
        <w:spacing w:before="50" w:line="360" w:lineRule="auto"/>
        <w:jc w:val="left"/>
        <w:outlineLvl w:val="2"/>
        <w:rPr>
          <w:rFonts w:ascii="宋体" w:hAnsi="宋体"/>
          <w:b/>
          <w:bCs/>
          <w:color w:val="auto"/>
          <w:sz w:val="24"/>
          <w:highlight w:val="none"/>
        </w:rPr>
      </w:pPr>
      <w:r>
        <w:rPr>
          <w:rFonts w:hint="eastAsia" w:ascii="宋体" w:hAnsi="宋体"/>
          <w:b/>
          <w:bCs/>
          <w:color w:val="auto"/>
          <w:sz w:val="24"/>
          <w:highlight w:val="none"/>
        </w:rPr>
        <w:t>7.货物包装要求</w:t>
      </w:r>
    </w:p>
    <w:p w14:paraId="7496818D">
      <w:pPr>
        <w:autoSpaceDE w:val="0"/>
        <w:autoSpaceDN w:val="0"/>
        <w:adjustRightInd w:val="0"/>
        <w:snapToGrid w:val="0"/>
        <w:spacing w:before="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7.1 乙方所出售的全部货物均应按标准保护措施进行包装，包装应适应于远距离运输、防潮、防震、防锈和防野蛮装卸等要求，以确保货物安全无损地运抵指定现场。由于包装防护措施不妥而引起的损坏、丢失由乙方负责。</w:t>
      </w:r>
    </w:p>
    <w:p w14:paraId="4EA6EDDB">
      <w:pPr>
        <w:autoSpaceDE w:val="0"/>
        <w:autoSpaceDN w:val="0"/>
        <w:adjustRightInd w:val="0"/>
        <w:snapToGrid w:val="0"/>
        <w:spacing w:before="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7.2 每一个包装箱内应附一份详细装箱单、质量证书和保修保养证书。</w:t>
      </w:r>
    </w:p>
    <w:p w14:paraId="66FA8A73">
      <w:pPr>
        <w:adjustRightInd w:val="0"/>
        <w:snapToGrid w:val="0"/>
        <w:spacing w:before="50" w:line="360" w:lineRule="auto"/>
        <w:jc w:val="left"/>
        <w:outlineLvl w:val="2"/>
        <w:rPr>
          <w:rFonts w:ascii="宋体" w:hAnsi="宋体"/>
          <w:b/>
          <w:color w:val="auto"/>
          <w:sz w:val="24"/>
          <w:highlight w:val="none"/>
        </w:rPr>
      </w:pPr>
      <w:r>
        <w:rPr>
          <w:rFonts w:hint="eastAsia" w:ascii="宋体" w:hAnsi="宋体"/>
          <w:b/>
          <w:color w:val="auto"/>
          <w:sz w:val="24"/>
          <w:highlight w:val="none"/>
        </w:rPr>
        <w:t>8.运输和保险</w:t>
      </w:r>
    </w:p>
    <w:p w14:paraId="2BAF8E67">
      <w:pPr>
        <w:adjustRightInd w:val="0"/>
        <w:snapToGrid w:val="0"/>
        <w:spacing w:before="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8.1乙方负责办理将货物运抵本合同第5.1条规定的交货地点的一切运输事项，相关费用应包括在合同总价中。</w:t>
      </w:r>
    </w:p>
    <w:p w14:paraId="144A8428">
      <w:pPr>
        <w:adjustRightInd w:val="0"/>
        <w:snapToGrid w:val="0"/>
        <w:spacing w:before="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8.2乙方应向保险公司投保以甲方为受益人的发运合同货物发票金额的110％运输一切险。</w:t>
      </w:r>
    </w:p>
    <w:p w14:paraId="2B88E7EF">
      <w:pPr>
        <w:adjustRightInd w:val="0"/>
        <w:snapToGrid w:val="0"/>
        <w:spacing w:before="50" w:line="360" w:lineRule="auto"/>
        <w:jc w:val="left"/>
        <w:outlineLvl w:val="2"/>
        <w:rPr>
          <w:rFonts w:ascii="宋体" w:hAnsi="宋体"/>
          <w:b/>
          <w:color w:val="auto"/>
          <w:sz w:val="24"/>
          <w:highlight w:val="none"/>
        </w:rPr>
      </w:pPr>
      <w:r>
        <w:rPr>
          <w:rFonts w:hint="eastAsia" w:ascii="宋体" w:hAnsi="宋体"/>
          <w:b/>
          <w:color w:val="auto"/>
          <w:sz w:val="24"/>
          <w:highlight w:val="none"/>
        </w:rPr>
        <w:t>9.质量标准和保证</w:t>
      </w:r>
    </w:p>
    <w:p w14:paraId="304BFB6C">
      <w:pPr>
        <w:pStyle w:val="22"/>
        <w:adjustRightInd w:val="0"/>
        <w:snapToGrid w:val="0"/>
        <w:spacing w:before="50" w:line="360" w:lineRule="auto"/>
        <w:ind w:firstLine="400" w:firstLineChars="200"/>
        <w:jc w:val="left"/>
        <w:rPr>
          <w:rFonts w:hAnsi="宋体"/>
          <w:b/>
          <w:color w:val="auto"/>
          <w:highlight w:val="none"/>
        </w:rPr>
      </w:pPr>
      <w:r>
        <w:rPr>
          <w:rFonts w:hint="eastAsia" w:hAnsi="宋体"/>
          <w:color w:val="auto"/>
          <w:highlight w:val="none"/>
        </w:rPr>
        <w:t>9.1 质量标准</w:t>
      </w:r>
    </w:p>
    <w:p w14:paraId="506371BC">
      <w:pPr>
        <w:autoSpaceDE w:val="0"/>
        <w:autoSpaceDN w:val="0"/>
        <w:adjustRightInd w:val="0"/>
        <w:snapToGrid w:val="0"/>
        <w:spacing w:before="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（1）本合同下交付的货物应符合招标文件第四章“技术规格、参数与要求”所述的标准。如果没有提及适用标准，则应符合中华人民共和国有关机构发布的最新版本的标准。</w:t>
      </w:r>
    </w:p>
    <w:p w14:paraId="7DB49CCC">
      <w:pPr>
        <w:pStyle w:val="22"/>
        <w:adjustRightInd w:val="0"/>
        <w:snapToGrid w:val="0"/>
        <w:spacing w:before="50" w:line="360" w:lineRule="auto"/>
        <w:ind w:firstLine="400" w:firstLineChars="200"/>
        <w:jc w:val="left"/>
        <w:rPr>
          <w:rFonts w:hAnsi="宋体"/>
          <w:color w:val="auto"/>
          <w:highlight w:val="none"/>
        </w:rPr>
      </w:pPr>
      <w:r>
        <w:rPr>
          <w:rFonts w:hint="eastAsia" w:hAnsi="宋体"/>
          <w:color w:val="auto"/>
          <w:highlight w:val="none"/>
        </w:rPr>
        <w:t>（2）采用中华人民共和国法定计量单位。</w:t>
      </w:r>
    </w:p>
    <w:p w14:paraId="153DAEEA">
      <w:pPr>
        <w:autoSpaceDE w:val="0"/>
        <w:autoSpaceDN w:val="0"/>
        <w:adjustRightInd w:val="0"/>
        <w:snapToGrid w:val="0"/>
        <w:spacing w:before="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（3）乙方所出售的货物还应符合国家有关安全、环保、卫生之规定。</w:t>
      </w:r>
    </w:p>
    <w:p w14:paraId="15866D7F">
      <w:pPr>
        <w:autoSpaceDE w:val="0"/>
        <w:autoSpaceDN w:val="0"/>
        <w:adjustRightInd w:val="0"/>
        <w:snapToGrid w:val="0"/>
        <w:spacing w:before="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9.2 保证</w:t>
      </w:r>
    </w:p>
    <w:p w14:paraId="5957ED8D">
      <w:pPr>
        <w:autoSpaceDE w:val="0"/>
        <w:autoSpaceDN w:val="0"/>
        <w:adjustRightInd w:val="0"/>
        <w:snapToGrid w:val="0"/>
        <w:spacing w:before="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乙方应保证所供货物是全新的、未使用过的，并完全符合合同规定的质量、规格和性能的要求。乙方应保证其货物在正确安装、正常使用和保养条件下，在其使用寿命期内应具有满意的性能，或者没有因乙方的行为或疏忽而产生的缺陷。在货物最终交付验收后不少于</w:t>
      </w:r>
      <w:r>
        <w:rPr>
          <w:rFonts w:hint="eastAsia" w:ascii="宋体" w:hAnsi="宋体"/>
          <w:b/>
          <w:color w:val="auto"/>
          <w:szCs w:val="21"/>
          <w:highlight w:val="none"/>
        </w:rPr>
        <w:t>【政府采购合同专用条款】</w:t>
      </w:r>
      <w:r>
        <w:rPr>
          <w:rFonts w:hint="eastAsia" w:ascii="宋体" w:hAnsi="宋体"/>
          <w:color w:val="auto"/>
          <w:szCs w:val="21"/>
          <w:highlight w:val="none"/>
        </w:rPr>
        <w:t>规定或乙方承诺（两者以较长的为准）的质量保证期内，本保证保持有效。</w:t>
      </w:r>
    </w:p>
    <w:p w14:paraId="0D11A40C">
      <w:pPr>
        <w:autoSpaceDE w:val="0"/>
        <w:autoSpaceDN w:val="0"/>
        <w:adjustRightInd w:val="0"/>
        <w:snapToGrid w:val="0"/>
        <w:spacing w:before="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（2）在质量保证期内所发现的缺陷，甲方应尽快以书面形式通知乙方。</w:t>
      </w:r>
    </w:p>
    <w:p w14:paraId="6E7AEFA8">
      <w:pPr>
        <w:autoSpaceDE w:val="0"/>
        <w:autoSpaceDN w:val="0"/>
        <w:adjustRightInd w:val="0"/>
        <w:snapToGrid w:val="0"/>
        <w:spacing w:before="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（3）乙方收到通知后应在</w:t>
      </w:r>
      <w:r>
        <w:rPr>
          <w:rFonts w:hint="eastAsia" w:ascii="宋体" w:hAnsi="宋体"/>
          <w:b/>
          <w:color w:val="auto"/>
          <w:szCs w:val="21"/>
          <w:highlight w:val="none"/>
        </w:rPr>
        <w:t>【政府采购合同专用条款】</w:t>
      </w:r>
      <w:r>
        <w:rPr>
          <w:rFonts w:hint="eastAsia" w:ascii="宋体" w:hAnsi="宋体"/>
          <w:color w:val="auto"/>
          <w:szCs w:val="21"/>
          <w:highlight w:val="none"/>
        </w:rPr>
        <w:t>规定的响应时间内以合理的速度免费维修或更换有缺陷的货物或部件。</w:t>
      </w:r>
    </w:p>
    <w:p w14:paraId="202C01CA">
      <w:pPr>
        <w:autoSpaceDE w:val="0"/>
        <w:autoSpaceDN w:val="0"/>
        <w:adjustRightInd w:val="0"/>
        <w:snapToGrid w:val="0"/>
        <w:spacing w:before="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（4）在质量保证期内，如果货物的质量或规格与合同不符，或证实货物是有缺陷的，包括潜在的缺陷或使用不符合要求的材料等，甲方可以根据本合同第15.1条规定以书面形式向乙方提出补救措施或索赔。</w:t>
      </w:r>
    </w:p>
    <w:p w14:paraId="60F1FF31">
      <w:pPr>
        <w:adjustRightInd w:val="0"/>
        <w:snapToGrid w:val="0"/>
        <w:spacing w:before="50" w:line="360" w:lineRule="auto"/>
        <w:ind w:firstLine="420" w:firstLineChars="200"/>
        <w:jc w:val="left"/>
        <w:rPr>
          <w:rFonts w:ascii="宋体" w:hAnsi="宋体"/>
          <w:b/>
          <w:color w:val="auto"/>
          <w:szCs w:val="21"/>
          <w:highlight w:val="none"/>
        </w:rPr>
      </w:pPr>
      <w:r>
        <w:rPr>
          <w:rFonts w:hint="eastAsia" w:ascii="宋体" w:hAnsi="宋体"/>
          <w:color w:val="auto"/>
          <w:szCs w:val="21"/>
          <w:highlight w:val="none"/>
        </w:rPr>
        <w:t>（5）乙方在约定的时间内未能弥补缺陷，甲方可采取必要的补救措施，但其风险和费用将由乙方承担，甲方根据合同规定对乙方行使的其他权利不受影响。</w:t>
      </w:r>
    </w:p>
    <w:p w14:paraId="44BCA673">
      <w:pPr>
        <w:adjustRightInd w:val="0"/>
        <w:snapToGrid w:val="0"/>
        <w:spacing w:before="50" w:line="360" w:lineRule="auto"/>
        <w:jc w:val="left"/>
        <w:outlineLvl w:val="2"/>
        <w:rPr>
          <w:rFonts w:ascii="宋体" w:hAnsi="宋体"/>
          <w:b/>
          <w:bCs/>
          <w:color w:val="auto"/>
          <w:sz w:val="24"/>
          <w:highlight w:val="none"/>
        </w:rPr>
      </w:pPr>
      <w:r>
        <w:rPr>
          <w:rFonts w:hint="eastAsia" w:ascii="宋体" w:hAnsi="宋体"/>
          <w:b/>
          <w:bCs/>
          <w:color w:val="auto"/>
          <w:sz w:val="24"/>
          <w:highlight w:val="none"/>
        </w:rPr>
        <w:t>10.权利瑕疵担保</w:t>
      </w:r>
    </w:p>
    <w:p w14:paraId="4960DF93">
      <w:pPr>
        <w:autoSpaceDE w:val="0"/>
        <w:autoSpaceDN w:val="0"/>
        <w:adjustRightInd w:val="0"/>
        <w:snapToGrid w:val="0"/>
        <w:spacing w:before="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10.1 乙方保证对其出售的货物享有合法的权利。</w:t>
      </w:r>
    </w:p>
    <w:p w14:paraId="2B531E9A">
      <w:pPr>
        <w:autoSpaceDE w:val="0"/>
        <w:autoSpaceDN w:val="0"/>
        <w:adjustRightInd w:val="0"/>
        <w:snapToGrid w:val="0"/>
        <w:spacing w:before="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10.2 乙方保证在其出售的货物上不存在任何未曾向甲方透露的担保物权，如抵押权、质押权、留置权等。</w:t>
      </w:r>
    </w:p>
    <w:p w14:paraId="40B180F7">
      <w:pPr>
        <w:autoSpaceDE w:val="0"/>
        <w:autoSpaceDN w:val="0"/>
        <w:adjustRightInd w:val="0"/>
        <w:snapToGrid w:val="0"/>
        <w:spacing w:before="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10.3 如甲方使用该货物构成上述侵权的，则由乙方承担全部责任。</w:t>
      </w:r>
    </w:p>
    <w:p w14:paraId="6A763A75">
      <w:pPr>
        <w:autoSpaceDE w:val="0"/>
        <w:autoSpaceDN w:val="0"/>
        <w:adjustRightInd w:val="0"/>
        <w:snapToGrid w:val="0"/>
        <w:spacing w:before="50" w:line="360" w:lineRule="auto"/>
        <w:jc w:val="left"/>
        <w:outlineLvl w:val="2"/>
        <w:rPr>
          <w:rFonts w:ascii="宋体" w:hAnsi="宋体"/>
          <w:b/>
          <w:bCs/>
          <w:color w:val="auto"/>
          <w:sz w:val="24"/>
          <w:highlight w:val="none"/>
        </w:rPr>
      </w:pPr>
      <w:r>
        <w:rPr>
          <w:rFonts w:hint="eastAsia" w:ascii="宋体" w:hAnsi="宋体"/>
          <w:b/>
          <w:bCs/>
          <w:color w:val="auto"/>
          <w:sz w:val="24"/>
          <w:highlight w:val="none"/>
        </w:rPr>
        <w:t>11.知识产权保护</w:t>
      </w:r>
    </w:p>
    <w:p w14:paraId="6CB1466C">
      <w:pPr>
        <w:autoSpaceDE w:val="0"/>
        <w:autoSpaceDN w:val="0"/>
        <w:adjustRightInd w:val="0"/>
        <w:snapToGrid w:val="0"/>
        <w:spacing w:before="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11.1 乙方对其所销售的货物应当享有知识产权或经权利人合法授权，保证没有侵犯任何第三人的知识产权和商业秘密等权利。</w:t>
      </w:r>
    </w:p>
    <w:p w14:paraId="451068BD">
      <w:pPr>
        <w:autoSpaceDE w:val="0"/>
        <w:autoSpaceDN w:val="0"/>
        <w:adjustRightInd w:val="0"/>
        <w:snapToGrid w:val="0"/>
        <w:spacing w:before="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11.2 甲方使用乙方提供的货物对第三人构成侵权的，应当由乙方承担全部法律责任，给甲方造成损害的，乙方应当承担赔偿责任。</w:t>
      </w:r>
    </w:p>
    <w:p w14:paraId="00BD5A0A">
      <w:pPr>
        <w:autoSpaceDE w:val="0"/>
        <w:autoSpaceDN w:val="0"/>
        <w:adjustRightInd w:val="0"/>
        <w:snapToGrid w:val="0"/>
        <w:spacing w:before="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11.3 甲方委托乙方开发的产品，甲方享有知识产权，未经甲方许可不得转让任何第三人。</w:t>
      </w:r>
    </w:p>
    <w:p w14:paraId="312A63B5">
      <w:pPr>
        <w:autoSpaceDE w:val="0"/>
        <w:autoSpaceDN w:val="0"/>
        <w:adjustRightInd w:val="0"/>
        <w:snapToGrid w:val="0"/>
        <w:spacing w:before="50" w:line="360" w:lineRule="auto"/>
        <w:jc w:val="left"/>
        <w:outlineLvl w:val="2"/>
        <w:rPr>
          <w:rFonts w:ascii="宋体" w:hAnsi="宋体"/>
          <w:b/>
          <w:bCs/>
          <w:color w:val="auto"/>
          <w:sz w:val="24"/>
          <w:highlight w:val="none"/>
        </w:rPr>
      </w:pPr>
      <w:r>
        <w:rPr>
          <w:rFonts w:hint="eastAsia" w:ascii="宋体" w:hAnsi="宋体"/>
          <w:b/>
          <w:bCs/>
          <w:color w:val="auto"/>
          <w:sz w:val="24"/>
          <w:highlight w:val="none"/>
        </w:rPr>
        <w:t>12.保密义务</w:t>
      </w:r>
    </w:p>
    <w:p w14:paraId="75194DB8">
      <w:pPr>
        <w:autoSpaceDE w:val="0"/>
        <w:autoSpaceDN w:val="0"/>
        <w:adjustRightInd w:val="0"/>
        <w:snapToGrid w:val="0"/>
        <w:spacing w:before="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12.1 甲、乙双方在采购和履行合同过程中所获悉的对方属于保密的内容，双方均有保密义务。</w:t>
      </w:r>
    </w:p>
    <w:p w14:paraId="4D01803C">
      <w:pPr>
        <w:autoSpaceDE w:val="0"/>
        <w:autoSpaceDN w:val="0"/>
        <w:adjustRightInd w:val="0"/>
        <w:snapToGrid w:val="0"/>
        <w:spacing w:before="50" w:line="360" w:lineRule="auto"/>
        <w:jc w:val="left"/>
        <w:outlineLvl w:val="2"/>
        <w:rPr>
          <w:rFonts w:ascii="宋体" w:hAnsi="宋体"/>
          <w:b/>
          <w:bCs/>
          <w:color w:val="auto"/>
          <w:sz w:val="24"/>
          <w:highlight w:val="none"/>
        </w:rPr>
      </w:pPr>
      <w:r>
        <w:rPr>
          <w:rFonts w:hint="eastAsia" w:ascii="宋体" w:hAnsi="宋体"/>
          <w:b/>
          <w:bCs/>
          <w:color w:val="auto"/>
          <w:sz w:val="24"/>
          <w:highlight w:val="none"/>
        </w:rPr>
        <w:t>13.合同价款支付</w:t>
      </w:r>
    </w:p>
    <w:p w14:paraId="6E2FC7C8">
      <w:pPr>
        <w:adjustRightInd w:val="0"/>
        <w:snapToGrid w:val="0"/>
        <w:spacing w:before="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13.1验收合格后，乙方出具正规发票给甲方，凭甲方开具的《政府采购合同验收报告单》办理合同价</w:t>
      </w:r>
      <w:r>
        <w:rPr>
          <w:rFonts w:hint="eastAsia" w:ascii="宋体" w:hAnsi="宋体"/>
          <w:bCs/>
          <w:color w:val="auto"/>
          <w:szCs w:val="21"/>
          <w:highlight w:val="none"/>
        </w:rPr>
        <w:t>款</w:t>
      </w:r>
      <w:r>
        <w:rPr>
          <w:rFonts w:hint="eastAsia" w:ascii="宋体" w:hAnsi="宋体"/>
          <w:color w:val="auto"/>
          <w:szCs w:val="21"/>
          <w:highlight w:val="none"/>
        </w:rPr>
        <w:t>结算手续。</w:t>
      </w:r>
    </w:p>
    <w:p w14:paraId="7C30A279">
      <w:pPr>
        <w:autoSpaceDE w:val="0"/>
        <w:autoSpaceDN w:val="0"/>
        <w:adjustRightInd w:val="0"/>
        <w:snapToGrid w:val="0"/>
        <w:spacing w:before="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13.2 合同价款构成中应当由财政支付的部分，甲方应当在货物验收合格后的十五个工作日内向国库管理部门申请支付，经国库管理部门审核后直接支付给乙方。</w:t>
      </w:r>
    </w:p>
    <w:p w14:paraId="2E1A642D">
      <w:pPr>
        <w:adjustRightInd w:val="0"/>
        <w:snapToGrid w:val="0"/>
        <w:spacing w:before="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13.3 合同价款构成中应当由甲方自行支付的部分，甲方应当在货物验收合格后十五个工作日内支付。</w:t>
      </w:r>
    </w:p>
    <w:p w14:paraId="57179C26">
      <w:pPr>
        <w:adjustRightInd w:val="0"/>
        <w:snapToGrid w:val="0"/>
        <w:spacing w:before="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13.4支付合同价</w:t>
      </w:r>
      <w:r>
        <w:rPr>
          <w:rFonts w:hint="eastAsia" w:ascii="宋体" w:hAnsi="宋体"/>
          <w:bCs/>
          <w:color w:val="auto"/>
          <w:szCs w:val="21"/>
          <w:highlight w:val="none"/>
        </w:rPr>
        <w:t>款</w:t>
      </w:r>
      <w:r>
        <w:rPr>
          <w:rFonts w:hint="eastAsia" w:ascii="宋体" w:hAnsi="宋体"/>
          <w:color w:val="auto"/>
          <w:szCs w:val="21"/>
          <w:highlight w:val="none"/>
        </w:rPr>
        <w:t>时，一律不向乙方以外的任何第三方办理付款手续。开户行和账号以签订的政府采购合同为准，如果乙方要求变更，则乙方必须提供加盖了财务专用章、法定代表人签字的证明文件，报经甲方审查同意。</w:t>
      </w:r>
    </w:p>
    <w:p w14:paraId="66F10407">
      <w:pPr>
        <w:autoSpaceDE w:val="0"/>
        <w:autoSpaceDN w:val="0"/>
        <w:adjustRightInd w:val="0"/>
        <w:snapToGrid w:val="0"/>
        <w:spacing w:before="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13.5 合同价款支付方式</w:t>
      </w:r>
      <w:r>
        <w:rPr>
          <w:rFonts w:hint="eastAsia" w:ascii="宋体" w:hAnsi="宋体"/>
          <w:bCs/>
          <w:color w:val="auto"/>
          <w:szCs w:val="21"/>
          <w:highlight w:val="none"/>
        </w:rPr>
        <w:t>和条件在</w:t>
      </w:r>
      <w:r>
        <w:rPr>
          <w:rFonts w:hint="eastAsia" w:ascii="宋体" w:hAnsi="宋体"/>
          <w:b/>
          <w:color w:val="auto"/>
          <w:szCs w:val="21"/>
          <w:highlight w:val="none"/>
        </w:rPr>
        <w:t>【政府采购合同专用条款】</w:t>
      </w:r>
      <w:r>
        <w:rPr>
          <w:rFonts w:hint="eastAsia" w:ascii="宋体" w:hAnsi="宋体"/>
          <w:color w:val="auto"/>
          <w:szCs w:val="21"/>
          <w:highlight w:val="none"/>
        </w:rPr>
        <w:t>中另有规定。</w:t>
      </w:r>
    </w:p>
    <w:p w14:paraId="35A7B6EA">
      <w:pPr>
        <w:autoSpaceDE w:val="0"/>
        <w:autoSpaceDN w:val="0"/>
        <w:adjustRightInd w:val="0"/>
        <w:snapToGrid w:val="0"/>
        <w:spacing w:before="50" w:line="360" w:lineRule="auto"/>
        <w:jc w:val="left"/>
        <w:outlineLvl w:val="2"/>
        <w:rPr>
          <w:rFonts w:ascii="宋体" w:hAnsi="宋体"/>
          <w:b/>
          <w:color w:val="auto"/>
          <w:sz w:val="24"/>
          <w:highlight w:val="none"/>
        </w:rPr>
      </w:pPr>
      <w:r>
        <w:rPr>
          <w:rFonts w:hint="eastAsia" w:ascii="宋体" w:hAnsi="宋体"/>
          <w:b/>
          <w:bCs/>
          <w:color w:val="auto"/>
          <w:sz w:val="24"/>
          <w:highlight w:val="none"/>
        </w:rPr>
        <w:t>14.</w:t>
      </w:r>
      <w:r>
        <w:rPr>
          <w:rFonts w:hint="eastAsia"/>
          <w:b/>
          <w:color w:val="auto"/>
          <w:sz w:val="24"/>
          <w:highlight w:val="none"/>
        </w:rPr>
        <w:t>乙方应提供的</w:t>
      </w:r>
      <w:r>
        <w:rPr>
          <w:rFonts w:hint="eastAsia" w:ascii="宋体" w:hAnsi="宋体"/>
          <w:b/>
          <w:color w:val="auto"/>
          <w:sz w:val="24"/>
          <w:highlight w:val="none"/>
        </w:rPr>
        <w:t>服务</w:t>
      </w:r>
    </w:p>
    <w:p w14:paraId="3D577276">
      <w:pPr>
        <w:autoSpaceDE w:val="0"/>
        <w:autoSpaceDN w:val="0"/>
        <w:adjustRightInd w:val="0"/>
        <w:snapToGrid w:val="0"/>
        <w:spacing w:before="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14.1 乙方应向甲方提交所提供货物的技术文件，包括相应的中文技术文件，如：产品目录、图纸、操作手册、使用说明、维护手册或服务指南。这些文件应包装好随同货物一起发运。</w:t>
      </w:r>
    </w:p>
    <w:p w14:paraId="6747D89E">
      <w:pPr>
        <w:autoSpaceDE w:val="0"/>
        <w:autoSpaceDN w:val="0"/>
        <w:adjustRightInd w:val="0"/>
        <w:snapToGrid w:val="0"/>
        <w:spacing w:before="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14.2 乙方还应提供下列服务：</w:t>
      </w:r>
    </w:p>
    <w:p w14:paraId="687CCE3A">
      <w:pPr>
        <w:autoSpaceDE w:val="0"/>
        <w:autoSpaceDN w:val="0"/>
        <w:adjustRightInd w:val="0"/>
        <w:snapToGrid w:val="0"/>
        <w:spacing w:before="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（1）货物的现场移动、安装、调试、启动监督及技术支持；</w:t>
      </w:r>
    </w:p>
    <w:p w14:paraId="1D7159BB">
      <w:pPr>
        <w:autoSpaceDE w:val="0"/>
        <w:autoSpaceDN w:val="0"/>
        <w:adjustRightInd w:val="0"/>
        <w:snapToGrid w:val="0"/>
        <w:spacing w:before="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（2）提供货物组装和维修所需的专用工具和辅助材料；</w:t>
      </w:r>
    </w:p>
    <w:p w14:paraId="3B26CFD0">
      <w:pPr>
        <w:autoSpaceDE w:val="0"/>
        <w:autoSpaceDN w:val="0"/>
        <w:adjustRightInd w:val="0"/>
        <w:snapToGrid w:val="0"/>
        <w:spacing w:before="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（3）在合同各方商定的一定期限内对所有的货物实施运行监督、维修，但前提条件是该服务并不能免除乙方在质量保证期内所承担的义务；</w:t>
      </w:r>
    </w:p>
    <w:p w14:paraId="4AF05515">
      <w:pPr>
        <w:autoSpaceDE w:val="0"/>
        <w:autoSpaceDN w:val="0"/>
        <w:adjustRightInd w:val="0"/>
        <w:snapToGrid w:val="0"/>
        <w:spacing w:before="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（4）在制造商或项目现场就货物的安装、启动、运营、维护对甲方操作人员进行培训；</w:t>
      </w:r>
    </w:p>
    <w:p w14:paraId="617EE23B">
      <w:pPr>
        <w:autoSpaceDE w:val="0"/>
        <w:autoSpaceDN w:val="0"/>
        <w:adjustRightInd w:val="0"/>
        <w:snapToGrid w:val="0"/>
        <w:spacing w:before="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（5）</w:t>
      </w:r>
      <w:r>
        <w:rPr>
          <w:rFonts w:hint="eastAsia" w:ascii="宋体" w:hAnsi="宋体"/>
          <w:b/>
          <w:color w:val="auto"/>
          <w:szCs w:val="21"/>
          <w:highlight w:val="none"/>
        </w:rPr>
        <w:t>【政府采购合同专用条款】</w:t>
      </w:r>
      <w:r>
        <w:rPr>
          <w:rFonts w:hint="eastAsia" w:ascii="宋体" w:hAnsi="宋体"/>
          <w:color w:val="auto"/>
          <w:szCs w:val="21"/>
          <w:highlight w:val="none"/>
        </w:rPr>
        <w:t>规定由乙方提供的其他服务。</w:t>
      </w:r>
    </w:p>
    <w:p w14:paraId="06203C88">
      <w:pPr>
        <w:autoSpaceDE w:val="0"/>
        <w:autoSpaceDN w:val="0"/>
        <w:adjustRightInd w:val="0"/>
        <w:snapToGrid w:val="0"/>
        <w:spacing w:before="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14.3 乙方提供的服务的费用应包含在合同价款中，甲方不再另行支付。</w:t>
      </w:r>
    </w:p>
    <w:p w14:paraId="06ACBED8">
      <w:pPr>
        <w:adjustRightInd w:val="0"/>
        <w:snapToGrid w:val="0"/>
        <w:spacing w:before="50" w:line="360" w:lineRule="auto"/>
        <w:jc w:val="left"/>
        <w:outlineLvl w:val="2"/>
        <w:rPr>
          <w:rFonts w:ascii="宋体" w:hAnsi="宋体"/>
          <w:b/>
          <w:bCs/>
          <w:color w:val="auto"/>
          <w:sz w:val="24"/>
          <w:highlight w:val="none"/>
        </w:rPr>
      </w:pPr>
      <w:r>
        <w:rPr>
          <w:rFonts w:hint="eastAsia" w:ascii="宋体" w:hAnsi="宋体"/>
          <w:b/>
          <w:bCs/>
          <w:color w:val="auto"/>
          <w:sz w:val="24"/>
          <w:highlight w:val="none"/>
        </w:rPr>
        <w:t>15.违约责任</w:t>
      </w:r>
    </w:p>
    <w:p w14:paraId="6B48EDD2">
      <w:pPr>
        <w:adjustRightInd w:val="0"/>
        <w:snapToGrid w:val="0"/>
        <w:spacing w:before="50" w:line="360" w:lineRule="auto"/>
        <w:ind w:firstLine="420" w:firstLineChars="200"/>
        <w:jc w:val="left"/>
        <w:rPr>
          <w:rFonts w:ascii="宋体" w:hAnsi="宋体"/>
          <w:bCs/>
          <w:color w:val="auto"/>
          <w:szCs w:val="21"/>
          <w:highlight w:val="none"/>
        </w:rPr>
      </w:pPr>
      <w:r>
        <w:rPr>
          <w:rFonts w:hint="eastAsia" w:ascii="宋体" w:hAnsi="宋体"/>
          <w:bCs/>
          <w:color w:val="auto"/>
          <w:szCs w:val="21"/>
          <w:highlight w:val="none"/>
        </w:rPr>
        <w:t>15.1质量瑕疵的补救措施和索赔</w:t>
      </w:r>
    </w:p>
    <w:p w14:paraId="32CB2BE3">
      <w:pPr>
        <w:autoSpaceDE w:val="0"/>
        <w:autoSpaceDN w:val="0"/>
        <w:adjustRightInd w:val="0"/>
        <w:snapToGrid w:val="0"/>
        <w:spacing w:before="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如果乙方提供的产品不符合质量标准或存在产品质量缺陷，而甲方在合同条款第9条或合同的其他条款规定的检验、安装、调试、验收和质量保证期内，根据法定质量检测部门出具的检验证书向乙方提出了索赔，乙方应按照甲方同意的下列一种或几种方式结合起来解决索赔事宜：</w:t>
      </w:r>
    </w:p>
    <w:p w14:paraId="29BF80A0">
      <w:pPr>
        <w:autoSpaceDE w:val="0"/>
        <w:autoSpaceDN w:val="0"/>
        <w:adjustRightInd w:val="0"/>
        <w:snapToGrid w:val="0"/>
        <w:spacing w:before="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①乙方同意退货并将货款退还给甲方，由此发生的一切费用和损失由乙方承担。</w:t>
      </w:r>
    </w:p>
    <w:p w14:paraId="312AC412">
      <w:pPr>
        <w:autoSpaceDE w:val="0"/>
        <w:autoSpaceDN w:val="0"/>
        <w:adjustRightInd w:val="0"/>
        <w:snapToGrid w:val="0"/>
        <w:spacing w:before="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②根据货物的质量状况以及甲方所遭受的损失，经过甲乙双方商定降低货物的价格。</w:t>
      </w:r>
    </w:p>
    <w:p w14:paraId="37DCCD22">
      <w:pPr>
        <w:autoSpaceDE w:val="0"/>
        <w:autoSpaceDN w:val="0"/>
        <w:adjustRightInd w:val="0"/>
        <w:snapToGrid w:val="0"/>
        <w:spacing w:before="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③乙方应在接到甲方通知后七日内负责采用符合合同规定的规格、质量和性能要求的新零件、部件和设备来更换有缺陷的部分或修补缺陷部分，其费用由乙方负担。同时，乙方应在约定的质量保证期基础上相应延长修补和更换件的质量保证期。</w:t>
      </w:r>
    </w:p>
    <w:p w14:paraId="17D57293">
      <w:pPr>
        <w:autoSpaceDE w:val="0"/>
        <w:autoSpaceDN w:val="0"/>
        <w:adjustRightInd w:val="0"/>
        <w:snapToGrid w:val="0"/>
        <w:spacing w:before="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如果在甲方发出索赔通知后十日内乙方未作答复，上述索赔应视为已被乙方接受。如果乙方未能在甲方发出索赔通知后十日内或甲方同意延长的期限内，按照上述规定的任何一种方法采取补救措施，甲方有权从应付货款中扣除索赔金额或者没收质量保证金，如不足以弥补甲方损失的，甲方有权进一步要求乙方赔偿。</w:t>
      </w:r>
    </w:p>
    <w:p w14:paraId="396C2799">
      <w:pPr>
        <w:autoSpaceDE w:val="0"/>
        <w:autoSpaceDN w:val="0"/>
        <w:adjustRightInd w:val="0"/>
        <w:snapToGrid w:val="0"/>
        <w:spacing w:before="50" w:line="360" w:lineRule="auto"/>
        <w:ind w:firstLine="420" w:firstLineChars="200"/>
        <w:jc w:val="left"/>
        <w:rPr>
          <w:rFonts w:ascii="宋体" w:hAnsi="宋体"/>
          <w:bCs/>
          <w:color w:val="auto"/>
          <w:szCs w:val="21"/>
          <w:highlight w:val="none"/>
        </w:rPr>
      </w:pPr>
      <w:r>
        <w:rPr>
          <w:rFonts w:hint="eastAsia" w:ascii="宋体" w:hAnsi="宋体"/>
          <w:bCs/>
          <w:color w:val="auto"/>
          <w:szCs w:val="21"/>
          <w:highlight w:val="none"/>
        </w:rPr>
        <w:t>15.2 迟延交货的违约责任</w:t>
      </w:r>
    </w:p>
    <w:p w14:paraId="69AF79D8">
      <w:pPr>
        <w:autoSpaceDE w:val="0"/>
        <w:autoSpaceDN w:val="0"/>
        <w:adjustRightInd w:val="0"/>
        <w:snapToGrid w:val="0"/>
        <w:spacing w:before="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乙方应按照本合同规定的时间、地点交货和提供服务。在履行合同过程中，如果乙方遇到可能妨碍按时交货和提供服务的情形时，应及时以书面形式将迟延的事实、可能迟延的期限和理由通知甲方。甲方在收到乙方通知后，应尽快对情况进行评价，并确定是否同意迟延交货时间或延期提供服务。</w:t>
      </w:r>
    </w:p>
    <w:p w14:paraId="7A09505E">
      <w:pPr>
        <w:autoSpaceDE w:val="0"/>
        <w:autoSpaceDN w:val="0"/>
        <w:adjustRightInd w:val="0"/>
        <w:snapToGrid w:val="0"/>
        <w:spacing w:before="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（2）除本合同</w:t>
      </w:r>
      <w:r>
        <w:rPr>
          <w:rFonts w:hint="eastAsia" w:ascii="宋体" w:hAnsi="宋体"/>
          <w:bCs/>
          <w:color w:val="auto"/>
          <w:szCs w:val="21"/>
          <w:highlight w:val="none"/>
        </w:rPr>
        <w:t>第20条</w:t>
      </w:r>
      <w:r>
        <w:rPr>
          <w:rFonts w:hint="eastAsia" w:ascii="宋体" w:hAnsi="宋体"/>
          <w:color w:val="auto"/>
          <w:szCs w:val="21"/>
          <w:highlight w:val="none"/>
        </w:rPr>
        <w:t>规定情况外，如果乙方没有按照合同规定的时间交货和提供服务，甲方有权从货款中扣除误期赔偿费而不影响合同项下的其他补救方法，赔偿费按每周（一周按七天计算，不足七日按一周计算）赔偿迟交货物的交货价或延期服务的服务费用的百分之零点五（0.5%）计收，直至交货或提供服务为止。但误期赔偿费的最高限额不超过合同价的百分之五（5%）。一旦达到误期赔偿的最高限额，甲方可以终止合同。</w:t>
      </w:r>
    </w:p>
    <w:p w14:paraId="5325E210">
      <w:pPr>
        <w:autoSpaceDE w:val="0"/>
        <w:autoSpaceDN w:val="0"/>
        <w:adjustRightInd w:val="0"/>
        <w:snapToGrid w:val="0"/>
        <w:spacing w:before="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如果乙方迟延交货，甲方有权终止全部或部分合同，并依其认为适当的条件和方法购买与未交货物类似的货物，乙方应对购买类似货物所超出的那部分费用负责。但是，乙方应继续执行合同中未终止的部分。</w:t>
      </w:r>
    </w:p>
    <w:p w14:paraId="0FCDC6AB">
      <w:pPr>
        <w:autoSpaceDE w:val="0"/>
        <w:autoSpaceDN w:val="0"/>
        <w:adjustRightInd w:val="0"/>
        <w:snapToGrid w:val="0"/>
        <w:spacing w:before="50" w:line="360" w:lineRule="auto"/>
        <w:jc w:val="left"/>
        <w:outlineLvl w:val="2"/>
        <w:rPr>
          <w:rFonts w:ascii="宋体" w:hAnsi="宋体"/>
          <w:b/>
          <w:color w:val="auto"/>
          <w:sz w:val="24"/>
          <w:highlight w:val="none"/>
        </w:rPr>
      </w:pPr>
      <w:r>
        <w:rPr>
          <w:rFonts w:hint="eastAsia" w:ascii="宋体" w:hAnsi="宋体"/>
          <w:b/>
          <w:color w:val="auto"/>
          <w:sz w:val="24"/>
          <w:highlight w:val="none"/>
        </w:rPr>
        <w:t>16.合同的变更</w:t>
      </w:r>
    </w:p>
    <w:p w14:paraId="5091963A">
      <w:pPr>
        <w:autoSpaceDE w:val="0"/>
        <w:autoSpaceDN w:val="0"/>
        <w:adjustRightInd w:val="0"/>
        <w:snapToGrid w:val="0"/>
        <w:spacing w:before="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16.1 在合同履行过程中，甲、乙双方可就合同履行的时间、地点和方式等协商进行变更。协商一致后，双方应签订书面的补充协议。</w:t>
      </w:r>
    </w:p>
    <w:p w14:paraId="3855D701">
      <w:pPr>
        <w:autoSpaceDE w:val="0"/>
        <w:autoSpaceDN w:val="0"/>
        <w:adjustRightInd w:val="0"/>
        <w:snapToGrid w:val="0"/>
        <w:spacing w:before="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16.2 在不改变合同其他条款的前提下，甲方有权在合同价款百分之十的范围内追加与合同标的相同的货物或服务，并就此与乙方签订补充合同，乙方不得拒绝。</w:t>
      </w:r>
    </w:p>
    <w:p w14:paraId="7D2BA7D0">
      <w:pPr>
        <w:autoSpaceDE w:val="0"/>
        <w:autoSpaceDN w:val="0"/>
        <w:adjustRightInd w:val="0"/>
        <w:snapToGrid w:val="0"/>
        <w:spacing w:before="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16.3 除双方签署书面协议，并成为合同不可分割的一部分外，本合同条件不得有任何变更。</w:t>
      </w:r>
    </w:p>
    <w:p w14:paraId="2D0A5C33">
      <w:pPr>
        <w:autoSpaceDE w:val="0"/>
        <w:autoSpaceDN w:val="0"/>
        <w:adjustRightInd w:val="0"/>
        <w:snapToGrid w:val="0"/>
        <w:spacing w:before="50" w:line="360" w:lineRule="auto"/>
        <w:jc w:val="left"/>
        <w:outlineLvl w:val="2"/>
        <w:rPr>
          <w:rFonts w:ascii="宋体" w:hAnsi="宋体"/>
          <w:b/>
          <w:color w:val="auto"/>
          <w:sz w:val="24"/>
          <w:highlight w:val="none"/>
        </w:rPr>
      </w:pPr>
      <w:r>
        <w:rPr>
          <w:rFonts w:hint="eastAsia" w:ascii="宋体" w:hAnsi="宋体"/>
          <w:b/>
          <w:color w:val="auto"/>
          <w:sz w:val="24"/>
          <w:highlight w:val="none"/>
        </w:rPr>
        <w:t>17.合同中止与终止</w:t>
      </w:r>
    </w:p>
    <w:p w14:paraId="5A641BCC">
      <w:pPr>
        <w:adjustRightInd w:val="0"/>
        <w:snapToGrid w:val="0"/>
        <w:spacing w:before="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17.1合同的中止</w:t>
      </w:r>
    </w:p>
    <w:p w14:paraId="7FADD2FA">
      <w:pPr>
        <w:autoSpaceDE w:val="0"/>
        <w:autoSpaceDN w:val="0"/>
        <w:adjustRightInd w:val="0"/>
        <w:snapToGrid w:val="0"/>
        <w:spacing w:before="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（1）合同在履行过程中，因采购计划调整，甲方可以要求中止履行，待计划确定后继续履行；</w:t>
      </w:r>
    </w:p>
    <w:p w14:paraId="67F4DB1A">
      <w:pPr>
        <w:autoSpaceDE w:val="0"/>
        <w:autoSpaceDN w:val="0"/>
        <w:adjustRightInd w:val="0"/>
        <w:snapToGrid w:val="0"/>
        <w:spacing w:before="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（2）合同履行过程中因供应商就采购过程或结果提起投诉的，甲方认为有必要或财政部门责令中止的，应当中止合同的履行。</w:t>
      </w:r>
    </w:p>
    <w:p w14:paraId="3BF0BF31">
      <w:pPr>
        <w:adjustRightInd w:val="0"/>
        <w:snapToGrid w:val="0"/>
        <w:spacing w:before="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17.2合同的终止</w:t>
      </w:r>
    </w:p>
    <w:p w14:paraId="2A1A385C">
      <w:pPr>
        <w:autoSpaceDE w:val="0"/>
        <w:autoSpaceDN w:val="0"/>
        <w:adjustRightInd w:val="0"/>
        <w:snapToGrid w:val="0"/>
        <w:spacing w:before="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（1）合同因有效期限届满而终止；</w:t>
      </w:r>
    </w:p>
    <w:p w14:paraId="5931C77E">
      <w:pPr>
        <w:autoSpaceDE w:val="0"/>
        <w:autoSpaceDN w:val="0"/>
        <w:adjustRightInd w:val="0"/>
        <w:snapToGrid w:val="0"/>
        <w:spacing w:before="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（2）乙方未能依照本合同约定条件履行合同，已构成根本性违约的，甲方有权终止本合同，并追究乙方的违约责任。</w:t>
      </w:r>
    </w:p>
    <w:p w14:paraId="4737F760">
      <w:pPr>
        <w:autoSpaceDE w:val="0"/>
        <w:autoSpaceDN w:val="0"/>
        <w:adjustRightInd w:val="0"/>
        <w:snapToGrid w:val="0"/>
        <w:spacing w:before="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（3）如果乙方丧失履约能力或被宣告破产，甲方可在任何时候以书面形式通知乙方终止合同而不给乙方补偿。</w:t>
      </w:r>
    </w:p>
    <w:p w14:paraId="01F6459D">
      <w:pPr>
        <w:autoSpaceDE w:val="0"/>
        <w:autoSpaceDN w:val="0"/>
        <w:adjustRightInd w:val="0"/>
        <w:snapToGrid w:val="0"/>
        <w:spacing w:before="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（4）如果乙方在履行合同过程中有不正当竞争行为，甲方有权解除合同，并按《中华人民共和国反不正当竞争法》规定由有关部门追究其法律责任。</w:t>
      </w:r>
    </w:p>
    <w:p w14:paraId="08A8926C">
      <w:pPr>
        <w:autoSpaceDE w:val="0"/>
        <w:autoSpaceDN w:val="0"/>
        <w:adjustRightInd w:val="0"/>
        <w:snapToGrid w:val="0"/>
        <w:spacing w:before="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（5）如果合同的履行将损害国家利益或社会公共利益，甲方有权终止合同的履行，给乙方造成损失的予以相应补偿。</w:t>
      </w:r>
    </w:p>
    <w:p w14:paraId="1BC13F9E">
      <w:pPr>
        <w:autoSpaceDE w:val="0"/>
        <w:autoSpaceDN w:val="0"/>
        <w:adjustRightInd w:val="0"/>
        <w:snapToGrid w:val="0"/>
        <w:spacing w:before="50" w:line="360" w:lineRule="auto"/>
        <w:jc w:val="left"/>
        <w:outlineLvl w:val="2"/>
        <w:rPr>
          <w:rFonts w:ascii="宋体" w:hAnsi="宋体"/>
          <w:b/>
          <w:bCs/>
          <w:color w:val="auto"/>
          <w:sz w:val="24"/>
          <w:highlight w:val="none"/>
        </w:rPr>
      </w:pPr>
      <w:r>
        <w:rPr>
          <w:rFonts w:hint="eastAsia" w:ascii="宋体" w:hAnsi="宋体"/>
          <w:b/>
          <w:bCs/>
          <w:color w:val="auto"/>
          <w:sz w:val="24"/>
          <w:highlight w:val="none"/>
        </w:rPr>
        <w:t>18.合同转让和分包</w:t>
      </w:r>
    </w:p>
    <w:p w14:paraId="13B57F8A">
      <w:pPr>
        <w:autoSpaceDE w:val="0"/>
        <w:autoSpaceDN w:val="0"/>
        <w:adjustRightInd w:val="0"/>
        <w:snapToGrid w:val="0"/>
        <w:spacing w:before="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18.1 乙方不得以任何形式将合同转包。</w:t>
      </w:r>
    </w:p>
    <w:p w14:paraId="417FB439">
      <w:pPr>
        <w:autoSpaceDE w:val="0"/>
        <w:autoSpaceDN w:val="0"/>
        <w:adjustRightInd w:val="0"/>
        <w:snapToGrid w:val="0"/>
        <w:spacing w:before="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18.2 乙方未在投标文件中说明，不得将</w:t>
      </w:r>
      <w:r>
        <w:rPr>
          <w:rFonts w:hint="eastAsia" w:ascii="宋体" w:hAnsi="宋体"/>
          <w:bCs/>
          <w:color w:val="auto"/>
          <w:szCs w:val="21"/>
          <w:highlight w:val="none"/>
        </w:rPr>
        <w:t>合同</w:t>
      </w:r>
      <w:r>
        <w:rPr>
          <w:rFonts w:hint="eastAsia" w:ascii="宋体" w:hAnsi="宋体"/>
          <w:color w:val="auto"/>
          <w:szCs w:val="21"/>
          <w:highlight w:val="none"/>
        </w:rPr>
        <w:t>的非主体、非关键性工作分包给他人。</w:t>
      </w:r>
    </w:p>
    <w:p w14:paraId="3F5A5149">
      <w:pPr>
        <w:autoSpaceDE w:val="0"/>
        <w:autoSpaceDN w:val="0"/>
        <w:adjustRightInd w:val="0"/>
        <w:snapToGrid w:val="0"/>
        <w:spacing w:before="50" w:line="360" w:lineRule="auto"/>
        <w:jc w:val="left"/>
        <w:outlineLvl w:val="2"/>
        <w:rPr>
          <w:rFonts w:ascii="宋体" w:hAnsi="宋体"/>
          <w:b/>
          <w:bCs/>
          <w:color w:val="auto"/>
          <w:sz w:val="24"/>
          <w:highlight w:val="none"/>
        </w:rPr>
      </w:pPr>
      <w:r>
        <w:rPr>
          <w:rFonts w:hint="eastAsia" w:ascii="宋体" w:hAnsi="宋体"/>
          <w:b/>
          <w:bCs/>
          <w:color w:val="auto"/>
          <w:sz w:val="24"/>
          <w:highlight w:val="none"/>
        </w:rPr>
        <w:t>19.不可抗力</w:t>
      </w:r>
    </w:p>
    <w:p w14:paraId="179CD7C7">
      <w:pPr>
        <w:autoSpaceDE w:val="0"/>
        <w:autoSpaceDN w:val="0"/>
        <w:adjustRightInd w:val="0"/>
        <w:snapToGrid w:val="0"/>
        <w:spacing w:before="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19.1 不可抗力是指合同双方不可预见、不可避免、不可克服的自然灾害和社会事件。</w:t>
      </w:r>
    </w:p>
    <w:p w14:paraId="26AF68EF">
      <w:pPr>
        <w:autoSpaceDE w:val="0"/>
        <w:autoSpaceDN w:val="0"/>
        <w:adjustRightInd w:val="0"/>
        <w:snapToGrid w:val="0"/>
        <w:spacing w:before="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19.2 任何一方对由于不可抗力造成的部分或全部不能履行合同不承担违约责任。但迟延履行后发生不可抗力的，不能免除责任。</w:t>
      </w:r>
    </w:p>
    <w:p w14:paraId="352067F1">
      <w:pPr>
        <w:autoSpaceDE w:val="0"/>
        <w:autoSpaceDN w:val="0"/>
        <w:adjustRightInd w:val="0"/>
        <w:snapToGrid w:val="0"/>
        <w:spacing w:before="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19.3 遇有不可抗力的一方，应在三日内将事件的情况以书面形式通知另一方，并在事件发生后十日内，向另一方提交合同不能履行或部分不能履行或需要延期履行理由的报告。</w:t>
      </w:r>
    </w:p>
    <w:p w14:paraId="67B5C294">
      <w:pPr>
        <w:autoSpaceDE w:val="0"/>
        <w:autoSpaceDN w:val="0"/>
        <w:adjustRightInd w:val="0"/>
        <w:snapToGrid w:val="0"/>
        <w:spacing w:before="50" w:line="360" w:lineRule="auto"/>
        <w:jc w:val="left"/>
        <w:outlineLvl w:val="2"/>
        <w:rPr>
          <w:rFonts w:ascii="宋体" w:hAnsi="宋体"/>
          <w:b/>
          <w:bCs/>
          <w:color w:val="auto"/>
          <w:sz w:val="24"/>
          <w:highlight w:val="none"/>
        </w:rPr>
      </w:pPr>
      <w:r>
        <w:rPr>
          <w:rFonts w:hint="eastAsia" w:ascii="宋体" w:hAnsi="宋体"/>
          <w:b/>
          <w:bCs/>
          <w:color w:val="auto"/>
          <w:sz w:val="24"/>
          <w:highlight w:val="none"/>
        </w:rPr>
        <w:t>20.解决争议的方法</w:t>
      </w:r>
    </w:p>
    <w:p w14:paraId="208B1211">
      <w:pPr>
        <w:autoSpaceDE w:val="0"/>
        <w:autoSpaceDN w:val="0"/>
        <w:adjustRightInd w:val="0"/>
        <w:snapToGrid w:val="0"/>
        <w:spacing w:before="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20.1 合同各方应通过友好协商，解决在执行合同过程中所发生的或与合同有关的一切争端。如从协商开始后十日内仍不能解决，可以向财政部门提请调解。</w:t>
      </w:r>
    </w:p>
    <w:p w14:paraId="2A8641A4">
      <w:pPr>
        <w:autoSpaceDE w:val="0"/>
        <w:autoSpaceDN w:val="0"/>
        <w:adjustRightInd w:val="0"/>
        <w:snapToGrid w:val="0"/>
        <w:spacing w:before="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20.2 调解不成可以向甲方所在地人民法院提起诉讼。</w:t>
      </w:r>
    </w:p>
    <w:p w14:paraId="6D9FC786">
      <w:pPr>
        <w:autoSpaceDE w:val="0"/>
        <w:autoSpaceDN w:val="0"/>
        <w:adjustRightInd w:val="0"/>
        <w:snapToGrid w:val="0"/>
        <w:spacing w:before="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20.3 如仲裁或诉讼事项不影响合同其它部分的履行，则在仲裁或诉讼期间，除正在进行仲裁或诉讼的部分外，合同的其它部分应继续执行。</w:t>
      </w:r>
    </w:p>
    <w:p w14:paraId="7AE8A407">
      <w:pPr>
        <w:autoSpaceDE w:val="0"/>
        <w:autoSpaceDN w:val="0"/>
        <w:adjustRightInd w:val="0"/>
        <w:snapToGrid w:val="0"/>
        <w:spacing w:before="50" w:line="360" w:lineRule="auto"/>
        <w:jc w:val="left"/>
        <w:outlineLvl w:val="2"/>
        <w:rPr>
          <w:rFonts w:ascii="宋体" w:hAnsi="宋体"/>
          <w:b/>
          <w:color w:val="auto"/>
          <w:sz w:val="24"/>
          <w:highlight w:val="none"/>
        </w:rPr>
      </w:pPr>
      <w:r>
        <w:rPr>
          <w:rFonts w:hint="eastAsia" w:ascii="宋体" w:hAnsi="宋体"/>
          <w:b/>
          <w:color w:val="auto"/>
          <w:sz w:val="24"/>
          <w:highlight w:val="none"/>
        </w:rPr>
        <w:t>21.法律适用</w:t>
      </w:r>
    </w:p>
    <w:p w14:paraId="243196FE">
      <w:pPr>
        <w:autoSpaceDE w:val="0"/>
        <w:autoSpaceDN w:val="0"/>
        <w:adjustRightInd w:val="0"/>
        <w:snapToGrid w:val="0"/>
        <w:spacing w:before="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21.1 本合同适用中华人民共和国现行法律、行政法规和规章，如合同条款与法律、行政法规和规章不一致的，按照法律、行政法规和规章修改本合同。</w:t>
      </w:r>
    </w:p>
    <w:p w14:paraId="512D45C6">
      <w:pPr>
        <w:autoSpaceDE w:val="0"/>
        <w:autoSpaceDN w:val="0"/>
        <w:adjustRightInd w:val="0"/>
        <w:snapToGrid w:val="0"/>
        <w:spacing w:before="50" w:line="360" w:lineRule="auto"/>
        <w:jc w:val="left"/>
        <w:outlineLvl w:val="2"/>
        <w:rPr>
          <w:rFonts w:ascii="宋体" w:hAnsi="宋体"/>
          <w:b/>
          <w:color w:val="auto"/>
          <w:sz w:val="24"/>
          <w:highlight w:val="none"/>
        </w:rPr>
      </w:pPr>
      <w:r>
        <w:rPr>
          <w:rFonts w:hint="eastAsia" w:ascii="宋体" w:hAnsi="宋体"/>
          <w:b/>
          <w:bCs/>
          <w:color w:val="auto"/>
          <w:sz w:val="24"/>
          <w:highlight w:val="none"/>
        </w:rPr>
        <w:t>22.</w:t>
      </w:r>
      <w:r>
        <w:rPr>
          <w:rFonts w:hint="eastAsia" w:ascii="宋体" w:hAnsi="宋体"/>
          <w:b/>
          <w:color w:val="auto"/>
          <w:sz w:val="24"/>
          <w:highlight w:val="none"/>
        </w:rPr>
        <w:t>通知</w:t>
      </w:r>
    </w:p>
    <w:p w14:paraId="27EEB288">
      <w:pPr>
        <w:adjustRightInd w:val="0"/>
        <w:snapToGrid w:val="0"/>
        <w:spacing w:before="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22.1本合同一方给另一方的通知均应采用书面形式，传真或快递送到本合同中规定的对方的地址和办理签收手续，</w:t>
      </w:r>
    </w:p>
    <w:p w14:paraId="4B12F75B">
      <w:pPr>
        <w:adjustRightInd w:val="0"/>
        <w:snapToGrid w:val="0"/>
        <w:spacing w:before="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22.2通知以送到之日或通知书中规定的生效之日起生效，两者中以较迟之日为准。</w:t>
      </w:r>
    </w:p>
    <w:p w14:paraId="159EB56B">
      <w:pPr>
        <w:adjustRightInd w:val="0"/>
        <w:snapToGrid w:val="0"/>
        <w:spacing w:before="50" w:line="360" w:lineRule="auto"/>
        <w:jc w:val="left"/>
        <w:outlineLvl w:val="2"/>
        <w:rPr>
          <w:rFonts w:ascii="宋体" w:hAnsi="宋体"/>
          <w:b/>
          <w:bCs/>
          <w:color w:val="auto"/>
          <w:sz w:val="24"/>
          <w:highlight w:val="none"/>
        </w:rPr>
      </w:pPr>
      <w:r>
        <w:rPr>
          <w:rFonts w:hint="eastAsia" w:ascii="宋体" w:hAnsi="宋体"/>
          <w:b/>
          <w:bCs/>
          <w:color w:val="auto"/>
          <w:sz w:val="24"/>
          <w:highlight w:val="none"/>
        </w:rPr>
        <w:t>23. 合同未尽事项</w:t>
      </w:r>
    </w:p>
    <w:p w14:paraId="1EB75BA7">
      <w:pPr>
        <w:adjustRightInd w:val="0"/>
        <w:snapToGrid w:val="0"/>
        <w:spacing w:before="50" w:line="360" w:lineRule="auto"/>
        <w:ind w:firstLine="420" w:firstLineChars="200"/>
        <w:jc w:val="left"/>
        <w:rPr>
          <w:rFonts w:ascii="宋体" w:hAnsi="宋体"/>
          <w:bCs/>
          <w:color w:val="auto"/>
          <w:szCs w:val="21"/>
          <w:highlight w:val="none"/>
        </w:rPr>
      </w:pPr>
      <w:r>
        <w:rPr>
          <w:rFonts w:hint="eastAsia" w:ascii="宋体" w:hAnsi="宋体"/>
          <w:bCs/>
          <w:color w:val="auto"/>
          <w:szCs w:val="21"/>
          <w:highlight w:val="none"/>
        </w:rPr>
        <w:t>23.1合同未尽事项见</w:t>
      </w:r>
      <w:r>
        <w:rPr>
          <w:rFonts w:hint="eastAsia" w:ascii="宋体" w:hAnsi="宋体"/>
          <w:b/>
          <w:color w:val="auto"/>
          <w:szCs w:val="21"/>
          <w:highlight w:val="none"/>
        </w:rPr>
        <w:t>【政府采购合同专用条款】。</w:t>
      </w:r>
    </w:p>
    <w:p w14:paraId="4E177B7D">
      <w:pPr>
        <w:adjustRightInd w:val="0"/>
        <w:snapToGrid w:val="0"/>
        <w:spacing w:before="50" w:line="360" w:lineRule="auto"/>
        <w:jc w:val="left"/>
        <w:outlineLvl w:val="2"/>
        <w:rPr>
          <w:rFonts w:ascii="宋体" w:hAnsi="宋体"/>
          <w:b/>
          <w:bCs/>
          <w:color w:val="auto"/>
          <w:sz w:val="24"/>
          <w:highlight w:val="none"/>
        </w:rPr>
      </w:pPr>
      <w:r>
        <w:rPr>
          <w:rFonts w:hint="eastAsia" w:ascii="宋体" w:hAnsi="宋体"/>
          <w:b/>
          <w:bCs/>
          <w:color w:val="auto"/>
          <w:sz w:val="24"/>
          <w:highlight w:val="none"/>
        </w:rPr>
        <w:t>24.合同生效</w:t>
      </w:r>
    </w:p>
    <w:p w14:paraId="5B4B41D0">
      <w:pPr>
        <w:tabs>
          <w:tab w:val="left" w:pos="8820"/>
          <w:tab w:val="left" w:pos="9345"/>
          <w:tab w:val="left" w:pos="9765"/>
        </w:tabs>
        <w:adjustRightInd w:val="0"/>
        <w:snapToGrid w:val="0"/>
        <w:spacing w:before="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24.1 本合同在合同双方签字盖章后生效。</w:t>
      </w:r>
    </w:p>
    <w:p w14:paraId="3DC538B5">
      <w:pPr>
        <w:tabs>
          <w:tab w:val="left" w:pos="8820"/>
          <w:tab w:val="left" w:pos="9345"/>
          <w:tab w:val="left" w:pos="9765"/>
        </w:tabs>
        <w:adjustRightInd w:val="0"/>
        <w:snapToGrid w:val="0"/>
        <w:spacing w:before="50" w:line="360" w:lineRule="auto"/>
        <w:jc w:val="left"/>
        <w:rPr>
          <w:rFonts w:ascii="宋体" w:hAnsi="宋体"/>
          <w:color w:val="auto"/>
          <w:szCs w:val="21"/>
          <w:highlight w:val="none"/>
        </w:rPr>
      </w:pPr>
    </w:p>
    <w:p w14:paraId="666740EB">
      <w:pPr>
        <w:autoSpaceDE w:val="0"/>
        <w:autoSpaceDN w:val="0"/>
        <w:adjustRightInd w:val="0"/>
        <w:snapToGrid w:val="0"/>
        <w:jc w:val="center"/>
        <w:rPr>
          <w:rFonts w:ascii="黑体" w:hAnsi="黑体" w:eastAsia="黑体"/>
          <w:b/>
          <w:bCs/>
          <w:color w:val="auto"/>
          <w:szCs w:val="21"/>
          <w:highlight w:val="none"/>
        </w:rPr>
      </w:pPr>
      <w:r>
        <w:rPr>
          <w:rFonts w:ascii="黑体" w:hAnsi="黑体" w:eastAsia="黑体"/>
          <w:b/>
          <w:bCs/>
          <w:color w:val="auto"/>
          <w:sz w:val="32"/>
          <w:highlight w:val="none"/>
        </w:rPr>
        <w:br w:type="page"/>
      </w:r>
      <w:bookmarkStart w:id="1257" w:name="_Toc15888525"/>
    </w:p>
    <w:p w14:paraId="07212B68">
      <w:pPr>
        <w:pStyle w:val="2"/>
        <w:jc w:val="center"/>
        <w:rPr>
          <w:rFonts w:ascii="黑体" w:hAnsi="华文中宋" w:eastAsia="黑体"/>
          <w:color w:val="auto"/>
          <w:sz w:val="28"/>
          <w:szCs w:val="28"/>
          <w:highlight w:val="none"/>
        </w:rPr>
      </w:pPr>
      <w:bookmarkStart w:id="1258" w:name="_Toc77199449"/>
      <w:bookmarkStart w:id="1259" w:name="_Toc75289595"/>
      <w:bookmarkStart w:id="1260" w:name="_Toc6027"/>
      <w:bookmarkStart w:id="1261" w:name="_Toc75289277"/>
      <w:bookmarkStart w:id="1262" w:name="_Toc77676513"/>
      <w:bookmarkStart w:id="1263" w:name="_Toc117192495"/>
      <w:bookmarkStart w:id="1264" w:name="_Toc1842179444"/>
      <w:bookmarkStart w:id="1265" w:name="_Toc9512"/>
      <w:bookmarkStart w:id="1266" w:name="_Toc78314309"/>
      <w:bookmarkStart w:id="1267" w:name="_Toc15653"/>
      <w:bookmarkStart w:id="1268" w:name="_Toc100670718"/>
      <w:bookmarkStart w:id="1269" w:name="_Toc112704988"/>
      <w:bookmarkStart w:id="1270" w:name="_Toc24010"/>
      <w:bookmarkStart w:id="1271" w:name="_Toc6614"/>
      <w:bookmarkStart w:id="1272" w:name="_Toc171273716"/>
      <w:bookmarkStart w:id="1273" w:name="_Toc108341985"/>
      <w:bookmarkStart w:id="1274" w:name="_Toc192951257"/>
      <w:bookmarkStart w:id="1275" w:name="_Toc9414"/>
      <w:bookmarkStart w:id="1276" w:name="_Toc192949647"/>
      <w:bookmarkStart w:id="1277" w:name="_Toc100670470"/>
      <w:bookmarkStart w:id="1278" w:name="_Toc192949746"/>
      <w:bookmarkStart w:id="1279" w:name="_Toc154428434"/>
      <w:bookmarkStart w:id="1280" w:name="_Toc94367925"/>
      <w:bookmarkStart w:id="1281" w:name="_Toc114036759"/>
      <w:bookmarkStart w:id="1282" w:name="_Toc95601410"/>
      <w:bookmarkStart w:id="1283" w:name="_Toc85972975"/>
      <w:bookmarkStart w:id="1284" w:name="_Toc78450002"/>
      <w:bookmarkStart w:id="1285" w:name="_Toc25357"/>
      <w:bookmarkStart w:id="1286" w:name="_Toc12627"/>
      <w:bookmarkStart w:id="1287" w:name="_Toc15948"/>
      <w:r>
        <w:rPr>
          <w:rFonts w:hint="eastAsia" w:ascii="黑体" w:hAnsi="华文中宋" w:eastAsia="黑体"/>
          <w:color w:val="auto"/>
          <w:sz w:val="28"/>
          <w:szCs w:val="28"/>
          <w:highlight w:val="none"/>
        </w:rPr>
        <w:t>第三节 政府采购合同专用条款</w:t>
      </w:r>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p>
    <w:p w14:paraId="1006159A">
      <w:pPr>
        <w:adjustRightInd w:val="0"/>
        <w:snapToGrid w:val="0"/>
        <w:jc w:val="center"/>
        <w:rPr>
          <w:rFonts w:ascii="宋体" w:hAnsi="宋体"/>
          <w:color w:val="auto"/>
          <w:sz w:val="24"/>
          <w:highlight w:val="none"/>
        </w:rPr>
      </w:pPr>
    </w:p>
    <w:tbl>
      <w:tblPr>
        <w:tblStyle w:val="47"/>
        <w:tblW w:w="8715"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701"/>
        <w:gridCol w:w="1843"/>
        <w:gridCol w:w="5171"/>
      </w:tblGrid>
      <w:tr w14:paraId="6696990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22" w:hRule="atLeast"/>
          <w:jc w:val="center"/>
        </w:trPr>
        <w:tc>
          <w:tcPr>
            <w:tcW w:w="1701" w:type="dxa"/>
            <w:vAlign w:val="center"/>
          </w:tcPr>
          <w:p w14:paraId="18487AE7">
            <w:pPr>
              <w:adjustRightInd w:val="0"/>
              <w:snapToGrid w:val="0"/>
              <w:spacing w:line="360" w:lineRule="exact"/>
              <w:jc w:val="center"/>
              <w:rPr>
                <w:rFonts w:ascii="宋体" w:hAnsi="宋体"/>
                <w:color w:val="auto"/>
                <w:szCs w:val="21"/>
                <w:highlight w:val="none"/>
              </w:rPr>
            </w:pPr>
            <w:r>
              <w:rPr>
                <w:rFonts w:hint="eastAsia" w:ascii="宋体" w:hAnsi="宋体"/>
                <w:color w:val="auto"/>
                <w:szCs w:val="21"/>
                <w:highlight w:val="none"/>
              </w:rPr>
              <w:t>第六章第二节</w:t>
            </w:r>
          </w:p>
          <w:p w14:paraId="186FC277">
            <w:pPr>
              <w:adjustRightInd w:val="0"/>
              <w:snapToGrid w:val="0"/>
              <w:spacing w:line="360" w:lineRule="exact"/>
              <w:jc w:val="center"/>
              <w:rPr>
                <w:rFonts w:ascii="宋体" w:hAnsi="宋体"/>
                <w:color w:val="auto"/>
                <w:szCs w:val="21"/>
                <w:highlight w:val="none"/>
              </w:rPr>
            </w:pPr>
            <w:r>
              <w:rPr>
                <w:rFonts w:hint="eastAsia" w:ascii="宋体" w:hAnsi="宋体"/>
                <w:color w:val="auto"/>
                <w:szCs w:val="21"/>
                <w:highlight w:val="none"/>
              </w:rPr>
              <w:t>第1.1款</w:t>
            </w:r>
          </w:p>
        </w:tc>
        <w:tc>
          <w:tcPr>
            <w:tcW w:w="1843" w:type="dxa"/>
            <w:vAlign w:val="center"/>
          </w:tcPr>
          <w:p w14:paraId="7486F499">
            <w:pPr>
              <w:adjustRightInd w:val="0"/>
              <w:snapToGrid w:val="0"/>
              <w:spacing w:line="360" w:lineRule="exact"/>
              <w:jc w:val="center"/>
              <w:rPr>
                <w:rFonts w:ascii="宋体" w:hAnsi="宋体"/>
                <w:color w:val="auto"/>
                <w:szCs w:val="21"/>
                <w:highlight w:val="none"/>
              </w:rPr>
            </w:pPr>
            <w:r>
              <w:rPr>
                <w:rFonts w:hint="eastAsia" w:ascii="宋体" w:hAnsi="宋体"/>
                <w:color w:val="auto"/>
                <w:szCs w:val="21"/>
                <w:highlight w:val="none"/>
              </w:rPr>
              <w:t>甲方名称、地址</w:t>
            </w:r>
          </w:p>
        </w:tc>
        <w:tc>
          <w:tcPr>
            <w:tcW w:w="5171" w:type="dxa"/>
            <w:vAlign w:val="center"/>
          </w:tcPr>
          <w:p w14:paraId="2506A7DF">
            <w:pPr>
              <w:adjustRightInd w:val="0"/>
              <w:snapToGrid w:val="0"/>
              <w:spacing w:line="360" w:lineRule="exact"/>
              <w:jc w:val="both"/>
              <w:rPr>
                <w:rFonts w:hint="eastAsia" w:ascii="宋体" w:hAnsi="宋体" w:eastAsia="宋体" w:cs="Times New Roman"/>
                <w:color w:val="auto"/>
                <w:szCs w:val="21"/>
                <w:highlight w:val="none"/>
                <w:lang w:val="en-US" w:eastAsia="zh-CN"/>
              </w:rPr>
            </w:pPr>
            <w:r>
              <w:rPr>
                <w:rFonts w:hint="eastAsia" w:ascii="宋体" w:hAnsi="宋体" w:eastAsia="宋体" w:cs="Times New Roman"/>
                <w:color w:val="auto"/>
                <w:szCs w:val="21"/>
                <w:highlight w:val="none"/>
                <w:lang w:val="en-US" w:eastAsia="zh-CN"/>
              </w:rPr>
              <w:t>名称：</w:t>
            </w:r>
            <w:r>
              <w:rPr>
                <w:rFonts w:hint="eastAsia" w:ascii="宋体" w:hAnsi="宋体" w:cs="Times New Roman"/>
                <w:color w:val="auto"/>
                <w:szCs w:val="21"/>
                <w:highlight w:val="none"/>
                <w:lang w:val="en-US" w:eastAsia="zh-CN"/>
              </w:rPr>
              <w:t>娄底市中心医院</w:t>
            </w:r>
          </w:p>
          <w:p w14:paraId="19F4075F">
            <w:pPr>
              <w:adjustRightInd w:val="0"/>
              <w:snapToGrid w:val="0"/>
              <w:spacing w:line="360" w:lineRule="exact"/>
              <w:jc w:val="both"/>
              <w:rPr>
                <w:rFonts w:hint="eastAsia" w:ascii="宋体" w:hAnsi="宋体" w:eastAsia="宋体" w:cs="Times New Roman"/>
                <w:color w:val="auto"/>
                <w:szCs w:val="21"/>
                <w:highlight w:val="none"/>
                <w:lang w:eastAsia="zh-CN"/>
              </w:rPr>
            </w:pPr>
            <w:r>
              <w:rPr>
                <w:rFonts w:hint="eastAsia" w:ascii="宋体" w:hAnsi="宋体" w:eastAsia="宋体" w:cs="Times New Roman"/>
                <w:color w:val="auto"/>
                <w:szCs w:val="21"/>
                <w:highlight w:val="none"/>
                <w:lang w:val="en-US" w:eastAsia="zh-CN"/>
              </w:rPr>
              <w:t>地址：湖南省娄底市长青中街51号</w:t>
            </w:r>
          </w:p>
        </w:tc>
      </w:tr>
      <w:tr w14:paraId="2AB6B62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022" w:hRule="atLeast"/>
          <w:jc w:val="center"/>
        </w:trPr>
        <w:tc>
          <w:tcPr>
            <w:tcW w:w="1701" w:type="dxa"/>
            <w:vAlign w:val="center"/>
          </w:tcPr>
          <w:p w14:paraId="65D5F13B">
            <w:pPr>
              <w:adjustRightInd w:val="0"/>
              <w:snapToGrid w:val="0"/>
              <w:spacing w:line="360" w:lineRule="exact"/>
              <w:jc w:val="center"/>
              <w:rPr>
                <w:rFonts w:ascii="宋体" w:hAnsi="宋体"/>
                <w:color w:val="auto"/>
                <w:szCs w:val="21"/>
                <w:highlight w:val="none"/>
              </w:rPr>
            </w:pPr>
            <w:r>
              <w:rPr>
                <w:rFonts w:hint="eastAsia" w:ascii="宋体" w:hAnsi="宋体"/>
                <w:color w:val="auto"/>
                <w:szCs w:val="21"/>
                <w:highlight w:val="none"/>
              </w:rPr>
              <w:t>第六章第二节</w:t>
            </w:r>
          </w:p>
          <w:p w14:paraId="36757E0A">
            <w:pPr>
              <w:adjustRightInd w:val="0"/>
              <w:snapToGrid w:val="0"/>
              <w:spacing w:line="360" w:lineRule="exact"/>
              <w:jc w:val="center"/>
              <w:rPr>
                <w:rFonts w:ascii="宋体" w:hAnsi="宋体"/>
                <w:color w:val="auto"/>
                <w:szCs w:val="21"/>
                <w:highlight w:val="none"/>
              </w:rPr>
            </w:pPr>
            <w:r>
              <w:rPr>
                <w:rFonts w:hint="eastAsia" w:ascii="宋体" w:hAnsi="宋体"/>
                <w:color w:val="auto"/>
                <w:szCs w:val="21"/>
                <w:highlight w:val="none"/>
              </w:rPr>
              <w:t>第1.2（6）项</w:t>
            </w:r>
          </w:p>
        </w:tc>
        <w:tc>
          <w:tcPr>
            <w:tcW w:w="1843" w:type="dxa"/>
            <w:vAlign w:val="center"/>
          </w:tcPr>
          <w:p w14:paraId="37EDC7B0">
            <w:pPr>
              <w:adjustRightInd w:val="0"/>
              <w:snapToGrid w:val="0"/>
              <w:spacing w:line="360" w:lineRule="exact"/>
              <w:jc w:val="center"/>
              <w:rPr>
                <w:rFonts w:ascii="宋体" w:hAnsi="宋体"/>
                <w:color w:val="auto"/>
                <w:szCs w:val="21"/>
                <w:highlight w:val="none"/>
              </w:rPr>
            </w:pPr>
            <w:r>
              <w:rPr>
                <w:rFonts w:hint="eastAsia" w:ascii="宋体" w:hAnsi="宋体"/>
                <w:color w:val="auto"/>
                <w:szCs w:val="21"/>
                <w:highlight w:val="none"/>
              </w:rPr>
              <w:t>项目现场</w:t>
            </w:r>
          </w:p>
        </w:tc>
        <w:tc>
          <w:tcPr>
            <w:tcW w:w="5171" w:type="dxa"/>
            <w:vAlign w:val="center"/>
          </w:tcPr>
          <w:p w14:paraId="6F24AF7B">
            <w:pPr>
              <w:adjustRightInd w:val="0"/>
              <w:snapToGrid w:val="0"/>
              <w:spacing w:line="360" w:lineRule="exact"/>
              <w:jc w:val="both"/>
              <w:rPr>
                <w:rFonts w:hint="eastAsia" w:ascii="宋体" w:hAnsi="宋体" w:eastAsia="宋体" w:cs="Times New Roman"/>
                <w:color w:val="auto"/>
                <w:szCs w:val="21"/>
                <w:highlight w:val="none"/>
              </w:rPr>
            </w:pPr>
            <w:r>
              <w:rPr>
                <w:rFonts w:hint="eastAsia" w:ascii="宋体" w:hAnsi="宋体" w:eastAsia="宋体" w:cs="Times New Roman"/>
                <w:color w:val="auto"/>
                <w:szCs w:val="21"/>
                <w:highlight w:val="none"/>
                <w:lang w:val="en-US" w:eastAsia="zh-CN"/>
              </w:rPr>
              <w:t xml:space="preserve">采购人指定地点。 </w:t>
            </w:r>
          </w:p>
        </w:tc>
      </w:tr>
      <w:tr w14:paraId="350B72F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189" w:hRule="atLeast"/>
          <w:jc w:val="center"/>
        </w:trPr>
        <w:tc>
          <w:tcPr>
            <w:tcW w:w="1701" w:type="dxa"/>
            <w:vAlign w:val="center"/>
          </w:tcPr>
          <w:p w14:paraId="21433A53">
            <w:pPr>
              <w:adjustRightInd w:val="0"/>
              <w:snapToGrid w:val="0"/>
              <w:spacing w:line="360" w:lineRule="exact"/>
              <w:jc w:val="center"/>
              <w:rPr>
                <w:rFonts w:ascii="宋体" w:hAnsi="宋体"/>
                <w:color w:val="auto"/>
                <w:szCs w:val="21"/>
                <w:highlight w:val="none"/>
              </w:rPr>
            </w:pPr>
            <w:r>
              <w:rPr>
                <w:rFonts w:hint="eastAsia" w:ascii="宋体" w:hAnsi="宋体"/>
                <w:color w:val="auto"/>
                <w:szCs w:val="21"/>
                <w:highlight w:val="none"/>
              </w:rPr>
              <w:t>第六章第二节</w:t>
            </w:r>
          </w:p>
          <w:p w14:paraId="0F7B4853">
            <w:pPr>
              <w:adjustRightInd w:val="0"/>
              <w:snapToGrid w:val="0"/>
              <w:spacing w:line="360" w:lineRule="exact"/>
              <w:jc w:val="center"/>
              <w:rPr>
                <w:rFonts w:ascii="宋体" w:hAnsi="宋体"/>
                <w:color w:val="auto"/>
                <w:szCs w:val="21"/>
                <w:highlight w:val="none"/>
              </w:rPr>
            </w:pPr>
            <w:r>
              <w:rPr>
                <w:rFonts w:hint="eastAsia" w:ascii="宋体" w:hAnsi="宋体"/>
                <w:color w:val="auto"/>
                <w:szCs w:val="21"/>
                <w:highlight w:val="none"/>
              </w:rPr>
              <w:t>第5.1款</w:t>
            </w:r>
          </w:p>
        </w:tc>
        <w:tc>
          <w:tcPr>
            <w:tcW w:w="1843" w:type="dxa"/>
            <w:vAlign w:val="center"/>
          </w:tcPr>
          <w:p w14:paraId="5F42489E">
            <w:pPr>
              <w:adjustRightInd w:val="0"/>
              <w:snapToGrid w:val="0"/>
              <w:spacing w:line="360" w:lineRule="exact"/>
              <w:jc w:val="center"/>
              <w:rPr>
                <w:rFonts w:ascii="宋体" w:hAnsi="宋体"/>
                <w:color w:val="auto"/>
                <w:szCs w:val="21"/>
                <w:highlight w:val="none"/>
              </w:rPr>
            </w:pPr>
            <w:r>
              <w:rPr>
                <w:rFonts w:hint="eastAsia" w:ascii="宋体" w:hAnsi="宋体"/>
                <w:color w:val="auto"/>
                <w:szCs w:val="21"/>
                <w:highlight w:val="none"/>
              </w:rPr>
              <w:t>履行合同的时间、地点及方式</w:t>
            </w:r>
          </w:p>
        </w:tc>
        <w:tc>
          <w:tcPr>
            <w:tcW w:w="5171" w:type="dxa"/>
            <w:vAlign w:val="center"/>
          </w:tcPr>
          <w:p w14:paraId="0CE92ECF">
            <w:pPr>
              <w:adjustRightInd w:val="0"/>
              <w:snapToGrid w:val="0"/>
              <w:spacing w:line="360" w:lineRule="exact"/>
              <w:jc w:val="both"/>
              <w:rPr>
                <w:rFonts w:hint="eastAsia" w:ascii="宋体" w:hAnsi="宋体" w:eastAsia="宋体" w:cs="Times New Roman"/>
                <w:color w:val="auto"/>
                <w:szCs w:val="21"/>
                <w:highlight w:val="none"/>
              </w:rPr>
            </w:pPr>
            <w:r>
              <w:rPr>
                <w:rFonts w:hint="eastAsia" w:ascii="宋体" w:hAnsi="宋体" w:eastAsia="宋体" w:cs="Times New Roman"/>
                <w:color w:val="auto"/>
                <w:szCs w:val="21"/>
                <w:highlight w:val="none"/>
              </w:rPr>
              <w:t>（1）交货时间：按合同约定的日期交货</w:t>
            </w:r>
            <w:r>
              <w:rPr>
                <w:rFonts w:hint="eastAsia" w:ascii="宋体" w:hAnsi="宋体" w:eastAsia="宋体" w:cs="Times New Roman"/>
                <w:color w:val="auto"/>
                <w:szCs w:val="21"/>
                <w:highlight w:val="none"/>
                <w:lang w:val="en-US" w:eastAsia="zh-CN"/>
              </w:rPr>
              <w:t>。</w:t>
            </w:r>
          </w:p>
          <w:p w14:paraId="76EDF8CA">
            <w:pPr>
              <w:adjustRightInd w:val="0"/>
              <w:snapToGrid w:val="0"/>
              <w:spacing w:line="360" w:lineRule="exact"/>
              <w:jc w:val="both"/>
              <w:rPr>
                <w:rFonts w:hint="eastAsia" w:ascii="宋体" w:hAnsi="宋体" w:eastAsia="宋体" w:cs="Times New Roman"/>
                <w:color w:val="auto"/>
                <w:szCs w:val="21"/>
                <w:highlight w:val="none"/>
              </w:rPr>
            </w:pPr>
            <w:r>
              <w:rPr>
                <w:rFonts w:hint="eastAsia" w:ascii="宋体" w:hAnsi="宋体" w:eastAsia="宋体" w:cs="Times New Roman"/>
                <w:color w:val="auto"/>
                <w:szCs w:val="21"/>
                <w:highlight w:val="none"/>
              </w:rPr>
              <w:t>（2）交货地点：按采购人要求地点。</w:t>
            </w:r>
          </w:p>
          <w:p w14:paraId="72693A13">
            <w:pPr>
              <w:adjustRightInd w:val="0"/>
              <w:snapToGrid w:val="0"/>
              <w:spacing w:line="360" w:lineRule="exact"/>
              <w:jc w:val="both"/>
              <w:rPr>
                <w:rFonts w:hint="default" w:ascii="宋体" w:hAnsi="宋体" w:eastAsia="宋体" w:cs="Times New Roman"/>
                <w:color w:val="auto"/>
                <w:szCs w:val="21"/>
                <w:highlight w:val="none"/>
                <w:lang w:val="en-US" w:eastAsia="zh-CN"/>
              </w:rPr>
            </w:pPr>
            <w:r>
              <w:rPr>
                <w:rFonts w:hint="eastAsia" w:ascii="宋体" w:hAnsi="宋体" w:eastAsia="宋体" w:cs="Times New Roman"/>
                <w:color w:val="auto"/>
                <w:szCs w:val="21"/>
                <w:highlight w:val="none"/>
              </w:rPr>
              <w:t>（3）交货方式：</w:t>
            </w:r>
            <w:r>
              <w:rPr>
                <w:rFonts w:hint="eastAsia" w:ascii="宋体" w:hAnsi="宋体" w:eastAsia="宋体" w:cs="Times New Roman"/>
                <w:color w:val="auto"/>
                <w:szCs w:val="21"/>
                <w:highlight w:val="none"/>
                <w:lang w:val="en-US" w:eastAsia="zh-CN"/>
              </w:rPr>
              <w:t>现场交货。</w:t>
            </w:r>
          </w:p>
        </w:tc>
      </w:tr>
      <w:tr w14:paraId="6572950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089" w:hRule="atLeast"/>
          <w:jc w:val="center"/>
        </w:trPr>
        <w:tc>
          <w:tcPr>
            <w:tcW w:w="1701" w:type="dxa"/>
            <w:vAlign w:val="center"/>
          </w:tcPr>
          <w:p w14:paraId="7268E60A">
            <w:pPr>
              <w:adjustRightInd w:val="0"/>
              <w:snapToGrid w:val="0"/>
              <w:spacing w:line="360" w:lineRule="exact"/>
              <w:jc w:val="center"/>
              <w:rPr>
                <w:rFonts w:ascii="宋体" w:hAnsi="宋体"/>
                <w:color w:val="auto"/>
                <w:szCs w:val="21"/>
                <w:highlight w:val="none"/>
              </w:rPr>
            </w:pPr>
            <w:r>
              <w:rPr>
                <w:rFonts w:hint="eastAsia" w:ascii="宋体" w:hAnsi="宋体"/>
                <w:color w:val="auto"/>
                <w:szCs w:val="21"/>
                <w:highlight w:val="none"/>
              </w:rPr>
              <w:t>第六章第二节</w:t>
            </w:r>
          </w:p>
          <w:p w14:paraId="536DC321">
            <w:pPr>
              <w:adjustRightInd w:val="0"/>
              <w:snapToGrid w:val="0"/>
              <w:spacing w:line="360" w:lineRule="exact"/>
              <w:jc w:val="center"/>
              <w:rPr>
                <w:rFonts w:ascii="宋体" w:hAnsi="宋体"/>
                <w:color w:val="auto"/>
                <w:szCs w:val="21"/>
                <w:highlight w:val="none"/>
              </w:rPr>
            </w:pPr>
            <w:r>
              <w:rPr>
                <w:rFonts w:hint="eastAsia" w:ascii="宋体" w:hAnsi="宋体"/>
                <w:color w:val="auto"/>
                <w:szCs w:val="21"/>
                <w:highlight w:val="none"/>
              </w:rPr>
              <w:t>第9.2（1）项</w:t>
            </w:r>
          </w:p>
        </w:tc>
        <w:tc>
          <w:tcPr>
            <w:tcW w:w="1843" w:type="dxa"/>
            <w:vAlign w:val="center"/>
          </w:tcPr>
          <w:p w14:paraId="02A739EA">
            <w:pPr>
              <w:adjustRightInd w:val="0"/>
              <w:snapToGrid w:val="0"/>
              <w:spacing w:line="360" w:lineRule="exact"/>
              <w:jc w:val="center"/>
              <w:rPr>
                <w:rFonts w:ascii="宋体" w:hAnsi="宋体"/>
                <w:color w:val="auto"/>
                <w:szCs w:val="21"/>
                <w:highlight w:val="none"/>
              </w:rPr>
            </w:pPr>
            <w:r>
              <w:rPr>
                <w:rFonts w:hint="eastAsia" w:ascii="宋体" w:hAnsi="宋体"/>
                <w:color w:val="auto"/>
                <w:szCs w:val="21"/>
                <w:highlight w:val="none"/>
              </w:rPr>
              <w:t>质保期</w:t>
            </w:r>
          </w:p>
        </w:tc>
        <w:tc>
          <w:tcPr>
            <w:tcW w:w="5171" w:type="dxa"/>
            <w:vAlign w:val="center"/>
          </w:tcPr>
          <w:p w14:paraId="344FD0B7">
            <w:pPr>
              <w:pStyle w:val="192"/>
              <w:keepNext w:val="0"/>
              <w:keepLines w:val="0"/>
              <w:pageBreakBefore w:val="0"/>
              <w:widowControl w:val="0"/>
              <w:kinsoku/>
              <w:overflowPunct/>
              <w:topLinePunct w:val="0"/>
              <w:autoSpaceDE/>
              <w:autoSpaceDN/>
              <w:bidi w:val="0"/>
              <w:spacing w:line="240" w:lineRule="auto"/>
              <w:textAlignment w:val="auto"/>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质保与售后：整机保修3 年，终身维修。验收时出具原厂售后质保承诺书，质保期内每年巡检一次，并提交巡检记录。</w:t>
            </w:r>
          </w:p>
        </w:tc>
      </w:tr>
      <w:tr w14:paraId="3F8841F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32" w:hRule="atLeast"/>
          <w:jc w:val="center"/>
        </w:trPr>
        <w:tc>
          <w:tcPr>
            <w:tcW w:w="1701" w:type="dxa"/>
            <w:vAlign w:val="center"/>
          </w:tcPr>
          <w:p w14:paraId="700C8D83">
            <w:pPr>
              <w:adjustRightInd w:val="0"/>
              <w:snapToGrid w:val="0"/>
              <w:spacing w:line="360" w:lineRule="exact"/>
              <w:jc w:val="center"/>
              <w:rPr>
                <w:rFonts w:ascii="宋体" w:hAnsi="宋体"/>
                <w:color w:val="auto"/>
                <w:szCs w:val="21"/>
                <w:highlight w:val="none"/>
              </w:rPr>
            </w:pPr>
            <w:r>
              <w:rPr>
                <w:rFonts w:hint="eastAsia" w:ascii="宋体" w:hAnsi="宋体"/>
                <w:color w:val="auto"/>
                <w:szCs w:val="21"/>
                <w:highlight w:val="none"/>
              </w:rPr>
              <w:t>第六章第二节</w:t>
            </w:r>
          </w:p>
          <w:p w14:paraId="6DFE8A3C">
            <w:pPr>
              <w:adjustRightInd w:val="0"/>
              <w:snapToGrid w:val="0"/>
              <w:spacing w:line="360" w:lineRule="exact"/>
              <w:jc w:val="center"/>
              <w:rPr>
                <w:rFonts w:ascii="宋体" w:hAnsi="宋体"/>
                <w:color w:val="auto"/>
                <w:szCs w:val="21"/>
                <w:highlight w:val="none"/>
              </w:rPr>
            </w:pPr>
            <w:r>
              <w:rPr>
                <w:rFonts w:hint="eastAsia" w:ascii="宋体" w:hAnsi="宋体"/>
                <w:color w:val="auto"/>
                <w:szCs w:val="21"/>
                <w:highlight w:val="none"/>
              </w:rPr>
              <w:t>第9.2（3）项</w:t>
            </w:r>
          </w:p>
        </w:tc>
        <w:tc>
          <w:tcPr>
            <w:tcW w:w="1843" w:type="dxa"/>
            <w:vAlign w:val="center"/>
          </w:tcPr>
          <w:p w14:paraId="4ABB7E2A">
            <w:pPr>
              <w:adjustRightInd w:val="0"/>
              <w:snapToGrid w:val="0"/>
              <w:spacing w:line="360" w:lineRule="exact"/>
              <w:jc w:val="center"/>
              <w:rPr>
                <w:rFonts w:ascii="宋体" w:hAnsi="宋体"/>
                <w:color w:val="auto"/>
                <w:szCs w:val="21"/>
                <w:highlight w:val="none"/>
              </w:rPr>
            </w:pPr>
            <w:r>
              <w:rPr>
                <w:rFonts w:hint="eastAsia" w:ascii="宋体" w:hAnsi="宋体"/>
                <w:color w:val="auto"/>
                <w:szCs w:val="21"/>
                <w:highlight w:val="none"/>
              </w:rPr>
              <w:t>响应时间</w:t>
            </w:r>
          </w:p>
        </w:tc>
        <w:tc>
          <w:tcPr>
            <w:tcW w:w="5171" w:type="dxa"/>
            <w:vAlign w:val="center"/>
          </w:tcPr>
          <w:p w14:paraId="43868134">
            <w:pPr>
              <w:adjustRightInd w:val="0"/>
              <w:snapToGrid w:val="0"/>
              <w:spacing w:line="360" w:lineRule="exact"/>
              <w:jc w:val="left"/>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质保期内出现故障，1小时响应，响应后24小时上门服务。</w:t>
            </w:r>
          </w:p>
        </w:tc>
      </w:tr>
      <w:tr w14:paraId="614F3BB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490" w:hRule="atLeast"/>
          <w:jc w:val="center"/>
        </w:trPr>
        <w:tc>
          <w:tcPr>
            <w:tcW w:w="1701" w:type="dxa"/>
            <w:vAlign w:val="center"/>
          </w:tcPr>
          <w:p w14:paraId="5979E7DC">
            <w:pPr>
              <w:adjustRightInd w:val="0"/>
              <w:snapToGrid w:val="0"/>
              <w:spacing w:line="360" w:lineRule="exact"/>
              <w:jc w:val="center"/>
              <w:rPr>
                <w:rFonts w:ascii="宋体" w:hAnsi="宋体"/>
                <w:color w:val="auto"/>
                <w:szCs w:val="21"/>
                <w:highlight w:val="none"/>
              </w:rPr>
            </w:pPr>
            <w:r>
              <w:rPr>
                <w:rFonts w:hint="eastAsia" w:ascii="宋体" w:hAnsi="宋体"/>
                <w:color w:val="auto"/>
                <w:szCs w:val="21"/>
                <w:highlight w:val="none"/>
              </w:rPr>
              <w:t>第六章第二节</w:t>
            </w:r>
          </w:p>
          <w:p w14:paraId="385419F9">
            <w:pPr>
              <w:adjustRightInd w:val="0"/>
              <w:snapToGrid w:val="0"/>
              <w:spacing w:line="360" w:lineRule="exact"/>
              <w:jc w:val="center"/>
              <w:rPr>
                <w:rFonts w:ascii="宋体" w:hAnsi="宋体"/>
                <w:color w:val="auto"/>
                <w:szCs w:val="21"/>
                <w:highlight w:val="none"/>
              </w:rPr>
            </w:pPr>
            <w:r>
              <w:rPr>
                <w:rFonts w:hint="eastAsia" w:ascii="宋体" w:hAnsi="宋体"/>
                <w:color w:val="auto"/>
                <w:szCs w:val="21"/>
                <w:highlight w:val="none"/>
              </w:rPr>
              <w:t>第13.5款</w:t>
            </w:r>
          </w:p>
        </w:tc>
        <w:tc>
          <w:tcPr>
            <w:tcW w:w="1843" w:type="dxa"/>
            <w:vAlign w:val="center"/>
          </w:tcPr>
          <w:p w14:paraId="411722B7">
            <w:pPr>
              <w:adjustRightInd w:val="0"/>
              <w:snapToGrid w:val="0"/>
              <w:spacing w:line="360" w:lineRule="exact"/>
              <w:jc w:val="center"/>
              <w:rPr>
                <w:rFonts w:ascii="宋体" w:hAnsi="宋体"/>
                <w:color w:val="auto"/>
                <w:szCs w:val="21"/>
                <w:highlight w:val="none"/>
              </w:rPr>
            </w:pPr>
            <w:r>
              <w:rPr>
                <w:rFonts w:hint="eastAsia" w:ascii="宋体" w:hAnsi="宋体"/>
                <w:color w:val="auto"/>
                <w:szCs w:val="21"/>
                <w:highlight w:val="none"/>
              </w:rPr>
              <w:t>合同价款支付方式</w:t>
            </w:r>
            <w:r>
              <w:rPr>
                <w:rFonts w:hint="eastAsia" w:ascii="宋体" w:hAnsi="宋体"/>
                <w:bCs/>
                <w:color w:val="auto"/>
                <w:szCs w:val="21"/>
                <w:highlight w:val="none"/>
              </w:rPr>
              <w:t>和条件</w:t>
            </w:r>
          </w:p>
        </w:tc>
        <w:tc>
          <w:tcPr>
            <w:tcW w:w="5171" w:type="dxa"/>
            <w:vAlign w:val="center"/>
          </w:tcPr>
          <w:p w14:paraId="184758E9">
            <w:pPr>
              <w:pStyle w:val="192"/>
              <w:keepNext w:val="0"/>
              <w:keepLines w:val="0"/>
              <w:pageBreakBefore w:val="0"/>
              <w:widowControl w:val="0"/>
              <w:kinsoku/>
              <w:overflowPunct/>
              <w:topLinePunct w:val="0"/>
              <w:autoSpaceDE/>
              <w:autoSpaceDN/>
              <w:bidi w:val="0"/>
              <w:spacing w:line="240" w:lineRule="auto"/>
              <w:textAlignment w:val="auto"/>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设备验收合格后，供应商将发票交到娄底市中心医院后按程序支付货款90%（按医院财务制度一般情况下4个月内支付、特殊情况下最多不超过6个月），甲方在设备验收合格满3年后支付10%余款给乙方。</w:t>
            </w:r>
          </w:p>
        </w:tc>
      </w:tr>
      <w:tr w14:paraId="0BA3115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701" w:type="dxa"/>
            <w:vAlign w:val="center"/>
          </w:tcPr>
          <w:p w14:paraId="71D0CE10">
            <w:pPr>
              <w:adjustRightInd w:val="0"/>
              <w:snapToGrid w:val="0"/>
              <w:spacing w:line="360" w:lineRule="exact"/>
              <w:jc w:val="center"/>
              <w:rPr>
                <w:rFonts w:ascii="宋体" w:hAnsi="宋体"/>
                <w:color w:val="auto"/>
                <w:szCs w:val="21"/>
                <w:highlight w:val="none"/>
              </w:rPr>
            </w:pPr>
            <w:r>
              <w:rPr>
                <w:rFonts w:hint="eastAsia" w:ascii="宋体" w:hAnsi="宋体"/>
                <w:color w:val="auto"/>
                <w:szCs w:val="21"/>
                <w:highlight w:val="none"/>
              </w:rPr>
              <w:t>第六章第二节</w:t>
            </w:r>
          </w:p>
          <w:p w14:paraId="50B86C63">
            <w:pPr>
              <w:adjustRightInd w:val="0"/>
              <w:snapToGrid w:val="0"/>
              <w:spacing w:line="360" w:lineRule="exact"/>
              <w:jc w:val="center"/>
              <w:rPr>
                <w:rFonts w:ascii="宋体" w:hAnsi="宋体"/>
                <w:color w:val="auto"/>
                <w:szCs w:val="21"/>
                <w:highlight w:val="none"/>
              </w:rPr>
            </w:pPr>
            <w:r>
              <w:rPr>
                <w:rFonts w:hint="eastAsia" w:ascii="宋体" w:hAnsi="宋体"/>
                <w:color w:val="auto"/>
                <w:szCs w:val="21"/>
                <w:highlight w:val="none"/>
              </w:rPr>
              <w:t>第14.2（5）项</w:t>
            </w:r>
          </w:p>
        </w:tc>
        <w:tc>
          <w:tcPr>
            <w:tcW w:w="1843" w:type="dxa"/>
            <w:vAlign w:val="center"/>
          </w:tcPr>
          <w:p w14:paraId="5B952363">
            <w:pPr>
              <w:adjustRightInd w:val="0"/>
              <w:snapToGrid w:val="0"/>
              <w:spacing w:line="360" w:lineRule="exact"/>
              <w:jc w:val="center"/>
              <w:rPr>
                <w:rFonts w:ascii="宋体" w:hAnsi="宋体"/>
                <w:color w:val="auto"/>
                <w:szCs w:val="21"/>
                <w:highlight w:val="none"/>
              </w:rPr>
            </w:pPr>
            <w:r>
              <w:rPr>
                <w:rFonts w:hint="eastAsia" w:ascii="宋体" w:hAnsi="宋体"/>
                <w:color w:val="auto"/>
                <w:szCs w:val="21"/>
                <w:highlight w:val="none"/>
              </w:rPr>
              <w:t>伴随服务</w:t>
            </w:r>
          </w:p>
        </w:tc>
        <w:tc>
          <w:tcPr>
            <w:tcW w:w="5171" w:type="dxa"/>
            <w:vAlign w:val="center"/>
          </w:tcPr>
          <w:p w14:paraId="32C6976D">
            <w:pPr>
              <w:adjustRightInd w:val="0"/>
              <w:snapToGrid w:val="0"/>
              <w:spacing w:line="360" w:lineRule="exact"/>
              <w:jc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第五章 采购需求</w:t>
            </w:r>
          </w:p>
        </w:tc>
      </w:tr>
      <w:tr w14:paraId="5DA5778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701" w:type="dxa"/>
            <w:vAlign w:val="center"/>
          </w:tcPr>
          <w:p w14:paraId="54003DB0">
            <w:pPr>
              <w:adjustRightInd w:val="0"/>
              <w:snapToGrid w:val="0"/>
              <w:spacing w:line="360" w:lineRule="exact"/>
              <w:jc w:val="center"/>
              <w:rPr>
                <w:rFonts w:ascii="宋体" w:hAnsi="宋体"/>
                <w:color w:val="auto"/>
                <w:szCs w:val="21"/>
                <w:highlight w:val="none"/>
              </w:rPr>
            </w:pPr>
            <w:r>
              <w:rPr>
                <w:rFonts w:hint="eastAsia" w:ascii="宋体" w:hAnsi="宋体"/>
                <w:color w:val="auto"/>
                <w:szCs w:val="21"/>
                <w:highlight w:val="none"/>
              </w:rPr>
              <w:t>第六章第二节</w:t>
            </w:r>
          </w:p>
          <w:p w14:paraId="032B89C8">
            <w:pPr>
              <w:adjustRightInd w:val="0"/>
              <w:snapToGrid w:val="0"/>
              <w:spacing w:line="360" w:lineRule="exact"/>
              <w:jc w:val="center"/>
              <w:rPr>
                <w:rFonts w:ascii="宋体" w:hAnsi="宋体"/>
                <w:bCs/>
                <w:color w:val="auto"/>
                <w:szCs w:val="21"/>
                <w:highlight w:val="none"/>
              </w:rPr>
            </w:pPr>
            <w:r>
              <w:rPr>
                <w:rFonts w:hint="eastAsia" w:ascii="宋体" w:hAnsi="宋体"/>
                <w:color w:val="auto"/>
                <w:szCs w:val="21"/>
                <w:highlight w:val="none"/>
              </w:rPr>
              <w:t>第20.2款</w:t>
            </w:r>
          </w:p>
        </w:tc>
        <w:tc>
          <w:tcPr>
            <w:tcW w:w="1843" w:type="dxa"/>
            <w:vAlign w:val="center"/>
          </w:tcPr>
          <w:p w14:paraId="6C8DD0C8">
            <w:pPr>
              <w:adjustRightInd w:val="0"/>
              <w:snapToGrid w:val="0"/>
              <w:spacing w:line="360" w:lineRule="exact"/>
              <w:jc w:val="center"/>
              <w:rPr>
                <w:rFonts w:ascii="宋体" w:hAnsi="宋体"/>
                <w:bCs/>
                <w:color w:val="auto"/>
                <w:szCs w:val="21"/>
                <w:highlight w:val="none"/>
              </w:rPr>
            </w:pPr>
            <w:r>
              <w:rPr>
                <w:rFonts w:hint="eastAsia" w:ascii="宋体" w:hAnsi="宋体"/>
                <w:color w:val="auto"/>
                <w:szCs w:val="21"/>
                <w:highlight w:val="none"/>
              </w:rPr>
              <w:t>解决争议的方式</w:t>
            </w:r>
          </w:p>
        </w:tc>
        <w:tc>
          <w:tcPr>
            <w:tcW w:w="5171" w:type="dxa"/>
            <w:vAlign w:val="center"/>
          </w:tcPr>
          <w:p w14:paraId="196E233F">
            <w:pPr>
              <w:adjustRightInd w:val="0"/>
              <w:snapToGrid w:val="0"/>
              <w:spacing w:line="360" w:lineRule="exact"/>
              <w:jc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诉讼</w:t>
            </w:r>
          </w:p>
        </w:tc>
      </w:tr>
      <w:tr w14:paraId="4D6951C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701" w:type="dxa"/>
            <w:vAlign w:val="center"/>
          </w:tcPr>
          <w:p w14:paraId="45836F5D">
            <w:pPr>
              <w:adjustRightInd w:val="0"/>
              <w:snapToGrid w:val="0"/>
              <w:spacing w:line="360" w:lineRule="exact"/>
              <w:jc w:val="center"/>
              <w:rPr>
                <w:rFonts w:ascii="宋体" w:hAnsi="宋体"/>
                <w:color w:val="auto"/>
                <w:szCs w:val="21"/>
                <w:highlight w:val="none"/>
              </w:rPr>
            </w:pPr>
            <w:r>
              <w:rPr>
                <w:rFonts w:hint="eastAsia" w:ascii="宋体" w:hAnsi="宋体"/>
                <w:color w:val="auto"/>
                <w:szCs w:val="21"/>
                <w:highlight w:val="none"/>
              </w:rPr>
              <w:t>第六章第二节</w:t>
            </w:r>
          </w:p>
          <w:p w14:paraId="65D7AAA8">
            <w:pPr>
              <w:adjustRightInd w:val="0"/>
              <w:snapToGrid w:val="0"/>
              <w:spacing w:line="360" w:lineRule="exact"/>
              <w:jc w:val="center"/>
              <w:rPr>
                <w:rFonts w:ascii="宋体" w:hAnsi="宋体"/>
                <w:color w:val="auto"/>
                <w:szCs w:val="21"/>
                <w:highlight w:val="none"/>
              </w:rPr>
            </w:pPr>
            <w:r>
              <w:rPr>
                <w:rFonts w:hint="eastAsia" w:ascii="宋体" w:hAnsi="宋体"/>
                <w:color w:val="auto"/>
                <w:szCs w:val="21"/>
                <w:highlight w:val="none"/>
              </w:rPr>
              <w:t>第23.1款</w:t>
            </w:r>
          </w:p>
        </w:tc>
        <w:tc>
          <w:tcPr>
            <w:tcW w:w="1843" w:type="dxa"/>
            <w:vAlign w:val="center"/>
          </w:tcPr>
          <w:p w14:paraId="565DAAA4">
            <w:pPr>
              <w:adjustRightInd w:val="0"/>
              <w:snapToGrid w:val="0"/>
              <w:spacing w:line="360" w:lineRule="exact"/>
              <w:jc w:val="center"/>
              <w:rPr>
                <w:rFonts w:ascii="宋体" w:hAnsi="宋体"/>
                <w:color w:val="auto"/>
                <w:szCs w:val="21"/>
                <w:highlight w:val="none"/>
              </w:rPr>
            </w:pPr>
            <w:r>
              <w:rPr>
                <w:rFonts w:hint="eastAsia" w:ascii="宋体" w:hAnsi="宋体"/>
                <w:bCs/>
                <w:color w:val="auto"/>
                <w:szCs w:val="21"/>
                <w:highlight w:val="none"/>
              </w:rPr>
              <w:t>合同未尽事项</w:t>
            </w:r>
          </w:p>
        </w:tc>
        <w:tc>
          <w:tcPr>
            <w:tcW w:w="5171" w:type="dxa"/>
            <w:vAlign w:val="center"/>
          </w:tcPr>
          <w:p w14:paraId="0CC0A2BE">
            <w:pPr>
              <w:adjustRightInd w:val="0"/>
              <w:snapToGrid w:val="0"/>
              <w:spacing w:line="360" w:lineRule="exact"/>
              <w:jc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协商解决</w:t>
            </w:r>
          </w:p>
        </w:tc>
      </w:tr>
    </w:tbl>
    <w:p w14:paraId="4235B701">
      <w:pPr>
        <w:pStyle w:val="22"/>
        <w:adjustRightInd w:val="0"/>
        <w:snapToGrid w:val="0"/>
        <w:spacing w:before="156" w:beforeLines="50" w:line="360" w:lineRule="auto"/>
        <w:jc w:val="center"/>
        <w:outlineLvl w:val="0"/>
        <w:rPr>
          <w:rFonts w:ascii="黑体" w:hAnsi="华文中宋" w:eastAsia="黑体"/>
          <w:b/>
          <w:color w:val="auto"/>
          <w:sz w:val="32"/>
          <w:szCs w:val="32"/>
          <w:highlight w:val="none"/>
        </w:rPr>
      </w:pPr>
      <w:r>
        <w:rPr>
          <w:rFonts w:hAnsi="宋体"/>
          <w:b/>
          <w:bCs/>
          <w:color w:val="auto"/>
          <w:sz w:val="52"/>
          <w:szCs w:val="30"/>
          <w:highlight w:val="none"/>
        </w:rPr>
        <w:br w:type="page"/>
      </w:r>
      <w:bookmarkStart w:id="1288" w:name="_Toc117192496"/>
      <w:bookmarkStart w:id="1289" w:name="_Toc7687"/>
      <w:bookmarkStart w:id="1290" w:name="_Toc20293"/>
      <w:bookmarkStart w:id="1291" w:name="_Toc154428435"/>
      <w:bookmarkStart w:id="1292" w:name="_Toc114036760"/>
      <w:bookmarkStart w:id="1293" w:name="_Toc94367926"/>
      <w:bookmarkStart w:id="1294" w:name="_Toc192949648"/>
      <w:bookmarkStart w:id="1295" w:name="_Toc108341986"/>
      <w:bookmarkStart w:id="1296" w:name="_Toc31426"/>
      <w:bookmarkStart w:id="1297" w:name="_Toc789349734"/>
      <w:bookmarkStart w:id="1298" w:name="_Toc75289278"/>
      <w:bookmarkStart w:id="1299" w:name="_Toc23728"/>
      <w:bookmarkStart w:id="1300" w:name="_Toc14155"/>
      <w:bookmarkStart w:id="1301" w:name="_Toc112704989"/>
      <w:bookmarkStart w:id="1302" w:name="_Toc171273717"/>
      <w:bookmarkStart w:id="1303" w:name="_Toc75289596"/>
      <w:bookmarkStart w:id="1304" w:name="_Toc15888526"/>
      <w:bookmarkStart w:id="1305" w:name="_Toc78314310"/>
      <w:bookmarkStart w:id="1306" w:name="_Toc100670719"/>
      <w:bookmarkStart w:id="1307" w:name="_Toc23782"/>
      <w:bookmarkStart w:id="1308" w:name="_Toc192949747"/>
      <w:bookmarkStart w:id="1309" w:name="_Toc192951258"/>
      <w:bookmarkStart w:id="1310" w:name="_Toc85972976"/>
      <w:bookmarkStart w:id="1311" w:name="_Toc100670471"/>
      <w:bookmarkStart w:id="1312" w:name="_Toc78450003"/>
      <w:bookmarkStart w:id="1313" w:name="_Toc22663"/>
      <w:bookmarkStart w:id="1314" w:name="_Toc77676514"/>
      <w:bookmarkStart w:id="1315" w:name="_Toc2174"/>
      <w:bookmarkStart w:id="1316" w:name="_Toc77199450"/>
      <w:bookmarkStart w:id="1317" w:name="_Toc95601411"/>
      <w:bookmarkStart w:id="1318" w:name="_Toc8990"/>
      <w:r>
        <w:rPr>
          <w:rFonts w:hint="eastAsia" w:ascii="黑体" w:hAnsi="华文中宋" w:eastAsia="黑体"/>
          <w:b/>
          <w:color w:val="auto"/>
          <w:sz w:val="32"/>
          <w:szCs w:val="32"/>
          <w:highlight w:val="none"/>
        </w:rPr>
        <w:t>第七章 投标文件的组成</w:t>
      </w:r>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p>
    <w:p w14:paraId="68FE089F">
      <w:pPr>
        <w:adjustRightInd w:val="0"/>
        <w:snapToGrid w:val="0"/>
        <w:spacing w:line="360" w:lineRule="auto"/>
        <w:ind w:left="-88" w:leftChars="-42"/>
        <w:jc w:val="center"/>
        <w:rPr>
          <w:b/>
          <w:bCs/>
          <w:color w:val="auto"/>
          <w:szCs w:val="21"/>
          <w:highlight w:val="none"/>
        </w:rPr>
      </w:pPr>
    </w:p>
    <w:p w14:paraId="57C78EBA">
      <w:pPr>
        <w:adjustRightInd w:val="0"/>
        <w:snapToGrid w:val="0"/>
        <w:spacing w:before="156" w:beforeLines="50" w:line="360" w:lineRule="auto"/>
        <w:jc w:val="left"/>
        <w:outlineLvl w:val="9"/>
        <w:rPr>
          <w:rFonts w:ascii="宋体" w:hAnsi="宋体"/>
          <w:b/>
          <w:color w:val="auto"/>
          <w:szCs w:val="21"/>
          <w:highlight w:val="none"/>
        </w:rPr>
      </w:pPr>
      <w:bookmarkStart w:id="1319" w:name="_Toc1120725518"/>
      <w:r>
        <w:rPr>
          <w:rFonts w:hint="eastAsia" w:ascii="宋体" w:hAnsi="宋体"/>
          <w:b/>
          <w:color w:val="auto"/>
          <w:szCs w:val="21"/>
          <w:highlight w:val="none"/>
        </w:rPr>
        <w:t>第一部分 资格证明文件</w:t>
      </w:r>
      <w:bookmarkEnd w:id="1319"/>
    </w:p>
    <w:p w14:paraId="5ED99488">
      <w:pPr>
        <w:adjustRightInd w:val="0"/>
        <w:snapToGrid w:val="0"/>
        <w:spacing w:before="156" w:beforeLines="50" w:line="360" w:lineRule="auto"/>
        <w:ind w:firstLine="420" w:firstLineChars="200"/>
        <w:jc w:val="left"/>
        <w:outlineLvl w:val="9"/>
        <w:rPr>
          <w:rFonts w:ascii="宋体" w:hAnsi="宋体"/>
          <w:color w:val="auto"/>
          <w:szCs w:val="21"/>
          <w:highlight w:val="none"/>
        </w:rPr>
      </w:pPr>
      <w:r>
        <w:rPr>
          <w:rFonts w:hint="eastAsia" w:ascii="宋体" w:hAnsi="宋体"/>
          <w:color w:val="auto"/>
          <w:szCs w:val="21"/>
          <w:highlight w:val="none"/>
        </w:rPr>
        <w:t>一、开标一览表</w:t>
      </w:r>
    </w:p>
    <w:p w14:paraId="781176DD">
      <w:pPr>
        <w:adjustRightInd w:val="0"/>
        <w:snapToGrid w:val="0"/>
        <w:spacing w:before="156" w:beforeLines="50" w:line="360" w:lineRule="auto"/>
        <w:ind w:firstLine="420" w:firstLineChars="200"/>
        <w:jc w:val="left"/>
        <w:outlineLvl w:val="9"/>
        <w:rPr>
          <w:rFonts w:hint="eastAsia" w:ascii="宋体" w:hAnsi="宋体" w:eastAsia="宋体" w:cs="Times New Roman"/>
          <w:color w:val="auto"/>
          <w:szCs w:val="21"/>
          <w:highlight w:val="none"/>
        </w:rPr>
      </w:pPr>
      <w:r>
        <w:rPr>
          <w:rFonts w:hint="eastAsia" w:ascii="宋体" w:hAnsi="宋体" w:eastAsia="宋体" w:cs="Times New Roman"/>
          <w:color w:val="auto"/>
          <w:szCs w:val="21"/>
          <w:highlight w:val="none"/>
        </w:rPr>
        <w:t>二、投标保证金</w:t>
      </w:r>
    </w:p>
    <w:p w14:paraId="6A571D15">
      <w:pPr>
        <w:tabs>
          <w:tab w:val="left" w:pos="386"/>
        </w:tabs>
        <w:adjustRightInd w:val="0"/>
        <w:snapToGrid w:val="0"/>
        <w:spacing w:before="156" w:beforeLines="50" w:line="360" w:lineRule="auto"/>
        <w:ind w:firstLine="420" w:firstLineChars="200"/>
        <w:jc w:val="left"/>
        <w:outlineLvl w:val="9"/>
        <w:rPr>
          <w:rFonts w:hint="default" w:ascii="宋体" w:hAnsi="宋体" w:eastAsia="宋体"/>
          <w:color w:val="auto"/>
          <w:szCs w:val="21"/>
          <w:highlight w:val="none"/>
          <w:lang w:val="en-US" w:eastAsia="zh-CN"/>
        </w:rPr>
      </w:pPr>
      <w:r>
        <w:rPr>
          <w:rFonts w:hint="eastAsia" w:ascii="宋体" w:hAnsi="宋体"/>
          <w:color w:val="auto"/>
          <w:szCs w:val="21"/>
          <w:highlight w:val="none"/>
          <w:lang w:val="en-US" w:eastAsia="zh-CN"/>
        </w:rPr>
        <w:t>三</w:t>
      </w:r>
      <w:r>
        <w:rPr>
          <w:rFonts w:hint="eastAsia" w:ascii="宋体" w:hAnsi="宋体"/>
          <w:color w:val="auto"/>
          <w:szCs w:val="21"/>
          <w:highlight w:val="none"/>
        </w:rPr>
        <w:t>、授权委托书</w:t>
      </w:r>
    </w:p>
    <w:p w14:paraId="2CCEF1B3">
      <w:pPr>
        <w:adjustRightInd w:val="0"/>
        <w:snapToGrid w:val="0"/>
        <w:spacing w:before="156" w:beforeLines="50" w:line="360" w:lineRule="auto"/>
        <w:ind w:firstLine="420" w:firstLineChars="200"/>
        <w:jc w:val="left"/>
        <w:outlineLvl w:val="9"/>
        <w:rPr>
          <w:rFonts w:ascii="宋体" w:hAnsi="宋体"/>
          <w:color w:val="auto"/>
          <w:szCs w:val="21"/>
          <w:highlight w:val="none"/>
        </w:rPr>
      </w:pPr>
      <w:r>
        <w:rPr>
          <w:rFonts w:hint="eastAsia" w:ascii="宋体" w:hAnsi="宋体"/>
          <w:color w:val="auto"/>
          <w:szCs w:val="21"/>
          <w:highlight w:val="none"/>
          <w:lang w:val="en-US" w:eastAsia="zh-CN"/>
        </w:rPr>
        <w:t>四</w:t>
      </w:r>
      <w:r>
        <w:rPr>
          <w:rFonts w:hint="eastAsia" w:ascii="宋体" w:hAnsi="宋体"/>
          <w:color w:val="auto"/>
          <w:szCs w:val="21"/>
          <w:highlight w:val="none"/>
        </w:rPr>
        <w:t>、投标人提供的资格证明文件</w:t>
      </w:r>
    </w:p>
    <w:p w14:paraId="00C7C9EC">
      <w:pPr>
        <w:adjustRightInd w:val="0"/>
        <w:snapToGrid w:val="0"/>
        <w:spacing w:before="156" w:beforeLines="50" w:line="360" w:lineRule="auto"/>
        <w:jc w:val="left"/>
        <w:outlineLvl w:val="9"/>
        <w:rPr>
          <w:rFonts w:ascii="宋体" w:hAnsi="宋体"/>
          <w:b/>
          <w:color w:val="auto"/>
          <w:szCs w:val="21"/>
          <w:highlight w:val="none"/>
        </w:rPr>
      </w:pPr>
      <w:bookmarkStart w:id="1320" w:name="_Toc2035048392"/>
      <w:r>
        <w:rPr>
          <w:rFonts w:hint="eastAsia" w:ascii="宋体" w:hAnsi="宋体"/>
          <w:b/>
          <w:color w:val="auto"/>
          <w:szCs w:val="21"/>
          <w:highlight w:val="none"/>
        </w:rPr>
        <w:t>第二部分 商务技术文件</w:t>
      </w:r>
      <w:bookmarkEnd w:id="1320"/>
    </w:p>
    <w:p w14:paraId="24208444">
      <w:pPr>
        <w:adjustRightInd w:val="0"/>
        <w:snapToGrid w:val="0"/>
        <w:spacing w:before="156" w:beforeLines="50" w:line="360" w:lineRule="auto"/>
        <w:ind w:firstLine="420" w:firstLineChars="200"/>
        <w:jc w:val="left"/>
        <w:outlineLvl w:val="9"/>
        <w:rPr>
          <w:rFonts w:ascii="宋体" w:hAnsi="宋体"/>
          <w:color w:val="auto"/>
          <w:szCs w:val="21"/>
          <w:highlight w:val="none"/>
        </w:rPr>
      </w:pPr>
      <w:r>
        <w:rPr>
          <w:rFonts w:hint="eastAsia" w:ascii="宋体" w:hAnsi="宋体"/>
          <w:color w:val="auto"/>
          <w:szCs w:val="21"/>
          <w:highlight w:val="none"/>
          <w:lang w:val="en-US" w:eastAsia="zh-CN"/>
        </w:rPr>
        <w:t>五</w:t>
      </w:r>
      <w:r>
        <w:rPr>
          <w:rFonts w:hint="eastAsia" w:ascii="宋体" w:hAnsi="宋体"/>
          <w:color w:val="auto"/>
          <w:szCs w:val="21"/>
          <w:highlight w:val="none"/>
        </w:rPr>
        <w:t>、投标函</w:t>
      </w:r>
    </w:p>
    <w:p w14:paraId="09DFB2A5">
      <w:pPr>
        <w:adjustRightInd w:val="0"/>
        <w:snapToGrid w:val="0"/>
        <w:spacing w:before="156" w:beforeLines="50" w:line="360" w:lineRule="auto"/>
        <w:ind w:firstLine="420" w:firstLineChars="200"/>
        <w:jc w:val="left"/>
        <w:outlineLvl w:val="9"/>
        <w:rPr>
          <w:rFonts w:ascii="宋体" w:hAnsi="宋体"/>
          <w:color w:val="auto"/>
          <w:szCs w:val="21"/>
          <w:highlight w:val="none"/>
        </w:rPr>
      </w:pPr>
      <w:r>
        <w:rPr>
          <w:rFonts w:hint="eastAsia" w:ascii="宋体" w:hAnsi="宋体"/>
          <w:color w:val="auto"/>
          <w:szCs w:val="21"/>
          <w:highlight w:val="none"/>
          <w:lang w:val="en-US" w:eastAsia="zh-CN"/>
        </w:rPr>
        <w:t>六</w:t>
      </w:r>
      <w:r>
        <w:rPr>
          <w:rFonts w:hint="eastAsia" w:ascii="宋体" w:hAnsi="宋体"/>
          <w:color w:val="auto"/>
          <w:szCs w:val="21"/>
          <w:highlight w:val="none"/>
        </w:rPr>
        <w:t>、分项报价</w:t>
      </w:r>
    </w:p>
    <w:p w14:paraId="1182D6DE">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lang w:val="en-US" w:eastAsia="zh-CN"/>
        </w:rPr>
        <w:t>七</w:t>
      </w:r>
      <w:r>
        <w:rPr>
          <w:rFonts w:hint="eastAsia" w:ascii="宋体" w:hAnsi="宋体"/>
          <w:color w:val="auto"/>
          <w:szCs w:val="21"/>
          <w:highlight w:val="none"/>
        </w:rPr>
        <w:t>、采购需求响应</w:t>
      </w:r>
    </w:p>
    <w:p w14:paraId="7EA73796">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lang w:val="en-US" w:eastAsia="zh-CN"/>
        </w:rPr>
        <w:t>八</w:t>
      </w:r>
      <w:r>
        <w:rPr>
          <w:rFonts w:hint="eastAsia" w:ascii="宋体" w:hAnsi="宋体"/>
          <w:color w:val="auto"/>
          <w:szCs w:val="21"/>
          <w:highlight w:val="none"/>
        </w:rPr>
        <w:t>、合同条款偏离表</w:t>
      </w:r>
    </w:p>
    <w:p w14:paraId="68412939">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lang w:val="en-US" w:eastAsia="zh-CN"/>
        </w:rPr>
        <w:t>九</w:t>
      </w:r>
      <w:r>
        <w:rPr>
          <w:rFonts w:hint="eastAsia" w:ascii="宋体" w:hAnsi="宋体"/>
          <w:color w:val="auto"/>
          <w:szCs w:val="21"/>
          <w:highlight w:val="none"/>
        </w:rPr>
        <w:t>、采购需求偏离表</w:t>
      </w:r>
    </w:p>
    <w:p w14:paraId="73E26FFD">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lang w:val="en-US" w:eastAsia="zh-CN"/>
        </w:rPr>
        <w:t>十</w:t>
      </w:r>
      <w:r>
        <w:rPr>
          <w:rFonts w:hint="eastAsia" w:ascii="宋体" w:hAnsi="宋体"/>
          <w:color w:val="auto"/>
          <w:szCs w:val="21"/>
          <w:highlight w:val="none"/>
        </w:rPr>
        <w:t>、享受政府采购政策优惠的证明资料和清单表</w:t>
      </w:r>
    </w:p>
    <w:p w14:paraId="64FD6366">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十一、投标货物符合招标文件规定的证明文件</w:t>
      </w:r>
    </w:p>
    <w:p w14:paraId="7EE2BBF2">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十二、投标人认为需提供的其他资料</w:t>
      </w:r>
    </w:p>
    <w:p w14:paraId="22B50D09">
      <w:pPr>
        <w:adjustRightInd w:val="0"/>
        <w:snapToGrid w:val="0"/>
        <w:spacing w:before="156" w:beforeLines="50"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注：投标人可编制资格审查索引表、符合性审查索引表、评审索引表，以便采购人及采购代理机构资格审查和评标委员会评审。</w:t>
      </w:r>
    </w:p>
    <w:p w14:paraId="69AF0522">
      <w:pPr>
        <w:adjustRightInd w:val="0"/>
        <w:snapToGrid w:val="0"/>
        <w:spacing w:line="360" w:lineRule="auto"/>
        <w:jc w:val="center"/>
        <w:rPr>
          <w:rFonts w:ascii="仿宋_GB2312" w:hAnsi="宋体" w:eastAsia="仿宋_GB2312"/>
          <w:color w:val="auto"/>
          <w:szCs w:val="21"/>
          <w:highlight w:val="none"/>
        </w:rPr>
      </w:pPr>
    </w:p>
    <w:p w14:paraId="00BBEAAF">
      <w:pPr>
        <w:adjustRightInd w:val="0"/>
        <w:snapToGrid w:val="0"/>
        <w:spacing w:line="360" w:lineRule="auto"/>
        <w:jc w:val="center"/>
        <w:rPr>
          <w:rFonts w:ascii="黑体" w:eastAsia="黑体"/>
          <w:color w:val="auto"/>
          <w:sz w:val="32"/>
          <w:szCs w:val="32"/>
          <w:highlight w:val="none"/>
        </w:rPr>
      </w:pPr>
      <w:r>
        <w:rPr>
          <w:rFonts w:ascii="仿宋_GB2312" w:hAnsi="宋体" w:eastAsia="仿宋_GB2312"/>
          <w:color w:val="auto"/>
          <w:szCs w:val="21"/>
          <w:highlight w:val="none"/>
        </w:rPr>
        <w:br w:type="page"/>
      </w:r>
    </w:p>
    <w:p w14:paraId="565E2B5E">
      <w:pPr>
        <w:adjustRightInd w:val="0"/>
        <w:snapToGrid w:val="0"/>
        <w:spacing w:line="360" w:lineRule="auto"/>
        <w:jc w:val="center"/>
        <w:rPr>
          <w:rFonts w:ascii="黑体" w:eastAsia="黑体"/>
          <w:color w:val="auto"/>
          <w:sz w:val="32"/>
          <w:szCs w:val="32"/>
          <w:highlight w:val="none"/>
        </w:rPr>
      </w:pPr>
    </w:p>
    <w:p w14:paraId="54D85394">
      <w:pPr>
        <w:adjustRightInd w:val="0"/>
        <w:snapToGrid w:val="0"/>
        <w:spacing w:line="360" w:lineRule="auto"/>
        <w:jc w:val="center"/>
        <w:rPr>
          <w:rFonts w:ascii="黑体" w:eastAsia="黑体"/>
          <w:color w:val="auto"/>
          <w:sz w:val="32"/>
          <w:szCs w:val="32"/>
          <w:highlight w:val="none"/>
        </w:rPr>
      </w:pPr>
    </w:p>
    <w:p w14:paraId="474553C4">
      <w:pPr>
        <w:pStyle w:val="22"/>
        <w:adjustRightInd w:val="0"/>
        <w:snapToGrid w:val="0"/>
        <w:spacing w:line="360" w:lineRule="auto"/>
        <w:jc w:val="center"/>
        <w:outlineLvl w:val="9"/>
        <w:rPr>
          <w:rFonts w:hAnsi="宋体"/>
          <w:b/>
          <w:bCs/>
          <w:color w:val="auto"/>
          <w:sz w:val="72"/>
          <w:szCs w:val="72"/>
          <w:highlight w:val="none"/>
        </w:rPr>
      </w:pPr>
      <w:r>
        <w:rPr>
          <w:rFonts w:hint="eastAsia" w:hAnsi="宋体"/>
          <w:b/>
          <w:bCs/>
          <w:color w:val="auto"/>
          <w:sz w:val="72"/>
          <w:szCs w:val="72"/>
          <w:highlight w:val="none"/>
        </w:rPr>
        <w:t>政府采购</w:t>
      </w:r>
    </w:p>
    <w:p w14:paraId="44B272E0">
      <w:pPr>
        <w:adjustRightInd w:val="0"/>
        <w:snapToGrid w:val="0"/>
        <w:spacing w:line="360" w:lineRule="auto"/>
        <w:jc w:val="center"/>
        <w:outlineLvl w:val="9"/>
        <w:rPr>
          <w:rFonts w:ascii="宋体" w:hAnsi="宋体"/>
          <w:b/>
          <w:bCs/>
          <w:color w:val="auto"/>
          <w:sz w:val="84"/>
          <w:szCs w:val="84"/>
          <w:highlight w:val="none"/>
        </w:rPr>
      </w:pPr>
      <w:r>
        <w:rPr>
          <w:rFonts w:hint="eastAsia" w:ascii="宋体" w:hAnsi="宋体"/>
          <w:b/>
          <w:bCs/>
          <w:color w:val="auto"/>
          <w:sz w:val="84"/>
          <w:szCs w:val="84"/>
          <w:highlight w:val="none"/>
        </w:rPr>
        <w:t>投 标 文 件</w:t>
      </w:r>
    </w:p>
    <w:p w14:paraId="0A04AC3D">
      <w:pPr>
        <w:pStyle w:val="2"/>
        <w:adjustRightInd w:val="0"/>
        <w:snapToGrid w:val="0"/>
        <w:jc w:val="center"/>
        <w:outlineLvl w:val="0"/>
        <w:rPr>
          <w:rFonts w:ascii="黑体" w:hAnsi="黑体" w:eastAsia="黑体"/>
          <w:color w:val="auto"/>
          <w:sz w:val="44"/>
          <w:szCs w:val="44"/>
          <w:highlight w:val="none"/>
        </w:rPr>
      </w:pPr>
      <w:bookmarkStart w:id="1321" w:name="_Toc12250"/>
      <w:bookmarkStart w:id="1322" w:name="_Toc4447"/>
      <w:bookmarkStart w:id="1323" w:name="_Toc688447787"/>
      <w:bookmarkStart w:id="1324" w:name="_Toc22370"/>
      <w:bookmarkStart w:id="1325" w:name="_Toc1963"/>
      <w:bookmarkStart w:id="1326" w:name="_Toc77676515"/>
      <w:bookmarkStart w:id="1327" w:name="_Toc29425"/>
      <w:bookmarkStart w:id="1328" w:name="_Toc192949748"/>
      <w:bookmarkStart w:id="1329" w:name="_Toc100670720"/>
      <w:bookmarkStart w:id="1330" w:name="_Toc75289597"/>
      <w:bookmarkStart w:id="1331" w:name="_Toc112704990"/>
      <w:bookmarkStart w:id="1332" w:name="_Toc95601412"/>
      <w:bookmarkStart w:id="1333" w:name="_Toc75289279"/>
      <w:bookmarkStart w:id="1334" w:name="_Toc3255"/>
      <w:bookmarkStart w:id="1335" w:name="_Toc171273718"/>
      <w:bookmarkStart w:id="1336" w:name="_Toc100670472"/>
      <w:bookmarkStart w:id="1337" w:name="_Toc78450004"/>
      <w:bookmarkStart w:id="1338" w:name="_Toc108341987"/>
      <w:bookmarkStart w:id="1339" w:name="_Toc77199451"/>
      <w:bookmarkStart w:id="1340" w:name="_Toc15888527"/>
      <w:bookmarkStart w:id="1341" w:name="_Toc154428436"/>
      <w:bookmarkStart w:id="1342" w:name="_Toc32025"/>
      <w:bookmarkStart w:id="1343" w:name="_Toc192949649"/>
      <w:bookmarkStart w:id="1344" w:name="_Toc78314311"/>
      <w:bookmarkStart w:id="1345" w:name="_Toc192951259"/>
      <w:bookmarkStart w:id="1346" w:name="_Toc1282"/>
      <w:bookmarkStart w:id="1347" w:name="_Toc117192497"/>
      <w:bookmarkStart w:id="1348" w:name="_Toc16598"/>
      <w:bookmarkStart w:id="1349" w:name="_Toc94367927"/>
      <w:bookmarkStart w:id="1350" w:name="_Toc114036761"/>
      <w:bookmarkStart w:id="1351" w:name="_Toc85972977"/>
      <w:r>
        <w:rPr>
          <w:rFonts w:hint="eastAsia" w:ascii="黑体" w:hAnsi="黑体" w:eastAsia="黑体"/>
          <w:color w:val="auto"/>
          <w:sz w:val="44"/>
          <w:szCs w:val="44"/>
          <w:highlight w:val="none"/>
        </w:rPr>
        <w:t>第一部分 资格证明文件</w:t>
      </w:r>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p>
    <w:p w14:paraId="3D90E3BF">
      <w:pPr>
        <w:adjustRightInd w:val="0"/>
        <w:snapToGrid w:val="0"/>
        <w:spacing w:line="360" w:lineRule="auto"/>
        <w:rPr>
          <w:rFonts w:ascii="黑体" w:hAnsi="黑体" w:eastAsia="黑体"/>
          <w:b/>
          <w:color w:val="auto"/>
          <w:sz w:val="32"/>
          <w:szCs w:val="32"/>
          <w:highlight w:val="none"/>
        </w:rPr>
      </w:pPr>
    </w:p>
    <w:p w14:paraId="4C7A469E">
      <w:pPr>
        <w:adjustRightInd w:val="0"/>
        <w:snapToGrid w:val="0"/>
        <w:spacing w:line="360" w:lineRule="auto"/>
        <w:outlineLvl w:val="9"/>
        <w:rPr>
          <w:rFonts w:ascii="宋体" w:hAnsi="宋体"/>
          <w:b/>
          <w:color w:val="auto"/>
          <w:sz w:val="30"/>
          <w:szCs w:val="30"/>
          <w:highlight w:val="none"/>
        </w:rPr>
      </w:pPr>
    </w:p>
    <w:p w14:paraId="73DCF05C">
      <w:pPr>
        <w:pStyle w:val="22"/>
        <w:adjustRightInd w:val="0"/>
        <w:snapToGrid w:val="0"/>
        <w:spacing w:line="360" w:lineRule="auto"/>
        <w:ind w:firstLine="1988" w:firstLineChars="660"/>
        <w:outlineLvl w:val="9"/>
        <w:rPr>
          <w:rFonts w:hAnsi="宋体"/>
          <w:b/>
          <w:bCs/>
          <w:color w:val="auto"/>
          <w:sz w:val="30"/>
          <w:szCs w:val="30"/>
          <w:highlight w:val="none"/>
          <w:u w:val="single"/>
        </w:rPr>
      </w:pPr>
      <w:r>
        <w:rPr>
          <w:rFonts w:hint="eastAsia" w:hAnsi="宋体"/>
          <w:b/>
          <w:bCs/>
          <w:color w:val="auto"/>
          <w:sz w:val="30"/>
          <w:szCs w:val="30"/>
          <w:highlight w:val="none"/>
        </w:rPr>
        <w:t>采购项目名称:</w:t>
      </w:r>
    </w:p>
    <w:p w14:paraId="5DCE4F00">
      <w:pPr>
        <w:pStyle w:val="22"/>
        <w:adjustRightInd w:val="0"/>
        <w:snapToGrid w:val="0"/>
        <w:spacing w:line="360" w:lineRule="auto"/>
        <w:ind w:firstLine="1988" w:firstLineChars="660"/>
        <w:outlineLvl w:val="9"/>
        <w:rPr>
          <w:rFonts w:hAnsi="宋体"/>
          <w:b/>
          <w:bCs/>
          <w:color w:val="auto"/>
          <w:sz w:val="30"/>
          <w:szCs w:val="30"/>
          <w:highlight w:val="none"/>
        </w:rPr>
      </w:pPr>
      <w:r>
        <w:rPr>
          <w:rFonts w:hint="eastAsia" w:hAnsi="宋体"/>
          <w:b/>
          <w:bCs/>
          <w:color w:val="auto"/>
          <w:sz w:val="30"/>
          <w:szCs w:val="30"/>
          <w:highlight w:val="none"/>
        </w:rPr>
        <w:t>采   购   人：</w:t>
      </w:r>
    </w:p>
    <w:p w14:paraId="37B4330A">
      <w:pPr>
        <w:pStyle w:val="22"/>
        <w:adjustRightInd w:val="0"/>
        <w:snapToGrid w:val="0"/>
        <w:spacing w:line="360" w:lineRule="auto"/>
        <w:ind w:firstLine="1988" w:firstLineChars="660"/>
        <w:outlineLvl w:val="9"/>
        <w:rPr>
          <w:rFonts w:hAnsi="宋体"/>
          <w:b/>
          <w:bCs/>
          <w:color w:val="auto"/>
          <w:sz w:val="30"/>
          <w:szCs w:val="30"/>
          <w:highlight w:val="none"/>
          <w:u w:val="single"/>
        </w:rPr>
      </w:pPr>
      <w:r>
        <w:rPr>
          <w:rFonts w:hint="eastAsia" w:hAnsi="宋体"/>
          <w:b/>
          <w:bCs/>
          <w:color w:val="auto"/>
          <w:sz w:val="30"/>
          <w:szCs w:val="30"/>
          <w:highlight w:val="none"/>
        </w:rPr>
        <w:t>政府采购计划编号:</w:t>
      </w:r>
    </w:p>
    <w:p w14:paraId="7122DBF1">
      <w:pPr>
        <w:pStyle w:val="22"/>
        <w:adjustRightInd w:val="0"/>
        <w:snapToGrid w:val="0"/>
        <w:spacing w:line="360" w:lineRule="auto"/>
        <w:ind w:firstLine="1988" w:firstLineChars="660"/>
        <w:outlineLvl w:val="9"/>
        <w:rPr>
          <w:rFonts w:hAnsi="宋体"/>
          <w:b/>
          <w:bCs/>
          <w:color w:val="auto"/>
          <w:sz w:val="30"/>
          <w:szCs w:val="30"/>
          <w:highlight w:val="none"/>
          <w:u w:val="single"/>
        </w:rPr>
      </w:pPr>
      <w:r>
        <w:rPr>
          <w:rFonts w:hint="eastAsia" w:hAnsi="宋体"/>
          <w:b/>
          <w:bCs/>
          <w:color w:val="auto"/>
          <w:sz w:val="30"/>
          <w:szCs w:val="30"/>
          <w:highlight w:val="none"/>
        </w:rPr>
        <w:t>委托代理编号:</w:t>
      </w:r>
    </w:p>
    <w:p w14:paraId="20BDD7AB">
      <w:pPr>
        <w:pStyle w:val="22"/>
        <w:adjustRightInd w:val="0"/>
        <w:snapToGrid w:val="0"/>
        <w:spacing w:line="360" w:lineRule="auto"/>
        <w:ind w:firstLine="1988" w:firstLineChars="660"/>
        <w:outlineLvl w:val="9"/>
        <w:rPr>
          <w:rFonts w:hAnsi="宋体"/>
          <w:b/>
          <w:bCs/>
          <w:color w:val="auto"/>
          <w:sz w:val="30"/>
          <w:szCs w:val="30"/>
          <w:highlight w:val="none"/>
          <w:u w:val="single"/>
        </w:rPr>
      </w:pPr>
      <w:r>
        <w:rPr>
          <w:rFonts w:hint="eastAsia" w:hAnsi="宋体"/>
          <w:b/>
          <w:bCs/>
          <w:color w:val="auto"/>
          <w:sz w:val="30"/>
          <w:szCs w:val="30"/>
          <w:highlight w:val="none"/>
        </w:rPr>
        <w:t>采购代理机构：</w:t>
      </w:r>
    </w:p>
    <w:p w14:paraId="03AC0A56">
      <w:pPr>
        <w:adjustRightInd w:val="0"/>
        <w:snapToGrid w:val="0"/>
        <w:spacing w:line="360" w:lineRule="auto"/>
        <w:outlineLvl w:val="9"/>
        <w:rPr>
          <w:rFonts w:ascii="黑体" w:hAnsi="黑体" w:eastAsia="黑体"/>
          <w:color w:val="auto"/>
          <w:sz w:val="30"/>
          <w:szCs w:val="30"/>
          <w:highlight w:val="none"/>
        </w:rPr>
      </w:pPr>
    </w:p>
    <w:p w14:paraId="0A94CF87">
      <w:pPr>
        <w:adjustRightInd w:val="0"/>
        <w:snapToGrid w:val="0"/>
        <w:outlineLvl w:val="9"/>
        <w:rPr>
          <w:rFonts w:ascii="黑体" w:hAnsi="宋体" w:eastAsia="黑体"/>
          <w:color w:val="auto"/>
          <w:sz w:val="30"/>
          <w:szCs w:val="30"/>
          <w:highlight w:val="none"/>
        </w:rPr>
      </w:pPr>
    </w:p>
    <w:p w14:paraId="63127607">
      <w:pPr>
        <w:adjustRightInd w:val="0"/>
        <w:snapToGrid w:val="0"/>
        <w:spacing w:line="360" w:lineRule="auto"/>
        <w:outlineLvl w:val="9"/>
        <w:rPr>
          <w:rFonts w:ascii="黑体" w:hAnsi="宋体" w:eastAsia="黑体"/>
          <w:color w:val="auto"/>
          <w:sz w:val="30"/>
          <w:szCs w:val="30"/>
          <w:highlight w:val="none"/>
        </w:rPr>
      </w:pPr>
    </w:p>
    <w:p w14:paraId="3E0E1EF4">
      <w:pPr>
        <w:adjustRightInd w:val="0"/>
        <w:snapToGrid w:val="0"/>
        <w:spacing w:line="360" w:lineRule="auto"/>
        <w:outlineLvl w:val="9"/>
        <w:rPr>
          <w:rFonts w:ascii="黑体" w:hAnsi="宋体" w:eastAsia="黑体"/>
          <w:color w:val="auto"/>
          <w:sz w:val="30"/>
          <w:szCs w:val="30"/>
          <w:highlight w:val="none"/>
        </w:rPr>
      </w:pPr>
    </w:p>
    <w:p w14:paraId="0A6DDD7E">
      <w:pPr>
        <w:adjustRightInd w:val="0"/>
        <w:snapToGrid w:val="0"/>
        <w:spacing w:line="360" w:lineRule="auto"/>
        <w:ind w:firstLine="2464" w:firstLineChars="770"/>
        <w:outlineLvl w:val="9"/>
        <w:rPr>
          <w:rFonts w:ascii="黑体" w:hAnsi="宋体" w:eastAsia="黑体"/>
          <w:color w:val="auto"/>
          <w:sz w:val="32"/>
          <w:szCs w:val="32"/>
          <w:highlight w:val="none"/>
          <w:u w:val="single"/>
        </w:rPr>
      </w:pPr>
      <w:r>
        <w:rPr>
          <w:rFonts w:hint="eastAsia" w:ascii="黑体" w:hAnsi="宋体" w:eastAsia="黑体"/>
          <w:color w:val="auto"/>
          <w:sz w:val="32"/>
          <w:szCs w:val="32"/>
          <w:highlight w:val="none"/>
        </w:rPr>
        <w:t>投标人</w:t>
      </w:r>
    </w:p>
    <w:p w14:paraId="6FC67FE6">
      <w:pPr>
        <w:adjustRightInd w:val="0"/>
        <w:snapToGrid w:val="0"/>
        <w:jc w:val="center"/>
        <w:outlineLvl w:val="9"/>
        <w:rPr>
          <w:rFonts w:ascii="黑体" w:hAnsi="宋体" w:eastAsia="黑体"/>
          <w:color w:val="auto"/>
          <w:sz w:val="32"/>
          <w:szCs w:val="32"/>
          <w:highlight w:val="none"/>
        </w:rPr>
      </w:pPr>
      <w:r>
        <w:rPr>
          <w:rFonts w:hint="eastAsia" w:ascii="黑体" w:hAnsi="宋体" w:eastAsia="黑体"/>
          <w:color w:val="auto"/>
          <w:sz w:val="32"/>
          <w:szCs w:val="32"/>
          <w:highlight w:val="none"/>
        </w:rPr>
        <w:t>年  月  日</w:t>
      </w:r>
    </w:p>
    <w:p w14:paraId="0B709416">
      <w:pPr>
        <w:adjustRightInd w:val="0"/>
        <w:snapToGrid w:val="0"/>
        <w:outlineLvl w:val="9"/>
        <w:rPr>
          <w:rFonts w:ascii="黑体" w:hAnsi="宋体" w:eastAsia="黑体"/>
          <w:color w:val="auto"/>
          <w:szCs w:val="21"/>
          <w:highlight w:val="none"/>
        </w:rPr>
      </w:pPr>
      <w:r>
        <w:rPr>
          <w:rFonts w:ascii="黑体" w:eastAsia="黑体"/>
          <w:color w:val="auto"/>
          <w:sz w:val="28"/>
          <w:szCs w:val="28"/>
          <w:highlight w:val="none"/>
        </w:rPr>
        <w:br w:type="page"/>
      </w:r>
    </w:p>
    <w:p w14:paraId="204C424D">
      <w:pPr>
        <w:pStyle w:val="2"/>
        <w:jc w:val="center"/>
        <w:rPr>
          <w:rFonts w:ascii="黑体" w:hAnsi="宋体" w:eastAsia="黑体"/>
          <w:color w:val="auto"/>
          <w:sz w:val="28"/>
          <w:szCs w:val="28"/>
          <w:highlight w:val="none"/>
        </w:rPr>
      </w:pPr>
      <w:bookmarkStart w:id="1352" w:name="_Toc6971"/>
      <w:bookmarkStart w:id="1353" w:name="_Toc108341989"/>
      <w:bookmarkStart w:id="1354" w:name="_Toc77676517"/>
      <w:bookmarkStart w:id="1355" w:name="_Toc100670474"/>
      <w:bookmarkStart w:id="1356" w:name="_Toc114036762"/>
      <w:bookmarkStart w:id="1357" w:name="_Toc1834"/>
      <w:bookmarkStart w:id="1358" w:name="_Toc94367929"/>
      <w:bookmarkStart w:id="1359" w:name="_Toc30270"/>
      <w:bookmarkStart w:id="1360" w:name="_Toc3062"/>
      <w:bookmarkStart w:id="1361" w:name="_Toc21940"/>
      <w:bookmarkStart w:id="1362" w:name="_Toc95601414"/>
      <w:bookmarkStart w:id="1363" w:name="_Toc192949749"/>
      <w:bookmarkStart w:id="1364" w:name="_Toc171273719"/>
      <w:bookmarkStart w:id="1365" w:name="_Toc192949650"/>
      <w:bookmarkStart w:id="1366" w:name="_Toc85972979"/>
      <w:bookmarkStart w:id="1367" w:name="_Toc75289281"/>
      <w:bookmarkStart w:id="1368" w:name="_Toc78450006"/>
      <w:bookmarkStart w:id="1369" w:name="_Toc112704991"/>
      <w:bookmarkStart w:id="1370" w:name="_Toc452688483"/>
      <w:bookmarkStart w:id="1371" w:name="_Toc14832"/>
      <w:bookmarkStart w:id="1372" w:name="_Toc75289599"/>
      <w:bookmarkStart w:id="1373" w:name="_Toc117192498"/>
      <w:bookmarkStart w:id="1374" w:name="_Toc19753"/>
      <w:bookmarkStart w:id="1375" w:name="_Toc77199453"/>
      <w:bookmarkStart w:id="1376" w:name="_Toc78314313"/>
      <w:bookmarkStart w:id="1377" w:name="_Toc192951260"/>
      <w:bookmarkStart w:id="1378" w:name="_Toc14262"/>
      <w:bookmarkStart w:id="1379" w:name="_Toc100670722"/>
      <w:bookmarkStart w:id="1380" w:name="_Toc1660"/>
      <w:bookmarkStart w:id="1381" w:name="_Toc20651243"/>
      <w:bookmarkStart w:id="1382" w:name="_Toc154428437"/>
      <w:r>
        <w:rPr>
          <w:rFonts w:hint="eastAsia" w:ascii="黑体" w:hAnsi="宋体" w:eastAsia="黑体"/>
          <w:color w:val="auto"/>
          <w:sz w:val="28"/>
          <w:szCs w:val="28"/>
          <w:highlight w:val="none"/>
        </w:rPr>
        <w:t>一、开标一览表</w:t>
      </w:r>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p>
    <w:p w14:paraId="49E484FE">
      <w:pPr>
        <w:adjustRightInd w:val="0"/>
        <w:snapToGrid w:val="0"/>
        <w:spacing w:line="360" w:lineRule="auto"/>
        <w:ind w:left="-88" w:leftChars="-42"/>
        <w:jc w:val="center"/>
        <w:rPr>
          <w:rFonts w:ascii="仿宋_GB2312" w:hAnsi="宋体" w:eastAsia="仿宋_GB2312"/>
          <w:color w:val="auto"/>
          <w:sz w:val="24"/>
          <w:highlight w:val="none"/>
        </w:rPr>
      </w:pPr>
    </w:p>
    <w:p w14:paraId="3D32D010">
      <w:pPr>
        <w:adjustRightInd w:val="0"/>
        <w:snapToGrid w:val="0"/>
        <w:spacing w:line="360" w:lineRule="auto"/>
        <w:rPr>
          <w:rFonts w:ascii="宋体" w:hAnsi="宋体"/>
          <w:color w:val="auto"/>
          <w:szCs w:val="21"/>
          <w:highlight w:val="none"/>
        </w:rPr>
      </w:pPr>
      <w:r>
        <w:rPr>
          <w:rFonts w:hint="eastAsia" w:ascii="宋体" w:hAnsi="宋体"/>
          <w:color w:val="auto"/>
          <w:szCs w:val="21"/>
          <w:highlight w:val="none"/>
        </w:rPr>
        <w:t>政府采购计划编号：                   项目名称：</w:t>
      </w:r>
    </w:p>
    <w:p w14:paraId="66637CB1">
      <w:pPr>
        <w:adjustRightInd w:val="0"/>
        <w:snapToGrid w:val="0"/>
        <w:spacing w:line="360" w:lineRule="auto"/>
        <w:rPr>
          <w:rFonts w:ascii="宋体" w:hAnsi="宋体"/>
          <w:b/>
          <w:color w:val="auto"/>
          <w:szCs w:val="21"/>
          <w:highlight w:val="none"/>
        </w:rPr>
      </w:pPr>
      <w:r>
        <w:rPr>
          <w:rFonts w:hint="eastAsia" w:ascii="宋体" w:hAnsi="宋体"/>
          <w:color w:val="auto"/>
          <w:szCs w:val="21"/>
          <w:highlight w:val="none"/>
        </w:rPr>
        <w:t>包号：                               包名称：</w:t>
      </w:r>
    </w:p>
    <w:tbl>
      <w:tblPr>
        <w:tblStyle w:val="47"/>
        <w:tblW w:w="8789"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670"/>
        <w:gridCol w:w="3119"/>
      </w:tblGrid>
      <w:tr w14:paraId="7860A48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23" w:hRule="atLeast"/>
          <w:jc w:val="center"/>
        </w:trPr>
        <w:tc>
          <w:tcPr>
            <w:tcW w:w="5670" w:type="dxa"/>
            <w:vAlign w:val="center"/>
          </w:tcPr>
          <w:p w14:paraId="2164B5A4">
            <w:pPr>
              <w:adjustRightInd w:val="0"/>
              <w:snapToGrid w:val="0"/>
              <w:spacing w:line="360" w:lineRule="auto"/>
              <w:jc w:val="center"/>
              <w:rPr>
                <w:rFonts w:ascii="宋体" w:hAnsi="宋体"/>
                <w:b/>
                <w:color w:val="auto"/>
                <w:kern w:val="0"/>
                <w:sz w:val="20"/>
                <w:szCs w:val="21"/>
                <w:highlight w:val="none"/>
              </w:rPr>
            </w:pPr>
            <w:r>
              <w:rPr>
                <w:rFonts w:hint="eastAsia" w:ascii="宋体" w:hAnsi="宋体"/>
                <w:b/>
                <w:color w:val="auto"/>
                <w:kern w:val="0"/>
                <w:szCs w:val="21"/>
                <w:highlight w:val="none"/>
              </w:rPr>
              <w:t>投标报价</w:t>
            </w:r>
          </w:p>
        </w:tc>
        <w:tc>
          <w:tcPr>
            <w:tcW w:w="3119" w:type="dxa"/>
            <w:vAlign w:val="center"/>
          </w:tcPr>
          <w:p w14:paraId="69727E15">
            <w:pPr>
              <w:adjustRightInd w:val="0"/>
              <w:snapToGrid w:val="0"/>
              <w:spacing w:line="360" w:lineRule="auto"/>
              <w:jc w:val="center"/>
              <w:rPr>
                <w:rFonts w:ascii="宋体" w:hAnsi="宋体"/>
                <w:b/>
                <w:color w:val="auto"/>
                <w:kern w:val="0"/>
                <w:szCs w:val="21"/>
                <w:highlight w:val="none"/>
              </w:rPr>
            </w:pPr>
            <w:r>
              <w:rPr>
                <w:rFonts w:hint="eastAsia" w:ascii="宋体" w:hAnsi="宋体"/>
                <w:b/>
                <w:color w:val="auto"/>
                <w:kern w:val="0"/>
                <w:szCs w:val="21"/>
                <w:highlight w:val="none"/>
              </w:rPr>
              <w:t>其他内容</w:t>
            </w:r>
          </w:p>
        </w:tc>
      </w:tr>
      <w:tr w14:paraId="7BF5EF3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23" w:hRule="atLeast"/>
          <w:jc w:val="center"/>
        </w:trPr>
        <w:tc>
          <w:tcPr>
            <w:tcW w:w="5670" w:type="dxa"/>
            <w:vAlign w:val="center"/>
          </w:tcPr>
          <w:p w14:paraId="17A47672">
            <w:pPr>
              <w:adjustRightInd w:val="0"/>
              <w:snapToGrid w:val="0"/>
              <w:spacing w:line="360" w:lineRule="auto"/>
              <w:jc w:val="center"/>
              <w:rPr>
                <w:rFonts w:ascii="宋体" w:hAnsi="宋体"/>
                <w:color w:val="auto"/>
                <w:kern w:val="0"/>
                <w:szCs w:val="21"/>
                <w:highlight w:val="none"/>
              </w:rPr>
            </w:pPr>
            <w:r>
              <w:rPr>
                <w:rFonts w:hint="eastAsia" w:ascii="宋体" w:hAnsi="宋体"/>
                <w:color w:val="auto"/>
                <w:kern w:val="0"/>
                <w:szCs w:val="21"/>
                <w:highlight w:val="none"/>
              </w:rPr>
              <w:t>小写金额：（</w:t>
            </w:r>
            <w:r>
              <w:rPr>
                <w:rFonts w:hint="eastAsia" w:ascii="宋体" w:hAnsi="宋体"/>
                <w:color w:val="auto"/>
                <w:kern w:val="0"/>
                <w:sz w:val="20"/>
                <w:szCs w:val="21"/>
                <w:highlight w:val="none"/>
              </w:rPr>
              <w:t>人民币元</w:t>
            </w:r>
            <w:r>
              <w:rPr>
                <w:rFonts w:hint="eastAsia" w:ascii="宋体" w:hAnsi="宋体"/>
                <w:color w:val="auto"/>
                <w:kern w:val="0"/>
                <w:szCs w:val="21"/>
                <w:highlight w:val="none"/>
              </w:rPr>
              <w:t>）</w:t>
            </w:r>
          </w:p>
          <w:p w14:paraId="43010B99">
            <w:pPr>
              <w:adjustRightInd w:val="0"/>
              <w:snapToGrid w:val="0"/>
              <w:spacing w:line="360" w:lineRule="auto"/>
              <w:jc w:val="center"/>
              <w:rPr>
                <w:rFonts w:ascii="宋体" w:hAnsi="宋体"/>
                <w:color w:val="auto"/>
                <w:kern w:val="0"/>
                <w:szCs w:val="21"/>
                <w:highlight w:val="none"/>
                <w:u w:val="single"/>
              </w:rPr>
            </w:pPr>
            <w:r>
              <w:rPr>
                <w:rFonts w:hint="eastAsia" w:ascii="宋体" w:hAnsi="宋体"/>
                <w:color w:val="auto"/>
                <w:kern w:val="0"/>
                <w:szCs w:val="21"/>
                <w:highlight w:val="none"/>
              </w:rPr>
              <w:t>大写金额：（</w:t>
            </w:r>
            <w:r>
              <w:rPr>
                <w:rFonts w:hint="eastAsia" w:ascii="宋体" w:hAnsi="宋体"/>
                <w:color w:val="auto"/>
                <w:kern w:val="0"/>
                <w:sz w:val="20"/>
                <w:szCs w:val="21"/>
                <w:highlight w:val="none"/>
              </w:rPr>
              <w:t>人民币元</w:t>
            </w:r>
            <w:r>
              <w:rPr>
                <w:rFonts w:hint="eastAsia" w:ascii="宋体" w:hAnsi="宋体"/>
                <w:color w:val="auto"/>
                <w:kern w:val="0"/>
                <w:szCs w:val="21"/>
                <w:highlight w:val="none"/>
              </w:rPr>
              <w:t>）</w:t>
            </w:r>
          </w:p>
          <w:p w14:paraId="6A27DF96">
            <w:pPr>
              <w:adjustRightInd w:val="0"/>
              <w:snapToGrid w:val="0"/>
              <w:spacing w:line="360" w:lineRule="auto"/>
              <w:jc w:val="center"/>
              <w:rPr>
                <w:rFonts w:ascii="宋体" w:hAnsi="宋体"/>
                <w:color w:val="auto"/>
                <w:kern w:val="0"/>
                <w:szCs w:val="21"/>
                <w:highlight w:val="none"/>
              </w:rPr>
            </w:pPr>
            <w:r>
              <w:rPr>
                <w:rFonts w:hint="eastAsia" w:ascii="宋体" w:hAnsi="宋体"/>
                <w:color w:val="auto"/>
                <w:kern w:val="0"/>
                <w:szCs w:val="21"/>
                <w:highlight w:val="none"/>
              </w:rPr>
              <w:t>（大写金额与小写金额不一致时，以大写金额为准）</w:t>
            </w:r>
          </w:p>
        </w:tc>
        <w:tc>
          <w:tcPr>
            <w:tcW w:w="3119" w:type="dxa"/>
            <w:vAlign w:val="center"/>
          </w:tcPr>
          <w:p w14:paraId="17F78DF0">
            <w:pPr>
              <w:adjustRightInd w:val="0"/>
              <w:snapToGrid w:val="0"/>
              <w:spacing w:line="360" w:lineRule="exact"/>
              <w:rPr>
                <w:rFonts w:ascii="宋体" w:hAnsi="宋体"/>
                <w:color w:val="auto"/>
                <w:kern w:val="0"/>
                <w:szCs w:val="21"/>
                <w:highlight w:val="none"/>
              </w:rPr>
            </w:pPr>
            <w:r>
              <w:rPr>
                <w:rFonts w:hint="eastAsia" w:ascii="宋体" w:hAnsi="宋体"/>
                <w:color w:val="auto"/>
                <w:kern w:val="0"/>
                <w:szCs w:val="21"/>
                <w:highlight w:val="none"/>
              </w:rPr>
              <w:t>交货期：</w:t>
            </w:r>
          </w:p>
          <w:p w14:paraId="5A1FB109">
            <w:pPr>
              <w:rPr>
                <w:color w:val="auto"/>
                <w:szCs w:val="21"/>
                <w:highlight w:val="none"/>
              </w:rPr>
            </w:pPr>
            <w:bookmarkStart w:id="1383" w:name="_Toc78314314"/>
            <w:bookmarkStart w:id="1384" w:name="_Toc117192499"/>
            <w:bookmarkStart w:id="1385" w:name="_Toc100670475"/>
            <w:bookmarkStart w:id="1386" w:name="_Toc85972980"/>
            <w:bookmarkStart w:id="1387" w:name="_Toc14096"/>
            <w:bookmarkStart w:id="1388" w:name="_Toc100670723"/>
            <w:bookmarkStart w:id="1389" w:name="_Toc27278"/>
            <w:bookmarkStart w:id="1390" w:name="_Toc78450007"/>
            <w:bookmarkStart w:id="1391" w:name="_Toc108341990"/>
            <w:bookmarkStart w:id="1392" w:name="_Toc77676518"/>
            <w:bookmarkStart w:id="1393" w:name="_Toc112704992"/>
            <w:bookmarkStart w:id="1394" w:name="_Toc95601415"/>
            <w:bookmarkStart w:id="1395" w:name="_Toc7992"/>
            <w:bookmarkStart w:id="1396" w:name="_Toc24134"/>
            <w:bookmarkStart w:id="1397" w:name="_Toc94367930"/>
            <w:bookmarkStart w:id="1398" w:name="_Toc13868"/>
            <w:bookmarkStart w:id="1399" w:name="_Toc114036763"/>
            <w:r>
              <w:rPr>
                <w:rFonts w:hint="eastAsia"/>
                <w:color w:val="auto"/>
                <w:szCs w:val="21"/>
                <w:highlight w:val="none"/>
              </w:rPr>
              <w:t>质保期：</w:t>
            </w:r>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p>
        </w:tc>
      </w:tr>
    </w:tbl>
    <w:p w14:paraId="047BD0E5">
      <w:pPr>
        <w:adjustRightInd w:val="0"/>
        <w:snapToGrid w:val="0"/>
        <w:spacing w:line="360" w:lineRule="auto"/>
        <w:rPr>
          <w:rFonts w:hint="eastAsia" w:ascii="宋体" w:hAnsi="宋体"/>
          <w:b/>
          <w:color w:val="auto"/>
          <w:szCs w:val="21"/>
          <w:highlight w:val="none"/>
        </w:rPr>
      </w:pPr>
    </w:p>
    <w:p w14:paraId="7CE45EEE">
      <w:pPr>
        <w:adjustRightInd w:val="0"/>
        <w:snapToGrid w:val="0"/>
        <w:spacing w:line="360" w:lineRule="auto"/>
        <w:rPr>
          <w:rFonts w:ascii="宋体" w:hAnsi="宋体"/>
          <w:color w:val="auto"/>
          <w:szCs w:val="21"/>
          <w:highlight w:val="none"/>
        </w:rPr>
      </w:pPr>
      <w:r>
        <w:rPr>
          <w:rFonts w:hint="eastAsia" w:ascii="宋体" w:hAnsi="宋体"/>
          <w:b/>
          <w:color w:val="auto"/>
          <w:szCs w:val="21"/>
          <w:highlight w:val="none"/>
        </w:rPr>
        <w:t>备注：</w:t>
      </w:r>
      <w:r>
        <w:rPr>
          <w:rFonts w:hint="eastAsia" w:ascii="宋体" w:hAnsi="宋体"/>
          <w:color w:val="auto"/>
          <w:szCs w:val="21"/>
          <w:highlight w:val="none"/>
        </w:rPr>
        <w:t>1.本表须按包填写，一个“包号”一份。</w:t>
      </w:r>
    </w:p>
    <w:p w14:paraId="52E4CF55">
      <w:pPr>
        <w:adjustRightInd w:val="0"/>
        <w:snapToGrid w:val="0"/>
        <w:spacing w:line="360" w:lineRule="auto"/>
        <w:ind w:firstLine="630" w:firstLineChars="300"/>
        <w:rPr>
          <w:rFonts w:ascii="宋体" w:hAnsi="宋体"/>
          <w:color w:val="auto"/>
          <w:szCs w:val="21"/>
          <w:highlight w:val="none"/>
        </w:rPr>
      </w:pPr>
      <w:r>
        <w:rPr>
          <w:rFonts w:hint="eastAsia" w:ascii="宋体" w:hAnsi="宋体"/>
          <w:color w:val="auto"/>
          <w:szCs w:val="21"/>
          <w:highlight w:val="none"/>
        </w:rPr>
        <w:t>2.</w:t>
      </w:r>
      <w:r>
        <w:rPr>
          <w:rFonts w:hint="eastAsia" w:ascii="宋体" w:hAnsi="宋体"/>
          <w:color w:val="auto"/>
          <w:highlight w:val="none"/>
        </w:rPr>
        <w:t>投标人对采购项目内容只允许有一个投标报价，否则其</w:t>
      </w:r>
      <w:r>
        <w:rPr>
          <w:rFonts w:hint="eastAsia" w:ascii="宋体" w:hAnsi="宋体"/>
          <w:b/>
          <w:color w:val="auto"/>
          <w:highlight w:val="none"/>
        </w:rPr>
        <w:t>投标无效</w:t>
      </w:r>
      <w:r>
        <w:rPr>
          <w:rFonts w:hint="eastAsia" w:ascii="宋体" w:hAnsi="宋体"/>
          <w:color w:val="auto"/>
          <w:szCs w:val="21"/>
          <w:highlight w:val="none"/>
        </w:rPr>
        <w:t>。</w:t>
      </w:r>
    </w:p>
    <w:p w14:paraId="598B78A8">
      <w:pPr>
        <w:adjustRightInd w:val="0"/>
        <w:snapToGrid w:val="0"/>
        <w:spacing w:line="360" w:lineRule="auto"/>
        <w:ind w:firstLine="630" w:firstLineChars="300"/>
        <w:rPr>
          <w:rFonts w:hint="eastAsia" w:ascii="宋体" w:hAnsi="宋体" w:eastAsia="宋体" w:cs="Times New Roman"/>
          <w:color w:val="auto"/>
          <w:szCs w:val="21"/>
          <w:highlight w:val="none"/>
        </w:rPr>
      </w:pPr>
      <w:r>
        <w:rPr>
          <w:rFonts w:hint="eastAsia" w:ascii="宋体" w:hAnsi="宋体"/>
          <w:color w:val="auto"/>
          <w:szCs w:val="21"/>
          <w:highlight w:val="none"/>
        </w:rPr>
        <w:t>3.</w:t>
      </w:r>
      <w:r>
        <w:rPr>
          <w:rFonts w:hint="eastAsia" w:ascii="宋体" w:hAnsi="宋体"/>
          <w:color w:val="auto"/>
          <w:highlight w:val="none"/>
        </w:rPr>
        <w:t>投标人在投标截止时间前修改“开标一览表”中的投标报价的，应同时修改投标文件“分项</w:t>
      </w:r>
      <w:r>
        <w:rPr>
          <w:rFonts w:hint="eastAsia" w:ascii="宋体" w:hAnsi="宋体" w:eastAsia="宋体" w:cs="Times New Roman"/>
          <w:color w:val="auto"/>
          <w:szCs w:val="21"/>
          <w:highlight w:val="none"/>
        </w:rPr>
        <w:t>报价明细表”“享受政府采购政策优惠的证明资料”以及“联合体协议书”（如果影响）等相关内容。</w:t>
      </w:r>
    </w:p>
    <w:p w14:paraId="64C0A489">
      <w:pPr>
        <w:adjustRightInd w:val="0"/>
        <w:snapToGrid w:val="0"/>
        <w:spacing w:line="360" w:lineRule="auto"/>
        <w:ind w:firstLine="630" w:firstLineChars="300"/>
        <w:rPr>
          <w:rFonts w:hint="eastAsia" w:ascii="宋体" w:hAnsi="宋体" w:eastAsia="宋体"/>
          <w:lang w:eastAsia="zh-CN"/>
        </w:rPr>
      </w:pPr>
      <w:r>
        <w:rPr>
          <w:rFonts w:hint="eastAsia" w:ascii="宋体" w:hAnsi="宋体" w:eastAsia="宋体" w:cs="Times New Roman"/>
          <w:color w:val="auto"/>
          <w:szCs w:val="21"/>
          <w:highlight w:val="none"/>
          <w:lang w:val="en-US" w:eastAsia="zh-CN"/>
        </w:rPr>
        <w:t>4.</w:t>
      </w:r>
      <w:r>
        <w:rPr>
          <w:rFonts w:hint="eastAsia" w:ascii="宋体" w:hAnsi="宋体" w:eastAsia="宋体" w:cs="Times New Roman"/>
          <w:color w:val="auto"/>
          <w:szCs w:val="21"/>
          <w:highlight w:val="none"/>
        </w:rPr>
        <w:t>评审小组认为投标人的报价明显低于其他通过符合性审查投标人的报价，有可能影响产品质量或</w:t>
      </w:r>
      <w:r>
        <w:rPr>
          <w:rFonts w:hint="eastAsia" w:ascii="宋体" w:hAnsi="宋体"/>
        </w:rPr>
        <w:t>者不能诚信履约的，应当要求其在评标现场合理的时间内提供书面说明，必要时提交相关证明材料；投标人不能证明其报价合理性的，评审小组应当将其作为无效处理。</w:t>
      </w:r>
    </w:p>
    <w:p w14:paraId="1DE5CDAB">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000000"/>
          <w:szCs w:val="21"/>
          <w:lang w:val="en-US" w:eastAsia="zh-CN"/>
        </w:rPr>
        <w:t xml:space="preserve">   </w:t>
      </w:r>
    </w:p>
    <w:p w14:paraId="134D11AA">
      <w:pPr>
        <w:adjustRightInd w:val="0"/>
        <w:snapToGrid w:val="0"/>
        <w:spacing w:line="360" w:lineRule="auto"/>
        <w:ind w:firstLine="420" w:firstLineChars="200"/>
        <w:rPr>
          <w:rFonts w:ascii="宋体" w:hAnsi="宋体"/>
          <w:color w:val="auto"/>
          <w:szCs w:val="21"/>
          <w:highlight w:val="none"/>
        </w:rPr>
      </w:pPr>
    </w:p>
    <w:p w14:paraId="79487BE6">
      <w:pPr>
        <w:adjustRightInd w:val="0"/>
        <w:snapToGrid w:val="0"/>
        <w:spacing w:line="360" w:lineRule="auto"/>
        <w:rPr>
          <w:rFonts w:ascii="宋体" w:hAnsi="宋体"/>
          <w:color w:val="auto"/>
          <w:szCs w:val="21"/>
          <w:highlight w:val="none"/>
        </w:rPr>
      </w:pPr>
    </w:p>
    <w:p w14:paraId="514AF8C0">
      <w:pPr>
        <w:adjustRightInd w:val="0"/>
        <w:snapToGrid w:val="0"/>
        <w:spacing w:line="360" w:lineRule="auto"/>
        <w:rPr>
          <w:rFonts w:ascii="宋体" w:hAnsi="宋体"/>
          <w:color w:val="auto"/>
          <w:szCs w:val="21"/>
          <w:highlight w:val="none"/>
        </w:rPr>
      </w:pPr>
      <w:r>
        <w:rPr>
          <w:rFonts w:hint="eastAsia" w:ascii="宋体" w:hAnsi="宋体"/>
          <w:color w:val="auto"/>
          <w:szCs w:val="21"/>
          <w:highlight w:val="none"/>
        </w:rPr>
        <w:t>投标人名称（盖单位章）：</w:t>
      </w:r>
    </w:p>
    <w:p w14:paraId="6E955B0F">
      <w:pPr>
        <w:adjustRightInd w:val="0"/>
        <w:snapToGrid w:val="0"/>
        <w:spacing w:line="360" w:lineRule="auto"/>
        <w:rPr>
          <w:rFonts w:ascii="宋体" w:hAnsi="宋体"/>
          <w:color w:val="auto"/>
          <w:szCs w:val="21"/>
          <w:highlight w:val="none"/>
        </w:rPr>
      </w:pPr>
      <w:r>
        <w:rPr>
          <w:rFonts w:hint="eastAsia" w:ascii="宋体" w:hAnsi="宋体" w:cs="微软雅黑"/>
          <w:color w:val="auto"/>
          <w:spacing w:val="-2"/>
          <w:kern w:val="0"/>
          <w:szCs w:val="21"/>
          <w:highlight w:val="none"/>
        </w:rPr>
        <w:t>法</w:t>
      </w:r>
      <w:r>
        <w:rPr>
          <w:rFonts w:hint="eastAsia" w:ascii="宋体" w:hAnsi="宋体" w:cs="微软雅黑"/>
          <w:color w:val="auto"/>
          <w:kern w:val="0"/>
          <w:szCs w:val="21"/>
          <w:highlight w:val="none"/>
        </w:rPr>
        <w:t>定</w:t>
      </w:r>
      <w:r>
        <w:rPr>
          <w:rFonts w:hint="eastAsia" w:ascii="宋体" w:hAnsi="宋体" w:cs="微软雅黑"/>
          <w:color w:val="auto"/>
          <w:spacing w:val="-2"/>
          <w:kern w:val="0"/>
          <w:szCs w:val="21"/>
          <w:highlight w:val="none"/>
        </w:rPr>
        <w:t>代</w:t>
      </w:r>
      <w:r>
        <w:rPr>
          <w:rFonts w:hint="eastAsia" w:ascii="宋体" w:hAnsi="宋体" w:cs="微软雅黑"/>
          <w:color w:val="auto"/>
          <w:kern w:val="0"/>
          <w:szCs w:val="21"/>
          <w:highlight w:val="none"/>
        </w:rPr>
        <w:t>表</w:t>
      </w:r>
      <w:r>
        <w:rPr>
          <w:rFonts w:hint="eastAsia" w:ascii="宋体" w:hAnsi="宋体" w:cs="微软雅黑"/>
          <w:color w:val="auto"/>
          <w:spacing w:val="-2"/>
          <w:kern w:val="0"/>
          <w:szCs w:val="21"/>
          <w:highlight w:val="none"/>
        </w:rPr>
        <w:t>人</w:t>
      </w:r>
      <w:r>
        <w:rPr>
          <w:rFonts w:hint="eastAsia" w:ascii="宋体" w:hAnsi="宋体" w:cs="微软雅黑"/>
          <w:color w:val="auto"/>
          <w:kern w:val="0"/>
          <w:szCs w:val="21"/>
          <w:highlight w:val="none"/>
        </w:rPr>
        <w:t>（</w:t>
      </w:r>
      <w:r>
        <w:rPr>
          <w:rFonts w:hint="eastAsia" w:ascii="宋体" w:hAnsi="宋体" w:cs="微软雅黑"/>
          <w:color w:val="auto"/>
          <w:spacing w:val="-2"/>
          <w:kern w:val="0"/>
          <w:szCs w:val="21"/>
          <w:highlight w:val="none"/>
        </w:rPr>
        <w:t>单</w:t>
      </w:r>
      <w:r>
        <w:rPr>
          <w:rFonts w:hint="eastAsia" w:ascii="宋体" w:hAnsi="宋体" w:cs="微软雅黑"/>
          <w:color w:val="auto"/>
          <w:kern w:val="0"/>
          <w:szCs w:val="21"/>
          <w:highlight w:val="none"/>
        </w:rPr>
        <w:t>位</w:t>
      </w:r>
      <w:r>
        <w:rPr>
          <w:rFonts w:hint="eastAsia" w:ascii="宋体" w:hAnsi="宋体" w:cs="微软雅黑"/>
          <w:color w:val="auto"/>
          <w:spacing w:val="-2"/>
          <w:kern w:val="0"/>
          <w:szCs w:val="21"/>
          <w:highlight w:val="none"/>
        </w:rPr>
        <w:t>负</w:t>
      </w:r>
      <w:r>
        <w:rPr>
          <w:rFonts w:hint="eastAsia" w:ascii="宋体" w:hAnsi="宋体" w:cs="微软雅黑"/>
          <w:color w:val="auto"/>
          <w:kern w:val="0"/>
          <w:szCs w:val="21"/>
          <w:highlight w:val="none"/>
        </w:rPr>
        <w:t>责人</w:t>
      </w:r>
      <w:r>
        <w:rPr>
          <w:rFonts w:hint="eastAsia" w:ascii="宋体" w:hAnsi="宋体" w:cs="微软雅黑"/>
          <w:color w:val="auto"/>
          <w:spacing w:val="-2"/>
          <w:kern w:val="0"/>
          <w:szCs w:val="21"/>
          <w:highlight w:val="none"/>
        </w:rPr>
        <w:t>）</w:t>
      </w:r>
      <w:r>
        <w:rPr>
          <w:rFonts w:hint="eastAsia" w:ascii="宋体" w:hAnsi="宋体"/>
          <w:color w:val="auto"/>
          <w:szCs w:val="21"/>
          <w:highlight w:val="none"/>
        </w:rPr>
        <w:t>或其授权的代理人（签字或印章）：_</w:t>
      </w:r>
    </w:p>
    <w:p w14:paraId="22334085">
      <w:pPr>
        <w:adjustRightInd w:val="0"/>
        <w:snapToGrid w:val="0"/>
        <w:spacing w:line="360" w:lineRule="auto"/>
        <w:rPr>
          <w:rFonts w:ascii="宋体" w:hAnsi="宋体"/>
          <w:color w:val="auto"/>
          <w:szCs w:val="21"/>
          <w:highlight w:val="none"/>
        </w:rPr>
      </w:pPr>
      <w:r>
        <w:rPr>
          <w:rFonts w:hint="eastAsia" w:ascii="宋体" w:hAnsi="宋体"/>
          <w:color w:val="auto"/>
          <w:szCs w:val="21"/>
          <w:highlight w:val="none"/>
        </w:rPr>
        <w:t>日期：年月日</w:t>
      </w:r>
    </w:p>
    <w:p w14:paraId="1BEE4E78">
      <w:pPr>
        <w:widowControl/>
        <w:jc w:val="left"/>
        <w:rPr>
          <w:rFonts w:ascii="宋体" w:hAnsi="宋体"/>
          <w:color w:val="auto"/>
          <w:szCs w:val="21"/>
          <w:highlight w:val="none"/>
        </w:rPr>
      </w:pPr>
      <w:r>
        <w:rPr>
          <w:rFonts w:ascii="宋体" w:hAnsi="宋体"/>
          <w:color w:val="auto"/>
          <w:szCs w:val="21"/>
          <w:highlight w:val="none"/>
        </w:rPr>
        <w:br w:type="page"/>
      </w:r>
    </w:p>
    <w:p w14:paraId="1BBD4D0B">
      <w:pPr>
        <w:pStyle w:val="2"/>
        <w:jc w:val="center"/>
        <w:rPr>
          <w:rFonts w:ascii="黑体" w:hAnsi="黑体" w:eastAsia="黑体"/>
          <w:color w:val="auto"/>
          <w:sz w:val="28"/>
          <w:szCs w:val="28"/>
          <w:highlight w:val="none"/>
        </w:rPr>
      </w:pPr>
      <w:bookmarkStart w:id="1400" w:name="_Toc117192500"/>
      <w:bookmarkStart w:id="1401" w:name="_Toc112704993"/>
      <w:bookmarkStart w:id="1402" w:name="_Toc4949"/>
      <w:bookmarkStart w:id="1403" w:name="_Toc85972982"/>
      <w:bookmarkStart w:id="1404" w:name="_Toc7143"/>
      <w:bookmarkStart w:id="1405" w:name="_Toc192951261"/>
      <w:bookmarkStart w:id="1406" w:name="_Toc95601417"/>
      <w:bookmarkStart w:id="1407" w:name="_Toc78314316"/>
      <w:bookmarkStart w:id="1408" w:name="_Toc11374"/>
      <w:bookmarkStart w:id="1409" w:name="_Toc192949651"/>
      <w:bookmarkStart w:id="1410" w:name="_Toc17876"/>
      <w:bookmarkStart w:id="1411" w:name="_Toc77676520"/>
      <w:bookmarkStart w:id="1412" w:name="_Toc100670476"/>
      <w:bookmarkStart w:id="1413" w:name="_Toc31855"/>
      <w:bookmarkStart w:id="1414" w:name="_Toc154428438"/>
      <w:bookmarkStart w:id="1415" w:name="_Toc114036764"/>
      <w:bookmarkStart w:id="1416" w:name="_Toc78450009"/>
      <w:bookmarkStart w:id="1417" w:name="_Toc171273720"/>
      <w:bookmarkStart w:id="1418" w:name="_Toc80959621"/>
      <w:bookmarkStart w:id="1419" w:name="_Toc20651246"/>
      <w:bookmarkStart w:id="1420" w:name="_Toc108341991"/>
      <w:bookmarkStart w:id="1421" w:name="_Toc75289283"/>
      <w:bookmarkStart w:id="1422" w:name="_Toc27540"/>
      <w:bookmarkStart w:id="1423" w:name="_Toc5163"/>
      <w:bookmarkStart w:id="1424" w:name="_Toc94367932"/>
      <w:bookmarkStart w:id="1425" w:name="_Toc6715"/>
      <w:bookmarkStart w:id="1426" w:name="_Toc192949750"/>
      <w:bookmarkStart w:id="1427" w:name="_Toc77199455"/>
      <w:bookmarkStart w:id="1428" w:name="_Toc26159"/>
      <w:bookmarkStart w:id="1429" w:name="_Toc75289601"/>
      <w:bookmarkStart w:id="1430" w:name="_Toc100670724"/>
      <w:r>
        <w:rPr>
          <w:rFonts w:hint="eastAsia" w:ascii="黑体" w:hAnsi="黑体" w:eastAsia="黑体"/>
          <w:color w:val="auto"/>
          <w:sz w:val="28"/>
          <w:szCs w:val="28"/>
          <w:highlight w:val="none"/>
        </w:rPr>
        <w:t>二、投标保证金</w:t>
      </w:r>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p>
    <w:p w14:paraId="227D8914">
      <w:pPr>
        <w:tabs>
          <w:tab w:val="left" w:pos="3880"/>
        </w:tabs>
        <w:autoSpaceDE w:val="0"/>
        <w:autoSpaceDN w:val="0"/>
        <w:adjustRightInd w:val="0"/>
        <w:snapToGrid w:val="0"/>
        <w:spacing w:line="360" w:lineRule="auto"/>
        <w:ind w:left="100" w:right="-20"/>
        <w:jc w:val="left"/>
        <w:rPr>
          <w:rFonts w:ascii="宋体" w:hAnsi="宋体" w:cs="微软雅黑"/>
          <w:color w:val="auto"/>
          <w:kern w:val="0"/>
          <w:position w:val="-4"/>
          <w:szCs w:val="21"/>
          <w:highlight w:val="none"/>
        </w:rPr>
      </w:pPr>
    </w:p>
    <w:p w14:paraId="18F506AB">
      <w:pPr>
        <w:adjustRightInd w:val="0"/>
        <w:snapToGrid w:val="0"/>
        <w:spacing w:line="360" w:lineRule="auto"/>
        <w:ind w:right="420"/>
        <w:jc w:val="center"/>
        <w:rPr>
          <w:rFonts w:ascii="宋体" w:hAnsi="宋体" w:cs="微软雅黑"/>
          <w:color w:val="auto"/>
          <w:kern w:val="0"/>
          <w:position w:val="-4"/>
          <w:sz w:val="24"/>
          <w:highlight w:val="none"/>
        </w:rPr>
      </w:pPr>
      <w:r>
        <w:rPr>
          <w:rFonts w:hint="eastAsia" w:ascii="宋体" w:hAnsi="宋体" w:cs="微软雅黑"/>
          <w:color w:val="auto"/>
          <w:kern w:val="0"/>
          <w:position w:val="-4"/>
          <w:sz w:val="24"/>
          <w:highlight w:val="none"/>
        </w:rPr>
        <w:t>（不作要求）</w:t>
      </w:r>
    </w:p>
    <w:p w14:paraId="5D6D045D">
      <w:pPr>
        <w:pStyle w:val="17"/>
        <w:rPr>
          <w:color w:val="auto"/>
          <w:highlight w:val="none"/>
        </w:rPr>
      </w:pPr>
    </w:p>
    <w:p w14:paraId="43DF4F6D">
      <w:pPr>
        <w:keepNext/>
        <w:keepLines/>
        <w:adjustRightInd w:val="0"/>
        <w:snapToGrid w:val="0"/>
        <w:spacing w:line="360" w:lineRule="auto"/>
        <w:jc w:val="center"/>
        <w:outlineLvl w:val="1"/>
        <w:rPr>
          <w:rFonts w:ascii="黑体" w:hAnsi="宋体" w:eastAsia="黑体"/>
          <w:b/>
          <w:bCs/>
          <w:color w:val="auto"/>
          <w:sz w:val="28"/>
          <w:szCs w:val="28"/>
          <w:highlight w:val="none"/>
        </w:rPr>
      </w:pPr>
      <w:r>
        <w:rPr>
          <w:rFonts w:ascii="黑体" w:hAnsi="黑体" w:eastAsia="黑体"/>
          <w:color w:val="auto"/>
          <w:sz w:val="28"/>
          <w:szCs w:val="28"/>
          <w:highlight w:val="none"/>
        </w:rPr>
        <w:br w:type="page"/>
      </w:r>
      <w:bookmarkStart w:id="1431" w:name="_Toc1450372872"/>
      <w:bookmarkStart w:id="1432" w:name="_Toc22502"/>
      <w:bookmarkStart w:id="1433" w:name="_Toc1470"/>
      <w:bookmarkStart w:id="1434" w:name="_Toc20651247"/>
      <w:bookmarkStart w:id="1435" w:name="_Toc26273"/>
      <w:bookmarkStart w:id="1436" w:name="_Toc75289602"/>
      <w:bookmarkStart w:id="1437" w:name="_Toc456"/>
      <w:bookmarkStart w:id="1438" w:name="_Toc192949751"/>
      <w:bookmarkStart w:id="1439" w:name="_Toc112704994"/>
      <w:bookmarkStart w:id="1440" w:name="_Toc154428439"/>
      <w:bookmarkStart w:id="1441" w:name="_Toc117192501"/>
      <w:bookmarkStart w:id="1442" w:name="_Toc114036765"/>
      <w:bookmarkStart w:id="1443" w:name="_Toc108341992"/>
      <w:bookmarkStart w:id="1444" w:name="_Toc192949652"/>
      <w:bookmarkStart w:id="1445" w:name="_Toc192951262"/>
      <w:bookmarkStart w:id="1446" w:name="_Toc77676521"/>
      <w:bookmarkStart w:id="1447" w:name="_Toc78450010"/>
      <w:bookmarkStart w:id="1448" w:name="_Toc78314317"/>
      <w:bookmarkStart w:id="1449" w:name="_Toc22219"/>
      <w:bookmarkStart w:id="1450" w:name="_Toc13500"/>
      <w:bookmarkStart w:id="1451" w:name="_Toc23313"/>
      <w:bookmarkStart w:id="1452" w:name="_Toc75289284"/>
      <w:bookmarkStart w:id="1453" w:name="_Toc85972983"/>
      <w:bookmarkStart w:id="1454" w:name="_Toc94367933"/>
      <w:bookmarkStart w:id="1455" w:name="_Toc100670725"/>
      <w:bookmarkStart w:id="1456" w:name="_Toc171273721"/>
      <w:bookmarkStart w:id="1457" w:name="_Toc100670477"/>
      <w:bookmarkStart w:id="1458" w:name="_Toc77199456"/>
      <w:bookmarkStart w:id="1459" w:name="_Toc95601418"/>
      <w:bookmarkStart w:id="1460" w:name="_Toc28122"/>
      <w:bookmarkStart w:id="1461" w:name="_Toc11472"/>
      <w:r>
        <w:rPr>
          <w:rFonts w:hint="eastAsia" w:ascii="黑体" w:hAnsi="宋体" w:eastAsia="黑体"/>
          <w:color w:val="auto"/>
          <w:sz w:val="28"/>
          <w:szCs w:val="28"/>
          <w:highlight w:val="none"/>
        </w:rPr>
        <w:t>三、</w:t>
      </w:r>
      <w:r>
        <w:rPr>
          <w:rFonts w:hint="eastAsia" w:ascii="黑体" w:hAnsi="宋体" w:eastAsia="黑体"/>
          <w:b/>
          <w:bCs/>
          <w:color w:val="auto"/>
          <w:sz w:val="28"/>
          <w:szCs w:val="28"/>
          <w:highlight w:val="none"/>
        </w:rPr>
        <w:t>授权委托书</w:t>
      </w:r>
      <w:bookmarkEnd w:id="1431"/>
      <w:bookmarkEnd w:id="1432"/>
    </w:p>
    <w:p w14:paraId="2FB07460">
      <w:pPr>
        <w:autoSpaceDE w:val="0"/>
        <w:autoSpaceDN w:val="0"/>
        <w:adjustRightInd w:val="0"/>
        <w:snapToGrid w:val="0"/>
        <w:spacing w:line="360" w:lineRule="auto"/>
        <w:ind w:firstLine="446" w:firstLineChars="200"/>
        <w:jc w:val="left"/>
        <w:rPr>
          <w:rFonts w:ascii="宋体" w:hAnsi="宋体"/>
          <w:b/>
          <w:color w:val="auto"/>
          <w:spacing w:val="6"/>
          <w:szCs w:val="21"/>
          <w:highlight w:val="none"/>
        </w:rPr>
      </w:pPr>
    </w:p>
    <w:p w14:paraId="073F2241">
      <w:pPr>
        <w:autoSpaceDE w:val="0"/>
        <w:autoSpaceDN w:val="0"/>
        <w:adjustRightInd w:val="0"/>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本人</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（姓名、职务）系</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 xml:space="preserve"> （</w:t>
      </w:r>
      <w:r>
        <w:rPr>
          <w:rFonts w:hint="eastAsia" w:ascii="宋体" w:hAnsi="宋体"/>
          <w:color w:val="auto"/>
          <w:szCs w:val="21"/>
          <w:highlight w:val="none"/>
        </w:rPr>
        <w:t>投标人</w:t>
      </w:r>
      <w:r>
        <w:rPr>
          <w:rFonts w:hint="eastAsia" w:ascii="宋体" w:hAnsi="宋体" w:cs="宋体"/>
          <w:color w:val="auto"/>
          <w:kern w:val="0"/>
          <w:szCs w:val="21"/>
          <w:highlight w:val="none"/>
        </w:rPr>
        <w:t>名称）的法定代表人</w:t>
      </w:r>
      <w:r>
        <w:rPr>
          <w:rFonts w:hint="eastAsia" w:ascii="宋体" w:hAnsi="宋体" w:cs="微软雅黑"/>
          <w:color w:val="auto"/>
          <w:kern w:val="0"/>
          <w:szCs w:val="21"/>
          <w:highlight w:val="none"/>
        </w:rPr>
        <w:t>（</w:t>
      </w:r>
      <w:r>
        <w:rPr>
          <w:rFonts w:hint="eastAsia" w:ascii="宋体" w:hAnsi="宋体" w:cs="微软雅黑"/>
          <w:color w:val="auto"/>
          <w:spacing w:val="-2"/>
          <w:kern w:val="0"/>
          <w:szCs w:val="21"/>
          <w:highlight w:val="none"/>
        </w:rPr>
        <w:t>单</w:t>
      </w:r>
      <w:r>
        <w:rPr>
          <w:rFonts w:hint="eastAsia" w:ascii="宋体" w:hAnsi="宋体" w:cs="微软雅黑"/>
          <w:color w:val="auto"/>
          <w:kern w:val="0"/>
          <w:szCs w:val="21"/>
          <w:highlight w:val="none"/>
        </w:rPr>
        <w:t>位</w:t>
      </w:r>
      <w:r>
        <w:rPr>
          <w:rFonts w:hint="eastAsia" w:ascii="宋体" w:hAnsi="宋体" w:cs="微软雅黑"/>
          <w:color w:val="auto"/>
          <w:spacing w:val="-2"/>
          <w:kern w:val="0"/>
          <w:szCs w:val="21"/>
          <w:highlight w:val="none"/>
        </w:rPr>
        <w:t>负</w:t>
      </w:r>
      <w:r>
        <w:rPr>
          <w:rFonts w:hint="eastAsia" w:ascii="宋体" w:hAnsi="宋体" w:cs="微软雅黑"/>
          <w:color w:val="auto"/>
          <w:kern w:val="0"/>
          <w:szCs w:val="21"/>
          <w:highlight w:val="none"/>
        </w:rPr>
        <w:t>责人</w:t>
      </w:r>
      <w:r>
        <w:rPr>
          <w:rFonts w:hint="eastAsia" w:ascii="宋体" w:hAnsi="宋体" w:cs="微软雅黑"/>
          <w:color w:val="auto"/>
          <w:spacing w:val="-2"/>
          <w:kern w:val="0"/>
          <w:szCs w:val="21"/>
          <w:highlight w:val="none"/>
        </w:rPr>
        <w:t>）</w:t>
      </w:r>
      <w:r>
        <w:rPr>
          <w:rFonts w:hint="eastAsia" w:ascii="宋体" w:hAnsi="宋体" w:cs="宋体"/>
          <w:color w:val="auto"/>
          <w:kern w:val="0"/>
          <w:szCs w:val="21"/>
          <w:highlight w:val="none"/>
        </w:rPr>
        <w:t>，现授权</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（姓名、职务）为我方代理人。代理人根据授权，以我方名义签署、澄清、说明、补正、递交、撤回、修改</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（项目名称</w:t>
      </w:r>
      <w:r>
        <w:rPr>
          <w:rFonts w:ascii="宋体" w:hAnsi="宋体" w:cs="宋体"/>
          <w:color w:val="auto"/>
          <w:kern w:val="0"/>
          <w:szCs w:val="21"/>
          <w:highlight w:val="none"/>
        </w:rPr>
        <w:t>）</w:t>
      </w:r>
      <w:r>
        <w:rPr>
          <w:rFonts w:hint="eastAsia" w:ascii="宋体" w:hAnsi="宋体" w:cs="宋体"/>
          <w:color w:val="auto"/>
          <w:kern w:val="0"/>
          <w:szCs w:val="21"/>
          <w:highlight w:val="none"/>
        </w:rPr>
        <w:t>（</w:t>
      </w:r>
      <w:r>
        <w:rPr>
          <w:rFonts w:hint="eastAsia" w:ascii="宋体" w:hAnsi="宋体"/>
          <w:color w:val="auto"/>
          <w:highlight w:val="none"/>
        </w:rPr>
        <w:t>政府采购计划编号</w:t>
      </w:r>
      <w:r>
        <w:rPr>
          <w:rFonts w:hint="eastAsia" w:ascii="宋体" w:hAnsi="宋体"/>
          <w:iCs/>
          <w:color w:val="auto"/>
          <w:highlight w:val="none"/>
        </w:rPr>
        <w:t>：</w:t>
      </w:r>
      <w:r>
        <w:rPr>
          <w:rFonts w:hint="eastAsia" w:ascii="宋体" w:hAnsi="宋体"/>
          <w:iCs/>
          <w:color w:val="auto"/>
          <w:highlight w:val="none"/>
          <w:u w:val="single"/>
        </w:rPr>
        <w:t xml:space="preserve">      </w:t>
      </w:r>
      <w:r>
        <w:rPr>
          <w:rFonts w:hint="eastAsia" w:ascii="宋体" w:hAnsi="宋体"/>
          <w:iCs/>
          <w:color w:val="auto"/>
          <w:highlight w:val="none"/>
        </w:rPr>
        <w:t xml:space="preserve"> ，</w:t>
      </w:r>
      <w:r>
        <w:rPr>
          <w:rFonts w:hint="eastAsia" w:ascii="宋体" w:hAnsi="宋体" w:cs="宋体"/>
          <w:color w:val="auto"/>
          <w:kern w:val="0"/>
          <w:szCs w:val="21"/>
          <w:highlight w:val="none"/>
        </w:rPr>
        <w:t>委托代理编号：</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）投标文件、签订合同和处理有关事宜，其法律后果由我方承担。</w:t>
      </w:r>
    </w:p>
    <w:p w14:paraId="2FDB9643">
      <w:pPr>
        <w:autoSpaceDE w:val="0"/>
        <w:autoSpaceDN w:val="0"/>
        <w:adjustRightInd w:val="0"/>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委托期限：</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 xml:space="preserve"> 。</w:t>
      </w:r>
    </w:p>
    <w:p w14:paraId="61CF38E9">
      <w:pPr>
        <w:adjustRightInd w:val="0"/>
        <w:snapToGrid w:val="0"/>
        <w:spacing w:line="360" w:lineRule="auto"/>
        <w:ind w:firstLine="435"/>
        <w:rPr>
          <w:rFonts w:ascii="宋体" w:hAnsi="宋体" w:cs="宋体"/>
          <w:color w:val="auto"/>
          <w:kern w:val="0"/>
          <w:szCs w:val="21"/>
          <w:highlight w:val="none"/>
        </w:rPr>
      </w:pPr>
      <w:r>
        <w:rPr>
          <w:rFonts w:hint="eastAsia" w:ascii="宋体" w:hAnsi="宋体" w:cs="宋体"/>
          <w:color w:val="auto"/>
          <w:kern w:val="0"/>
          <w:szCs w:val="21"/>
          <w:highlight w:val="none"/>
        </w:rPr>
        <w:t>代理人无转委托权。</w:t>
      </w:r>
    </w:p>
    <w:p w14:paraId="54F70E59">
      <w:pPr>
        <w:adjustRightInd w:val="0"/>
        <w:snapToGrid w:val="0"/>
        <w:spacing w:line="360" w:lineRule="auto"/>
        <w:ind w:firstLine="435"/>
        <w:rPr>
          <w:rFonts w:ascii="宋体" w:hAnsi="宋体" w:cs="微软雅黑"/>
          <w:color w:val="auto"/>
          <w:kern w:val="0"/>
          <w:szCs w:val="21"/>
          <w:highlight w:val="none"/>
        </w:rPr>
      </w:pPr>
      <w:r>
        <w:rPr>
          <w:rFonts w:hint="eastAsia" w:ascii="宋体" w:hAnsi="宋体"/>
          <w:color w:val="auto"/>
          <w:szCs w:val="21"/>
          <w:highlight w:val="none"/>
        </w:rPr>
        <w:t>本授权书于</w:t>
      </w: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日签字生效，特此声明。</w:t>
      </w:r>
    </w:p>
    <w:tbl>
      <w:tblPr>
        <w:tblStyle w:val="47"/>
        <w:tblW w:w="6982" w:type="dxa"/>
        <w:tblInd w:w="6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72"/>
        <w:gridCol w:w="3510"/>
      </w:tblGrid>
      <w:tr w14:paraId="720A71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5" w:hRule="atLeast"/>
        </w:trPr>
        <w:tc>
          <w:tcPr>
            <w:tcW w:w="3472" w:type="dxa"/>
            <w:tcBorders>
              <w:top w:val="single" w:color="auto" w:sz="4" w:space="0"/>
              <w:left w:val="single" w:color="auto" w:sz="4" w:space="0"/>
              <w:bottom w:val="single" w:color="auto" w:sz="4" w:space="0"/>
              <w:right w:val="single" w:color="auto" w:sz="4" w:space="0"/>
            </w:tcBorders>
            <w:shd w:val="clear" w:color="auto" w:fill="auto"/>
            <w:vAlign w:val="center"/>
          </w:tcPr>
          <w:p w14:paraId="1E55494B">
            <w:pPr>
              <w:adjustRightInd w:val="0"/>
              <w:snapToGrid w:val="0"/>
              <w:spacing w:line="360" w:lineRule="auto"/>
              <w:jc w:val="center"/>
              <w:rPr>
                <w:rFonts w:ascii="宋体" w:hAnsi="宋体"/>
                <w:color w:val="auto"/>
                <w:szCs w:val="21"/>
                <w:highlight w:val="none"/>
              </w:rPr>
            </w:pPr>
            <w:r>
              <w:rPr>
                <w:rFonts w:hint="eastAsia" w:ascii="宋体" w:hAnsi="宋体"/>
                <w:color w:val="auto"/>
                <w:szCs w:val="21"/>
                <w:highlight w:val="none"/>
              </w:rPr>
              <w:t>委托代理人身份证（正面）</w:t>
            </w:r>
            <w:r>
              <w:rPr>
                <w:rFonts w:hint="eastAsia" w:ascii="宋体" w:hAnsi="宋体" w:cs="微软雅黑"/>
                <w:color w:val="auto"/>
                <w:spacing w:val="-2"/>
                <w:kern w:val="0"/>
                <w:szCs w:val="21"/>
                <w:highlight w:val="none"/>
              </w:rPr>
              <w:t>复</w:t>
            </w:r>
            <w:r>
              <w:rPr>
                <w:rFonts w:hint="eastAsia" w:ascii="宋体" w:hAnsi="宋体" w:cs="微软雅黑"/>
                <w:color w:val="auto"/>
                <w:kern w:val="0"/>
                <w:szCs w:val="21"/>
                <w:highlight w:val="none"/>
              </w:rPr>
              <w:t>印</w:t>
            </w:r>
            <w:r>
              <w:rPr>
                <w:rFonts w:hint="eastAsia" w:ascii="宋体" w:hAnsi="宋体" w:cs="微软雅黑"/>
                <w:color w:val="auto"/>
                <w:spacing w:val="-2"/>
                <w:kern w:val="0"/>
                <w:szCs w:val="21"/>
                <w:highlight w:val="none"/>
              </w:rPr>
              <w:t>件</w:t>
            </w:r>
          </w:p>
        </w:tc>
        <w:tc>
          <w:tcPr>
            <w:tcW w:w="3510" w:type="dxa"/>
            <w:tcBorders>
              <w:top w:val="single" w:color="auto" w:sz="4" w:space="0"/>
              <w:left w:val="single" w:color="auto" w:sz="4" w:space="0"/>
              <w:bottom w:val="single" w:color="auto" w:sz="4" w:space="0"/>
              <w:right w:val="single" w:color="auto" w:sz="4" w:space="0"/>
            </w:tcBorders>
            <w:shd w:val="clear" w:color="auto" w:fill="auto"/>
            <w:vAlign w:val="center"/>
          </w:tcPr>
          <w:p w14:paraId="7F62CC59">
            <w:pPr>
              <w:adjustRightInd w:val="0"/>
              <w:snapToGrid w:val="0"/>
              <w:spacing w:line="360" w:lineRule="auto"/>
              <w:jc w:val="center"/>
              <w:rPr>
                <w:rFonts w:ascii="宋体" w:hAnsi="宋体"/>
                <w:color w:val="auto"/>
                <w:szCs w:val="21"/>
                <w:highlight w:val="none"/>
              </w:rPr>
            </w:pPr>
            <w:r>
              <w:rPr>
                <w:rFonts w:hint="eastAsia" w:ascii="宋体" w:hAnsi="宋体"/>
                <w:color w:val="auto"/>
                <w:szCs w:val="21"/>
                <w:highlight w:val="none"/>
              </w:rPr>
              <w:t>委托代理人身份证（反面）</w:t>
            </w:r>
            <w:r>
              <w:rPr>
                <w:rFonts w:hint="eastAsia" w:ascii="宋体" w:hAnsi="宋体" w:cs="微软雅黑"/>
                <w:color w:val="auto"/>
                <w:spacing w:val="-2"/>
                <w:kern w:val="0"/>
                <w:szCs w:val="21"/>
                <w:highlight w:val="none"/>
              </w:rPr>
              <w:t>复</w:t>
            </w:r>
            <w:r>
              <w:rPr>
                <w:rFonts w:hint="eastAsia" w:ascii="宋体" w:hAnsi="宋体" w:cs="微软雅黑"/>
                <w:color w:val="auto"/>
                <w:kern w:val="0"/>
                <w:szCs w:val="21"/>
                <w:highlight w:val="none"/>
              </w:rPr>
              <w:t>印</w:t>
            </w:r>
            <w:r>
              <w:rPr>
                <w:rFonts w:hint="eastAsia" w:ascii="宋体" w:hAnsi="宋体" w:cs="微软雅黑"/>
                <w:color w:val="auto"/>
                <w:spacing w:val="-2"/>
                <w:kern w:val="0"/>
                <w:szCs w:val="21"/>
                <w:highlight w:val="none"/>
              </w:rPr>
              <w:t>件</w:t>
            </w:r>
          </w:p>
        </w:tc>
      </w:tr>
      <w:tr w14:paraId="6AA8C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5" w:hRule="atLeast"/>
        </w:trPr>
        <w:tc>
          <w:tcPr>
            <w:tcW w:w="3472" w:type="dxa"/>
            <w:tcBorders>
              <w:top w:val="single" w:color="auto" w:sz="4" w:space="0"/>
              <w:left w:val="single" w:color="auto" w:sz="4" w:space="0"/>
              <w:bottom w:val="single" w:color="auto" w:sz="4" w:space="0"/>
              <w:right w:val="single" w:color="auto" w:sz="4" w:space="0"/>
            </w:tcBorders>
            <w:shd w:val="clear" w:color="auto" w:fill="auto"/>
            <w:vAlign w:val="center"/>
          </w:tcPr>
          <w:p w14:paraId="57CF007E">
            <w:pPr>
              <w:adjustRightInd w:val="0"/>
              <w:snapToGrid w:val="0"/>
              <w:spacing w:line="360" w:lineRule="auto"/>
              <w:jc w:val="center"/>
              <w:rPr>
                <w:rFonts w:ascii="宋体" w:hAnsi="宋体"/>
                <w:color w:val="auto"/>
                <w:szCs w:val="21"/>
                <w:highlight w:val="none"/>
              </w:rPr>
            </w:pPr>
            <w:r>
              <w:rPr>
                <w:rFonts w:hint="eastAsia" w:ascii="宋体" w:hAnsi="宋体"/>
                <w:color w:val="auto"/>
                <w:szCs w:val="21"/>
                <w:highlight w:val="none"/>
              </w:rPr>
              <w:t>法定代表人身份证（正面）</w:t>
            </w:r>
            <w:r>
              <w:rPr>
                <w:rFonts w:hint="eastAsia" w:ascii="宋体" w:hAnsi="宋体" w:cs="微软雅黑"/>
                <w:color w:val="auto"/>
                <w:spacing w:val="-2"/>
                <w:kern w:val="0"/>
                <w:szCs w:val="21"/>
                <w:highlight w:val="none"/>
              </w:rPr>
              <w:t>复</w:t>
            </w:r>
            <w:r>
              <w:rPr>
                <w:rFonts w:hint="eastAsia" w:ascii="宋体" w:hAnsi="宋体" w:cs="微软雅黑"/>
                <w:color w:val="auto"/>
                <w:kern w:val="0"/>
                <w:szCs w:val="21"/>
                <w:highlight w:val="none"/>
              </w:rPr>
              <w:t>印</w:t>
            </w:r>
            <w:r>
              <w:rPr>
                <w:rFonts w:hint="eastAsia" w:ascii="宋体" w:hAnsi="宋体" w:cs="微软雅黑"/>
                <w:color w:val="auto"/>
                <w:spacing w:val="-2"/>
                <w:kern w:val="0"/>
                <w:szCs w:val="21"/>
                <w:highlight w:val="none"/>
              </w:rPr>
              <w:t>件</w:t>
            </w:r>
          </w:p>
        </w:tc>
        <w:tc>
          <w:tcPr>
            <w:tcW w:w="3510" w:type="dxa"/>
            <w:tcBorders>
              <w:top w:val="single" w:color="auto" w:sz="4" w:space="0"/>
              <w:left w:val="single" w:color="auto" w:sz="4" w:space="0"/>
              <w:bottom w:val="single" w:color="auto" w:sz="4" w:space="0"/>
              <w:right w:val="single" w:color="auto" w:sz="4" w:space="0"/>
            </w:tcBorders>
            <w:shd w:val="clear" w:color="auto" w:fill="auto"/>
            <w:vAlign w:val="center"/>
          </w:tcPr>
          <w:p w14:paraId="0488A340">
            <w:pPr>
              <w:adjustRightInd w:val="0"/>
              <w:snapToGrid w:val="0"/>
              <w:spacing w:line="360" w:lineRule="auto"/>
              <w:jc w:val="center"/>
              <w:rPr>
                <w:rFonts w:ascii="宋体" w:hAnsi="宋体"/>
                <w:color w:val="auto"/>
                <w:szCs w:val="21"/>
                <w:highlight w:val="none"/>
              </w:rPr>
            </w:pPr>
            <w:r>
              <w:rPr>
                <w:rFonts w:hint="eastAsia" w:ascii="宋体" w:hAnsi="宋体"/>
                <w:color w:val="auto"/>
                <w:szCs w:val="21"/>
                <w:highlight w:val="none"/>
              </w:rPr>
              <w:t>法定代表人身份证（反面）</w:t>
            </w:r>
            <w:r>
              <w:rPr>
                <w:rFonts w:hint="eastAsia" w:ascii="宋体" w:hAnsi="宋体" w:cs="微软雅黑"/>
                <w:color w:val="auto"/>
                <w:spacing w:val="-2"/>
                <w:kern w:val="0"/>
                <w:szCs w:val="21"/>
                <w:highlight w:val="none"/>
              </w:rPr>
              <w:t>复</w:t>
            </w:r>
            <w:r>
              <w:rPr>
                <w:rFonts w:hint="eastAsia" w:ascii="宋体" w:hAnsi="宋体" w:cs="微软雅黑"/>
                <w:color w:val="auto"/>
                <w:kern w:val="0"/>
                <w:szCs w:val="21"/>
                <w:highlight w:val="none"/>
              </w:rPr>
              <w:t>印</w:t>
            </w:r>
            <w:r>
              <w:rPr>
                <w:rFonts w:hint="eastAsia" w:ascii="宋体" w:hAnsi="宋体" w:cs="微软雅黑"/>
                <w:color w:val="auto"/>
                <w:spacing w:val="-2"/>
                <w:kern w:val="0"/>
                <w:szCs w:val="21"/>
                <w:highlight w:val="none"/>
              </w:rPr>
              <w:t>件</w:t>
            </w:r>
          </w:p>
        </w:tc>
      </w:tr>
    </w:tbl>
    <w:p w14:paraId="6C3A3356">
      <w:pPr>
        <w:adjustRightInd w:val="0"/>
        <w:snapToGrid w:val="0"/>
        <w:spacing w:line="360" w:lineRule="auto"/>
        <w:ind w:firstLine="420" w:firstLineChars="200"/>
        <w:rPr>
          <w:rFonts w:ascii="宋体" w:hAnsi="宋体"/>
          <w:color w:val="auto"/>
          <w:szCs w:val="21"/>
          <w:highlight w:val="none"/>
        </w:rPr>
      </w:pPr>
    </w:p>
    <w:p w14:paraId="35601606">
      <w:pPr>
        <w:adjustRightInd w:val="0"/>
        <w:snapToGrid w:val="0"/>
        <w:spacing w:line="360" w:lineRule="auto"/>
        <w:ind w:firstLine="420" w:firstLineChars="200"/>
        <w:rPr>
          <w:rFonts w:ascii="宋体" w:hAnsi="宋体"/>
          <w:color w:val="auto"/>
          <w:szCs w:val="21"/>
          <w:highlight w:val="none"/>
        </w:rPr>
      </w:pPr>
    </w:p>
    <w:p w14:paraId="61ECCD94">
      <w:pPr>
        <w:adjustRightInd w:val="0"/>
        <w:snapToGrid w:val="0"/>
        <w:spacing w:line="360" w:lineRule="auto"/>
        <w:rPr>
          <w:rFonts w:ascii="宋体" w:hAnsi="宋体"/>
          <w:color w:val="auto"/>
          <w:szCs w:val="21"/>
          <w:highlight w:val="none"/>
        </w:rPr>
      </w:pPr>
      <w:r>
        <w:rPr>
          <w:rFonts w:hint="eastAsia" w:ascii="宋体" w:hAnsi="宋体"/>
          <w:color w:val="auto"/>
          <w:szCs w:val="21"/>
          <w:highlight w:val="none"/>
        </w:rPr>
        <w:t>注：投标人代表不是投标人的法定代表人（单位负责人）的提供。</w:t>
      </w:r>
    </w:p>
    <w:p w14:paraId="366BAD28">
      <w:pPr>
        <w:adjustRightInd w:val="0"/>
        <w:snapToGrid w:val="0"/>
        <w:spacing w:line="360" w:lineRule="auto"/>
        <w:ind w:firstLine="420" w:firstLineChars="200"/>
        <w:rPr>
          <w:rFonts w:ascii="宋体" w:hAnsi="宋体"/>
          <w:color w:val="auto"/>
          <w:szCs w:val="21"/>
          <w:highlight w:val="none"/>
        </w:rPr>
      </w:pPr>
    </w:p>
    <w:p w14:paraId="472FDEB7">
      <w:pPr>
        <w:adjustRightInd w:val="0"/>
        <w:snapToGrid w:val="0"/>
        <w:spacing w:line="360" w:lineRule="auto"/>
        <w:ind w:firstLine="420" w:firstLineChars="200"/>
        <w:rPr>
          <w:rFonts w:ascii="宋体" w:hAnsi="宋体"/>
          <w:color w:val="auto"/>
          <w:szCs w:val="21"/>
          <w:highlight w:val="none"/>
        </w:rPr>
      </w:pPr>
    </w:p>
    <w:p w14:paraId="3B607828">
      <w:pPr>
        <w:adjustRightInd w:val="0"/>
        <w:snapToGrid w:val="0"/>
        <w:spacing w:line="360" w:lineRule="auto"/>
        <w:rPr>
          <w:rFonts w:ascii="宋体" w:hAnsi="宋体"/>
          <w:color w:val="auto"/>
          <w:szCs w:val="21"/>
          <w:highlight w:val="none"/>
        </w:rPr>
      </w:pPr>
      <w:r>
        <w:rPr>
          <w:rFonts w:hint="eastAsia" w:ascii="宋体" w:hAnsi="宋体"/>
          <w:color w:val="auto"/>
          <w:szCs w:val="21"/>
          <w:highlight w:val="none"/>
        </w:rPr>
        <w:t>投标人名称（盖单位章）：</w:t>
      </w:r>
    </w:p>
    <w:p w14:paraId="00916B2D">
      <w:pPr>
        <w:adjustRightInd w:val="0"/>
        <w:snapToGrid w:val="0"/>
        <w:spacing w:line="360" w:lineRule="auto"/>
        <w:ind w:right="420"/>
        <w:rPr>
          <w:rFonts w:ascii="宋体" w:hAnsi="宋体"/>
          <w:color w:val="auto"/>
          <w:szCs w:val="21"/>
          <w:highlight w:val="none"/>
        </w:rPr>
      </w:pPr>
      <w:r>
        <w:rPr>
          <w:rFonts w:hint="eastAsia" w:ascii="宋体" w:hAnsi="宋体" w:cs="微软雅黑"/>
          <w:color w:val="auto"/>
          <w:spacing w:val="-2"/>
          <w:kern w:val="0"/>
          <w:szCs w:val="21"/>
          <w:highlight w:val="none"/>
        </w:rPr>
        <w:t>法</w:t>
      </w:r>
      <w:r>
        <w:rPr>
          <w:rFonts w:hint="eastAsia" w:ascii="宋体" w:hAnsi="宋体" w:cs="微软雅黑"/>
          <w:color w:val="auto"/>
          <w:kern w:val="0"/>
          <w:szCs w:val="21"/>
          <w:highlight w:val="none"/>
        </w:rPr>
        <w:t>定</w:t>
      </w:r>
      <w:r>
        <w:rPr>
          <w:rFonts w:hint="eastAsia" w:ascii="宋体" w:hAnsi="宋体" w:cs="微软雅黑"/>
          <w:color w:val="auto"/>
          <w:spacing w:val="-2"/>
          <w:kern w:val="0"/>
          <w:szCs w:val="21"/>
          <w:highlight w:val="none"/>
        </w:rPr>
        <w:t>代</w:t>
      </w:r>
      <w:r>
        <w:rPr>
          <w:rFonts w:hint="eastAsia" w:ascii="宋体" w:hAnsi="宋体" w:cs="微软雅黑"/>
          <w:color w:val="auto"/>
          <w:kern w:val="0"/>
          <w:szCs w:val="21"/>
          <w:highlight w:val="none"/>
        </w:rPr>
        <w:t>表</w:t>
      </w:r>
      <w:r>
        <w:rPr>
          <w:rFonts w:hint="eastAsia" w:ascii="宋体" w:hAnsi="宋体" w:cs="微软雅黑"/>
          <w:color w:val="auto"/>
          <w:spacing w:val="-2"/>
          <w:kern w:val="0"/>
          <w:szCs w:val="21"/>
          <w:highlight w:val="none"/>
        </w:rPr>
        <w:t>人</w:t>
      </w:r>
      <w:r>
        <w:rPr>
          <w:rFonts w:hint="eastAsia" w:ascii="宋体" w:hAnsi="宋体" w:cs="微软雅黑"/>
          <w:color w:val="auto"/>
          <w:kern w:val="0"/>
          <w:szCs w:val="21"/>
          <w:highlight w:val="none"/>
        </w:rPr>
        <w:t>（</w:t>
      </w:r>
      <w:r>
        <w:rPr>
          <w:rFonts w:hint="eastAsia" w:ascii="宋体" w:hAnsi="宋体" w:cs="微软雅黑"/>
          <w:color w:val="auto"/>
          <w:spacing w:val="-2"/>
          <w:kern w:val="0"/>
          <w:szCs w:val="21"/>
          <w:highlight w:val="none"/>
        </w:rPr>
        <w:t>单</w:t>
      </w:r>
      <w:r>
        <w:rPr>
          <w:rFonts w:hint="eastAsia" w:ascii="宋体" w:hAnsi="宋体" w:cs="微软雅黑"/>
          <w:color w:val="auto"/>
          <w:kern w:val="0"/>
          <w:szCs w:val="21"/>
          <w:highlight w:val="none"/>
        </w:rPr>
        <w:t>位</w:t>
      </w:r>
      <w:r>
        <w:rPr>
          <w:rFonts w:hint="eastAsia" w:ascii="宋体" w:hAnsi="宋体" w:cs="微软雅黑"/>
          <w:color w:val="auto"/>
          <w:spacing w:val="-2"/>
          <w:kern w:val="0"/>
          <w:szCs w:val="21"/>
          <w:highlight w:val="none"/>
        </w:rPr>
        <w:t>负</w:t>
      </w:r>
      <w:r>
        <w:rPr>
          <w:rFonts w:hint="eastAsia" w:ascii="宋体" w:hAnsi="宋体" w:cs="微软雅黑"/>
          <w:color w:val="auto"/>
          <w:kern w:val="0"/>
          <w:szCs w:val="21"/>
          <w:highlight w:val="none"/>
        </w:rPr>
        <w:t>责人</w:t>
      </w:r>
      <w:r>
        <w:rPr>
          <w:rFonts w:hint="eastAsia" w:ascii="宋体" w:hAnsi="宋体" w:cs="微软雅黑"/>
          <w:color w:val="auto"/>
          <w:spacing w:val="-2"/>
          <w:kern w:val="0"/>
          <w:szCs w:val="21"/>
          <w:highlight w:val="none"/>
        </w:rPr>
        <w:t>）</w:t>
      </w:r>
      <w:r>
        <w:rPr>
          <w:rFonts w:hint="eastAsia" w:ascii="宋体" w:hAnsi="宋体"/>
          <w:color w:val="auto"/>
          <w:szCs w:val="21"/>
          <w:highlight w:val="none"/>
        </w:rPr>
        <w:t>（签字或印章）：</w:t>
      </w:r>
      <w:r>
        <w:rPr>
          <w:rFonts w:hint="eastAsia" w:ascii="宋体" w:hAnsi="宋体"/>
          <w:color w:val="auto"/>
          <w:szCs w:val="21"/>
          <w:highlight w:val="none"/>
          <w:u w:val="single"/>
        </w:rPr>
        <w:t xml:space="preserve">                     </w:t>
      </w:r>
    </w:p>
    <w:p w14:paraId="3A0C3A24">
      <w:pPr>
        <w:adjustRightInd w:val="0"/>
        <w:snapToGrid w:val="0"/>
        <w:spacing w:line="360" w:lineRule="auto"/>
        <w:ind w:right="420"/>
        <w:rPr>
          <w:rFonts w:ascii="宋体" w:hAnsi="宋体"/>
          <w:color w:val="auto"/>
          <w:szCs w:val="21"/>
          <w:highlight w:val="none"/>
        </w:rPr>
      </w:pPr>
      <w:r>
        <w:rPr>
          <w:rFonts w:hint="eastAsia" w:ascii="宋体" w:hAnsi="宋体"/>
          <w:color w:val="auto"/>
          <w:szCs w:val="21"/>
          <w:highlight w:val="none"/>
        </w:rPr>
        <w:t>委托代理人（签字或印章）：</w:t>
      </w:r>
      <w:r>
        <w:rPr>
          <w:rFonts w:hint="eastAsia" w:ascii="宋体" w:hAnsi="宋体"/>
          <w:color w:val="auto"/>
          <w:szCs w:val="21"/>
          <w:highlight w:val="none"/>
          <w:u w:val="single"/>
        </w:rPr>
        <w:t xml:space="preserve">                     </w:t>
      </w:r>
    </w:p>
    <w:p w14:paraId="7A4E7E56">
      <w:pPr>
        <w:adjustRightInd w:val="0"/>
        <w:snapToGrid w:val="0"/>
        <w:spacing w:line="360" w:lineRule="auto"/>
        <w:ind w:right="420"/>
        <w:rPr>
          <w:rFonts w:ascii="宋体" w:hAnsi="宋体"/>
          <w:color w:val="auto"/>
          <w:szCs w:val="21"/>
          <w:highlight w:val="none"/>
        </w:rPr>
      </w:pPr>
      <w:r>
        <w:rPr>
          <w:rFonts w:hint="eastAsia" w:ascii="宋体" w:hAnsi="宋体" w:cs="宋体"/>
          <w:color w:val="auto"/>
          <w:szCs w:val="21"/>
          <w:highlight w:val="none"/>
        </w:rPr>
        <w:t>日期：</w:t>
      </w: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w:t>
      </w:r>
    </w:p>
    <w:p w14:paraId="0439A689">
      <w:pPr>
        <w:widowControl/>
        <w:ind w:firstLine="1968" w:firstLineChars="700"/>
        <w:jc w:val="both"/>
        <w:rPr>
          <w:rFonts w:ascii="黑体" w:hAnsi="宋体" w:eastAsia="黑体" w:cs="黑体"/>
          <w:b/>
          <w:bCs/>
          <w:color w:val="auto"/>
          <w:kern w:val="0"/>
          <w:sz w:val="28"/>
          <w:szCs w:val="28"/>
          <w:highlight w:val="none"/>
          <w:lang w:bidi="ar"/>
        </w:rPr>
      </w:pPr>
    </w:p>
    <w:p w14:paraId="26E935C3">
      <w:pPr>
        <w:widowControl/>
        <w:ind w:firstLine="1968" w:firstLineChars="700"/>
        <w:jc w:val="both"/>
        <w:rPr>
          <w:rFonts w:ascii="黑体" w:hAnsi="宋体" w:eastAsia="黑体" w:cs="黑体"/>
          <w:b/>
          <w:bCs/>
          <w:color w:val="auto"/>
          <w:kern w:val="0"/>
          <w:sz w:val="28"/>
          <w:szCs w:val="28"/>
          <w:highlight w:val="none"/>
          <w:lang w:bidi="ar"/>
        </w:rPr>
      </w:pPr>
    </w:p>
    <w:p w14:paraId="2758836B">
      <w:pPr>
        <w:widowControl/>
        <w:ind w:firstLine="1968" w:firstLineChars="700"/>
        <w:jc w:val="both"/>
        <w:rPr>
          <w:rFonts w:ascii="黑体" w:hAnsi="宋体" w:eastAsia="黑体" w:cs="黑体"/>
          <w:b/>
          <w:bCs/>
          <w:color w:val="auto"/>
          <w:kern w:val="0"/>
          <w:sz w:val="28"/>
          <w:szCs w:val="28"/>
          <w:highlight w:val="none"/>
          <w:lang w:bidi="ar"/>
        </w:rPr>
      </w:pPr>
    </w:p>
    <w:p w14:paraId="236C01B8">
      <w:pPr>
        <w:widowControl/>
        <w:ind w:firstLine="1968" w:firstLineChars="700"/>
        <w:jc w:val="both"/>
        <w:rPr>
          <w:rFonts w:ascii="黑体" w:hAnsi="宋体" w:eastAsia="黑体" w:cs="黑体"/>
          <w:b/>
          <w:bCs/>
          <w:color w:val="auto"/>
          <w:kern w:val="0"/>
          <w:sz w:val="28"/>
          <w:szCs w:val="28"/>
          <w:highlight w:val="none"/>
          <w:lang w:bidi="ar"/>
        </w:rPr>
      </w:pPr>
    </w:p>
    <w:p w14:paraId="323825FC">
      <w:pPr>
        <w:widowControl/>
        <w:ind w:firstLine="1968" w:firstLineChars="700"/>
        <w:jc w:val="both"/>
        <w:rPr>
          <w:color w:val="auto"/>
          <w:highlight w:val="none"/>
        </w:rPr>
      </w:pPr>
      <w:r>
        <w:rPr>
          <w:rFonts w:ascii="黑体" w:hAnsi="宋体" w:eastAsia="黑体" w:cs="黑体"/>
          <w:b/>
          <w:bCs/>
          <w:color w:val="auto"/>
          <w:kern w:val="0"/>
          <w:sz w:val="28"/>
          <w:szCs w:val="28"/>
          <w:highlight w:val="none"/>
          <w:lang w:bidi="ar"/>
        </w:rPr>
        <w:t xml:space="preserve">法定代表人（单位负责人）身份证明 </w:t>
      </w:r>
    </w:p>
    <w:p w14:paraId="104AED9C">
      <w:pPr>
        <w:autoSpaceDE w:val="0"/>
        <w:autoSpaceDN w:val="0"/>
        <w:adjustRightInd w:val="0"/>
        <w:snapToGrid w:val="0"/>
        <w:spacing w:line="360" w:lineRule="auto"/>
        <w:ind w:firstLine="420" w:firstLineChars="200"/>
        <w:jc w:val="left"/>
        <w:rPr>
          <w:rFonts w:ascii="宋体" w:hAnsi="宋体" w:cs="宋体"/>
          <w:color w:val="auto"/>
          <w:kern w:val="0"/>
          <w:szCs w:val="21"/>
          <w:highlight w:val="none"/>
        </w:rPr>
      </w:pPr>
    </w:p>
    <w:p w14:paraId="01241CFC">
      <w:pPr>
        <w:autoSpaceDE w:val="0"/>
        <w:autoSpaceDN w:val="0"/>
        <w:adjustRightInd w:val="0"/>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 xml:space="preserve">投标人名称： </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 xml:space="preserve">        </w:t>
      </w:r>
    </w:p>
    <w:p w14:paraId="4F78A6B9">
      <w:pPr>
        <w:autoSpaceDE w:val="0"/>
        <w:autoSpaceDN w:val="0"/>
        <w:adjustRightInd w:val="0"/>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 xml:space="preserve">统一社会信用代码： </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 xml:space="preserve"> </w:t>
      </w:r>
    </w:p>
    <w:p w14:paraId="0F74FC57">
      <w:pPr>
        <w:autoSpaceDE w:val="0"/>
        <w:autoSpaceDN w:val="0"/>
        <w:adjustRightInd w:val="0"/>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注册地址：</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 xml:space="preserve">  </w:t>
      </w:r>
    </w:p>
    <w:p w14:paraId="29D6CE09">
      <w:pPr>
        <w:autoSpaceDE w:val="0"/>
        <w:autoSpaceDN w:val="0"/>
        <w:adjustRightInd w:val="0"/>
        <w:snapToGrid w:val="0"/>
        <w:spacing w:line="360" w:lineRule="auto"/>
        <w:ind w:firstLine="840" w:firstLineChars="400"/>
        <w:jc w:val="left"/>
        <w:rPr>
          <w:rFonts w:ascii="宋体" w:hAnsi="宋体" w:cs="宋体"/>
          <w:color w:val="auto"/>
          <w:kern w:val="0"/>
          <w:szCs w:val="21"/>
          <w:highlight w:val="none"/>
        </w:rPr>
      </w:pPr>
      <w:r>
        <w:rPr>
          <w:rFonts w:hint="eastAsia" w:ascii="宋体" w:hAnsi="宋体" w:cs="宋体"/>
          <w:color w:val="auto"/>
          <w:kern w:val="0"/>
          <w:szCs w:val="21"/>
          <w:highlight w:val="none"/>
        </w:rPr>
        <w:t xml:space="preserve">姓名： </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性别：</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 xml:space="preserve"> 年龄：</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 xml:space="preserve"> 职务： </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 xml:space="preserve">系 </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 xml:space="preserve">（投标人 </w:t>
      </w:r>
    </w:p>
    <w:p w14:paraId="3F84CEBF">
      <w:pPr>
        <w:autoSpaceDE w:val="0"/>
        <w:autoSpaceDN w:val="0"/>
        <w:adjustRightInd w:val="0"/>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 xml:space="preserve">名称）的法定代表人（单位负责人）。 </w:t>
      </w:r>
    </w:p>
    <w:p w14:paraId="1A0BC563">
      <w:pPr>
        <w:autoSpaceDE w:val="0"/>
        <w:autoSpaceDN w:val="0"/>
        <w:adjustRightInd w:val="0"/>
        <w:snapToGrid w:val="0"/>
        <w:spacing w:line="360" w:lineRule="auto"/>
        <w:ind w:firstLine="840" w:firstLineChars="400"/>
        <w:jc w:val="left"/>
        <w:rPr>
          <w:rFonts w:ascii="宋体" w:hAnsi="宋体" w:cs="宋体"/>
          <w:color w:val="auto"/>
          <w:kern w:val="0"/>
          <w:szCs w:val="21"/>
          <w:highlight w:val="none"/>
        </w:rPr>
      </w:pPr>
      <w:r>
        <w:rPr>
          <w:rFonts w:hint="eastAsia" w:ascii="宋体" w:hAnsi="宋体" w:cs="宋体"/>
          <w:color w:val="auto"/>
          <w:kern w:val="0"/>
          <w:szCs w:val="21"/>
          <w:highlight w:val="none"/>
        </w:rPr>
        <w:t xml:space="preserve">特此证明。 </w:t>
      </w:r>
    </w:p>
    <w:p w14:paraId="30996315">
      <w:pPr>
        <w:autoSpaceDE w:val="0"/>
        <w:autoSpaceDN w:val="0"/>
        <w:adjustRightInd w:val="0"/>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 xml:space="preserve">附：法定代表人（单位负责人）身份证复印件。 </w:t>
      </w:r>
    </w:p>
    <w:p w14:paraId="2AFB82D3">
      <w:pPr>
        <w:autoSpaceDE w:val="0"/>
        <w:autoSpaceDN w:val="0"/>
        <w:adjustRightInd w:val="0"/>
        <w:snapToGrid w:val="0"/>
        <w:spacing w:line="360" w:lineRule="auto"/>
        <w:ind w:firstLine="420" w:firstLineChars="200"/>
        <w:jc w:val="left"/>
        <w:rPr>
          <w:rFonts w:ascii="宋体" w:hAnsi="宋体" w:cs="宋体"/>
          <w:color w:val="auto"/>
          <w:kern w:val="0"/>
          <w:szCs w:val="21"/>
          <w:highlight w:val="none"/>
        </w:rPr>
      </w:pPr>
    </w:p>
    <w:tbl>
      <w:tblPr>
        <w:tblStyle w:val="47"/>
        <w:tblW w:w="77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98"/>
        <w:gridCol w:w="3899"/>
      </w:tblGrid>
      <w:tr w14:paraId="06C8C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0" w:hRule="atLeast"/>
          <w:jc w:val="center"/>
        </w:trPr>
        <w:tc>
          <w:tcPr>
            <w:tcW w:w="3898" w:type="dxa"/>
            <w:vAlign w:val="center"/>
          </w:tcPr>
          <w:p w14:paraId="32F680F9">
            <w:pPr>
              <w:adjustRightInd w:val="0"/>
              <w:snapToGrid w:val="0"/>
              <w:spacing w:line="360" w:lineRule="auto"/>
              <w:jc w:val="center"/>
              <w:rPr>
                <w:rFonts w:ascii="宋体" w:hAnsi="宋体"/>
                <w:color w:val="auto"/>
                <w:szCs w:val="21"/>
                <w:highlight w:val="none"/>
              </w:rPr>
            </w:pPr>
            <w:r>
              <w:rPr>
                <w:rFonts w:hint="eastAsia" w:ascii="宋体" w:hAnsi="宋体"/>
                <w:color w:val="auto"/>
                <w:szCs w:val="21"/>
                <w:highlight w:val="none"/>
              </w:rPr>
              <w:t>身份证（正面）</w:t>
            </w:r>
            <w:r>
              <w:rPr>
                <w:rFonts w:hint="eastAsia" w:ascii="宋体" w:hAnsi="宋体" w:cs="微软雅黑"/>
                <w:color w:val="auto"/>
                <w:spacing w:val="-2"/>
                <w:kern w:val="0"/>
                <w:szCs w:val="21"/>
                <w:highlight w:val="none"/>
              </w:rPr>
              <w:t>复</w:t>
            </w:r>
            <w:r>
              <w:rPr>
                <w:rFonts w:hint="eastAsia" w:ascii="宋体" w:hAnsi="宋体" w:cs="微软雅黑"/>
                <w:color w:val="auto"/>
                <w:kern w:val="0"/>
                <w:szCs w:val="21"/>
                <w:highlight w:val="none"/>
              </w:rPr>
              <w:t>印</w:t>
            </w:r>
            <w:r>
              <w:rPr>
                <w:rFonts w:hint="eastAsia" w:ascii="宋体" w:hAnsi="宋体" w:cs="微软雅黑"/>
                <w:color w:val="auto"/>
                <w:spacing w:val="-2"/>
                <w:kern w:val="0"/>
                <w:szCs w:val="21"/>
                <w:highlight w:val="none"/>
              </w:rPr>
              <w:t>件</w:t>
            </w:r>
          </w:p>
        </w:tc>
        <w:tc>
          <w:tcPr>
            <w:tcW w:w="3899" w:type="dxa"/>
            <w:vAlign w:val="center"/>
          </w:tcPr>
          <w:p w14:paraId="313CE7F6">
            <w:pPr>
              <w:adjustRightInd w:val="0"/>
              <w:snapToGrid w:val="0"/>
              <w:spacing w:line="360" w:lineRule="auto"/>
              <w:jc w:val="center"/>
              <w:rPr>
                <w:rFonts w:ascii="宋体" w:hAnsi="宋体"/>
                <w:color w:val="auto"/>
                <w:szCs w:val="21"/>
                <w:highlight w:val="none"/>
              </w:rPr>
            </w:pPr>
            <w:r>
              <w:rPr>
                <w:rFonts w:hint="eastAsia" w:ascii="宋体" w:hAnsi="宋体"/>
                <w:color w:val="auto"/>
                <w:szCs w:val="21"/>
                <w:highlight w:val="none"/>
              </w:rPr>
              <w:t>身份证（反面）</w:t>
            </w:r>
            <w:r>
              <w:rPr>
                <w:rFonts w:hint="eastAsia" w:ascii="宋体" w:hAnsi="宋体" w:cs="微软雅黑"/>
                <w:color w:val="auto"/>
                <w:spacing w:val="-2"/>
                <w:kern w:val="0"/>
                <w:szCs w:val="21"/>
                <w:highlight w:val="none"/>
              </w:rPr>
              <w:t>复</w:t>
            </w:r>
            <w:r>
              <w:rPr>
                <w:rFonts w:hint="eastAsia" w:ascii="宋体" w:hAnsi="宋体" w:cs="微软雅黑"/>
                <w:color w:val="auto"/>
                <w:kern w:val="0"/>
                <w:szCs w:val="21"/>
                <w:highlight w:val="none"/>
              </w:rPr>
              <w:t>印</w:t>
            </w:r>
            <w:r>
              <w:rPr>
                <w:rFonts w:hint="eastAsia" w:ascii="宋体" w:hAnsi="宋体" w:cs="微软雅黑"/>
                <w:color w:val="auto"/>
                <w:spacing w:val="-2"/>
                <w:kern w:val="0"/>
                <w:szCs w:val="21"/>
                <w:highlight w:val="none"/>
              </w:rPr>
              <w:t>件</w:t>
            </w:r>
          </w:p>
        </w:tc>
      </w:tr>
    </w:tbl>
    <w:p w14:paraId="0A30D6A1">
      <w:pPr>
        <w:autoSpaceDE w:val="0"/>
        <w:autoSpaceDN w:val="0"/>
        <w:adjustRightInd w:val="0"/>
        <w:snapToGrid w:val="0"/>
        <w:spacing w:line="360" w:lineRule="auto"/>
        <w:ind w:firstLine="420" w:firstLineChars="200"/>
        <w:jc w:val="left"/>
        <w:rPr>
          <w:rFonts w:ascii="宋体" w:hAnsi="宋体" w:cs="宋体"/>
          <w:color w:val="auto"/>
          <w:kern w:val="0"/>
          <w:szCs w:val="21"/>
          <w:highlight w:val="none"/>
        </w:rPr>
      </w:pPr>
    </w:p>
    <w:p w14:paraId="08E3A5BB">
      <w:pPr>
        <w:autoSpaceDE w:val="0"/>
        <w:autoSpaceDN w:val="0"/>
        <w:adjustRightInd w:val="0"/>
        <w:snapToGrid w:val="0"/>
        <w:spacing w:line="360" w:lineRule="auto"/>
        <w:ind w:firstLine="210" w:firstLineChars="100"/>
        <w:jc w:val="left"/>
        <w:rPr>
          <w:rFonts w:ascii="宋体" w:hAnsi="宋体" w:cs="宋体"/>
          <w:color w:val="auto"/>
          <w:kern w:val="0"/>
          <w:szCs w:val="21"/>
          <w:highlight w:val="none"/>
        </w:rPr>
      </w:pPr>
      <w:r>
        <w:rPr>
          <w:rFonts w:hint="eastAsia" w:ascii="宋体" w:hAnsi="宋体" w:cs="宋体"/>
          <w:color w:val="auto"/>
          <w:kern w:val="0"/>
          <w:szCs w:val="21"/>
          <w:highlight w:val="none"/>
        </w:rPr>
        <w:t xml:space="preserve">注：投标人为法定代表人（负责人）只需提供法定代表人（负责人）身份证明即可。 </w:t>
      </w:r>
    </w:p>
    <w:p w14:paraId="32F3356F">
      <w:pPr>
        <w:autoSpaceDE w:val="0"/>
        <w:autoSpaceDN w:val="0"/>
        <w:adjustRightInd w:val="0"/>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投标人名称（盖单位公章）：</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 xml:space="preserve"> </w:t>
      </w:r>
    </w:p>
    <w:p w14:paraId="15FC26FB">
      <w:pPr>
        <w:autoSpaceDE w:val="0"/>
        <w:autoSpaceDN w:val="0"/>
        <w:adjustRightInd w:val="0"/>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法定代表人联系电话：</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 xml:space="preserve"> </w:t>
      </w:r>
    </w:p>
    <w:p w14:paraId="329173F3">
      <w:pPr>
        <w:autoSpaceDE w:val="0"/>
        <w:autoSpaceDN w:val="0"/>
        <w:adjustRightInd w:val="0"/>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日期：</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 xml:space="preserve"> 年 </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月</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 xml:space="preserve"> 日</w:t>
      </w:r>
    </w:p>
    <w:p w14:paraId="0C49ABF2">
      <w:pPr>
        <w:pStyle w:val="2"/>
        <w:jc w:val="center"/>
        <w:outlineLvl w:val="9"/>
        <w:rPr>
          <w:rFonts w:ascii="黑体" w:hAnsi="宋体" w:eastAsia="黑体"/>
          <w:color w:val="auto"/>
          <w:sz w:val="28"/>
          <w:szCs w:val="28"/>
          <w:highlight w:val="none"/>
        </w:rPr>
      </w:pPr>
    </w:p>
    <w:p w14:paraId="5B26A7BC">
      <w:pPr>
        <w:rPr>
          <w:color w:val="auto"/>
          <w:highlight w:val="none"/>
        </w:rPr>
      </w:pPr>
    </w:p>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p w14:paraId="1BD89A31">
      <w:pPr>
        <w:widowControl/>
        <w:ind w:firstLine="1968" w:firstLineChars="700"/>
        <w:jc w:val="left"/>
        <w:rPr>
          <w:rFonts w:ascii="黑体" w:hAnsi="宋体" w:eastAsia="黑体" w:cs="黑体"/>
          <w:b/>
          <w:bCs/>
          <w:color w:val="auto"/>
          <w:kern w:val="0"/>
          <w:sz w:val="28"/>
          <w:szCs w:val="28"/>
          <w:highlight w:val="none"/>
          <w:lang w:bidi="ar"/>
        </w:rPr>
      </w:pPr>
      <w:bookmarkStart w:id="1462" w:name="_Toc16899"/>
      <w:bookmarkStart w:id="1463" w:name="_Toc78314318"/>
      <w:bookmarkStart w:id="1464" w:name="_Toc108341993"/>
      <w:bookmarkStart w:id="1465" w:name="_Toc94367934"/>
      <w:bookmarkStart w:id="1466" w:name="_Toc171273722"/>
      <w:bookmarkStart w:id="1467" w:name="_Toc15888533"/>
      <w:bookmarkStart w:id="1468" w:name="_Toc75289603"/>
      <w:bookmarkStart w:id="1469" w:name="_Toc78450011"/>
      <w:bookmarkStart w:id="1470" w:name="_Toc77676522"/>
      <w:bookmarkStart w:id="1471" w:name="_Toc112704995"/>
      <w:bookmarkStart w:id="1472" w:name="_Toc117192502"/>
      <w:bookmarkStart w:id="1473" w:name="_Toc77199457"/>
      <w:bookmarkStart w:id="1474" w:name="_Toc7703"/>
      <w:bookmarkStart w:id="1475" w:name="_Toc100670478"/>
      <w:bookmarkStart w:id="1476" w:name="_Toc192949653"/>
      <w:bookmarkStart w:id="1477" w:name="_Toc20934"/>
      <w:bookmarkStart w:id="1478" w:name="_Toc11546"/>
      <w:bookmarkStart w:id="1479" w:name="_Toc154428440"/>
      <w:bookmarkStart w:id="1480" w:name="_Toc100670726"/>
      <w:bookmarkStart w:id="1481" w:name="_Toc85972984"/>
      <w:bookmarkStart w:id="1482" w:name="_Toc8389"/>
      <w:bookmarkStart w:id="1483" w:name="_Toc192949752"/>
      <w:bookmarkStart w:id="1484" w:name="_Toc22590"/>
      <w:bookmarkStart w:id="1485" w:name="_Toc14968"/>
      <w:bookmarkStart w:id="1486" w:name="_Toc95601419"/>
      <w:bookmarkStart w:id="1487" w:name="_Toc114036766"/>
      <w:bookmarkStart w:id="1488" w:name="_Toc75289285"/>
      <w:bookmarkStart w:id="1489" w:name="_Toc7493"/>
      <w:bookmarkStart w:id="1490" w:name="_Toc192951263"/>
    </w:p>
    <w:p w14:paraId="642BD306">
      <w:pPr>
        <w:widowControl/>
        <w:ind w:firstLine="1968" w:firstLineChars="700"/>
        <w:jc w:val="left"/>
        <w:rPr>
          <w:rFonts w:ascii="黑体" w:hAnsi="宋体" w:eastAsia="黑体" w:cs="黑体"/>
          <w:b/>
          <w:bCs/>
          <w:color w:val="auto"/>
          <w:kern w:val="0"/>
          <w:sz w:val="28"/>
          <w:szCs w:val="28"/>
          <w:highlight w:val="none"/>
          <w:lang w:bidi="ar"/>
        </w:rPr>
      </w:pPr>
    </w:p>
    <w:p w14:paraId="2A77DA28">
      <w:pPr>
        <w:widowControl/>
        <w:ind w:firstLine="1968" w:firstLineChars="700"/>
        <w:jc w:val="left"/>
        <w:rPr>
          <w:rFonts w:ascii="黑体" w:hAnsi="宋体" w:eastAsia="黑体" w:cs="黑体"/>
          <w:b/>
          <w:bCs/>
          <w:color w:val="auto"/>
          <w:kern w:val="0"/>
          <w:sz w:val="28"/>
          <w:szCs w:val="28"/>
          <w:highlight w:val="none"/>
          <w:lang w:bidi="ar"/>
        </w:rPr>
      </w:pPr>
    </w:p>
    <w:p w14:paraId="19C81B29">
      <w:pPr>
        <w:widowControl/>
        <w:ind w:firstLine="1968" w:firstLineChars="700"/>
        <w:jc w:val="left"/>
        <w:rPr>
          <w:rFonts w:ascii="黑体" w:hAnsi="宋体" w:eastAsia="黑体" w:cs="黑体"/>
          <w:b/>
          <w:bCs/>
          <w:color w:val="auto"/>
          <w:kern w:val="0"/>
          <w:sz w:val="28"/>
          <w:szCs w:val="28"/>
          <w:highlight w:val="none"/>
          <w:lang w:bidi="ar"/>
        </w:rPr>
      </w:pPr>
    </w:p>
    <w:p w14:paraId="5878295D">
      <w:pPr>
        <w:pStyle w:val="2"/>
        <w:jc w:val="both"/>
        <w:outlineLvl w:val="9"/>
        <w:rPr>
          <w:rFonts w:hint="eastAsia" w:ascii="黑体" w:hAnsi="宋体" w:eastAsia="黑体"/>
          <w:color w:val="auto"/>
          <w:sz w:val="28"/>
          <w:szCs w:val="28"/>
          <w:highlight w:val="none"/>
        </w:rPr>
      </w:pPr>
    </w:p>
    <w:p w14:paraId="71621F97">
      <w:pPr>
        <w:rPr>
          <w:rFonts w:hint="eastAsia"/>
          <w:color w:val="auto"/>
          <w:highlight w:val="none"/>
        </w:rPr>
      </w:pPr>
    </w:p>
    <w:p w14:paraId="64990BF0">
      <w:pPr>
        <w:pStyle w:val="2"/>
        <w:jc w:val="center"/>
        <w:rPr>
          <w:rFonts w:ascii="黑体" w:hAnsi="宋体" w:eastAsia="黑体"/>
          <w:color w:val="auto"/>
          <w:sz w:val="28"/>
          <w:szCs w:val="28"/>
          <w:highlight w:val="none"/>
        </w:rPr>
      </w:pPr>
      <w:bookmarkStart w:id="1491" w:name="_Toc10258"/>
      <w:bookmarkStart w:id="1492" w:name="_Toc818772549"/>
      <w:r>
        <w:rPr>
          <w:rFonts w:hint="eastAsia" w:ascii="黑体" w:hAnsi="宋体" w:eastAsia="黑体"/>
          <w:color w:val="auto"/>
          <w:sz w:val="28"/>
          <w:szCs w:val="28"/>
          <w:highlight w:val="none"/>
        </w:rPr>
        <w:t>四、投标人提供的资格证明文件</w:t>
      </w:r>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Start w:id="1493" w:name="_Toc294206743"/>
      <w:bookmarkStart w:id="1494" w:name="_Toc294186060"/>
    </w:p>
    <w:p w14:paraId="33644CCA">
      <w:pPr>
        <w:pStyle w:val="22"/>
        <w:adjustRightInd w:val="0"/>
        <w:snapToGrid w:val="0"/>
        <w:spacing w:line="360" w:lineRule="auto"/>
        <w:jc w:val="center"/>
        <w:outlineLvl w:val="9"/>
        <w:rPr>
          <w:rFonts w:hAnsi="宋体"/>
          <w:b/>
          <w:bCs/>
          <w:color w:val="auto"/>
          <w:sz w:val="24"/>
          <w:szCs w:val="24"/>
          <w:highlight w:val="none"/>
        </w:rPr>
      </w:pPr>
    </w:p>
    <w:p w14:paraId="005AB868">
      <w:pPr>
        <w:pStyle w:val="22"/>
        <w:adjustRightInd w:val="0"/>
        <w:snapToGrid w:val="0"/>
        <w:spacing w:line="360" w:lineRule="auto"/>
        <w:jc w:val="center"/>
        <w:outlineLvl w:val="9"/>
        <w:rPr>
          <w:rFonts w:ascii="黑体" w:hAnsi="黑体" w:eastAsia="黑体"/>
          <w:b/>
          <w:bCs/>
          <w:color w:val="auto"/>
          <w:sz w:val="28"/>
          <w:szCs w:val="28"/>
          <w:highlight w:val="none"/>
        </w:rPr>
      </w:pPr>
      <w:r>
        <w:rPr>
          <w:rFonts w:hint="eastAsia" w:ascii="黑体" w:hAnsi="黑体" w:eastAsia="黑体"/>
          <w:b/>
          <w:bCs/>
          <w:color w:val="auto"/>
          <w:sz w:val="28"/>
          <w:szCs w:val="28"/>
          <w:highlight w:val="none"/>
        </w:rPr>
        <w:t>须  知</w:t>
      </w:r>
    </w:p>
    <w:p w14:paraId="3C03E699">
      <w:pPr>
        <w:numPr>
          <w:ilvl w:val="0"/>
          <w:numId w:val="12"/>
        </w:numPr>
        <w:tabs>
          <w:tab w:val="left" w:pos="4725"/>
        </w:tabs>
        <w:adjustRightInd w:val="0"/>
        <w:snapToGrid w:val="0"/>
        <w:spacing w:before="156" w:beforeLines="50" w:line="360" w:lineRule="auto"/>
        <w:ind w:firstLine="422" w:firstLineChars="200"/>
        <w:outlineLvl w:val="9"/>
        <w:rPr>
          <w:rFonts w:ascii="宋体" w:hAnsi="宋体"/>
          <w:b/>
          <w:bCs/>
          <w:color w:val="auto"/>
          <w:szCs w:val="21"/>
          <w:highlight w:val="none"/>
        </w:rPr>
      </w:pPr>
      <w:r>
        <w:rPr>
          <w:rFonts w:hint="eastAsia" w:ascii="宋体" w:hAnsi="宋体"/>
          <w:b/>
          <w:color w:val="auto"/>
          <w:szCs w:val="21"/>
          <w:highlight w:val="none"/>
        </w:rPr>
        <w:t>投标人</w:t>
      </w:r>
      <w:r>
        <w:rPr>
          <w:rFonts w:hint="eastAsia" w:ascii="宋体" w:hAnsi="宋体"/>
          <w:b/>
          <w:bCs/>
          <w:color w:val="auto"/>
          <w:szCs w:val="21"/>
          <w:highlight w:val="none"/>
        </w:rPr>
        <w:t>应按第二章第14.1款要求提供下列的证明材料</w:t>
      </w:r>
    </w:p>
    <w:bookmarkEnd w:id="1493"/>
    <w:bookmarkEnd w:id="1494"/>
    <w:p w14:paraId="743CA117">
      <w:pPr>
        <w:tabs>
          <w:tab w:val="left" w:pos="4725"/>
        </w:tabs>
        <w:adjustRightInd w:val="0"/>
        <w:snapToGrid w:val="0"/>
        <w:spacing w:before="156" w:beforeLines="50" w:line="360" w:lineRule="auto"/>
        <w:ind w:firstLine="735" w:firstLineChars="350"/>
        <w:rPr>
          <w:rFonts w:ascii="宋体" w:hAnsi="宋体"/>
          <w:szCs w:val="21"/>
        </w:rPr>
      </w:pPr>
      <w:r>
        <w:rPr>
          <w:rFonts w:hint="eastAsia" w:ascii="宋体" w:hAnsi="宋体"/>
          <w:szCs w:val="21"/>
        </w:rPr>
        <w:t>附件</w:t>
      </w:r>
      <w:r>
        <w:rPr>
          <w:rFonts w:ascii="宋体" w:hAnsi="宋体"/>
          <w:szCs w:val="21"/>
        </w:rPr>
        <w:t>4</w:t>
      </w:r>
      <w:r>
        <w:rPr>
          <w:rFonts w:hint="eastAsia" w:ascii="宋体" w:hAnsi="宋体"/>
          <w:szCs w:val="21"/>
        </w:rPr>
        <w:t>-1 法人或者其他组织的营业执照等主体资格证明文件，自然人的身份证明</w:t>
      </w:r>
    </w:p>
    <w:p w14:paraId="06990BD1">
      <w:pPr>
        <w:tabs>
          <w:tab w:val="left" w:pos="4725"/>
        </w:tabs>
        <w:adjustRightInd w:val="0"/>
        <w:snapToGrid w:val="0"/>
        <w:spacing w:before="156" w:beforeLines="50" w:line="360" w:lineRule="auto"/>
        <w:ind w:firstLine="735" w:firstLineChars="350"/>
        <w:rPr>
          <w:rFonts w:ascii="宋体" w:hAnsi="宋体"/>
          <w:szCs w:val="21"/>
        </w:rPr>
      </w:pPr>
      <w:r>
        <w:rPr>
          <w:rFonts w:hint="eastAsia" w:ascii="宋体" w:hAnsi="宋体"/>
          <w:szCs w:val="21"/>
        </w:rPr>
        <w:t>附件</w:t>
      </w:r>
      <w:r>
        <w:rPr>
          <w:rFonts w:ascii="宋体" w:hAnsi="宋体"/>
          <w:szCs w:val="21"/>
        </w:rPr>
        <w:t>4</w:t>
      </w:r>
      <w:r>
        <w:rPr>
          <w:rFonts w:hint="eastAsia" w:ascii="宋体" w:hAnsi="宋体"/>
          <w:szCs w:val="21"/>
        </w:rPr>
        <w:t>-2 湖南省政府采购供应商资格承诺函(格式)</w:t>
      </w:r>
    </w:p>
    <w:p w14:paraId="50C4D280">
      <w:pPr>
        <w:tabs>
          <w:tab w:val="left" w:pos="4725"/>
        </w:tabs>
        <w:adjustRightInd w:val="0"/>
        <w:snapToGrid w:val="0"/>
        <w:spacing w:before="156" w:beforeLines="50" w:line="360" w:lineRule="auto"/>
        <w:ind w:firstLine="735" w:firstLineChars="350"/>
        <w:rPr>
          <w:rFonts w:ascii="宋体" w:hAnsi="宋体"/>
          <w:szCs w:val="21"/>
        </w:rPr>
      </w:pPr>
      <w:r>
        <w:rPr>
          <w:rFonts w:hint="eastAsia" w:ascii="宋体" w:hAnsi="宋体"/>
          <w:szCs w:val="21"/>
        </w:rPr>
        <w:t>附件</w:t>
      </w:r>
      <w:r>
        <w:rPr>
          <w:rFonts w:ascii="宋体" w:hAnsi="宋体"/>
          <w:szCs w:val="21"/>
        </w:rPr>
        <w:t>4</w:t>
      </w:r>
      <w:r>
        <w:rPr>
          <w:rFonts w:hint="eastAsia" w:ascii="宋体" w:hAnsi="宋体"/>
          <w:szCs w:val="21"/>
        </w:rPr>
        <w:t>-3 符合特定资格条件证明材料复印件或者情况说明</w:t>
      </w:r>
    </w:p>
    <w:p w14:paraId="4AF1C2CB">
      <w:pPr>
        <w:tabs>
          <w:tab w:val="left" w:pos="4725"/>
        </w:tabs>
        <w:adjustRightInd w:val="0"/>
        <w:snapToGrid w:val="0"/>
        <w:spacing w:before="156" w:beforeLines="50" w:line="360" w:lineRule="auto"/>
        <w:ind w:firstLine="735" w:firstLineChars="350"/>
        <w:rPr>
          <w:rFonts w:ascii="宋体" w:hAnsi="宋体"/>
          <w:szCs w:val="21"/>
        </w:rPr>
      </w:pPr>
      <w:r>
        <w:rPr>
          <w:rFonts w:hint="eastAsia" w:ascii="宋体" w:hAnsi="宋体"/>
          <w:szCs w:val="21"/>
        </w:rPr>
        <w:t>附件</w:t>
      </w:r>
      <w:r>
        <w:rPr>
          <w:rFonts w:ascii="宋体" w:hAnsi="宋体"/>
          <w:szCs w:val="21"/>
        </w:rPr>
        <w:t>4</w:t>
      </w:r>
      <w:r>
        <w:rPr>
          <w:rFonts w:hint="eastAsia" w:ascii="宋体" w:hAnsi="宋体"/>
          <w:szCs w:val="21"/>
        </w:rPr>
        <w:t>-4 联合体协议书（格式）（联合体形式投标的提供）</w:t>
      </w:r>
    </w:p>
    <w:p w14:paraId="5FD06D05">
      <w:pPr>
        <w:pStyle w:val="102"/>
        <w:spacing w:line="360" w:lineRule="auto"/>
        <w:rPr>
          <w:rFonts w:ascii="宋体" w:hAnsi="宋体"/>
        </w:rPr>
      </w:pPr>
      <w:r>
        <w:rPr>
          <w:rFonts w:hint="eastAsia" w:ascii="宋体" w:hAnsi="宋体"/>
        </w:rPr>
        <w:t xml:space="preserve">  </w:t>
      </w:r>
      <w:r>
        <w:rPr>
          <w:rFonts w:ascii="宋体" w:hAnsi="宋体"/>
        </w:rPr>
        <w:t xml:space="preserve"> 附件4-5</w:t>
      </w:r>
      <w:r>
        <w:rPr>
          <w:rFonts w:hint="eastAsia" w:ascii="宋体" w:hAnsi="宋体"/>
        </w:rPr>
        <w:t>投标人资格声明(格式)</w:t>
      </w:r>
    </w:p>
    <w:p w14:paraId="7A3194F6">
      <w:pPr>
        <w:pStyle w:val="102"/>
        <w:spacing w:line="360" w:lineRule="auto"/>
        <w:rPr>
          <w:rFonts w:ascii="宋体" w:hAnsi="宋体"/>
        </w:rPr>
      </w:pPr>
      <w:r>
        <w:rPr>
          <w:rFonts w:ascii="宋体" w:hAnsi="宋体"/>
        </w:rPr>
        <w:t xml:space="preserve">   </w:t>
      </w:r>
      <w:r>
        <w:rPr>
          <w:rFonts w:hint="eastAsia" w:ascii="宋体" w:hAnsi="宋体"/>
        </w:rPr>
        <w:t>附件4</w:t>
      </w:r>
      <w:r>
        <w:rPr>
          <w:rFonts w:ascii="宋体" w:hAnsi="宋体"/>
        </w:rPr>
        <w:t xml:space="preserve">-6 </w:t>
      </w:r>
      <w:r>
        <w:rPr>
          <w:rFonts w:hint="eastAsia" w:ascii="宋体" w:hAnsi="宋体"/>
        </w:rPr>
        <w:t>投标人信用</w:t>
      </w:r>
      <w:r>
        <w:rPr>
          <w:rFonts w:ascii="宋体" w:hAnsi="宋体"/>
        </w:rPr>
        <w:t>查询</w:t>
      </w:r>
    </w:p>
    <w:p w14:paraId="1F2F6736">
      <w:pPr>
        <w:tabs>
          <w:tab w:val="left" w:pos="4725"/>
        </w:tabs>
        <w:adjustRightInd w:val="0"/>
        <w:snapToGrid w:val="0"/>
        <w:spacing w:before="156" w:beforeLines="50" w:line="360" w:lineRule="auto"/>
        <w:ind w:firstLine="735" w:firstLineChars="350"/>
        <w:rPr>
          <w:rFonts w:hint="eastAsia" w:ascii="宋体" w:hAnsi="宋体" w:eastAsia="宋体" w:cs="Times New Roman"/>
          <w:szCs w:val="21"/>
        </w:rPr>
      </w:pPr>
      <w:r>
        <w:rPr>
          <w:rFonts w:hint="eastAsia" w:ascii="宋体" w:hAnsi="宋体" w:eastAsia="宋体" w:cs="Times New Roman"/>
          <w:szCs w:val="21"/>
          <w:lang w:val="en-US" w:eastAsia="zh-CN"/>
        </w:rPr>
        <w:t>附页4-7 投标人应提供的其他资格证明文件</w:t>
      </w:r>
    </w:p>
    <w:p w14:paraId="0A7CF7E6">
      <w:pPr>
        <w:tabs>
          <w:tab w:val="left" w:pos="4725"/>
        </w:tabs>
        <w:adjustRightInd w:val="0"/>
        <w:snapToGrid w:val="0"/>
        <w:spacing w:before="156" w:beforeLines="50" w:line="360" w:lineRule="auto"/>
        <w:ind w:firstLine="420" w:firstLineChars="200"/>
        <w:rPr>
          <w:rFonts w:ascii="宋体" w:hAnsi="宋体" w:cs="宋体"/>
          <w:szCs w:val="21"/>
        </w:rPr>
      </w:pPr>
      <w:r>
        <w:rPr>
          <w:rFonts w:hint="eastAsia" w:ascii="宋体" w:hAnsi="宋体"/>
          <w:szCs w:val="21"/>
        </w:rPr>
        <w:t>2、</w:t>
      </w:r>
      <w:r>
        <w:rPr>
          <w:rFonts w:hint="eastAsia" w:ascii="宋体" w:hAnsi="宋体" w:cs="宋体"/>
          <w:szCs w:val="21"/>
        </w:rPr>
        <w:t>投标人以联合体形式投标的，除应提交联合协议书(本节附4-4)外，参加联合体的各方均应提交上款资格证明材料。</w:t>
      </w:r>
    </w:p>
    <w:p w14:paraId="7CB11DB6">
      <w:pPr>
        <w:pStyle w:val="102"/>
      </w:pPr>
    </w:p>
    <w:p w14:paraId="2C9A8147">
      <w:pPr>
        <w:tabs>
          <w:tab w:val="left" w:pos="4725"/>
        </w:tabs>
        <w:adjustRightInd w:val="0"/>
        <w:snapToGrid w:val="0"/>
        <w:spacing w:line="360" w:lineRule="auto"/>
        <w:rPr>
          <w:rFonts w:ascii="宋体" w:hAnsi="宋体" w:cs="宋体"/>
          <w:szCs w:val="21"/>
        </w:rPr>
      </w:pPr>
    </w:p>
    <w:p w14:paraId="47756BD0">
      <w:pPr>
        <w:pStyle w:val="4"/>
        <w:rPr>
          <w:rFonts w:ascii="黑体" w:hAnsi="仿宋" w:eastAsia="黑体" w:cs="宋体"/>
          <w:sz w:val="10"/>
          <w:szCs w:val="10"/>
        </w:rPr>
      </w:pPr>
      <w:r>
        <w:rPr>
          <w:rFonts w:ascii="黑体" w:hAnsi="仿宋" w:eastAsia="黑体" w:cs="宋体"/>
          <w:szCs w:val="21"/>
        </w:rPr>
        <w:br w:type="page"/>
      </w:r>
      <w:bookmarkStart w:id="1495" w:name="_Toc227246849"/>
      <w:r>
        <w:rPr>
          <w:rFonts w:hint="eastAsia" w:ascii="宋体" w:hAnsi="宋体"/>
          <w:sz w:val="21"/>
          <w:szCs w:val="24"/>
        </w:rPr>
        <w:t>附件</w:t>
      </w:r>
      <w:r>
        <w:rPr>
          <w:rFonts w:ascii="宋体" w:hAnsi="宋体"/>
          <w:sz w:val="21"/>
          <w:szCs w:val="24"/>
        </w:rPr>
        <w:t>4</w:t>
      </w:r>
      <w:r>
        <w:rPr>
          <w:rFonts w:hint="eastAsia" w:ascii="宋体" w:hAnsi="宋体"/>
          <w:sz w:val="21"/>
          <w:szCs w:val="24"/>
        </w:rPr>
        <w:t>-1 法人或者其他组织的营业执照等主体资格证明文件，自然人的身份证明</w:t>
      </w:r>
      <w:bookmarkEnd w:id="1495"/>
    </w:p>
    <w:p w14:paraId="3872B468">
      <w:pPr>
        <w:widowControl/>
        <w:adjustRightInd w:val="0"/>
        <w:snapToGrid w:val="0"/>
        <w:spacing w:line="360" w:lineRule="auto"/>
        <w:jc w:val="center"/>
        <w:rPr>
          <w:rFonts w:ascii="黑体" w:hAnsi="仿宋" w:eastAsia="黑体" w:cs="宋体"/>
          <w:b/>
          <w:sz w:val="28"/>
          <w:szCs w:val="28"/>
        </w:rPr>
      </w:pPr>
    </w:p>
    <w:p w14:paraId="2FDF6C7D">
      <w:pPr>
        <w:widowControl/>
        <w:adjustRightInd w:val="0"/>
        <w:snapToGrid w:val="0"/>
        <w:spacing w:line="360" w:lineRule="auto"/>
        <w:jc w:val="center"/>
        <w:rPr>
          <w:rFonts w:ascii="黑体" w:hAnsi="仿宋" w:eastAsia="黑体" w:cs="宋体"/>
          <w:b/>
          <w:sz w:val="28"/>
          <w:szCs w:val="28"/>
        </w:rPr>
      </w:pPr>
      <w:r>
        <w:rPr>
          <w:rFonts w:hint="eastAsia" w:ascii="黑体" w:hAnsi="仿宋" w:eastAsia="黑体" w:cs="宋体"/>
          <w:b/>
          <w:sz w:val="28"/>
          <w:szCs w:val="28"/>
        </w:rPr>
        <w:t>法人或者其他组织的营业执照等主体资格证明文件，自然人的身份证明</w:t>
      </w:r>
    </w:p>
    <w:p w14:paraId="37C9703D">
      <w:pPr>
        <w:widowControl/>
        <w:adjustRightInd w:val="0"/>
        <w:snapToGrid w:val="0"/>
        <w:spacing w:before="156" w:beforeLines="50" w:line="360" w:lineRule="auto"/>
        <w:ind w:firstLine="420" w:firstLineChars="200"/>
        <w:jc w:val="left"/>
        <w:rPr>
          <w:rFonts w:ascii="宋体" w:hAnsi="宋体" w:cs="宋体"/>
          <w:szCs w:val="21"/>
        </w:rPr>
      </w:pPr>
    </w:p>
    <w:p w14:paraId="74F066BA">
      <w:pPr>
        <w:adjustRightInd w:val="0"/>
        <w:snapToGrid w:val="0"/>
        <w:spacing w:before="156" w:beforeLines="50" w:line="360" w:lineRule="auto"/>
        <w:ind w:firstLine="420" w:firstLineChars="200"/>
        <w:rPr>
          <w:rFonts w:ascii="宋体" w:hAnsi="宋体" w:cs="宋体"/>
          <w:szCs w:val="21"/>
        </w:rPr>
      </w:pPr>
      <w:r>
        <w:rPr>
          <w:rFonts w:hint="eastAsia" w:ascii="宋体" w:hAnsi="宋体" w:cs="宋体"/>
          <w:szCs w:val="21"/>
        </w:rPr>
        <w:t>注：按第二章第</w:t>
      </w:r>
      <w:r>
        <w:rPr>
          <w:rFonts w:ascii="宋体" w:hAnsi="宋体" w:cs="宋体"/>
          <w:szCs w:val="21"/>
        </w:rPr>
        <w:t>1</w:t>
      </w:r>
      <w:r>
        <w:rPr>
          <w:rFonts w:hint="eastAsia" w:ascii="宋体" w:hAnsi="宋体" w:cs="宋体"/>
          <w:szCs w:val="21"/>
        </w:rPr>
        <w:t>4</w:t>
      </w:r>
      <w:r>
        <w:rPr>
          <w:rFonts w:ascii="宋体" w:hAnsi="宋体" w:cs="宋体"/>
          <w:szCs w:val="21"/>
        </w:rPr>
        <w:t>.1</w:t>
      </w:r>
      <w:r>
        <w:rPr>
          <w:rFonts w:hint="eastAsia" w:ascii="宋体" w:hAnsi="宋体" w:cs="宋体"/>
          <w:szCs w:val="21"/>
        </w:rPr>
        <w:t>（1）项要求提供。</w:t>
      </w:r>
    </w:p>
    <w:p w14:paraId="731C1E7B">
      <w:pPr>
        <w:adjustRightInd w:val="0"/>
        <w:snapToGrid w:val="0"/>
        <w:spacing w:before="156" w:beforeLines="50" w:line="360" w:lineRule="auto"/>
        <w:ind w:firstLine="420" w:firstLineChars="200"/>
        <w:rPr>
          <w:rFonts w:ascii="宋体" w:hAnsi="宋体"/>
        </w:rPr>
      </w:pPr>
      <w:r>
        <w:rPr>
          <w:rFonts w:hint="eastAsia" w:ascii="宋体" w:hAnsi="宋体" w:cs="宋体"/>
          <w:szCs w:val="21"/>
        </w:rPr>
        <w:t>（1）</w:t>
      </w:r>
      <w:r>
        <w:rPr>
          <w:rFonts w:hint="eastAsia" w:ascii="宋体" w:hAnsi="宋体"/>
        </w:rPr>
        <w:t>投标人为法人的，应提交营业执照或法人登记证书的复印件；</w:t>
      </w:r>
    </w:p>
    <w:p w14:paraId="49E049E2">
      <w:pPr>
        <w:adjustRightInd w:val="0"/>
        <w:snapToGrid w:val="0"/>
        <w:spacing w:before="156" w:beforeLines="50" w:line="360" w:lineRule="auto"/>
        <w:ind w:firstLine="420" w:firstLineChars="200"/>
        <w:rPr>
          <w:rFonts w:ascii="宋体" w:hAnsi="宋体"/>
        </w:rPr>
      </w:pPr>
      <w:r>
        <w:rPr>
          <w:rFonts w:hint="eastAsia" w:ascii="宋体" w:hAnsi="宋体" w:cs="宋体"/>
          <w:szCs w:val="21"/>
        </w:rPr>
        <w:t>（2）</w:t>
      </w:r>
      <w:r>
        <w:rPr>
          <w:rFonts w:hint="eastAsia" w:ascii="宋体" w:hAnsi="宋体"/>
        </w:rPr>
        <w:t>投标人为非法人组织的，应提交依法登记证书复印件；</w:t>
      </w:r>
    </w:p>
    <w:p w14:paraId="36FBE6EB">
      <w:pPr>
        <w:adjustRightInd w:val="0"/>
        <w:snapToGrid w:val="0"/>
        <w:spacing w:before="156" w:beforeLines="50" w:line="360" w:lineRule="auto"/>
        <w:ind w:firstLine="420" w:firstLineChars="200"/>
        <w:rPr>
          <w:rFonts w:ascii="宋体" w:hAnsi="宋体"/>
        </w:rPr>
      </w:pPr>
      <w:r>
        <w:rPr>
          <w:rFonts w:hint="eastAsia" w:ascii="宋体" w:hAnsi="宋体" w:cs="宋体"/>
          <w:szCs w:val="21"/>
        </w:rPr>
        <w:t>（3）</w:t>
      </w:r>
      <w:r>
        <w:rPr>
          <w:rFonts w:hint="eastAsia" w:ascii="宋体" w:hAnsi="宋体"/>
        </w:rPr>
        <w:t>投标人为个体工商户的，应提交个体工商户营业执照复印件；</w:t>
      </w:r>
    </w:p>
    <w:p w14:paraId="4B22CB1F">
      <w:pPr>
        <w:adjustRightInd w:val="0"/>
        <w:snapToGrid w:val="0"/>
        <w:spacing w:before="156" w:beforeLines="50" w:line="360" w:lineRule="auto"/>
        <w:ind w:firstLine="420" w:firstLineChars="200"/>
        <w:rPr>
          <w:rFonts w:ascii="宋体" w:hAnsi="宋体"/>
        </w:rPr>
      </w:pPr>
      <w:r>
        <w:rPr>
          <w:rFonts w:hint="eastAsia" w:ascii="宋体" w:hAnsi="宋体" w:cs="宋体"/>
          <w:szCs w:val="21"/>
        </w:rPr>
        <w:t>（4）</w:t>
      </w:r>
      <w:r>
        <w:rPr>
          <w:rFonts w:hint="eastAsia" w:ascii="宋体" w:hAnsi="宋体"/>
        </w:rPr>
        <w:t>投标人为自然人的，应提交自然人的身份证明复印件。</w:t>
      </w:r>
    </w:p>
    <w:p w14:paraId="55316132">
      <w:pPr>
        <w:adjustRightInd w:val="0"/>
        <w:snapToGrid w:val="0"/>
        <w:spacing w:before="156" w:beforeLines="50" w:line="360" w:lineRule="auto"/>
        <w:ind w:firstLine="420" w:firstLineChars="200"/>
        <w:rPr>
          <w:rFonts w:ascii="宋体" w:hAnsi="宋体"/>
        </w:rPr>
      </w:pPr>
    </w:p>
    <w:p w14:paraId="30A25E4B">
      <w:pPr>
        <w:pStyle w:val="4"/>
        <w:rPr>
          <w:rFonts w:ascii="黑体" w:hAnsi="仿宋" w:eastAsia="黑体" w:cs="宋体"/>
          <w:bCs w:val="0"/>
          <w:sz w:val="10"/>
          <w:szCs w:val="10"/>
        </w:rPr>
      </w:pPr>
      <w:r>
        <w:rPr>
          <w:rFonts w:ascii="黑体" w:hAnsi="仿宋" w:cs="宋体"/>
          <w:b w:val="0"/>
          <w:szCs w:val="21"/>
        </w:rPr>
        <w:br w:type="page"/>
      </w:r>
      <w:bookmarkStart w:id="1496" w:name="_Toc227246850"/>
      <w:r>
        <w:rPr>
          <w:rFonts w:hint="eastAsia" w:ascii="宋体" w:hAnsi="宋体"/>
          <w:sz w:val="21"/>
          <w:szCs w:val="24"/>
        </w:rPr>
        <w:t>附件</w:t>
      </w:r>
      <w:r>
        <w:rPr>
          <w:rFonts w:ascii="宋体" w:hAnsi="宋体"/>
          <w:sz w:val="21"/>
          <w:szCs w:val="24"/>
        </w:rPr>
        <w:t>4</w:t>
      </w:r>
      <w:r>
        <w:rPr>
          <w:rFonts w:hint="eastAsia" w:ascii="宋体" w:hAnsi="宋体"/>
          <w:sz w:val="21"/>
          <w:szCs w:val="24"/>
        </w:rPr>
        <w:t>-2 湖南省政府采购供应商资格承诺函(格式)</w:t>
      </w:r>
      <w:bookmarkEnd w:id="1496"/>
    </w:p>
    <w:p w14:paraId="65060D36">
      <w:pPr>
        <w:widowControl/>
        <w:adjustRightInd w:val="0"/>
        <w:snapToGrid w:val="0"/>
        <w:spacing w:before="468" w:beforeLines="150" w:line="360" w:lineRule="auto"/>
        <w:jc w:val="center"/>
        <w:rPr>
          <w:rFonts w:ascii="宋体" w:hAnsi="宋体" w:cs="宋体"/>
          <w:szCs w:val="21"/>
        </w:rPr>
      </w:pPr>
      <w:r>
        <w:rPr>
          <w:rFonts w:hint="eastAsia" w:ascii="黑体" w:hAnsi="仿宋" w:eastAsia="黑体" w:cs="宋体"/>
          <w:b/>
          <w:sz w:val="28"/>
          <w:szCs w:val="28"/>
        </w:rPr>
        <w:t>湖南省政府采购供应商资格承诺函(格式)</w:t>
      </w:r>
    </w:p>
    <w:p w14:paraId="160F8FD9">
      <w:pPr>
        <w:widowControl/>
        <w:spacing w:before="156" w:beforeLines="50" w:line="360" w:lineRule="auto"/>
        <w:ind w:firstLine="420" w:firstLineChars="200"/>
        <w:jc w:val="left"/>
        <w:rPr>
          <w:rFonts w:ascii="宋体" w:hAnsi="宋体" w:cs="宋体"/>
          <w:szCs w:val="21"/>
        </w:rPr>
      </w:pPr>
      <w:r>
        <w:rPr>
          <w:rFonts w:hint="eastAsia" w:ascii="宋体" w:hAnsi="宋体" w:cs="宋体"/>
          <w:szCs w:val="21"/>
        </w:rPr>
        <w:t>本公司独立承担民事责任、具有良好的商业信誉和健全的财务会计制度、依法缴纳税收和社会保障资金,在前三年的经营活动中无重大违法记录,未列入严重失信行为名单,符合政府采购供应商的基本资格要求。</w:t>
      </w:r>
    </w:p>
    <w:p w14:paraId="2DBA01AE">
      <w:pPr>
        <w:widowControl/>
        <w:spacing w:before="156" w:beforeLines="50" w:line="360" w:lineRule="auto"/>
        <w:ind w:firstLine="630" w:firstLineChars="300"/>
        <w:jc w:val="left"/>
        <w:rPr>
          <w:rFonts w:ascii="宋体" w:hAnsi="宋体" w:cs="宋体"/>
          <w:szCs w:val="21"/>
        </w:rPr>
      </w:pPr>
      <w:r>
        <w:rPr>
          <w:rFonts w:hint="eastAsia" w:ascii="宋体" w:hAnsi="宋体" w:cs="宋体"/>
          <w:szCs w:val="21"/>
        </w:rPr>
        <w:t>按照《政府采购促进中小企业发展管理办法》(财库〔2020〕46号),本公司企业规模为:</w:t>
      </w:r>
    </w:p>
    <w:p w14:paraId="48BF1130">
      <w:pPr>
        <w:widowControl/>
        <w:spacing w:before="156" w:beforeLines="50" w:line="360" w:lineRule="auto"/>
        <w:ind w:firstLine="420" w:firstLineChars="200"/>
        <w:jc w:val="left"/>
        <w:rPr>
          <w:rFonts w:hint="eastAsia" w:ascii="宋体" w:hAnsi="宋体" w:cs="宋体"/>
          <w:szCs w:val="21"/>
        </w:rPr>
      </w:pPr>
      <w:r>
        <w:rPr>
          <w:rFonts w:hint="eastAsia" w:ascii="宋体" w:hAnsi="宋体" w:cs="宋体"/>
          <w:szCs w:val="21"/>
        </w:rPr>
        <w:t>口大型、 口中型 、  □小型  、 □微型。（用在</w:t>
      </w:r>
      <w:r>
        <w:rPr>
          <w:rFonts w:ascii="宋体" w:hAnsi="宋体" w:cs="宋体"/>
          <w:szCs w:val="21"/>
        </w:rPr>
        <w:t>“</w:t>
      </w:r>
      <w:r>
        <w:rPr>
          <w:rFonts w:hint="eastAsia" w:ascii="宋体" w:hAnsi="宋体" w:cs="宋体"/>
          <w:szCs w:val="21"/>
        </w:rPr>
        <w:t>□</w:t>
      </w:r>
      <w:r>
        <w:rPr>
          <w:rFonts w:ascii="宋体" w:hAnsi="宋体" w:cs="宋体"/>
          <w:szCs w:val="21"/>
        </w:rPr>
        <w:t>”内打</w:t>
      </w:r>
      <w:r>
        <w:rPr>
          <w:rFonts w:ascii="宋体" w:hAnsi="宋体" w:cs="宋体"/>
          <w:b/>
          <w:szCs w:val="21"/>
          <w:bdr w:val="single" w:color="auto" w:sz="4" w:space="0"/>
        </w:rPr>
        <w:t>√</w:t>
      </w:r>
      <w:r>
        <w:rPr>
          <w:rFonts w:hint="eastAsia" w:ascii="宋体" w:hAnsi="宋体" w:cs="宋体"/>
          <w:szCs w:val="21"/>
        </w:rPr>
        <w:t>标识</w:t>
      </w:r>
      <w:r>
        <w:rPr>
          <w:rFonts w:ascii="宋体" w:hAnsi="宋体" w:cs="宋体"/>
          <w:szCs w:val="21"/>
        </w:rPr>
        <w:t>为选择启用）</w:t>
      </w:r>
    </w:p>
    <w:p w14:paraId="7F67A6A0">
      <w:pPr>
        <w:widowControl/>
        <w:spacing w:before="156" w:beforeLines="50" w:line="360" w:lineRule="auto"/>
        <w:ind w:firstLine="420" w:firstLineChars="200"/>
        <w:jc w:val="left"/>
        <w:rPr>
          <w:rFonts w:ascii="宋体" w:hAnsi="宋体"/>
          <w:szCs w:val="21"/>
          <w:u w:val="single"/>
        </w:rPr>
      </w:pPr>
      <w:r>
        <w:rPr>
          <w:rFonts w:hint="eastAsia" w:ascii="宋体" w:hAnsi="宋体" w:cs="宋体"/>
          <w:szCs w:val="21"/>
        </w:rPr>
        <w:t>机构代码、</w:t>
      </w:r>
      <w:r>
        <w:rPr>
          <w:rFonts w:hint="eastAsia" w:ascii="宋体" w:hAnsi="宋体"/>
          <w:szCs w:val="21"/>
          <w:u w:val="single"/>
        </w:rPr>
        <w:t xml:space="preserve">                 </w:t>
      </w:r>
      <w:r>
        <w:rPr>
          <w:rFonts w:hint="eastAsia" w:ascii="宋体" w:hAnsi="宋体" w:cs="宋体"/>
          <w:szCs w:val="21"/>
        </w:rPr>
        <w:t>注册登记机构、</w:t>
      </w:r>
      <w:r>
        <w:rPr>
          <w:rFonts w:hint="eastAsia" w:ascii="宋体" w:hAnsi="宋体"/>
          <w:szCs w:val="21"/>
          <w:u w:val="single"/>
        </w:rPr>
        <w:t xml:space="preserve">                 </w:t>
      </w:r>
    </w:p>
    <w:p w14:paraId="6BD826B4">
      <w:pPr>
        <w:widowControl/>
        <w:spacing w:before="156" w:beforeLines="50" w:line="360" w:lineRule="auto"/>
        <w:ind w:firstLine="420" w:firstLineChars="200"/>
        <w:jc w:val="left"/>
        <w:rPr>
          <w:rFonts w:ascii="宋体" w:hAnsi="宋体"/>
          <w:szCs w:val="21"/>
          <w:u w:val="single"/>
        </w:rPr>
      </w:pPr>
      <w:r>
        <w:rPr>
          <w:rFonts w:hint="eastAsia" w:ascii="宋体" w:hAnsi="宋体" w:cs="宋体"/>
          <w:szCs w:val="21"/>
        </w:rPr>
        <w:t>日期</w:t>
      </w:r>
      <w:r>
        <w:rPr>
          <w:rFonts w:hint="eastAsia" w:ascii="宋体" w:hAnsi="宋体"/>
          <w:szCs w:val="21"/>
          <w:u w:val="single"/>
        </w:rPr>
        <w:t xml:space="preserve">                 </w:t>
      </w:r>
      <w:r>
        <w:rPr>
          <w:rFonts w:hint="eastAsia" w:ascii="宋体" w:hAnsi="宋体"/>
          <w:szCs w:val="21"/>
        </w:rPr>
        <w:t>、</w:t>
      </w:r>
      <w:r>
        <w:rPr>
          <w:rFonts w:hint="eastAsia" w:ascii="宋体" w:hAnsi="宋体" w:cs="宋体"/>
          <w:szCs w:val="21"/>
        </w:rPr>
        <w:t>有效期</w:t>
      </w:r>
      <w:r>
        <w:rPr>
          <w:rFonts w:hint="eastAsia" w:ascii="宋体" w:hAnsi="宋体"/>
          <w:szCs w:val="21"/>
          <w:u w:val="single"/>
        </w:rPr>
        <w:t xml:space="preserve">                 </w:t>
      </w:r>
      <w:r>
        <w:rPr>
          <w:rFonts w:hint="eastAsia" w:ascii="宋体" w:hAnsi="宋体"/>
          <w:szCs w:val="21"/>
        </w:rPr>
        <w:t>、</w:t>
      </w:r>
      <w:r>
        <w:rPr>
          <w:rFonts w:hint="eastAsia" w:ascii="宋体" w:hAnsi="宋体" w:cs="宋体"/>
          <w:szCs w:val="21"/>
        </w:rPr>
        <w:t>注册资本</w:t>
      </w:r>
      <w:r>
        <w:rPr>
          <w:rFonts w:hint="eastAsia" w:ascii="宋体" w:hAnsi="宋体"/>
          <w:szCs w:val="21"/>
          <w:u w:val="single"/>
        </w:rPr>
        <w:t xml:space="preserve">                 </w:t>
      </w:r>
      <w:r>
        <w:rPr>
          <w:rFonts w:hint="eastAsia" w:ascii="宋体" w:hAnsi="宋体"/>
          <w:szCs w:val="21"/>
        </w:rPr>
        <w:t>、</w:t>
      </w:r>
    </w:p>
    <w:p w14:paraId="4DA03A7C">
      <w:pPr>
        <w:widowControl/>
        <w:spacing w:before="156" w:beforeLines="50" w:line="360" w:lineRule="auto"/>
        <w:ind w:firstLine="420" w:firstLineChars="200"/>
        <w:jc w:val="left"/>
        <w:rPr>
          <w:rFonts w:ascii="宋体" w:hAnsi="宋体" w:cs="宋体"/>
          <w:szCs w:val="21"/>
        </w:rPr>
      </w:pPr>
      <w:r>
        <w:rPr>
          <w:rFonts w:hint="eastAsia" w:ascii="宋体" w:hAnsi="宋体" w:cs="宋体"/>
          <w:szCs w:val="21"/>
        </w:rPr>
        <w:t>地 址</w:t>
      </w:r>
      <w:r>
        <w:rPr>
          <w:rFonts w:hint="eastAsia" w:ascii="宋体" w:hAnsi="宋体"/>
          <w:szCs w:val="21"/>
          <w:u w:val="single"/>
        </w:rPr>
        <w:t xml:space="preserve">                 </w:t>
      </w:r>
      <w:r>
        <w:rPr>
          <w:rFonts w:hint="eastAsia" w:ascii="宋体" w:hAnsi="宋体" w:cs="宋体"/>
          <w:szCs w:val="21"/>
        </w:rPr>
        <w:t>、经济行业</w:t>
      </w:r>
      <w:r>
        <w:rPr>
          <w:rFonts w:hint="eastAsia" w:ascii="宋体" w:hAnsi="宋体"/>
          <w:szCs w:val="21"/>
          <w:u w:val="single"/>
        </w:rPr>
        <w:t xml:space="preserve">                 </w:t>
      </w:r>
      <w:r>
        <w:rPr>
          <w:rFonts w:hint="eastAsia" w:ascii="宋体" w:hAnsi="宋体" w:cs="宋体"/>
          <w:szCs w:val="21"/>
        </w:rPr>
        <w:t>、经济性质</w:t>
      </w:r>
      <w:r>
        <w:rPr>
          <w:rFonts w:hint="eastAsia" w:ascii="宋体" w:hAnsi="宋体"/>
          <w:szCs w:val="21"/>
          <w:u w:val="single"/>
        </w:rPr>
        <w:t xml:space="preserve">                 </w:t>
      </w:r>
    </w:p>
    <w:p w14:paraId="420A001C">
      <w:pPr>
        <w:widowControl/>
        <w:spacing w:before="156" w:beforeLines="50" w:line="360" w:lineRule="auto"/>
        <w:ind w:firstLine="3990" w:firstLineChars="1900"/>
        <w:jc w:val="left"/>
        <w:rPr>
          <w:rFonts w:ascii="宋体" w:hAnsi="宋体" w:cs="宋体"/>
          <w:color w:val="FF0000"/>
          <w:szCs w:val="21"/>
        </w:rPr>
      </w:pPr>
    </w:p>
    <w:p w14:paraId="320E5887">
      <w:pPr>
        <w:widowControl/>
        <w:spacing w:before="156" w:beforeLines="50" w:line="360" w:lineRule="auto"/>
        <w:ind w:firstLine="3990" w:firstLineChars="1900"/>
        <w:jc w:val="left"/>
        <w:rPr>
          <w:rFonts w:ascii="宋体" w:hAnsi="宋体" w:cs="宋体"/>
          <w:color w:val="FF0000"/>
          <w:szCs w:val="21"/>
        </w:rPr>
      </w:pPr>
      <w:r>
        <w:rPr>
          <w:rFonts w:hint="eastAsia" w:ascii="宋体" w:hAnsi="宋体" w:cs="宋体"/>
          <w:color w:val="FF0000"/>
          <w:szCs w:val="21"/>
        </w:rPr>
        <w:t>公司(单位)名称(盖章)：</w:t>
      </w:r>
      <w:r>
        <w:rPr>
          <w:rFonts w:hint="eastAsia" w:ascii="宋体" w:hAnsi="宋体"/>
          <w:color w:val="FF0000"/>
          <w:szCs w:val="21"/>
          <w:u w:val="single"/>
        </w:rPr>
        <w:t xml:space="preserve">                 </w:t>
      </w:r>
    </w:p>
    <w:p w14:paraId="62FE8E84">
      <w:pPr>
        <w:widowControl/>
        <w:spacing w:before="156" w:beforeLines="50" w:line="360" w:lineRule="auto"/>
        <w:ind w:firstLine="420" w:firstLineChars="200"/>
        <w:jc w:val="left"/>
        <w:rPr>
          <w:rFonts w:ascii="宋体" w:hAnsi="宋体" w:cs="宋体"/>
          <w:color w:val="FF0000"/>
          <w:szCs w:val="21"/>
        </w:rPr>
      </w:pPr>
    </w:p>
    <w:p w14:paraId="2BCF002E">
      <w:pPr>
        <w:widowControl/>
        <w:spacing w:before="156" w:beforeLines="50" w:line="360" w:lineRule="auto"/>
        <w:ind w:firstLine="420" w:firstLineChars="200"/>
        <w:jc w:val="left"/>
        <w:rPr>
          <w:rFonts w:ascii="宋体" w:hAnsi="宋体" w:cs="宋体"/>
          <w:color w:val="FF0000"/>
          <w:szCs w:val="21"/>
        </w:rPr>
      </w:pPr>
      <w:r>
        <w:rPr>
          <w:rFonts w:hint="eastAsia" w:ascii="宋体" w:hAnsi="宋体" w:cs="宋体"/>
          <w:color w:val="FF0000"/>
          <w:szCs w:val="21"/>
        </w:rPr>
        <w:t>法定代表人(负责人)姓名(签字)</w:t>
      </w:r>
      <w:r>
        <w:rPr>
          <w:rFonts w:hint="eastAsia" w:ascii="宋体" w:hAnsi="宋体"/>
          <w:color w:val="FF0000"/>
          <w:szCs w:val="21"/>
          <w:u w:val="single"/>
        </w:rPr>
        <w:t xml:space="preserve">                 </w:t>
      </w:r>
      <w:r>
        <w:rPr>
          <w:rFonts w:hint="eastAsia" w:ascii="宋体" w:hAnsi="宋体" w:cs="宋体"/>
          <w:color w:val="FF0000"/>
          <w:szCs w:val="21"/>
        </w:rPr>
        <w:t>、</w:t>
      </w:r>
    </w:p>
    <w:p w14:paraId="43DFDA11">
      <w:pPr>
        <w:widowControl/>
        <w:spacing w:before="156" w:beforeLines="50" w:line="360" w:lineRule="auto"/>
        <w:ind w:firstLine="420" w:firstLineChars="200"/>
        <w:jc w:val="left"/>
        <w:rPr>
          <w:rFonts w:ascii="宋体" w:hAnsi="宋体" w:cs="宋体"/>
          <w:szCs w:val="21"/>
        </w:rPr>
      </w:pPr>
      <w:r>
        <w:rPr>
          <w:rFonts w:hint="eastAsia" w:ascii="宋体" w:hAnsi="宋体" w:cs="宋体"/>
          <w:szCs w:val="21"/>
        </w:rPr>
        <w:t>身份证号</w:t>
      </w:r>
      <w:r>
        <w:rPr>
          <w:rFonts w:hint="eastAsia" w:ascii="宋体" w:hAnsi="宋体"/>
          <w:szCs w:val="21"/>
          <w:u w:val="single"/>
        </w:rPr>
        <w:t xml:space="preserve">                 </w:t>
      </w:r>
      <w:r>
        <w:rPr>
          <w:rFonts w:hint="eastAsia" w:ascii="宋体" w:hAnsi="宋体" w:cs="宋体"/>
          <w:szCs w:val="21"/>
        </w:rPr>
        <w:t>、手机号:</w:t>
      </w:r>
      <w:r>
        <w:rPr>
          <w:rFonts w:hint="eastAsia" w:ascii="宋体" w:hAnsi="宋体"/>
          <w:szCs w:val="21"/>
          <w:u w:val="single"/>
        </w:rPr>
        <w:t xml:space="preserve">                 </w:t>
      </w:r>
    </w:p>
    <w:p w14:paraId="44CD20FC">
      <w:pPr>
        <w:widowControl/>
        <w:spacing w:before="156" w:beforeLines="50" w:line="360" w:lineRule="auto"/>
        <w:ind w:firstLine="420" w:firstLineChars="200"/>
        <w:jc w:val="left"/>
        <w:rPr>
          <w:rFonts w:ascii="宋体" w:hAnsi="宋体" w:cs="宋体"/>
          <w:color w:val="FF0000"/>
          <w:szCs w:val="21"/>
        </w:rPr>
      </w:pPr>
      <w:r>
        <w:rPr>
          <w:rFonts w:hint="eastAsia" w:ascii="宋体" w:hAnsi="宋体" w:cs="宋体"/>
          <w:color w:val="FF0000"/>
          <w:szCs w:val="21"/>
        </w:rPr>
        <w:t>授权代表人姓名(签字)</w:t>
      </w:r>
      <w:r>
        <w:rPr>
          <w:rFonts w:hint="eastAsia" w:ascii="宋体" w:hAnsi="宋体"/>
          <w:color w:val="FF0000"/>
          <w:szCs w:val="21"/>
          <w:u w:val="single"/>
        </w:rPr>
        <w:t xml:space="preserve">                 </w:t>
      </w:r>
      <w:r>
        <w:rPr>
          <w:rFonts w:hint="eastAsia" w:ascii="宋体" w:hAnsi="宋体" w:cs="宋体"/>
          <w:color w:val="FF0000"/>
          <w:szCs w:val="21"/>
        </w:rPr>
        <w:t>、</w:t>
      </w:r>
    </w:p>
    <w:p w14:paraId="73AF8079">
      <w:pPr>
        <w:widowControl/>
        <w:spacing w:before="156" w:beforeLines="50" w:line="360" w:lineRule="auto"/>
        <w:ind w:firstLine="420" w:firstLineChars="200"/>
        <w:jc w:val="left"/>
        <w:rPr>
          <w:rFonts w:ascii="宋体" w:hAnsi="宋体" w:cs="宋体"/>
          <w:szCs w:val="21"/>
        </w:rPr>
      </w:pPr>
      <w:r>
        <w:rPr>
          <w:rFonts w:hint="eastAsia" w:ascii="宋体" w:hAnsi="宋体" w:cs="宋体"/>
          <w:szCs w:val="21"/>
        </w:rPr>
        <w:t>身份证号</w:t>
      </w:r>
      <w:r>
        <w:rPr>
          <w:rFonts w:hint="eastAsia" w:ascii="宋体" w:hAnsi="宋体"/>
          <w:szCs w:val="21"/>
          <w:u w:val="single"/>
        </w:rPr>
        <w:t xml:space="preserve">                 </w:t>
      </w:r>
      <w:r>
        <w:rPr>
          <w:rFonts w:hint="eastAsia" w:ascii="宋体" w:hAnsi="宋体" w:cs="宋体"/>
          <w:szCs w:val="21"/>
        </w:rPr>
        <w:t>、手机号:</w:t>
      </w:r>
      <w:r>
        <w:rPr>
          <w:rFonts w:hint="eastAsia" w:ascii="宋体" w:hAnsi="宋体"/>
          <w:szCs w:val="21"/>
          <w:u w:val="single"/>
        </w:rPr>
        <w:t xml:space="preserve">                 </w:t>
      </w:r>
    </w:p>
    <w:p w14:paraId="5DE516C9">
      <w:pPr>
        <w:widowControl/>
        <w:spacing w:before="156" w:beforeLines="50" w:line="360" w:lineRule="auto"/>
        <w:ind w:firstLine="420" w:firstLineChars="200"/>
        <w:jc w:val="left"/>
        <w:rPr>
          <w:rFonts w:ascii="宋体" w:hAnsi="宋体" w:cs="宋体"/>
          <w:szCs w:val="21"/>
        </w:rPr>
      </w:pPr>
    </w:p>
    <w:p w14:paraId="68940C2C">
      <w:pPr>
        <w:pStyle w:val="4"/>
        <w:rPr>
          <w:rFonts w:ascii="黑体" w:hAnsi="仿宋" w:eastAsia="黑体" w:cs="宋体"/>
          <w:bCs w:val="0"/>
          <w:sz w:val="10"/>
          <w:szCs w:val="10"/>
        </w:rPr>
      </w:pPr>
      <w:r>
        <w:rPr>
          <w:rFonts w:ascii="黑体" w:hAnsi="仿宋" w:cs="宋体"/>
          <w:b w:val="0"/>
          <w:szCs w:val="21"/>
        </w:rPr>
        <w:br w:type="page"/>
      </w:r>
      <w:bookmarkStart w:id="1497" w:name="_Toc227246851"/>
      <w:r>
        <w:rPr>
          <w:rFonts w:hint="eastAsia" w:ascii="宋体" w:hAnsi="宋体"/>
          <w:sz w:val="21"/>
          <w:szCs w:val="24"/>
        </w:rPr>
        <w:t>附件</w:t>
      </w:r>
      <w:r>
        <w:rPr>
          <w:rFonts w:ascii="宋体" w:hAnsi="宋体"/>
          <w:sz w:val="21"/>
          <w:szCs w:val="24"/>
        </w:rPr>
        <w:t>4</w:t>
      </w:r>
      <w:r>
        <w:rPr>
          <w:rFonts w:hint="eastAsia" w:ascii="宋体" w:hAnsi="宋体"/>
          <w:sz w:val="21"/>
          <w:szCs w:val="24"/>
        </w:rPr>
        <w:t>-3 符合特定资格条件证明材料复印件或者情况说明</w:t>
      </w:r>
      <w:bookmarkEnd w:id="1497"/>
    </w:p>
    <w:p w14:paraId="46E2AF80">
      <w:pPr>
        <w:widowControl/>
        <w:adjustRightInd w:val="0"/>
        <w:snapToGrid w:val="0"/>
        <w:spacing w:line="360" w:lineRule="auto"/>
        <w:jc w:val="center"/>
        <w:rPr>
          <w:rFonts w:ascii="黑体" w:hAnsi="仿宋" w:eastAsia="黑体" w:cs="宋体"/>
          <w:b/>
          <w:sz w:val="28"/>
          <w:szCs w:val="28"/>
        </w:rPr>
      </w:pPr>
      <w:r>
        <w:rPr>
          <w:rFonts w:hint="eastAsia" w:ascii="黑体" w:hAnsi="仿宋" w:eastAsia="黑体" w:cs="宋体"/>
          <w:b/>
          <w:sz w:val="28"/>
          <w:szCs w:val="28"/>
        </w:rPr>
        <w:t>符合特定资格条件证明材料复印件或者情况说明</w:t>
      </w:r>
    </w:p>
    <w:p w14:paraId="59956B18">
      <w:pPr>
        <w:widowControl/>
        <w:adjustRightInd w:val="0"/>
        <w:snapToGrid w:val="0"/>
        <w:spacing w:line="360" w:lineRule="auto"/>
        <w:ind w:firstLine="560" w:firstLineChars="200"/>
        <w:jc w:val="left"/>
        <w:rPr>
          <w:rFonts w:ascii="黑体" w:hAnsi="仿宋" w:eastAsia="黑体" w:cs="宋体"/>
          <w:sz w:val="28"/>
          <w:szCs w:val="28"/>
        </w:rPr>
      </w:pPr>
    </w:p>
    <w:p w14:paraId="285A395F">
      <w:pPr>
        <w:widowControl/>
        <w:adjustRightInd w:val="0"/>
        <w:snapToGrid w:val="0"/>
        <w:spacing w:line="360" w:lineRule="auto"/>
        <w:ind w:firstLine="420" w:firstLineChars="200"/>
        <w:jc w:val="left"/>
        <w:rPr>
          <w:rFonts w:ascii="宋体" w:hAnsi="宋体" w:cs="宋体"/>
          <w:szCs w:val="21"/>
        </w:rPr>
      </w:pPr>
      <w:r>
        <w:rPr>
          <w:rFonts w:hint="eastAsia" w:ascii="宋体" w:hAnsi="宋体" w:cs="宋体"/>
          <w:szCs w:val="21"/>
        </w:rPr>
        <w:t>注：按第二章第</w:t>
      </w:r>
      <w:r>
        <w:rPr>
          <w:rFonts w:ascii="宋体" w:hAnsi="宋体" w:cs="宋体"/>
          <w:szCs w:val="21"/>
        </w:rPr>
        <w:t>1</w:t>
      </w:r>
      <w:r>
        <w:rPr>
          <w:rFonts w:hint="eastAsia" w:ascii="宋体" w:hAnsi="宋体" w:cs="宋体"/>
          <w:szCs w:val="21"/>
        </w:rPr>
        <w:t>4</w:t>
      </w:r>
      <w:r>
        <w:rPr>
          <w:rFonts w:ascii="宋体" w:hAnsi="宋体" w:cs="宋体"/>
          <w:szCs w:val="21"/>
        </w:rPr>
        <w:t>.1</w:t>
      </w:r>
      <w:r>
        <w:rPr>
          <w:rFonts w:hint="eastAsia" w:ascii="宋体" w:hAnsi="宋体" w:cs="宋体"/>
          <w:szCs w:val="21"/>
        </w:rPr>
        <w:t>（3）项要求提供。</w:t>
      </w:r>
    </w:p>
    <w:p w14:paraId="7DA58615">
      <w:pPr>
        <w:pStyle w:val="4"/>
        <w:rPr>
          <w:rFonts w:ascii="黑体" w:hAnsi="仿宋" w:eastAsia="黑体" w:cs="宋体"/>
          <w:sz w:val="10"/>
          <w:szCs w:val="10"/>
        </w:rPr>
      </w:pPr>
      <w:r>
        <w:rPr>
          <w:rFonts w:ascii="黑体" w:hAnsi="仿宋" w:eastAsia="黑体" w:cs="宋体"/>
          <w:szCs w:val="21"/>
        </w:rPr>
        <w:br w:type="page"/>
      </w:r>
      <w:bookmarkStart w:id="1498" w:name="_Toc227246852"/>
      <w:r>
        <w:rPr>
          <w:rFonts w:hint="eastAsia" w:ascii="宋体" w:hAnsi="宋体"/>
          <w:sz w:val="21"/>
          <w:szCs w:val="24"/>
        </w:rPr>
        <w:t>附件</w:t>
      </w:r>
      <w:r>
        <w:rPr>
          <w:rFonts w:ascii="宋体" w:hAnsi="宋体"/>
          <w:sz w:val="21"/>
          <w:szCs w:val="24"/>
        </w:rPr>
        <w:t>4</w:t>
      </w:r>
      <w:r>
        <w:rPr>
          <w:rFonts w:hint="eastAsia" w:ascii="宋体" w:hAnsi="宋体"/>
          <w:sz w:val="21"/>
          <w:szCs w:val="24"/>
        </w:rPr>
        <w:t>-4 联合体协议书（格式）</w:t>
      </w:r>
      <w:bookmarkEnd w:id="1498"/>
    </w:p>
    <w:p w14:paraId="2D6B3954">
      <w:pPr>
        <w:adjustRightInd w:val="0"/>
        <w:snapToGrid w:val="0"/>
        <w:spacing w:line="360" w:lineRule="auto"/>
        <w:jc w:val="center"/>
        <w:rPr>
          <w:rFonts w:hint="eastAsia" w:ascii="宋体" w:hAnsi="宋体"/>
          <w:b/>
          <w:szCs w:val="21"/>
        </w:rPr>
      </w:pPr>
      <w:r>
        <w:rPr>
          <w:rFonts w:hint="eastAsia" w:ascii="黑体" w:hAnsi="仿宋" w:eastAsia="黑体" w:cs="宋体"/>
          <w:b/>
          <w:sz w:val="28"/>
          <w:szCs w:val="28"/>
        </w:rPr>
        <w:t>联合体协议书（格式）</w:t>
      </w:r>
      <w:r>
        <w:rPr>
          <w:rFonts w:hint="eastAsia" w:ascii="黑体" w:hAnsi="仿宋" w:eastAsia="黑体" w:cs="宋体"/>
          <w:b/>
          <w:color w:val="FF0000"/>
          <w:sz w:val="28"/>
          <w:szCs w:val="28"/>
        </w:rPr>
        <w:t>（本</w:t>
      </w:r>
      <w:r>
        <w:rPr>
          <w:rFonts w:ascii="黑体" w:hAnsi="仿宋" w:eastAsia="黑体" w:cs="宋体"/>
          <w:b/>
          <w:color w:val="FF0000"/>
          <w:sz w:val="28"/>
          <w:szCs w:val="28"/>
        </w:rPr>
        <w:t>项目不适用</w:t>
      </w:r>
      <w:r>
        <w:rPr>
          <w:rFonts w:hint="eastAsia" w:ascii="黑体" w:hAnsi="仿宋" w:eastAsia="黑体" w:cs="宋体"/>
          <w:b/>
          <w:color w:val="FF0000"/>
          <w:sz w:val="28"/>
          <w:szCs w:val="28"/>
        </w:rPr>
        <w:t>）</w:t>
      </w:r>
    </w:p>
    <w:p w14:paraId="42B04BA1">
      <w:pPr>
        <w:adjustRightInd w:val="0"/>
        <w:snapToGrid w:val="0"/>
        <w:spacing w:line="360" w:lineRule="auto"/>
        <w:rPr>
          <w:rFonts w:ascii="宋体" w:hAnsi="宋体"/>
          <w:szCs w:val="21"/>
        </w:rPr>
      </w:pPr>
    </w:p>
    <w:p w14:paraId="5369C388">
      <w:pPr>
        <w:adjustRightInd w:val="0"/>
        <w:snapToGrid w:val="0"/>
        <w:spacing w:line="360" w:lineRule="auto"/>
        <w:rPr>
          <w:rFonts w:ascii="宋体" w:hAnsi="宋体"/>
          <w:szCs w:val="21"/>
        </w:rPr>
      </w:pPr>
      <w:r>
        <w:rPr>
          <w:rFonts w:hint="eastAsia" w:ascii="宋体" w:hAnsi="宋体"/>
          <w:szCs w:val="21"/>
        </w:rPr>
        <w:t>致</w:t>
      </w:r>
      <w:r>
        <w:rPr>
          <w:rFonts w:hint="eastAsia" w:ascii="宋体" w:hAnsi="宋体"/>
          <w:szCs w:val="21"/>
          <w:u w:val="single"/>
        </w:rPr>
        <w:t xml:space="preserve">                   </w:t>
      </w:r>
      <w:r>
        <w:rPr>
          <w:rFonts w:hint="eastAsia" w:ascii="宋体" w:hAnsi="宋体"/>
          <w:szCs w:val="21"/>
        </w:rPr>
        <w:t>（采购人、采购代理机构）：</w:t>
      </w:r>
    </w:p>
    <w:p w14:paraId="46EC429E">
      <w:pPr>
        <w:adjustRightInd w:val="0"/>
        <w:snapToGrid w:val="0"/>
        <w:spacing w:line="360" w:lineRule="auto"/>
        <w:ind w:firstLine="420" w:firstLineChars="200"/>
        <w:rPr>
          <w:rFonts w:ascii="宋体" w:hAnsi="宋体"/>
          <w:szCs w:val="21"/>
        </w:rPr>
      </w:pPr>
      <w:r>
        <w:rPr>
          <w:rFonts w:hint="eastAsia" w:ascii="宋体" w:hAnsi="宋体"/>
          <w:szCs w:val="21"/>
        </w:rPr>
        <w:t>经研究，我们决定自愿组成联合体共同参加</w:t>
      </w:r>
      <w:r>
        <w:rPr>
          <w:rFonts w:hint="eastAsia" w:ascii="宋体" w:hAnsi="宋体"/>
          <w:szCs w:val="21"/>
          <w:u w:val="single"/>
        </w:rPr>
        <w:t xml:space="preserve">                    </w:t>
      </w:r>
      <w:r>
        <w:rPr>
          <w:rFonts w:hint="eastAsia" w:ascii="宋体" w:hAnsi="宋体"/>
          <w:szCs w:val="21"/>
        </w:rPr>
        <w:t>（项目名称</w:t>
      </w:r>
      <w:r>
        <w:rPr>
          <w:rFonts w:ascii="宋体" w:hAnsi="宋体"/>
          <w:szCs w:val="21"/>
        </w:rPr>
        <w:t>）</w:t>
      </w:r>
      <w:r>
        <w:rPr>
          <w:rFonts w:hint="eastAsia" w:ascii="宋体" w:hAnsi="宋体"/>
          <w:szCs w:val="21"/>
        </w:rPr>
        <w:t>（政府采购计划编号：</w:t>
      </w:r>
      <w:r>
        <w:rPr>
          <w:rFonts w:hint="eastAsia" w:ascii="宋体" w:hAnsi="宋体"/>
          <w:szCs w:val="21"/>
          <w:u w:val="single"/>
        </w:rPr>
        <w:t xml:space="preserve">               </w:t>
      </w:r>
      <w:r>
        <w:rPr>
          <w:rFonts w:hint="eastAsia" w:ascii="宋体" w:hAnsi="宋体"/>
          <w:szCs w:val="21"/>
        </w:rPr>
        <w:t xml:space="preserve"> ）项目的投标。现就联合体投标事宜订立如下协议：</w:t>
      </w:r>
    </w:p>
    <w:p w14:paraId="0554DBAD">
      <w:pPr>
        <w:adjustRightInd w:val="0"/>
        <w:snapToGrid w:val="0"/>
        <w:spacing w:line="360" w:lineRule="auto"/>
        <w:ind w:firstLine="420" w:firstLineChars="200"/>
        <w:rPr>
          <w:rFonts w:ascii="宋体" w:hAnsi="宋体"/>
          <w:szCs w:val="21"/>
          <w:u w:val="single"/>
        </w:rPr>
      </w:pPr>
      <w:r>
        <w:rPr>
          <w:rFonts w:hint="eastAsia" w:ascii="宋体" w:hAnsi="宋体"/>
          <w:szCs w:val="21"/>
        </w:rPr>
        <w:t>一、联合体基本信息：</w:t>
      </w:r>
      <w:r>
        <w:rPr>
          <w:rFonts w:hint="eastAsia" w:ascii="宋体" w:hAnsi="宋体"/>
          <w:szCs w:val="21"/>
          <w:u w:val="single"/>
        </w:rPr>
        <w:t xml:space="preserve">                </w:t>
      </w:r>
      <w:r>
        <w:rPr>
          <w:rFonts w:hint="eastAsia" w:ascii="宋体" w:hAnsi="宋体"/>
          <w:szCs w:val="21"/>
        </w:rPr>
        <w:t>（各方公司名称、地址、注册资金、营业执照、</w:t>
      </w:r>
      <w:r>
        <w:rPr>
          <w:rFonts w:hint="eastAsia" w:ascii="宋体" w:hAnsi="宋体" w:cs="微软雅黑"/>
          <w:spacing w:val="-2"/>
          <w:kern w:val="0"/>
          <w:szCs w:val="21"/>
        </w:rPr>
        <w:t>法</w:t>
      </w:r>
      <w:r>
        <w:rPr>
          <w:rFonts w:hint="eastAsia" w:ascii="宋体" w:hAnsi="宋体" w:cs="微软雅黑"/>
          <w:kern w:val="0"/>
          <w:szCs w:val="21"/>
        </w:rPr>
        <w:t>定</w:t>
      </w:r>
      <w:r>
        <w:rPr>
          <w:rFonts w:hint="eastAsia" w:ascii="宋体" w:hAnsi="宋体" w:cs="微软雅黑"/>
          <w:spacing w:val="-2"/>
          <w:kern w:val="0"/>
          <w:szCs w:val="21"/>
        </w:rPr>
        <w:t>代</w:t>
      </w:r>
      <w:r>
        <w:rPr>
          <w:rFonts w:hint="eastAsia" w:ascii="宋体" w:hAnsi="宋体" w:cs="微软雅黑"/>
          <w:kern w:val="0"/>
          <w:szCs w:val="21"/>
        </w:rPr>
        <w:t>表</w:t>
      </w:r>
      <w:r>
        <w:rPr>
          <w:rFonts w:hint="eastAsia" w:ascii="宋体" w:hAnsi="宋体" w:cs="微软雅黑"/>
          <w:spacing w:val="-2"/>
          <w:kern w:val="0"/>
          <w:szCs w:val="21"/>
        </w:rPr>
        <w:t>人</w:t>
      </w:r>
      <w:r>
        <w:rPr>
          <w:rFonts w:hint="eastAsia" w:ascii="宋体" w:hAnsi="宋体" w:cs="微软雅黑"/>
          <w:kern w:val="0"/>
          <w:szCs w:val="21"/>
        </w:rPr>
        <w:t>（</w:t>
      </w:r>
      <w:r>
        <w:rPr>
          <w:rFonts w:hint="eastAsia" w:ascii="宋体" w:hAnsi="宋体" w:cs="微软雅黑"/>
          <w:spacing w:val="-2"/>
          <w:kern w:val="0"/>
          <w:szCs w:val="21"/>
        </w:rPr>
        <w:t>单</w:t>
      </w:r>
      <w:r>
        <w:rPr>
          <w:rFonts w:hint="eastAsia" w:ascii="宋体" w:hAnsi="宋体" w:cs="微软雅黑"/>
          <w:kern w:val="0"/>
          <w:szCs w:val="21"/>
        </w:rPr>
        <w:t>位</w:t>
      </w:r>
      <w:r>
        <w:rPr>
          <w:rFonts w:hint="eastAsia" w:ascii="宋体" w:hAnsi="宋体" w:cs="微软雅黑"/>
          <w:spacing w:val="-2"/>
          <w:kern w:val="0"/>
          <w:szCs w:val="21"/>
        </w:rPr>
        <w:t>负</w:t>
      </w:r>
      <w:r>
        <w:rPr>
          <w:rFonts w:hint="eastAsia" w:ascii="宋体" w:hAnsi="宋体" w:cs="微软雅黑"/>
          <w:kern w:val="0"/>
          <w:szCs w:val="21"/>
        </w:rPr>
        <w:t>责人</w:t>
      </w:r>
      <w:r>
        <w:rPr>
          <w:rFonts w:hint="eastAsia" w:ascii="宋体" w:hAnsi="宋体" w:cs="微软雅黑"/>
          <w:spacing w:val="-2"/>
          <w:kern w:val="0"/>
          <w:szCs w:val="21"/>
        </w:rPr>
        <w:t>）</w:t>
      </w:r>
      <w:r>
        <w:rPr>
          <w:rFonts w:hint="eastAsia" w:ascii="宋体" w:hAnsi="宋体"/>
          <w:szCs w:val="21"/>
        </w:rPr>
        <w:t>姓名）</w:t>
      </w:r>
    </w:p>
    <w:p w14:paraId="374CF128">
      <w:pPr>
        <w:adjustRightInd w:val="0"/>
        <w:snapToGrid w:val="0"/>
        <w:spacing w:line="360" w:lineRule="auto"/>
        <w:ind w:firstLine="420" w:firstLineChars="200"/>
        <w:rPr>
          <w:rFonts w:ascii="宋体" w:hAnsi="宋体"/>
          <w:szCs w:val="21"/>
        </w:rPr>
      </w:pPr>
      <w:r>
        <w:rPr>
          <w:rFonts w:hint="eastAsia" w:ascii="宋体" w:hAnsi="宋体"/>
          <w:szCs w:val="21"/>
        </w:rPr>
        <w:t>二、</w:t>
      </w:r>
      <w:r>
        <w:rPr>
          <w:rFonts w:hint="eastAsia" w:ascii="宋体" w:hAnsi="宋体"/>
          <w:szCs w:val="21"/>
          <w:u w:val="single"/>
        </w:rPr>
        <w:t xml:space="preserve">       </w:t>
      </w:r>
      <w:r>
        <w:rPr>
          <w:rFonts w:hint="eastAsia" w:ascii="宋体" w:hAnsi="宋体"/>
          <w:szCs w:val="21"/>
        </w:rPr>
        <w:t>（某成员单位名称）为</w:t>
      </w:r>
      <w:r>
        <w:rPr>
          <w:rFonts w:hint="eastAsia" w:ascii="宋体" w:hAnsi="宋体"/>
          <w:szCs w:val="21"/>
          <w:u w:val="single"/>
        </w:rPr>
        <w:t xml:space="preserve">        </w:t>
      </w:r>
      <w:r>
        <w:rPr>
          <w:rFonts w:hint="eastAsia" w:ascii="宋体" w:hAnsi="宋体"/>
          <w:szCs w:val="21"/>
        </w:rPr>
        <w:t>（联合体名称）牵头人。</w:t>
      </w:r>
    </w:p>
    <w:p w14:paraId="5999D946">
      <w:pPr>
        <w:adjustRightInd w:val="0"/>
        <w:snapToGrid w:val="0"/>
        <w:spacing w:line="360" w:lineRule="auto"/>
        <w:ind w:firstLine="420" w:firstLineChars="200"/>
        <w:rPr>
          <w:rFonts w:ascii="宋体" w:hAnsi="宋体"/>
          <w:szCs w:val="21"/>
        </w:rPr>
      </w:pPr>
      <w:r>
        <w:rPr>
          <w:rFonts w:hint="eastAsia" w:ascii="宋体" w:hAnsi="宋体"/>
          <w:szCs w:val="21"/>
        </w:rPr>
        <w:t>三、联合体牵头人合法代表联合体各成员负责本项目投标文件编制活动，代表联合体提交和接收相关的资料、信息及指示，并处理与投标有关的一切事务；联合体中标后，联合体牵头人负责合同订立和合同实施阶段的主办、组织和协调工作。</w:t>
      </w:r>
    </w:p>
    <w:p w14:paraId="4BF2FA2A">
      <w:pPr>
        <w:adjustRightInd w:val="0"/>
        <w:snapToGrid w:val="0"/>
        <w:spacing w:line="360" w:lineRule="auto"/>
        <w:ind w:firstLine="420" w:firstLineChars="200"/>
        <w:rPr>
          <w:rFonts w:ascii="宋体" w:hAnsi="宋体"/>
          <w:szCs w:val="21"/>
        </w:rPr>
      </w:pPr>
      <w:r>
        <w:rPr>
          <w:rFonts w:hint="eastAsia" w:ascii="宋体" w:hAnsi="宋体"/>
          <w:szCs w:val="21"/>
        </w:rPr>
        <w:t>四．联合体将严格按照招标文件的各项要求，递交投标文件，参加投标，履行中标义务和中标后的合同，并向采购人承担连带责任。</w:t>
      </w:r>
    </w:p>
    <w:p w14:paraId="3AB2DBAA">
      <w:pPr>
        <w:adjustRightInd w:val="0"/>
        <w:snapToGrid w:val="0"/>
        <w:spacing w:line="360" w:lineRule="auto"/>
        <w:ind w:firstLine="420" w:firstLineChars="200"/>
        <w:rPr>
          <w:rFonts w:ascii="宋体" w:hAnsi="宋体"/>
          <w:szCs w:val="21"/>
          <w:u w:val="single"/>
        </w:rPr>
      </w:pPr>
      <w:r>
        <w:rPr>
          <w:rFonts w:hint="eastAsia" w:ascii="宋体" w:hAnsi="宋体"/>
          <w:szCs w:val="21"/>
        </w:rPr>
        <w:t>五、联合体各成员单位内部的职责分工如下：</w:t>
      </w:r>
      <w:r>
        <w:rPr>
          <w:rFonts w:hint="eastAsia" w:ascii="宋体" w:hAnsi="宋体"/>
          <w:szCs w:val="21"/>
          <w:u w:val="single"/>
        </w:rPr>
        <w:t xml:space="preserve">             </w:t>
      </w:r>
      <w:r>
        <w:rPr>
          <w:rFonts w:hint="eastAsia" w:ascii="宋体" w:hAnsi="宋体"/>
          <w:szCs w:val="21"/>
        </w:rPr>
        <w:t>。按照本条上述分工，联合体各成员的协议合同金额占联合体协议合同总金额比例如下：</w:t>
      </w:r>
      <w:r>
        <w:rPr>
          <w:rFonts w:hint="eastAsia" w:ascii="宋体" w:hAnsi="宋体"/>
          <w:szCs w:val="21"/>
          <w:u w:val="single"/>
        </w:rPr>
        <w:t xml:space="preserve">               </w:t>
      </w:r>
      <w:r>
        <w:rPr>
          <w:rFonts w:hint="eastAsia" w:ascii="宋体" w:hAnsi="宋体"/>
          <w:szCs w:val="21"/>
        </w:rPr>
        <w:t>。</w:t>
      </w:r>
    </w:p>
    <w:p w14:paraId="2C4BD83D">
      <w:pPr>
        <w:adjustRightInd w:val="0"/>
        <w:snapToGrid w:val="0"/>
        <w:spacing w:line="360" w:lineRule="auto"/>
        <w:ind w:firstLine="420" w:firstLineChars="200"/>
        <w:rPr>
          <w:rFonts w:ascii="宋体" w:hAnsi="宋体"/>
          <w:szCs w:val="21"/>
        </w:rPr>
      </w:pPr>
      <w:r>
        <w:rPr>
          <w:rFonts w:hint="eastAsia" w:ascii="宋体" w:hAnsi="宋体"/>
          <w:szCs w:val="21"/>
        </w:rPr>
        <w:t>六、本协议书自签署之日起生效，合同履行完毕后自动失效。</w:t>
      </w:r>
    </w:p>
    <w:p w14:paraId="19F04F21">
      <w:pPr>
        <w:adjustRightInd w:val="0"/>
        <w:snapToGrid w:val="0"/>
        <w:spacing w:line="360" w:lineRule="auto"/>
        <w:ind w:firstLine="420" w:firstLineChars="200"/>
        <w:rPr>
          <w:rFonts w:ascii="宋体" w:hAnsi="宋体"/>
          <w:szCs w:val="21"/>
        </w:rPr>
      </w:pPr>
      <w:r>
        <w:rPr>
          <w:rFonts w:hint="eastAsia" w:ascii="宋体" w:hAnsi="宋体"/>
          <w:szCs w:val="21"/>
        </w:rPr>
        <w:t>七、本协议书一式</w:t>
      </w:r>
      <w:r>
        <w:rPr>
          <w:rFonts w:hint="eastAsia" w:ascii="宋体" w:hAnsi="宋体"/>
          <w:szCs w:val="21"/>
          <w:u w:val="single"/>
        </w:rPr>
        <w:t xml:space="preserve">    </w:t>
      </w:r>
      <w:r>
        <w:rPr>
          <w:rFonts w:hint="eastAsia" w:ascii="宋体" w:hAnsi="宋体"/>
          <w:szCs w:val="21"/>
        </w:rPr>
        <w:t>份，联合体成员和采购人各执一份。</w:t>
      </w:r>
    </w:p>
    <w:p w14:paraId="162C6832">
      <w:pPr>
        <w:adjustRightInd w:val="0"/>
        <w:snapToGrid w:val="0"/>
        <w:spacing w:line="360" w:lineRule="auto"/>
        <w:rPr>
          <w:rFonts w:ascii="宋体" w:hAnsi="宋体"/>
          <w:szCs w:val="21"/>
        </w:rPr>
      </w:pPr>
    </w:p>
    <w:p w14:paraId="74EF09C4">
      <w:pPr>
        <w:adjustRightInd w:val="0"/>
        <w:snapToGrid w:val="0"/>
        <w:spacing w:line="360" w:lineRule="auto"/>
        <w:rPr>
          <w:rFonts w:ascii="宋体" w:hAnsi="宋体"/>
          <w:szCs w:val="21"/>
        </w:rPr>
      </w:pPr>
      <w:r>
        <w:rPr>
          <w:rFonts w:hint="eastAsia" w:ascii="宋体" w:hAnsi="宋体"/>
          <w:szCs w:val="21"/>
        </w:rPr>
        <w:t>牵头人名称（盖单位章）：</w:t>
      </w:r>
    </w:p>
    <w:p w14:paraId="420EDF82">
      <w:pPr>
        <w:adjustRightInd w:val="0"/>
        <w:snapToGrid w:val="0"/>
        <w:spacing w:line="360" w:lineRule="auto"/>
        <w:rPr>
          <w:rFonts w:ascii="宋体" w:hAnsi="宋体"/>
          <w:szCs w:val="21"/>
        </w:rPr>
      </w:pPr>
      <w:r>
        <w:rPr>
          <w:rFonts w:hint="eastAsia" w:ascii="宋体" w:hAnsi="宋体" w:cs="微软雅黑"/>
          <w:spacing w:val="-2"/>
          <w:kern w:val="0"/>
          <w:szCs w:val="21"/>
        </w:rPr>
        <w:t>法</w:t>
      </w:r>
      <w:r>
        <w:rPr>
          <w:rFonts w:hint="eastAsia" w:ascii="宋体" w:hAnsi="宋体" w:cs="微软雅黑"/>
          <w:kern w:val="0"/>
          <w:szCs w:val="21"/>
        </w:rPr>
        <w:t>定</w:t>
      </w:r>
      <w:r>
        <w:rPr>
          <w:rFonts w:hint="eastAsia" w:ascii="宋体" w:hAnsi="宋体" w:cs="微软雅黑"/>
          <w:spacing w:val="-2"/>
          <w:kern w:val="0"/>
          <w:szCs w:val="21"/>
        </w:rPr>
        <w:t>代</w:t>
      </w:r>
      <w:r>
        <w:rPr>
          <w:rFonts w:hint="eastAsia" w:ascii="宋体" w:hAnsi="宋体" w:cs="微软雅黑"/>
          <w:kern w:val="0"/>
          <w:szCs w:val="21"/>
        </w:rPr>
        <w:t>表</w:t>
      </w:r>
      <w:r>
        <w:rPr>
          <w:rFonts w:hint="eastAsia" w:ascii="宋体" w:hAnsi="宋体" w:cs="微软雅黑"/>
          <w:spacing w:val="-2"/>
          <w:kern w:val="0"/>
          <w:szCs w:val="21"/>
        </w:rPr>
        <w:t>人</w:t>
      </w:r>
      <w:r>
        <w:rPr>
          <w:rFonts w:hint="eastAsia" w:ascii="宋体" w:hAnsi="宋体" w:cs="微软雅黑"/>
          <w:kern w:val="0"/>
          <w:szCs w:val="21"/>
        </w:rPr>
        <w:t>（</w:t>
      </w:r>
      <w:r>
        <w:rPr>
          <w:rFonts w:hint="eastAsia" w:ascii="宋体" w:hAnsi="宋体" w:cs="微软雅黑"/>
          <w:spacing w:val="-2"/>
          <w:kern w:val="0"/>
          <w:szCs w:val="21"/>
        </w:rPr>
        <w:t>单</w:t>
      </w:r>
      <w:r>
        <w:rPr>
          <w:rFonts w:hint="eastAsia" w:ascii="宋体" w:hAnsi="宋体" w:cs="微软雅黑"/>
          <w:kern w:val="0"/>
          <w:szCs w:val="21"/>
        </w:rPr>
        <w:t>位</w:t>
      </w:r>
      <w:r>
        <w:rPr>
          <w:rFonts w:hint="eastAsia" w:ascii="宋体" w:hAnsi="宋体" w:cs="微软雅黑"/>
          <w:spacing w:val="-2"/>
          <w:kern w:val="0"/>
          <w:szCs w:val="21"/>
        </w:rPr>
        <w:t>负</w:t>
      </w:r>
      <w:r>
        <w:rPr>
          <w:rFonts w:hint="eastAsia" w:ascii="宋体" w:hAnsi="宋体" w:cs="微软雅黑"/>
          <w:kern w:val="0"/>
          <w:szCs w:val="21"/>
        </w:rPr>
        <w:t>责人</w:t>
      </w:r>
      <w:r>
        <w:rPr>
          <w:rFonts w:hint="eastAsia" w:ascii="宋体" w:hAnsi="宋体" w:cs="微软雅黑"/>
          <w:spacing w:val="-2"/>
          <w:kern w:val="0"/>
          <w:szCs w:val="21"/>
        </w:rPr>
        <w:t>）</w:t>
      </w:r>
      <w:r>
        <w:rPr>
          <w:rFonts w:hint="eastAsia" w:ascii="宋体" w:hAnsi="宋体"/>
          <w:szCs w:val="21"/>
        </w:rPr>
        <w:t>或其委托代理人（签字或印章）：</w:t>
      </w:r>
      <w:r>
        <w:rPr>
          <w:rFonts w:hint="eastAsia" w:ascii="宋体" w:hAnsi="宋体"/>
          <w:szCs w:val="21"/>
          <w:u w:val="single"/>
        </w:rPr>
        <w:t xml:space="preserve">                          </w:t>
      </w:r>
    </w:p>
    <w:p w14:paraId="59F0B713">
      <w:pPr>
        <w:adjustRightInd w:val="0"/>
        <w:snapToGrid w:val="0"/>
        <w:spacing w:line="360" w:lineRule="auto"/>
        <w:rPr>
          <w:rFonts w:ascii="宋体" w:hAnsi="宋体"/>
          <w:szCs w:val="21"/>
        </w:rPr>
      </w:pPr>
    </w:p>
    <w:p w14:paraId="591F0796">
      <w:pPr>
        <w:adjustRightInd w:val="0"/>
        <w:snapToGrid w:val="0"/>
        <w:spacing w:line="360" w:lineRule="auto"/>
        <w:rPr>
          <w:rFonts w:ascii="宋体" w:hAnsi="宋体"/>
          <w:szCs w:val="21"/>
        </w:rPr>
      </w:pPr>
      <w:r>
        <w:rPr>
          <w:rFonts w:hint="eastAsia" w:ascii="宋体" w:hAnsi="宋体"/>
          <w:szCs w:val="21"/>
        </w:rPr>
        <w:t>成员1名称（盖单位章）：</w:t>
      </w:r>
    </w:p>
    <w:p w14:paraId="5060359C">
      <w:pPr>
        <w:adjustRightInd w:val="0"/>
        <w:snapToGrid w:val="0"/>
        <w:spacing w:line="360" w:lineRule="auto"/>
        <w:rPr>
          <w:rFonts w:ascii="宋体" w:hAnsi="宋体"/>
          <w:szCs w:val="21"/>
        </w:rPr>
      </w:pPr>
      <w:r>
        <w:rPr>
          <w:rFonts w:hint="eastAsia" w:ascii="宋体" w:hAnsi="宋体" w:cs="微软雅黑"/>
          <w:spacing w:val="-2"/>
          <w:kern w:val="0"/>
          <w:szCs w:val="21"/>
        </w:rPr>
        <w:t>法</w:t>
      </w:r>
      <w:r>
        <w:rPr>
          <w:rFonts w:hint="eastAsia" w:ascii="宋体" w:hAnsi="宋体" w:cs="微软雅黑"/>
          <w:kern w:val="0"/>
          <w:szCs w:val="21"/>
        </w:rPr>
        <w:t>定</w:t>
      </w:r>
      <w:r>
        <w:rPr>
          <w:rFonts w:hint="eastAsia" w:ascii="宋体" w:hAnsi="宋体" w:cs="微软雅黑"/>
          <w:spacing w:val="-2"/>
          <w:kern w:val="0"/>
          <w:szCs w:val="21"/>
        </w:rPr>
        <w:t>代</w:t>
      </w:r>
      <w:r>
        <w:rPr>
          <w:rFonts w:hint="eastAsia" w:ascii="宋体" w:hAnsi="宋体" w:cs="微软雅黑"/>
          <w:kern w:val="0"/>
          <w:szCs w:val="21"/>
        </w:rPr>
        <w:t>表</w:t>
      </w:r>
      <w:r>
        <w:rPr>
          <w:rFonts w:hint="eastAsia" w:ascii="宋体" w:hAnsi="宋体" w:cs="微软雅黑"/>
          <w:spacing w:val="-2"/>
          <w:kern w:val="0"/>
          <w:szCs w:val="21"/>
        </w:rPr>
        <w:t>人</w:t>
      </w:r>
      <w:r>
        <w:rPr>
          <w:rFonts w:hint="eastAsia" w:ascii="宋体" w:hAnsi="宋体" w:cs="微软雅黑"/>
          <w:kern w:val="0"/>
          <w:szCs w:val="21"/>
        </w:rPr>
        <w:t>（</w:t>
      </w:r>
      <w:r>
        <w:rPr>
          <w:rFonts w:hint="eastAsia" w:ascii="宋体" w:hAnsi="宋体" w:cs="微软雅黑"/>
          <w:spacing w:val="-2"/>
          <w:kern w:val="0"/>
          <w:szCs w:val="21"/>
        </w:rPr>
        <w:t>单</w:t>
      </w:r>
      <w:r>
        <w:rPr>
          <w:rFonts w:hint="eastAsia" w:ascii="宋体" w:hAnsi="宋体" w:cs="微软雅黑"/>
          <w:kern w:val="0"/>
          <w:szCs w:val="21"/>
        </w:rPr>
        <w:t>位</w:t>
      </w:r>
      <w:r>
        <w:rPr>
          <w:rFonts w:hint="eastAsia" w:ascii="宋体" w:hAnsi="宋体" w:cs="微软雅黑"/>
          <w:spacing w:val="-2"/>
          <w:kern w:val="0"/>
          <w:szCs w:val="21"/>
        </w:rPr>
        <w:t>负</w:t>
      </w:r>
      <w:r>
        <w:rPr>
          <w:rFonts w:hint="eastAsia" w:ascii="宋体" w:hAnsi="宋体" w:cs="微软雅黑"/>
          <w:kern w:val="0"/>
          <w:szCs w:val="21"/>
        </w:rPr>
        <w:t>责人</w:t>
      </w:r>
      <w:r>
        <w:rPr>
          <w:rFonts w:hint="eastAsia" w:ascii="宋体" w:hAnsi="宋体" w:cs="微软雅黑"/>
          <w:spacing w:val="-2"/>
          <w:kern w:val="0"/>
          <w:szCs w:val="21"/>
        </w:rPr>
        <w:t>）</w:t>
      </w:r>
      <w:r>
        <w:rPr>
          <w:rFonts w:hint="eastAsia" w:ascii="宋体" w:hAnsi="宋体"/>
          <w:szCs w:val="21"/>
        </w:rPr>
        <w:t>或其委托代理人（签字或印章）：</w:t>
      </w:r>
      <w:r>
        <w:rPr>
          <w:rFonts w:hint="eastAsia" w:ascii="宋体" w:hAnsi="宋体"/>
          <w:szCs w:val="21"/>
          <w:u w:val="single"/>
        </w:rPr>
        <w:t xml:space="preserve">                          </w:t>
      </w:r>
    </w:p>
    <w:p w14:paraId="2EA96752">
      <w:pPr>
        <w:adjustRightInd w:val="0"/>
        <w:snapToGrid w:val="0"/>
        <w:spacing w:line="360" w:lineRule="auto"/>
        <w:rPr>
          <w:rFonts w:ascii="宋体" w:hAnsi="宋体"/>
          <w:szCs w:val="21"/>
        </w:rPr>
      </w:pPr>
      <w:r>
        <w:rPr>
          <w:rFonts w:hint="eastAsia" w:ascii="宋体" w:hAnsi="宋体"/>
          <w:szCs w:val="21"/>
        </w:rPr>
        <w:t>成员2名称（盖单位章）：</w:t>
      </w:r>
    </w:p>
    <w:p w14:paraId="71943A18">
      <w:pPr>
        <w:adjustRightInd w:val="0"/>
        <w:snapToGrid w:val="0"/>
        <w:spacing w:line="360" w:lineRule="auto"/>
        <w:rPr>
          <w:rFonts w:ascii="宋体" w:hAnsi="宋体"/>
          <w:szCs w:val="21"/>
        </w:rPr>
      </w:pPr>
      <w:r>
        <w:rPr>
          <w:rFonts w:hint="eastAsia" w:ascii="宋体" w:hAnsi="宋体" w:cs="微软雅黑"/>
          <w:spacing w:val="-2"/>
          <w:kern w:val="0"/>
          <w:szCs w:val="21"/>
        </w:rPr>
        <w:t>法</w:t>
      </w:r>
      <w:r>
        <w:rPr>
          <w:rFonts w:hint="eastAsia" w:ascii="宋体" w:hAnsi="宋体" w:cs="微软雅黑"/>
          <w:kern w:val="0"/>
          <w:szCs w:val="21"/>
        </w:rPr>
        <w:t>定</w:t>
      </w:r>
      <w:r>
        <w:rPr>
          <w:rFonts w:hint="eastAsia" w:ascii="宋体" w:hAnsi="宋体" w:cs="微软雅黑"/>
          <w:spacing w:val="-2"/>
          <w:kern w:val="0"/>
          <w:szCs w:val="21"/>
        </w:rPr>
        <w:t>代</w:t>
      </w:r>
      <w:r>
        <w:rPr>
          <w:rFonts w:hint="eastAsia" w:ascii="宋体" w:hAnsi="宋体" w:cs="微软雅黑"/>
          <w:kern w:val="0"/>
          <w:szCs w:val="21"/>
        </w:rPr>
        <w:t>表</w:t>
      </w:r>
      <w:r>
        <w:rPr>
          <w:rFonts w:hint="eastAsia" w:ascii="宋体" w:hAnsi="宋体" w:cs="微软雅黑"/>
          <w:spacing w:val="-2"/>
          <w:kern w:val="0"/>
          <w:szCs w:val="21"/>
        </w:rPr>
        <w:t>人</w:t>
      </w:r>
      <w:r>
        <w:rPr>
          <w:rFonts w:hint="eastAsia" w:ascii="宋体" w:hAnsi="宋体" w:cs="微软雅黑"/>
          <w:kern w:val="0"/>
          <w:szCs w:val="21"/>
        </w:rPr>
        <w:t>（</w:t>
      </w:r>
      <w:r>
        <w:rPr>
          <w:rFonts w:hint="eastAsia" w:ascii="宋体" w:hAnsi="宋体" w:cs="微软雅黑"/>
          <w:spacing w:val="-2"/>
          <w:kern w:val="0"/>
          <w:szCs w:val="21"/>
        </w:rPr>
        <w:t>单</w:t>
      </w:r>
      <w:r>
        <w:rPr>
          <w:rFonts w:hint="eastAsia" w:ascii="宋体" w:hAnsi="宋体" w:cs="微软雅黑"/>
          <w:kern w:val="0"/>
          <w:szCs w:val="21"/>
        </w:rPr>
        <w:t>位</w:t>
      </w:r>
      <w:r>
        <w:rPr>
          <w:rFonts w:hint="eastAsia" w:ascii="宋体" w:hAnsi="宋体" w:cs="微软雅黑"/>
          <w:spacing w:val="-2"/>
          <w:kern w:val="0"/>
          <w:szCs w:val="21"/>
        </w:rPr>
        <w:t>负</w:t>
      </w:r>
      <w:r>
        <w:rPr>
          <w:rFonts w:hint="eastAsia" w:ascii="宋体" w:hAnsi="宋体" w:cs="微软雅黑"/>
          <w:kern w:val="0"/>
          <w:szCs w:val="21"/>
        </w:rPr>
        <w:t>责人</w:t>
      </w:r>
      <w:r>
        <w:rPr>
          <w:rFonts w:hint="eastAsia" w:ascii="宋体" w:hAnsi="宋体" w:cs="微软雅黑"/>
          <w:spacing w:val="-2"/>
          <w:kern w:val="0"/>
          <w:szCs w:val="21"/>
        </w:rPr>
        <w:t>）</w:t>
      </w:r>
      <w:r>
        <w:rPr>
          <w:rFonts w:hint="eastAsia" w:ascii="宋体" w:hAnsi="宋体"/>
          <w:szCs w:val="21"/>
        </w:rPr>
        <w:t>或其委托代理人（签字或印章）：</w:t>
      </w:r>
      <w:r>
        <w:rPr>
          <w:rFonts w:hint="eastAsia" w:ascii="宋体" w:hAnsi="宋体"/>
          <w:szCs w:val="21"/>
          <w:u w:val="single"/>
        </w:rPr>
        <w:t xml:space="preserve">                          </w:t>
      </w:r>
    </w:p>
    <w:p w14:paraId="5A472367">
      <w:pPr>
        <w:adjustRightInd w:val="0"/>
        <w:snapToGrid w:val="0"/>
        <w:spacing w:line="360" w:lineRule="auto"/>
        <w:rPr>
          <w:rFonts w:ascii="宋体" w:hAnsi="宋体"/>
          <w:szCs w:val="21"/>
        </w:rPr>
      </w:pPr>
      <w:r>
        <w:rPr>
          <w:rFonts w:ascii="宋体" w:hAnsi="宋体"/>
          <w:szCs w:val="21"/>
        </w:rPr>
        <w:t>…</w:t>
      </w:r>
    </w:p>
    <w:p w14:paraId="50E959DF">
      <w:pPr>
        <w:adjustRightInd w:val="0"/>
        <w:snapToGrid w:val="0"/>
        <w:spacing w:line="360" w:lineRule="auto"/>
        <w:rPr>
          <w:rFonts w:ascii="宋体" w:hAnsi="宋体"/>
          <w:szCs w:val="21"/>
        </w:rPr>
      </w:pPr>
      <w:r>
        <w:rPr>
          <w:rFonts w:hint="eastAsia" w:ascii="宋体" w:hAnsi="宋体"/>
          <w:szCs w:val="21"/>
        </w:rPr>
        <w:t>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 xml:space="preserve">日  </w:t>
      </w:r>
    </w:p>
    <w:p w14:paraId="58B148B8">
      <w:pPr>
        <w:widowControl/>
        <w:adjustRightInd w:val="0"/>
        <w:snapToGrid w:val="0"/>
        <w:spacing w:line="360" w:lineRule="auto"/>
        <w:ind w:firstLine="420" w:firstLineChars="200"/>
        <w:jc w:val="left"/>
        <w:rPr>
          <w:rFonts w:ascii="宋体" w:hAnsi="宋体"/>
          <w:szCs w:val="21"/>
        </w:rPr>
      </w:pPr>
      <w:r>
        <w:rPr>
          <w:rFonts w:hint="eastAsia" w:ascii="宋体" w:hAnsi="宋体"/>
          <w:bCs/>
          <w:szCs w:val="21"/>
        </w:rPr>
        <w:t>注：1.</w:t>
      </w:r>
      <w:r>
        <w:rPr>
          <w:rFonts w:hint="eastAsia" w:ascii="宋体" w:hAnsi="宋体"/>
          <w:szCs w:val="21"/>
        </w:rPr>
        <w:t>本协议书由委托代理人签字的，应附授权委托书。</w:t>
      </w:r>
    </w:p>
    <w:p w14:paraId="7953375B">
      <w:pPr>
        <w:widowControl/>
        <w:adjustRightInd w:val="0"/>
        <w:snapToGrid w:val="0"/>
        <w:spacing w:line="360" w:lineRule="auto"/>
        <w:ind w:firstLine="420" w:firstLineChars="200"/>
        <w:jc w:val="left"/>
        <w:rPr>
          <w:rFonts w:ascii="宋体" w:hAnsi="宋体"/>
          <w:szCs w:val="21"/>
        </w:rPr>
      </w:pPr>
      <w:r>
        <w:rPr>
          <w:rFonts w:hint="eastAsia" w:ascii="宋体" w:hAnsi="宋体"/>
          <w:szCs w:val="21"/>
        </w:rPr>
        <w:t>2.投标人在提交投标文件的截止时间前修改“开标一览表”中的投标报价，影响本协议书第五条的，应同时修改本协议书第五条。否则，评审时价格评审优惠不予以考虑。</w:t>
      </w:r>
    </w:p>
    <w:p w14:paraId="29554928">
      <w:pPr>
        <w:pStyle w:val="102"/>
        <w:ind w:firstLine="0" w:firstLineChars="0"/>
        <w:rPr>
          <w:rFonts w:hint="eastAsia"/>
        </w:rPr>
      </w:pPr>
    </w:p>
    <w:p w14:paraId="66FC50E3">
      <w:pPr>
        <w:pStyle w:val="4"/>
        <w:rPr>
          <w:rFonts w:ascii="宋体" w:hAnsi="宋体"/>
          <w:sz w:val="21"/>
          <w:szCs w:val="24"/>
        </w:rPr>
      </w:pPr>
      <w:bookmarkStart w:id="1499" w:name="_Toc227246853"/>
      <w:r>
        <w:rPr>
          <w:rFonts w:hint="eastAsia" w:ascii="宋体" w:hAnsi="宋体"/>
          <w:sz w:val="21"/>
          <w:szCs w:val="24"/>
        </w:rPr>
        <w:t>附件</w:t>
      </w:r>
      <w:r>
        <w:rPr>
          <w:rFonts w:ascii="宋体" w:hAnsi="宋体"/>
          <w:sz w:val="21"/>
          <w:szCs w:val="24"/>
        </w:rPr>
        <w:t xml:space="preserve">4-5   </w:t>
      </w:r>
      <w:r>
        <w:rPr>
          <w:rFonts w:hint="eastAsia" w:ascii="宋体" w:hAnsi="宋体"/>
          <w:sz w:val="21"/>
          <w:szCs w:val="24"/>
        </w:rPr>
        <w:t>投标人资格声明(格式)</w:t>
      </w:r>
      <w:bookmarkEnd w:id="1499"/>
    </w:p>
    <w:p w14:paraId="738C9AD8">
      <w:pPr>
        <w:widowControl/>
        <w:snapToGrid w:val="0"/>
        <w:spacing w:before="156" w:line="360" w:lineRule="auto"/>
        <w:jc w:val="center"/>
        <w:textAlignment w:val="baseline"/>
        <w:rPr>
          <w:rFonts w:hint="eastAsia" w:ascii="宋体" w:hAnsi="宋体" w:cs="宋体"/>
          <w:sz w:val="20"/>
          <w:szCs w:val="21"/>
        </w:rPr>
      </w:pPr>
      <w:r>
        <w:rPr>
          <w:rFonts w:hint="eastAsia" w:ascii="宋体" w:hAnsi="宋体" w:cs="宋体"/>
          <w:b/>
          <w:sz w:val="28"/>
          <w:szCs w:val="28"/>
        </w:rPr>
        <w:t>投标人资格声明(格式)</w:t>
      </w:r>
    </w:p>
    <w:p w14:paraId="42F9DD87">
      <w:pPr>
        <w:widowControl/>
        <w:snapToGrid w:val="0"/>
        <w:spacing w:before="156" w:line="360" w:lineRule="auto"/>
        <w:jc w:val="left"/>
        <w:textAlignment w:val="baseline"/>
        <w:rPr>
          <w:rFonts w:ascii="宋体" w:hAnsi="宋体" w:cs="宋体"/>
          <w:kern w:val="0"/>
          <w:sz w:val="20"/>
          <w:szCs w:val="21"/>
        </w:rPr>
      </w:pPr>
      <w:r>
        <w:rPr>
          <w:rFonts w:hint="eastAsia" w:ascii="宋体" w:hAnsi="宋体" w:cs="宋体"/>
          <w:szCs w:val="21"/>
        </w:rPr>
        <w:t>致</w:t>
      </w:r>
      <w:r>
        <w:rPr>
          <w:rFonts w:hint="eastAsia" w:ascii="宋体" w:hAnsi="宋体" w:cs="宋体"/>
          <w:szCs w:val="21"/>
          <w:u w:val="single" w:color="000000"/>
        </w:rPr>
        <w:t xml:space="preserve">            </w:t>
      </w:r>
      <w:r>
        <w:rPr>
          <w:rFonts w:hint="eastAsia" w:ascii="宋体" w:hAnsi="宋体" w:cs="宋体"/>
          <w:szCs w:val="21"/>
        </w:rPr>
        <w:t>(采购人、采购代理机构)：</w:t>
      </w:r>
    </w:p>
    <w:p w14:paraId="60C179A4">
      <w:pPr>
        <w:widowControl/>
        <w:snapToGrid w:val="0"/>
        <w:spacing w:before="156" w:line="360" w:lineRule="auto"/>
        <w:ind w:firstLine="420" w:firstLineChars="200"/>
        <w:jc w:val="left"/>
        <w:textAlignment w:val="baseline"/>
        <w:rPr>
          <w:rFonts w:ascii="宋体" w:hAnsi="宋体" w:cs="宋体"/>
          <w:kern w:val="0"/>
          <w:sz w:val="20"/>
          <w:szCs w:val="21"/>
        </w:rPr>
      </w:pPr>
      <w:r>
        <w:rPr>
          <w:rFonts w:hint="eastAsia" w:ascii="宋体" w:hAnsi="宋体" w:cs="宋体"/>
          <w:szCs w:val="21"/>
        </w:rPr>
        <w:t>按照《中华人民共和国政府采购法》第二十二条和招标文件的规定，我单位郑重声明如下：</w:t>
      </w:r>
    </w:p>
    <w:p w14:paraId="52743BB8">
      <w:pPr>
        <w:widowControl/>
        <w:snapToGrid w:val="0"/>
        <w:spacing w:before="156" w:line="360" w:lineRule="auto"/>
        <w:ind w:firstLine="420" w:firstLineChars="200"/>
        <w:jc w:val="left"/>
        <w:textAlignment w:val="baseline"/>
        <w:rPr>
          <w:rFonts w:ascii="宋体" w:hAnsi="宋体" w:cs="宋体"/>
          <w:kern w:val="0"/>
          <w:sz w:val="20"/>
          <w:szCs w:val="21"/>
        </w:rPr>
      </w:pPr>
      <w:r>
        <w:rPr>
          <w:rFonts w:hint="eastAsia" w:ascii="宋体" w:hAnsi="宋体" w:cs="宋体"/>
          <w:szCs w:val="21"/>
        </w:rPr>
        <w:t>一、我单位是按照中华人民共和国法律规定登记注册的，注册地点为</w:t>
      </w:r>
      <w:r>
        <w:rPr>
          <w:rFonts w:hint="eastAsia" w:ascii="宋体" w:hAnsi="宋体" w:cs="宋体"/>
          <w:szCs w:val="21"/>
          <w:u w:val="single" w:color="000000"/>
        </w:rPr>
        <w:t xml:space="preserve">         </w:t>
      </w:r>
      <w:r>
        <w:rPr>
          <w:rFonts w:hint="eastAsia" w:ascii="宋体" w:hAnsi="宋体" w:cs="宋体"/>
          <w:szCs w:val="21"/>
        </w:rPr>
        <w:t>，全称为</w:t>
      </w:r>
      <w:r>
        <w:rPr>
          <w:rFonts w:hint="eastAsia" w:ascii="宋体" w:hAnsi="宋体" w:cs="宋体"/>
          <w:szCs w:val="21"/>
          <w:u w:val="single" w:color="000000"/>
        </w:rPr>
        <w:t xml:space="preserve">        </w:t>
      </w:r>
      <w:r>
        <w:rPr>
          <w:rFonts w:hint="eastAsia" w:ascii="宋体" w:hAnsi="宋体" w:cs="宋体"/>
          <w:szCs w:val="21"/>
        </w:rPr>
        <w:t>，统一社会信用代码为</w:t>
      </w:r>
      <w:r>
        <w:rPr>
          <w:rFonts w:hint="eastAsia" w:ascii="宋体" w:hAnsi="宋体" w:cs="宋体"/>
          <w:szCs w:val="21"/>
          <w:u w:val="single" w:color="000000"/>
        </w:rPr>
        <w:t xml:space="preserve">            </w:t>
      </w:r>
      <w:r>
        <w:rPr>
          <w:rFonts w:hint="eastAsia" w:ascii="宋体" w:hAnsi="宋体" w:cs="宋体"/>
          <w:szCs w:val="21"/>
        </w:rPr>
        <w:t>，法定代表人</w:t>
      </w:r>
      <w:r>
        <w:rPr>
          <w:rFonts w:hint="eastAsia" w:ascii="宋体" w:hAnsi="宋体" w:cs="微软雅黑"/>
          <w:kern w:val="0"/>
          <w:szCs w:val="21"/>
        </w:rPr>
        <w:t>（</w:t>
      </w:r>
      <w:r>
        <w:rPr>
          <w:rFonts w:hint="eastAsia" w:ascii="宋体" w:hAnsi="宋体" w:cs="微软雅黑"/>
          <w:spacing w:val="-2"/>
          <w:kern w:val="0"/>
          <w:szCs w:val="21"/>
        </w:rPr>
        <w:t>单</w:t>
      </w:r>
      <w:r>
        <w:rPr>
          <w:rFonts w:hint="eastAsia" w:ascii="宋体" w:hAnsi="宋体" w:cs="微软雅黑"/>
          <w:kern w:val="0"/>
          <w:szCs w:val="21"/>
        </w:rPr>
        <w:t>位</w:t>
      </w:r>
      <w:r>
        <w:rPr>
          <w:rFonts w:hint="eastAsia" w:ascii="宋体" w:hAnsi="宋体" w:cs="微软雅黑"/>
          <w:spacing w:val="-2"/>
          <w:kern w:val="0"/>
          <w:szCs w:val="21"/>
        </w:rPr>
        <w:t>负</w:t>
      </w:r>
      <w:r>
        <w:rPr>
          <w:rFonts w:hint="eastAsia" w:ascii="宋体" w:hAnsi="宋体" w:cs="微软雅黑"/>
          <w:kern w:val="0"/>
          <w:szCs w:val="21"/>
        </w:rPr>
        <w:t>责人</w:t>
      </w:r>
      <w:r>
        <w:rPr>
          <w:rFonts w:hint="eastAsia" w:ascii="宋体" w:hAnsi="宋体" w:cs="微软雅黑"/>
          <w:spacing w:val="-2"/>
          <w:kern w:val="0"/>
          <w:szCs w:val="21"/>
        </w:rPr>
        <w:t>）</w:t>
      </w:r>
      <w:r>
        <w:rPr>
          <w:rFonts w:hint="eastAsia" w:ascii="宋体" w:hAnsi="宋体" w:cs="宋体"/>
          <w:szCs w:val="21"/>
        </w:rPr>
        <w:t>为</w:t>
      </w:r>
      <w:r>
        <w:rPr>
          <w:rFonts w:hint="eastAsia" w:ascii="宋体" w:hAnsi="宋体" w:cs="宋体"/>
          <w:szCs w:val="21"/>
          <w:u w:val="single" w:color="000000"/>
        </w:rPr>
        <w:t xml:space="preserve">         </w:t>
      </w:r>
      <w:r>
        <w:rPr>
          <w:rFonts w:hint="eastAsia" w:ascii="宋体" w:hAnsi="宋体" w:cs="宋体"/>
          <w:szCs w:val="21"/>
        </w:rPr>
        <w:t>，具有独立承担民事责任的能力。</w:t>
      </w:r>
    </w:p>
    <w:p w14:paraId="11F58BCB">
      <w:pPr>
        <w:widowControl/>
        <w:snapToGrid w:val="0"/>
        <w:spacing w:before="156" w:line="360" w:lineRule="auto"/>
        <w:ind w:firstLine="420" w:firstLineChars="200"/>
        <w:jc w:val="left"/>
        <w:textAlignment w:val="baseline"/>
        <w:rPr>
          <w:rFonts w:ascii="宋体" w:hAnsi="宋体" w:cs="宋体"/>
          <w:sz w:val="20"/>
          <w:szCs w:val="21"/>
        </w:rPr>
      </w:pPr>
      <w:r>
        <w:rPr>
          <w:rFonts w:hint="eastAsia" w:ascii="宋体" w:hAnsi="宋体" w:cs="宋体"/>
          <w:szCs w:val="21"/>
        </w:rPr>
        <w:t>二、我单位未被“国家企业信用信息系统”列入经营异常名录或者严重违法企业名单。</w:t>
      </w:r>
    </w:p>
    <w:p w14:paraId="29A0B486">
      <w:pPr>
        <w:widowControl/>
        <w:snapToGrid w:val="0"/>
        <w:spacing w:before="156" w:line="360" w:lineRule="auto"/>
        <w:ind w:firstLine="420" w:firstLineChars="200"/>
        <w:jc w:val="left"/>
        <w:textAlignment w:val="baseline"/>
        <w:rPr>
          <w:rFonts w:ascii="宋体" w:hAnsi="宋体" w:cs="宋体"/>
          <w:sz w:val="20"/>
          <w:szCs w:val="21"/>
        </w:rPr>
      </w:pPr>
      <w:r>
        <w:rPr>
          <w:rFonts w:hint="eastAsia" w:ascii="宋体" w:hAnsi="宋体" w:cs="宋体"/>
          <w:kern w:val="0"/>
          <w:szCs w:val="21"/>
        </w:rPr>
        <w:t>三、</w:t>
      </w:r>
      <w:r>
        <w:rPr>
          <w:rFonts w:hint="eastAsia" w:ascii="宋体" w:hAnsi="宋体" w:cs="宋体"/>
          <w:szCs w:val="21"/>
        </w:rPr>
        <w:t>我单位具有良好的商业信誉和健全的财务会计制度。</w:t>
      </w:r>
    </w:p>
    <w:p w14:paraId="78D8A8BA">
      <w:pPr>
        <w:widowControl/>
        <w:snapToGrid w:val="0"/>
        <w:spacing w:before="156" w:line="360" w:lineRule="auto"/>
        <w:ind w:firstLine="420" w:firstLineChars="200"/>
        <w:jc w:val="left"/>
        <w:textAlignment w:val="baseline"/>
        <w:rPr>
          <w:rFonts w:ascii="宋体" w:hAnsi="宋体" w:cs="宋体"/>
          <w:kern w:val="0"/>
          <w:sz w:val="20"/>
          <w:szCs w:val="21"/>
        </w:rPr>
      </w:pPr>
      <w:r>
        <w:rPr>
          <w:rFonts w:hint="eastAsia" w:ascii="宋体" w:hAnsi="宋体" w:cs="宋体"/>
          <w:kern w:val="0"/>
          <w:szCs w:val="21"/>
        </w:rPr>
        <w:t>四、我</w:t>
      </w:r>
      <w:r>
        <w:rPr>
          <w:rFonts w:hint="eastAsia" w:ascii="宋体" w:hAnsi="宋体" w:cs="宋体"/>
          <w:szCs w:val="21"/>
        </w:rPr>
        <w:t>单位</w:t>
      </w:r>
      <w:r>
        <w:rPr>
          <w:rFonts w:hint="eastAsia" w:ascii="宋体" w:hAnsi="宋体" w:cs="宋体"/>
          <w:kern w:val="0"/>
          <w:szCs w:val="21"/>
        </w:rPr>
        <w:t>依法进行纳税和社会保险申报并实际履行了义务。</w:t>
      </w:r>
    </w:p>
    <w:p w14:paraId="2DBBDEC8">
      <w:pPr>
        <w:widowControl/>
        <w:snapToGrid w:val="0"/>
        <w:spacing w:before="156" w:line="360" w:lineRule="auto"/>
        <w:ind w:firstLine="420" w:firstLineChars="200"/>
        <w:jc w:val="left"/>
        <w:textAlignment w:val="baseline"/>
        <w:rPr>
          <w:rFonts w:ascii="宋体" w:hAnsi="宋体" w:cs="宋体"/>
          <w:kern w:val="0"/>
          <w:sz w:val="20"/>
          <w:szCs w:val="21"/>
        </w:rPr>
      </w:pPr>
      <w:r>
        <w:rPr>
          <w:rFonts w:hint="eastAsia" w:ascii="宋体" w:hAnsi="宋体" w:cs="宋体"/>
          <w:szCs w:val="21"/>
        </w:rPr>
        <w:t>五、我单位具有履行本项目采购合同所必需的设备和专业技术能力，并具有履行合同的良好</w:t>
      </w:r>
      <w:r>
        <w:rPr>
          <w:rFonts w:ascii="宋体" w:hAnsi="宋体"/>
          <w:szCs w:val="21"/>
        </w:rPr>
        <w:t>记录</w:t>
      </w:r>
      <w:r>
        <w:rPr>
          <w:rFonts w:hint="eastAsia" w:ascii="宋体" w:hAnsi="宋体" w:cs="宋体"/>
          <w:szCs w:val="21"/>
        </w:rPr>
        <w:t>。</w:t>
      </w:r>
    </w:p>
    <w:p w14:paraId="0EFA073F">
      <w:pPr>
        <w:widowControl/>
        <w:snapToGrid w:val="0"/>
        <w:spacing w:before="156" w:line="360" w:lineRule="auto"/>
        <w:ind w:firstLine="420" w:firstLineChars="200"/>
        <w:jc w:val="left"/>
        <w:textAlignment w:val="baseline"/>
        <w:rPr>
          <w:rFonts w:ascii="宋体" w:hAnsi="宋体" w:cs="宋体"/>
          <w:sz w:val="20"/>
          <w:szCs w:val="21"/>
        </w:rPr>
      </w:pPr>
      <w:r>
        <w:rPr>
          <w:rFonts w:hint="eastAsia" w:ascii="宋体" w:hAnsi="宋体" w:cs="宋体"/>
          <w:szCs w:val="21"/>
        </w:rPr>
        <w:t>六、我单位在参加采购项目政府采购活动前三年内，在经营活动中，未因违法经营受到刑事处罚或者责令停产停业、吊销许可证或者执照、较大数额罚款等行政处罚。其中较大数额罚款是指：达到处罚地行政处罚听证范围中“较大数额罚款”标准的；法律、法规、规章、国务院有关行政主管部门对“较大数额罚款”标准另有规定的，从其规定。</w:t>
      </w:r>
    </w:p>
    <w:p w14:paraId="3327B196">
      <w:pPr>
        <w:widowControl/>
        <w:snapToGrid w:val="0"/>
        <w:spacing w:before="156" w:line="360" w:lineRule="auto"/>
        <w:ind w:firstLine="420" w:firstLineChars="200"/>
        <w:jc w:val="left"/>
        <w:textAlignment w:val="baseline"/>
        <w:rPr>
          <w:rFonts w:ascii="宋体" w:hAnsi="宋体" w:cs="宋体"/>
          <w:sz w:val="20"/>
          <w:szCs w:val="21"/>
        </w:rPr>
      </w:pPr>
      <w:r>
        <w:rPr>
          <w:rFonts w:hint="eastAsia" w:ascii="宋体" w:hAnsi="宋体" w:cs="宋体"/>
          <w:szCs w:val="21"/>
        </w:rPr>
        <w:t>供应商在参加政府采购活动前3年内因违法经营被禁止在一定期限内参加政府采购活动，期限届满的，可以参加政府采购活动。</w:t>
      </w:r>
    </w:p>
    <w:p w14:paraId="15489A9E">
      <w:pPr>
        <w:widowControl/>
        <w:snapToGrid w:val="0"/>
        <w:spacing w:before="156" w:line="360" w:lineRule="auto"/>
        <w:ind w:firstLine="420" w:firstLineChars="200"/>
        <w:jc w:val="left"/>
        <w:textAlignment w:val="baseline"/>
        <w:rPr>
          <w:rFonts w:ascii="宋体" w:hAnsi="宋体" w:cs="宋体"/>
          <w:sz w:val="20"/>
          <w:szCs w:val="21"/>
        </w:rPr>
      </w:pPr>
      <w:r>
        <w:rPr>
          <w:rFonts w:hint="eastAsia" w:ascii="宋体" w:hAnsi="宋体" w:cs="宋体"/>
          <w:szCs w:val="21"/>
        </w:rPr>
        <w:t>七、我单位具备法律、行政法规规定的其他条件。</w:t>
      </w:r>
    </w:p>
    <w:p w14:paraId="2DF93511">
      <w:pPr>
        <w:widowControl/>
        <w:snapToGrid w:val="0"/>
        <w:spacing w:before="156" w:line="360" w:lineRule="auto"/>
        <w:ind w:firstLine="420" w:firstLineChars="200"/>
        <w:jc w:val="left"/>
        <w:textAlignment w:val="baseline"/>
        <w:rPr>
          <w:rFonts w:ascii="宋体" w:hAnsi="宋体"/>
          <w:sz w:val="20"/>
          <w:szCs w:val="21"/>
        </w:rPr>
      </w:pPr>
      <w:r>
        <w:rPr>
          <w:rFonts w:hint="eastAsia" w:ascii="宋体" w:hAnsi="宋体" w:cs="宋体"/>
          <w:kern w:val="0"/>
          <w:szCs w:val="21"/>
        </w:rPr>
        <w:t>八、</w:t>
      </w:r>
      <w:r>
        <w:rPr>
          <w:rFonts w:hint="eastAsia" w:ascii="宋体" w:hAnsi="宋体"/>
          <w:szCs w:val="21"/>
        </w:rPr>
        <w:t>与我单位存在“单位负责人为同一人或者存在直接控股、管理关系”的其他单位信息如下（如无，填写“无”）：</w:t>
      </w:r>
    </w:p>
    <w:p w14:paraId="46D28651">
      <w:pPr>
        <w:snapToGrid w:val="0"/>
        <w:spacing w:before="156" w:line="360" w:lineRule="auto"/>
        <w:ind w:firstLine="420" w:firstLineChars="200"/>
        <w:textAlignment w:val="baseline"/>
        <w:rPr>
          <w:rFonts w:ascii="宋体" w:hAnsi="宋体"/>
          <w:sz w:val="20"/>
          <w:szCs w:val="21"/>
        </w:rPr>
      </w:pPr>
      <w:r>
        <w:rPr>
          <w:rFonts w:hint="eastAsia" w:ascii="宋体" w:hAnsi="宋体"/>
          <w:szCs w:val="21"/>
        </w:rPr>
        <w:t>1、与我单位的法定代表人（单位负责人）为同一人的其他单位如下：</w:t>
      </w:r>
      <w:r>
        <w:rPr>
          <w:rFonts w:hint="eastAsia" w:ascii="宋体" w:hAnsi="宋体"/>
          <w:szCs w:val="21"/>
          <w:u w:val="single" w:color="000000"/>
        </w:rPr>
        <w:t xml:space="preserve">               </w:t>
      </w:r>
    </w:p>
    <w:p w14:paraId="2537D7CE">
      <w:pPr>
        <w:snapToGrid w:val="0"/>
        <w:spacing w:before="156" w:line="360" w:lineRule="auto"/>
        <w:ind w:firstLine="420" w:firstLineChars="200"/>
        <w:textAlignment w:val="baseline"/>
        <w:rPr>
          <w:rFonts w:ascii="宋体" w:hAnsi="宋体"/>
          <w:sz w:val="20"/>
          <w:szCs w:val="21"/>
        </w:rPr>
      </w:pPr>
      <w:r>
        <w:rPr>
          <w:rFonts w:hint="eastAsia" w:ascii="宋体" w:hAnsi="宋体"/>
          <w:szCs w:val="21"/>
        </w:rPr>
        <w:t>2、我单位直接控股的其他单位如下：</w:t>
      </w:r>
      <w:r>
        <w:rPr>
          <w:rFonts w:hint="eastAsia" w:ascii="宋体" w:hAnsi="宋体"/>
          <w:szCs w:val="21"/>
          <w:u w:val="single" w:color="000000"/>
        </w:rPr>
        <w:t xml:space="preserve">               </w:t>
      </w:r>
    </w:p>
    <w:p w14:paraId="38D4A99E">
      <w:pPr>
        <w:snapToGrid w:val="0"/>
        <w:spacing w:before="156" w:line="360" w:lineRule="auto"/>
        <w:ind w:firstLine="420" w:firstLineChars="200"/>
        <w:textAlignment w:val="baseline"/>
        <w:rPr>
          <w:rFonts w:ascii="宋体" w:hAnsi="宋体"/>
          <w:sz w:val="20"/>
          <w:szCs w:val="21"/>
        </w:rPr>
      </w:pPr>
      <w:r>
        <w:rPr>
          <w:rFonts w:hint="eastAsia" w:ascii="宋体" w:hAnsi="宋体"/>
          <w:szCs w:val="21"/>
        </w:rPr>
        <w:t>3、与我单位存在管理关系的其他单位如下：</w:t>
      </w:r>
      <w:r>
        <w:rPr>
          <w:rFonts w:hint="eastAsia" w:ascii="宋体" w:hAnsi="宋体"/>
          <w:szCs w:val="21"/>
          <w:u w:val="single" w:color="000000"/>
        </w:rPr>
        <w:t xml:space="preserve">               </w:t>
      </w:r>
    </w:p>
    <w:p w14:paraId="1A2EFF37">
      <w:pPr>
        <w:widowControl/>
        <w:snapToGrid w:val="0"/>
        <w:spacing w:before="156" w:line="360" w:lineRule="auto"/>
        <w:ind w:firstLine="420" w:firstLineChars="200"/>
        <w:jc w:val="left"/>
        <w:textAlignment w:val="baseline"/>
        <w:rPr>
          <w:rFonts w:ascii="宋体" w:hAnsi="宋体"/>
          <w:sz w:val="20"/>
          <w:szCs w:val="21"/>
        </w:rPr>
      </w:pPr>
      <w:r>
        <w:rPr>
          <w:rFonts w:hint="eastAsia" w:ascii="宋体" w:hAnsi="宋体"/>
          <w:szCs w:val="21"/>
        </w:rPr>
        <w:t>九、</w:t>
      </w:r>
      <w:r>
        <w:rPr>
          <w:rFonts w:ascii="宋体" w:hAnsi="宋体"/>
          <w:szCs w:val="21"/>
        </w:rPr>
        <w:t>我</w:t>
      </w:r>
      <w:r>
        <w:rPr>
          <w:rFonts w:hint="eastAsia" w:ascii="宋体" w:hAnsi="宋体"/>
          <w:szCs w:val="21"/>
        </w:rPr>
        <w:t>单位</w:t>
      </w:r>
      <w:r>
        <w:rPr>
          <w:rFonts w:ascii="宋体" w:hAnsi="宋体"/>
          <w:szCs w:val="21"/>
        </w:rPr>
        <w:t>不属于为本项目提供整体设计、规范编制或者项目管理、监理、检测等服务的投标人。</w:t>
      </w:r>
    </w:p>
    <w:p w14:paraId="71CB2B15">
      <w:pPr>
        <w:widowControl/>
        <w:snapToGrid w:val="0"/>
        <w:spacing w:before="156" w:line="360" w:lineRule="auto"/>
        <w:ind w:firstLine="420" w:firstLineChars="200"/>
        <w:jc w:val="left"/>
        <w:textAlignment w:val="baseline"/>
        <w:rPr>
          <w:rFonts w:ascii="宋体" w:hAnsi="宋体"/>
          <w:sz w:val="20"/>
          <w:szCs w:val="21"/>
        </w:rPr>
      </w:pPr>
      <w:r>
        <w:rPr>
          <w:rFonts w:hint="eastAsia" w:ascii="宋体" w:hAnsi="宋体"/>
          <w:szCs w:val="21"/>
        </w:rPr>
        <w:t>十、</w:t>
      </w:r>
      <w:r>
        <w:rPr>
          <w:rFonts w:ascii="宋体" w:hAnsi="宋体"/>
          <w:szCs w:val="21"/>
        </w:rPr>
        <w:t>我单位无以下不良信用记录情形：</w:t>
      </w:r>
    </w:p>
    <w:p w14:paraId="6E6C5F6B">
      <w:pPr>
        <w:widowControl/>
        <w:snapToGrid w:val="0"/>
        <w:spacing w:before="156" w:line="360" w:lineRule="auto"/>
        <w:ind w:firstLine="420" w:firstLineChars="200"/>
        <w:jc w:val="left"/>
        <w:textAlignment w:val="baseline"/>
        <w:rPr>
          <w:rFonts w:ascii="宋体" w:hAnsi="宋体"/>
          <w:sz w:val="20"/>
          <w:szCs w:val="21"/>
        </w:rPr>
      </w:pPr>
      <w:r>
        <w:rPr>
          <w:rFonts w:ascii="宋体" w:hAnsi="宋体"/>
          <w:szCs w:val="21"/>
        </w:rPr>
        <w:t>1</w:t>
      </w:r>
      <w:r>
        <w:rPr>
          <w:rFonts w:hint="eastAsia" w:ascii="宋体" w:hAnsi="宋体"/>
          <w:szCs w:val="21"/>
        </w:rPr>
        <w:t>、在</w:t>
      </w:r>
      <w:r>
        <w:rPr>
          <w:rFonts w:hint="eastAsia" w:ascii="宋体" w:hAnsi="宋体" w:cs="宋体"/>
          <w:szCs w:val="21"/>
        </w:rPr>
        <w:t>“信用中国”网站被列入失信被执行人和重大税收违法案件当事人名单；</w:t>
      </w:r>
    </w:p>
    <w:p w14:paraId="31DFAFE1">
      <w:pPr>
        <w:widowControl/>
        <w:snapToGrid w:val="0"/>
        <w:spacing w:before="156" w:line="360" w:lineRule="auto"/>
        <w:ind w:firstLine="420" w:firstLineChars="200"/>
        <w:jc w:val="left"/>
        <w:textAlignment w:val="baseline"/>
        <w:rPr>
          <w:rFonts w:ascii="宋体" w:hAnsi="宋体"/>
          <w:sz w:val="20"/>
          <w:szCs w:val="21"/>
        </w:rPr>
      </w:pPr>
      <w:r>
        <w:rPr>
          <w:rFonts w:ascii="宋体" w:hAnsi="宋体"/>
          <w:szCs w:val="21"/>
        </w:rPr>
        <w:t>2</w:t>
      </w:r>
      <w:r>
        <w:rPr>
          <w:rFonts w:hint="eastAsia" w:ascii="宋体" w:hAnsi="宋体"/>
          <w:szCs w:val="21"/>
        </w:rPr>
        <w:t>、在</w:t>
      </w:r>
      <w:r>
        <w:rPr>
          <w:rFonts w:hint="eastAsia" w:ascii="宋体" w:hAnsi="宋体" w:cs="宋体"/>
          <w:szCs w:val="21"/>
        </w:rPr>
        <w:t>“中国政府采购网”网站被列入政府采购严重违法失信行为记录名单；</w:t>
      </w:r>
    </w:p>
    <w:p w14:paraId="49FE72B7">
      <w:pPr>
        <w:widowControl/>
        <w:snapToGrid w:val="0"/>
        <w:spacing w:before="156" w:line="360" w:lineRule="auto"/>
        <w:ind w:firstLine="420" w:firstLineChars="200"/>
        <w:jc w:val="left"/>
        <w:textAlignment w:val="baseline"/>
        <w:rPr>
          <w:rFonts w:ascii="宋体" w:hAnsi="宋体"/>
          <w:sz w:val="20"/>
          <w:szCs w:val="21"/>
        </w:rPr>
      </w:pPr>
      <w:r>
        <w:rPr>
          <w:rFonts w:ascii="宋体" w:hAnsi="宋体"/>
          <w:szCs w:val="21"/>
        </w:rPr>
        <w:t>3</w:t>
      </w:r>
      <w:r>
        <w:rPr>
          <w:rFonts w:hint="eastAsia" w:ascii="宋体" w:hAnsi="宋体"/>
          <w:szCs w:val="21"/>
        </w:rPr>
        <w:t>、</w:t>
      </w:r>
      <w:r>
        <w:rPr>
          <w:rFonts w:ascii="宋体" w:hAnsi="宋体"/>
          <w:szCs w:val="21"/>
        </w:rPr>
        <w:t>不符合《政府采购法》第二十二条规定的条件。</w:t>
      </w:r>
    </w:p>
    <w:p w14:paraId="54A4349C">
      <w:pPr>
        <w:widowControl/>
        <w:snapToGrid w:val="0"/>
        <w:spacing w:before="156" w:line="360" w:lineRule="auto"/>
        <w:ind w:firstLine="420" w:firstLineChars="200"/>
        <w:jc w:val="left"/>
        <w:textAlignment w:val="baseline"/>
        <w:rPr>
          <w:rFonts w:ascii="宋体" w:hAnsi="宋体" w:cs="宋体"/>
          <w:kern w:val="0"/>
          <w:sz w:val="20"/>
          <w:szCs w:val="21"/>
        </w:rPr>
      </w:pPr>
      <w:r>
        <w:rPr>
          <w:rFonts w:hint="eastAsia" w:ascii="宋体" w:hAnsi="宋体" w:cs="宋体"/>
          <w:szCs w:val="21"/>
        </w:rPr>
        <w:t>我单位保证上述声明的事项都是真实的，如有虚假，我单位愿意承担相应的法律责任，并承担因此所造成的一切损失。</w:t>
      </w:r>
    </w:p>
    <w:p w14:paraId="66BA8138">
      <w:pPr>
        <w:widowControl/>
        <w:snapToGrid w:val="0"/>
        <w:spacing w:before="156" w:line="360" w:lineRule="auto"/>
        <w:jc w:val="left"/>
        <w:textAlignment w:val="baseline"/>
        <w:rPr>
          <w:rFonts w:ascii="宋体" w:hAnsi="宋体" w:cs="宋体"/>
          <w:sz w:val="20"/>
          <w:szCs w:val="21"/>
        </w:rPr>
      </w:pPr>
    </w:p>
    <w:p w14:paraId="44CB90C6">
      <w:pPr>
        <w:widowControl/>
        <w:snapToGrid w:val="0"/>
        <w:spacing w:before="156" w:line="360" w:lineRule="auto"/>
        <w:jc w:val="left"/>
        <w:textAlignment w:val="baseline"/>
        <w:rPr>
          <w:rFonts w:ascii="宋体" w:hAnsi="宋体" w:cs="宋体"/>
          <w:sz w:val="20"/>
          <w:szCs w:val="21"/>
        </w:rPr>
      </w:pPr>
      <w:r>
        <w:rPr>
          <w:rFonts w:hint="eastAsia" w:ascii="宋体" w:hAnsi="宋体" w:cs="宋体"/>
          <w:szCs w:val="21"/>
        </w:rPr>
        <w:t>注：第三条“良好的商业信誉”是指投标人经营状况良好，无本资格声明第十条情形。</w:t>
      </w:r>
    </w:p>
    <w:p w14:paraId="490CD54B">
      <w:pPr>
        <w:widowControl/>
        <w:snapToGrid w:val="0"/>
        <w:spacing w:before="156" w:line="360" w:lineRule="auto"/>
        <w:jc w:val="left"/>
        <w:textAlignment w:val="baseline"/>
        <w:rPr>
          <w:rFonts w:ascii="宋体" w:hAnsi="宋体" w:cs="宋体"/>
          <w:color w:val="FF0000"/>
          <w:sz w:val="20"/>
          <w:szCs w:val="21"/>
        </w:rPr>
      </w:pPr>
    </w:p>
    <w:p w14:paraId="5DD70BDA">
      <w:pPr>
        <w:widowControl/>
        <w:snapToGrid w:val="0"/>
        <w:spacing w:line="480" w:lineRule="auto"/>
        <w:jc w:val="left"/>
        <w:textAlignment w:val="baseline"/>
        <w:rPr>
          <w:rFonts w:ascii="宋体" w:hAnsi="宋体" w:cs="宋体"/>
          <w:kern w:val="0"/>
          <w:sz w:val="20"/>
          <w:szCs w:val="21"/>
        </w:rPr>
      </w:pPr>
      <w:r>
        <w:rPr>
          <w:rFonts w:hint="eastAsia" w:ascii="宋体" w:hAnsi="宋体" w:cs="宋体"/>
          <w:szCs w:val="21"/>
        </w:rPr>
        <w:t>投标人名称（盖单位公章）：</w:t>
      </w:r>
      <w:r>
        <w:rPr>
          <w:rFonts w:hint="eastAsia" w:ascii="宋体" w:hAnsi="宋体"/>
          <w:u w:val="single" w:color="000000"/>
        </w:rPr>
        <w:t xml:space="preserve">              </w:t>
      </w:r>
    </w:p>
    <w:p w14:paraId="0A7E79BE">
      <w:pPr>
        <w:widowControl/>
        <w:snapToGrid w:val="0"/>
        <w:spacing w:line="480" w:lineRule="auto"/>
        <w:jc w:val="left"/>
        <w:textAlignment w:val="baseline"/>
        <w:rPr>
          <w:rFonts w:ascii="宋体" w:hAnsi="宋体" w:cs="宋体"/>
          <w:b/>
          <w:bCs/>
          <w:kern w:val="0"/>
          <w:sz w:val="44"/>
          <w:szCs w:val="44"/>
        </w:rPr>
      </w:pPr>
      <w:r>
        <w:rPr>
          <w:rFonts w:hint="eastAsia" w:ascii="宋体" w:hAnsi="宋体" w:cs="微软雅黑"/>
          <w:spacing w:val="-2"/>
          <w:kern w:val="0"/>
          <w:szCs w:val="21"/>
        </w:rPr>
        <w:t>法</w:t>
      </w:r>
      <w:r>
        <w:rPr>
          <w:rFonts w:hint="eastAsia" w:ascii="宋体" w:hAnsi="宋体" w:cs="微软雅黑"/>
          <w:kern w:val="0"/>
          <w:szCs w:val="21"/>
        </w:rPr>
        <w:t>定</w:t>
      </w:r>
      <w:r>
        <w:rPr>
          <w:rFonts w:hint="eastAsia" w:ascii="宋体" w:hAnsi="宋体" w:cs="微软雅黑"/>
          <w:spacing w:val="-2"/>
          <w:kern w:val="0"/>
          <w:szCs w:val="21"/>
        </w:rPr>
        <w:t>代</w:t>
      </w:r>
      <w:r>
        <w:rPr>
          <w:rFonts w:hint="eastAsia" w:ascii="宋体" w:hAnsi="宋体" w:cs="微软雅黑"/>
          <w:kern w:val="0"/>
          <w:szCs w:val="21"/>
        </w:rPr>
        <w:t>表</w:t>
      </w:r>
      <w:r>
        <w:rPr>
          <w:rFonts w:hint="eastAsia" w:ascii="宋体" w:hAnsi="宋体" w:cs="微软雅黑"/>
          <w:spacing w:val="-2"/>
          <w:kern w:val="0"/>
          <w:szCs w:val="21"/>
        </w:rPr>
        <w:t>人</w:t>
      </w:r>
      <w:r>
        <w:rPr>
          <w:rFonts w:hint="eastAsia" w:ascii="宋体" w:hAnsi="宋体" w:cs="微软雅黑"/>
          <w:kern w:val="0"/>
          <w:szCs w:val="21"/>
        </w:rPr>
        <w:t>（</w:t>
      </w:r>
      <w:r>
        <w:rPr>
          <w:rFonts w:hint="eastAsia" w:ascii="宋体" w:hAnsi="宋体" w:cs="微软雅黑"/>
          <w:spacing w:val="-2"/>
          <w:kern w:val="0"/>
          <w:szCs w:val="21"/>
        </w:rPr>
        <w:t>单</w:t>
      </w:r>
      <w:r>
        <w:rPr>
          <w:rFonts w:hint="eastAsia" w:ascii="宋体" w:hAnsi="宋体" w:cs="微软雅黑"/>
          <w:kern w:val="0"/>
          <w:szCs w:val="21"/>
        </w:rPr>
        <w:t>位</w:t>
      </w:r>
      <w:r>
        <w:rPr>
          <w:rFonts w:hint="eastAsia" w:ascii="宋体" w:hAnsi="宋体" w:cs="微软雅黑"/>
          <w:spacing w:val="-2"/>
          <w:kern w:val="0"/>
          <w:szCs w:val="21"/>
        </w:rPr>
        <w:t>负</w:t>
      </w:r>
      <w:r>
        <w:rPr>
          <w:rFonts w:hint="eastAsia" w:ascii="宋体" w:hAnsi="宋体" w:cs="微软雅黑"/>
          <w:kern w:val="0"/>
          <w:szCs w:val="21"/>
        </w:rPr>
        <w:t>责人</w:t>
      </w:r>
      <w:r>
        <w:rPr>
          <w:rFonts w:hint="eastAsia" w:ascii="宋体" w:hAnsi="宋体" w:cs="微软雅黑"/>
          <w:spacing w:val="-2"/>
          <w:kern w:val="0"/>
          <w:szCs w:val="21"/>
        </w:rPr>
        <w:t>）</w:t>
      </w:r>
      <w:r>
        <w:rPr>
          <w:rFonts w:hint="eastAsia" w:ascii="宋体" w:hAnsi="宋体"/>
        </w:rPr>
        <w:t>或委托代理人：</w:t>
      </w:r>
      <w:r>
        <w:rPr>
          <w:rFonts w:hint="eastAsia" w:ascii="宋体" w:hAnsi="宋体"/>
          <w:u w:val="single" w:color="000000"/>
        </w:rPr>
        <w:t xml:space="preserve">       </w:t>
      </w:r>
      <w:r>
        <w:rPr>
          <w:rFonts w:hint="eastAsia" w:ascii="宋体" w:hAnsi="宋体"/>
        </w:rPr>
        <w:t>（签字或印章）</w:t>
      </w:r>
    </w:p>
    <w:p w14:paraId="4161DA80">
      <w:pPr>
        <w:widowControl/>
        <w:snapToGrid w:val="0"/>
        <w:spacing w:line="480" w:lineRule="auto"/>
        <w:jc w:val="left"/>
        <w:textAlignment w:val="baseline"/>
        <w:rPr>
          <w:rFonts w:ascii="宋体" w:hAnsi="宋体" w:cs="宋体"/>
          <w:szCs w:val="21"/>
        </w:rPr>
      </w:pPr>
      <w:r>
        <w:rPr>
          <w:rFonts w:hint="eastAsia" w:ascii="宋体" w:hAnsi="宋体" w:cs="宋体"/>
          <w:szCs w:val="21"/>
        </w:rPr>
        <w:t>日期：</w:t>
      </w:r>
      <w:r>
        <w:rPr>
          <w:rFonts w:hint="eastAsia" w:ascii="宋体" w:hAnsi="宋体" w:cs="宋体"/>
          <w:szCs w:val="21"/>
          <w:u w:val="single" w:color="000000"/>
        </w:rPr>
        <w:t xml:space="preserve">       </w:t>
      </w:r>
      <w:r>
        <w:rPr>
          <w:rFonts w:hint="eastAsia" w:ascii="宋体" w:hAnsi="宋体" w:cs="宋体"/>
          <w:szCs w:val="21"/>
        </w:rPr>
        <w:t>年</w:t>
      </w:r>
      <w:r>
        <w:rPr>
          <w:rFonts w:hint="eastAsia" w:ascii="宋体" w:hAnsi="宋体" w:cs="宋体"/>
          <w:szCs w:val="21"/>
          <w:u w:val="single" w:color="000000"/>
        </w:rPr>
        <w:t xml:space="preserve">  </w:t>
      </w:r>
      <w:r>
        <w:rPr>
          <w:rFonts w:hint="eastAsia" w:ascii="宋体" w:hAnsi="宋体" w:cs="宋体"/>
          <w:szCs w:val="21"/>
        </w:rPr>
        <w:t>月</w:t>
      </w:r>
      <w:r>
        <w:rPr>
          <w:rFonts w:hint="eastAsia" w:ascii="宋体" w:hAnsi="宋体" w:cs="宋体"/>
          <w:szCs w:val="21"/>
          <w:u w:val="single" w:color="000000"/>
        </w:rPr>
        <w:t xml:space="preserve">  </w:t>
      </w:r>
      <w:r>
        <w:rPr>
          <w:rFonts w:hint="eastAsia" w:ascii="宋体" w:hAnsi="宋体" w:cs="宋体"/>
          <w:szCs w:val="21"/>
        </w:rPr>
        <w:t>日</w:t>
      </w:r>
    </w:p>
    <w:p w14:paraId="111F8943">
      <w:pPr>
        <w:pStyle w:val="102"/>
      </w:pPr>
    </w:p>
    <w:p w14:paraId="45770CF4">
      <w:pPr>
        <w:pStyle w:val="102"/>
        <w:rPr>
          <w:rFonts w:hint="eastAsia"/>
        </w:rPr>
      </w:pPr>
    </w:p>
    <w:p w14:paraId="03217185"/>
    <w:p w14:paraId="12538C1C">
      <w:pPr>
        <w:pStyle w:val="102"/>
      </w:pPr>
    </w:p>
    <w:p w14:paraId="3DF7F13E">
      <w:pPr>
        <w:pStyle w:val="102"/>
      </w:pPr>
    </w:p>
    <w:p w14:paraId="29B8F3BE">
      <w:pPr>
        <w:pStyle w:val="102"/>
      </w:pPr>
    </w:p>
    <w:p w14:paraId="33C599BD">
      <w:pPr>
        <w:pStyle w:val="102"/>
      </w:pPr>
    </w:p>
    <w:p w14:paraId="5E01D703">
      <w:pPr>
        <w:pStyle w:val="102"/>
      </w:pPr>
    </w:p>
    <w:p w14:paraId="5AEED508">
      <w:pPr>
        <w:pStyle w:val="102"/>
      </w:pPr>
    </w:p>
    <w:p w14:paraId="274036BB">
      <w:pPr>
        <w:pStyle w:val="102"/>
      </w:pPr>
    </w:p>
    <w:p w14:paraId="60D7EEEA">
      <w:pPr>
        <w:pStyle w:val="102"/>
      </w:pPr>
    </w:p>
    <w:p w14:paraId="7DB3A2A1">
      <w:pPr>
        <w:pStyle w:val="102"/>
      </w:pPr>
    </w:p>
    <w:p w14:paraId="1B85E23F">
      <w:pPr>
        <w:pStyle w:val="102"/>
      </w:pPr>
    </w:p>
    <w:p w14:paraId="3B5F9842">
      <w:pPr>
        <w:pStyle w:val="102"/>
      </w:pPr>
    </w:p>
    <w:p w14:paraId="068DF2B5">
      <w:pPr>
        <w:pStyle w:val="102"/>
        <w:rPr>
          <w:rFonts w:hint="eastAsia"/>
        </w:rPr>
      </w:pPr>
    </w:p>
    <w:p w14:paraId="33E3E74E">
      <w:pPr>
        <w:pStyle w:val="102"/>
      </w:pPr>
    </w:p>
    <w:p w14:paraId="1137B4A8">
      <w:pPr>
        <w:pStyle w:val="102"/>
      </w:pPr>
    </w:p>
    <w:p w14:paraId="4F6648E7">
      <w:pPr>
        <w:pStyle w:val="102"/>
      </w:pPr>
    </w:p>
    <w:p w14:paraId="5AEEEE3A">
      <w:pPr>
        <w:pStyle w:val="102"/>
      </w:pPr>
    </w:p>
    <w:p w14:paraId="3F2E70A1">
      <w:pPr>
        <w:pStyle w:val="102"/>
      </w:pPr>
    </w:p>
    <w:p w14:paraId="5372A80C">
      <w:pPr>
        <w:pStyle w:val="102"/>
      </w:pPr>
    </w:p>
    <w:p w14:paraId="207F47DC">
      <w:pPr>
        <w:pStyle w:val="102"/>
      </w:pPr>
    </w:p>
    <w:p w14:paraId="40B07814">
      <w:pPr>
        <w:pStyle w:val="102"/>
      </w:pPr>
    </w:p>
    <w:p w14:paraId="01230EE6">
      <w:pPr>
        <w:pStyle w:val="102"/>
      </w:pPr>
    </w:p>
    <w:p w14:paraId="52EB6A17">
      <w:pPr>
        <w:pStyle w:val="4"/>
        <w:rPr>
          <w:rFonts w:ascii="宋体" w:hAnsi="宋体"/>
          <w:sz w:val="21"/>
          <w:szCs w:val="24"/>
        </w:rPr>
      </w:pPr>
      <w:bookmarkStart w:id="1500" w:name="_Toc227246854"/>
      <w:bookmarkStart w:id="1501" w:name="_Toc124271215"/>
      <w:r>
        <w:rPr>
          <w:rFonts w:ascii="宋体" w:hAnsi="宋体"/>
          <w:sz w:val="21"/>
          <w:szCs w:val="24"/>
        </w:rPr>
        <w:t>附件</w:t>
      </w:r>
      <w:r>
        <w:rPr>
          <w:rFonts w:hint="eastAsia" w:ascii="宋体" w:hAnsi="宋体"/>
          <w:sz w:val="21"/>
          <w:szCs w:val="24"/>
        </w:rPr>
        <w:t>4</w:t>
      </w:r>
      <w:r>
        <w:rPr>
          <w:rFonts w:ascii="宋体" w:hAnsi="宋体"/>
          <w:sz w:val="21"/>
          <w:szCs w:val="24"/>
        </w:rPr>
        <w:t>-6 信用查询记录</w:t>
      </w:r>
      <w:bookmarkEnd w:id="1500"/>
      <w:bookmarkEnd w:id="1501"/>
    </w:p>
    <w:p w14:paraId="485A0495">
      <w:pPr>
        <w:pStyle w:val="102"/>
        <w:rPr>
          <w:rFonts w:hint="eastAsia"/>
        </w:rPr>
      </w:pPr>
      <w:r>
        <w:rPr>
          <w:rFonts w:hint="eastAsia"/>
        </w:rPr>
        <w:t>查询</w:t>
      </w:r>
      <w:r>
        <w:t>方式：</w:t>
      </w:r>
    </w:p>
    <w:p w14:paraId="463D4A6A">
      <w:pPr>
        <w:pStyle w:val="102"/>
        <w:rPr>
          <w:rFonts w:hint="eastAsia" w:ascii="宋体" w:hAnsi="宋体"/>
        </w:rPr>
      </w:pPr>
      <w:r>
        <w:rPr>
          <w:rFonts w:hint="eastAsia"/>
        </w:rPr>
        <w:t>1、登陆</w:t>
      </w:r>
      <w:r>
        <w:rPr>
          <w:rFonts w:hint="eastAsia" w:ascii="宋体" w:hAnsi="宋体"/>
        </w:rPr>
        <w:t>“信用中国</w:t>
      </w:r>
      <w:r>
        <w:rPr>
          <w:rFonts w:ascii="宋体" w:hAnsi="宋体"/>
        </w:rPr>
        <w:t xml:space="preserve">” </w:t>
      </w:r>
      <w:r>
        <w:rPr>
          <w:rFonts w:hint="eastAsia" w:ascii="宋体" w:hAnsi="宋体"/>
        </w:rPr>
        <w:t xml:space="preserve">（ </w:t>
      </w:r>
      <w:r>
        <w:rPr>
          <w:rFonts w:ascii="宋体" w:hAnsi="宋体"/>
        </w:rPr>
        <w:t xml:space="preserve">https://www.creditchina.gov.cn/ </w:t>
      </w:r>
      <w:r>
        <w:rPr>
          <w:rFonts w:hint="eastAsia" w:ascii="宋体" w:hAnsi="宋体"/>
        </w:rPr>
        <w:t>）后点击首页</w:t>
      </w:r>
      <w:r>
        <w:rPr>
          <w:rFonts w:ascii="宋体" w:hAnsi="宋体"/>
        </w:rPr>
        <w:t>上的</w:t>
      </w:r>
      <w:r>
        <w:rPr>
          <w:rFonts w:hint="eastAsia" w:ascii="宋体" w:hAnsi="宋体"/>
        </w:rPr>
        <w:t>“信用</w:t>
      </w:r>
      <w:r>
        <w:rPr>
          <w:rFonts w:ascii="宋体" w:hAnsi="宋体"/>
        </w:rPr>
        <w:t>服务”</w:t>
      </w:r>
      <w:r>
        <w:rPr>
          <w:rFonts w:hint="eastAsia" w:ascii="宋体" w:hAnsi="宋体"/>
        </w:rPr>
        <w:t>进去分别就 “严重</w:t>
      </w:r>
      <w:r>
        <w:rPr>
          <w:rFonts w:ascii="宋体" w:hAnsi="宋体"/>
        </w:rPr>
        <w:t>失信主体名单查询”“</w:t>
      </w:r>
      <w:r>
        <w:rPr>
          <w:rFonts w:hint="eastAsia" w:ascii="宋体" w:hAnsi="宋体"/>
        </w:rPr>
        <w:t>失信</w:t>
      </w:r>
      <w:r>
        <w:rPr>
          <w:rFonts w:ascii="宋体" w:hAnsi="宋体"/>
        </w:rPr>
        <w:t>被执行人”</w:t>
      </w:r>
      <w:r>
        <w:rPr>
          <w:rFonts w:hint="eastAsia" w:ascii="宋体" w:hAnsi="宋体"/>
        </w:rPr>
        <w:t>和</w:t>
      </w:r>
      <w:r>
        <w:rPr>
          <w:rFonts w:ascii="宋体" w:hAnsi="宋体"/>
        </w:rPr>
        <w:t>“</w:t>
      </w:r>
      <w:r>
        <w:rPr>
          <w:rFonts w:hint="eastAsia" w:ascii="宋体" w:hAnsi="宋体"/>
        </w:rPr>
        <w:t>重大税收违法失信主体名单</w:t>
      </w:r>
      <w:r>
        <w:rPr>
          <w:rFonts w:ascii="宋体" w:hAnsi="宋体"/>
        </w:rPr>
        <w:t>”</w:t>
      </w:r>
      <w:r>
        <w:rPr>
          <w:rFonts w:hint="eastAsia" w:ascii="宋体" w:hAnsi="宋体"/>
        </w:rPr>
        <w:t>进行</w:t>
      </w:r>
      <w:r>
        <w:rPr>
          <w:rFonts w:ascii="宋体" w:hAnsi="宋体"/>
        </w:rPr>
        <w:t>查询</w:t>
      </w:r>
      <w:r>
        <w:rPr>
          <w:rFonts w:hint="eastAsia" w:ascii="宋体" w:hAnsi="宋体"/>
        </w:rPr>
        <w:t>（</w:t>
      </w:r>
      <w:r>
        <w:rPr>
          <w:rFonts w:ascii="宋体" w:hAnsi="宋体"/>
        </w:rPr>
        <w:t>投标人），并</w:t>
      </w:r>
      <w:r>
        <w:rPr>
          <w:rFonts w:hint="eastAsia" w:ascii="宋体" w:hAnsi="宋体"/>
        </w:rPr>
        <w:t>将</w:t>
      </w:r>
      <w:r>
        <w:rPr>
          <w:rFonts w:ascii="宋体" w:hAnsi="宋体"/>
        </w:rPr>
        <w:t>查询结果截图。</w:t>
      </w:r>
    </w:p>
    <w:p w14:paraId="4BC852B8">
      <w:pPr>
        <w:widowControl/>
        <w:jc w:val="left"/>
        <w:rPr>
          <w:rFonts w:ascii="宋体" w:hAnsi="宋体" w:cs="宋体"/>
          <w:kern w:val="0"/>
          <w:sz w:val="24"/>
        </w:rPr>
      </w:pPr>
      <w:r>
        <w:rPr>
          <w:rFonts w:ascii="宋体" w:hAnsi="宋体" w:cs="宋体"/>
          <w:kern w:val="0"/>
          <w:sz w:val="24"/>
        </w:rPr>
        <w:fldChar w:fldCharType="begin"/>
      </w:r>
      <w:r>
        <w:rPr>
          <w:rFonts w:ascii="宋体" w:hAnsi="宋体" w:cs="宋体"/>
          <w:kern w:val="0"/>
          <w:sz w:val="24"/>
        </w:rPr>
        <w:instrText xml:space="preserve"> INCLUDEPICTURE "C:\\Users\\Administrator\\AppData\\Roaming\\Tencent\\Users\\19738120\\QQ\\WinTemp\\RichOle\\{6_]WCI`6(YG)76_T4BH)[1.png" \* MERGEFORMATINET </w:instrText>
      </w:r>
      <w:r>
        <w:rPr>
          <w:rFonts w:ascii="宋体" w:hAnsi="宋体" w:cs="宋体"/>
          <w:kern w:val="0"/>
          <w:sz w:val="24"/>
        </w:rPr>
        <w:fldChar w:fldCharType="separate"/>
      </w:r>
      <w:r>
        <w:rPr>
          <w:rFonts w:ascii="宋体" w:hAnsi="宋体" w:cs="宋体"/>
          <w:kern w:val="0"/>
          <w:sz w:val="24"/>
        </w:rPr>
        <w:drawing>
          <wp:inline distT="0" distB="0" distL="114300" distR="114300">
            <wp:extent cx="5714365" cy="3714115"/>
            <wp:effectExtent l="0" t="0" r="635" b="635"/>
            <wp:docPr id="2" name="图片 1" descr="{6_]WCI`6(YG)76_T4BH)[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6_]WCI`6(YG)76_T4BH)[1"/>
                    <pic:cNvPicPr>
                      <a:picLocks noChangeAspect="1"/>
                    </pic:cNvPicPr>
                  </pic:nvPicPr>
                  <pic:blipFill>
                    <a:blip r:embed="rId8"/>
                    <a:stretch>
                      <a:fillRect/>
                    </a:stretch>
                  </pic:blipFill>
                  <pic:spPr>
                    <a:xfrm>
                      <a:off x="0" y="0"/>
                      <a:ext cx="5714365" cy="3714115"/>
                    </a:xfrm>
                    <a:prstGeom prst="rect">
                      <a:avLst/>
                    </a:prstGeom>
                    <a:noFill/>
                    <a:ln>
                      <a:noFill/>
                    </a:ln>
                  </pic:spPr>
                </pic:pic>
              </a:graphicData>
            </a:graphic>
          </wp:inline>
        </w:drawing>
      </w:r>
      <w:r>
        <w:rPr>
          <w:rFonts w:ascii="宋体" w:hAnsi="宋体" w:cs="宋体"/>
          <w:kern w:val="0"/>
          <w:sz w:val="24"/>
        </w:rPr>
        <w:fldChar w:fldCharType="end"/>
      </w:r>
    </w:p>
    <w:p w14:paraId="19B7CA04">
      <w:pPr>
        <w:rPr>
          <w:rFonts w:hint="eastAsia" w:ascii="宋体" w:hAnsi="宋体"/>
        </w:rPr>
      </w:pPr>
    </w:p>
    <w:p w14:paraId="62E996F5">
      <w:pPr>
        <w:rPr>
          <w:rFonts w:hint="eastAsia" w:ascii="宋体" w:hAnsi="宋体"/>
          <w:szCs w:val="21"/>
        </w:rPr>
      </w:pPr>
      <w:r>
        <w:rPr>
          <w:rFonts w:hint="eastAsia" w:ascii="宋体" w:hAnsi="宋体"/>
        </w:rPr>
        <w:t>2、</w:t>
      </w:r>
      <w:r>
        <w:rPr>
          <w:rFonts w:ascii="宋体" w:hAnsi="宋体"/>
        </w:rPr>
        <w:t>登陆</w:t>
      </w:r>
      <w:r>
        <w:rPr>
          <w:rFonts w:hint="eastAsia" w:ascii="宋体" w:hAnsi="宋体"/>
        </w:rPr>
        <w:t xml:space="preserve"> </w:t>
      </w:r>
      <w:r>
        <w:rPr>
          <w:rFonts w:hint="eastAsia" w:ascii="宋体" w:hAnsi="宋体"/>
          <w:szCs w:val="21"/>
        </w:rPr>
        <w:t>中国政府采购网（www.ccgp.gov.cn）；首</w:t>
      </w:r>
      <w:r>
        <w:rPr>
          <w:rFonts w:ascii="宋体" w:hAnsi="宋体"/>
          <w:szCs w:val="21"/>
        </w:rPr>
        <w:t>页</w:t>
      </w:r>
      <w:r>
        <w:rPr>
          <w:rFonts w:hint="eastAsia" w:ascii="宋体" w:hAnsi="宋体"/>
          <w:szCs w:val="21"/>
        </w:rPr>
        <w:t>左边点击</w:t>
      </w:r>
      <w:r>
        <w:rPr>
          <w:rFonts w:ascii="宋体" w:hAnsi="宋体"/>
          <w:szCs w:val="21"/>
        </w:rPr>
        <w:t>“</w:t>
      </w:r>
      <w:r>
        <w:rPr>
          <w:rFonts w:hint="eastAsia" w:ascii="宋体" w:hAnsi="宋体"/>
        </w:rPr>
        <w:t>政府</w:t>
      </w:r>
      <w:r>
        <w:rPr>
          <w:rFonts w:ascii="宋体" w:hAnsi="宋体"/>
        </w:rPr>
        <w:t>采购严重</w:t>
      </w:r>
      <w:r>
        <w:rPr>
          <w:rFonts w:hint="eastAsia" w:ascii="宋体" w:hAnsi="宋体"/>
        </w:rPr>
        <w:t>违法失信</w:t>
      </w:r>
      <w:r>
        <w:rPr>
          <w:rFonts w:ascii="宋体" w:hAnsi="宋体"/>
        </w:rPr>
        <w:t>行为</w:t>
      </w:r>
      <w:r>
        <w:rPr>
          <w:rFonts w:hint="eastAsia" w:ascii="宋体" w:hAnsi="宋体"/>
        </w:rPr>
        <w:t>记录</w:t>
      </w:r>
      <w:r>
        <w:rPr>
          <w:rFonts w:ascii="宋体" w:hAnsi="宋体"/>
        </w:rPr>
        <w:t>名单</w:t>
      </w:r>
      <w:r>
        <w:rPr>
          <w:rFonts w:ascii="宋体" w:hAnsi="宋体"/>
          <w:szCs w:val="21"/>
        </w:rPr>
        <w:t>”</w:t>
      </w:r>
      <w:r>
        <w:rPr>
          <w:rFonts w:hint="eastAsia" w:ascii="宋体" w:hAnsi="宋体"/>
          <w:szCs w:val="21"/>
        </w:rPr>
        <w:t>进</w:t>
      </w:r>
      <w:r>
        <w:rPr>
          <w:rFonts w:ascii="宋体" w:hAnsi="宋体"/>
          <w:szCs w:val="21"/>
        </w:rPr>
        <w:t>去后按下面图例</w:t>
      </w:r>
      <w:r>
        <w:rPr>
          <w:rFonts w:hint="eastAsia" w:ascii="宋体" w:hAnsi="宋体"/>
          <w:szCs w:val="21"/>
        </w:rPr>
        <w:t>进行</w:t>
      </w:r>
      <w:r>
        <w:rPr>
          <w:rFonts w:ascii="宋体" w:hAnsi="宋体"/>
          <w:szCs w:val="21"/>
        </w:rPr>
        <w:t>查询</w:t>
      </w:r>
      <w:r>
        <w:rPr>
          <w:rFonts w:hint="eastAsia" w:ascii="宋体" w:hAnsi="宋体"/>
          <w:szCs w:val="21"/>
        </w:rPr>
        <w:t>（</w:t>
      </w:r>
      <w:r>
        <w:rPr>
          <w:rFonts w:ascii="宋体" w:hAnsi="宋体"/>
          <w:szCs w:val="21"/>
        </w:rPr>
        <w:t>投标人）</w:t>
      </w:r>
      <w:r>
        <w:rPr>
          <w:rFonts w:hint="eastAsia" w:ascii="宋体" w:hAnsi="宋体"/>
          <w:szCs w:val="21"/>
        </w:rPr>
        <w:t>，</w:t>
      </w:r>
      <w:r>
        <w:rPr>
          <w:rFonts w:ascii="宋体" w:hAnsi="宋体"/>
        </w:rPr>
        <w:t>并</w:t>
      </w:r>
      <w:r>
        <w:rPr>
          <w:rFonts w:hint="eastAsia" w:ascii="宋体" w:hAnsi="宋体"/>
        </w:rPr>
        <w:t>将</w:t>
      </w:r>
      <w:r>
        <w:rPr>
          <w:rFonts w:ascii="宋体" w:hAnsi="宋体"/>
        </w:rPr>
        <w:t>查询结果截图。</w:t>
      </w:r>
    </w:p>
    <w:p w14:paraId="0A18A584">
      <w:pPr>
        <w:tabs>
          <w:tab w:val="left" w:pos="4725"/>
        </w:tabs>
        <w:adjustRightInd w:val="0"/>
        <w:snapToGrid w:val="0"/>
        <w:spacing w:before="156" w:beforeLines="50" w:line="360" w:lineRule="auto"/>
        <w:ind w:firstLine="480" w:firstLineChars="200"/>
        <w:rPr>
          <w:color w:val="auto"/>
        </w:rPr>
      </w:pPr>
      <w:r>
        <w:rPr>
          <w:rFonts w:ascii="宋体" w:hAnsi="宋体" w:cs="宋体"/>
          <w:kern w:val="0"/>
          <w:sz w:val="24"/>
        </w:rPr>
        <w:fldChar w:fldCharType="begin"/>
      </w:r>
      <w:r>
        <w:rPr>
          <w:rFonts w:ascii="宋体" w:hAnsi="宋体" w:cs="宋体"/>
          <w:kern w:val="0"/>
          <w:sz w:val="24"/>
        </w:rPr>
        <w:instrText xml:space="preserve"> INCLUDEPICTURE "C:\\Users\\Administrator\\AppData\\Roaming\\Tencent\\Users\\19738120\\QQ\\WinTemp\\RichOle\\924[EHTW(I7}[2]PUQW3ZNA.png" \* MERGEFORMATINET </w:instrText>
      </w:r>
      <w:r>
        <w:rPr>
          <w:rFonts w:ascii="宋体" w:hAnsi="宋体" w:cs="宋体"/>
          <w:kern w:val="0"/>
          <w:sz w:val="24"/>
        </w:rPr>
        <w:fldChar w:fldCharType="separate"/>
      </w:r>
      <w:r>
        <w:rPr>
          <w:rFonts w:ascii="宋体" w:hAnsi="宋体" w:cs="宋体"/>
          <w:kern w:val="0"/>
          <w:sz w:val="24"/>
        </w:rPr>
        <w:drawing>
          <wp:inline distT="0" distB="0" distL="114300" distR="114300">
            <wp:extent cx="5571490" cy="2696845"/>
            <wp:effectExtent l="0" t="0" r="10160" b="8255"/>
            <wp:docPr id="1" name="图片 2" descr="924[EHTW(I7}[2]PUQW3Z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924[EHTW(I7}[2]PUQW3ZNA"/>
                    <pic:cNvPicPr>
                      <a:picLocks noChangeAspect="1"/>
                    </pic:cNvPicPr>
                  </pic:nvPicPr>
                  <pic:blipFill>
                    <a:blip r:embed="rId9">
                      <a:lum bright="-6000"/>
                    </a:blip>
                    <a:stretch>
                      <a:fillRect/>
                    </a:stretch>
                  </pic:blipFill>
                  <pic:spPr>
                    <a:xfrm>
                      <a:off x="0" y="0"/>
                      <a:ext cx="5571490" cy="2696845"/>
                    </a:xfrm>
                    <a:prstGeom prst="rect">
                      <a:avLst/>
                    </a:prstGeom>
                    <a:noFill/>
                    <a:ln>
                      <a:noFill/>
                    </a:ln>
                  </pic:spPr>
                </pic:pic>
              </a:graphicData>
            </a:graphic>
          </wp:inline>
        </w:drawing>
      </w:r>
      <w:r>
        <w:rPr>
          <w:rFonts w:ascii="宋体" w:hAnsi="宋体" w:cs="宋体"/>
          <w:kern w:val="0"/>
          <w:sz w:val="24"/>
        </w:rPr>
        <w:fldChar w:fldCharType="end"/>
      </w:r>
    </w:p>
    <w:p w14:paraId="2765ABD9">
      <w:pPr>
        <w:pStyle w:val="102"/>
        <w:rPr>
          <w:color w:val="auto"/>
        </w:rPr>
      </w:pPr>
    </w:p>
    <w:p w14:paraId="28451183">
      <w:pPr>
        <w:pStyle w:val="102"/>
        <w:rPr>
          <w:color w:val="auto"/>
        </w:rPr>
      </w:pPr>
    </w:p>
    <w:p w14:paraId="7C6B5CFA">
      <w:pPr>
        <w:widowControl/>
        <w:wordWrap w:val="0"/>
        <w:spacing w:line="360" w:lineRule="auto"/>
        <w:jc w:val="left"/>
        <w:rPr>
          <w:rFonts w:hint="eastAsia" w:ascii="宋体" w:hAnsi="宋体" w:eastAsia="宋体" w:cs="Times New Roman"/>
          <w:b/>
          <w:bCs/>
          <w:kern w:val="2"/>
          <w:sz w:val="21"/>
          <w:szCs w:val="24"/>
          <w:lang w:val="en-US" w:eastAsia="zh-CN" w:bidi="ar-SA"/>
        </w:rPr>
      </w:pPr>
      <w:bookmarkStart w:id="1502" w:name="_Toc2832"/>
      <w:bookmarkStart w:id="1503" w:name="_Toc11487"/>
      <w:r>
        <w:rPr>
          <w:rFonts w:hint="eastAsia" w:ascii="宋体" w:hAnsi="宋体" w:eastAsia="宋体" w:cs="Times New Roman"/>
          <w:b/>
          <w:bCs/>
          <w:kern w:val="2"/>
          <w:sz w:val="21"/>
          <w:szCs w:val="24"/>
          <w:lang w:val="en-US" w:eastAsia="zh-CN" w:bidi="ar-SA"/>
        </w:rPr>
        <w:t>附页4-</w:t>
      </w:r>
      <w:bookmarkEnd w:id="1502"/>
      <w:r>
        <w:rPr>
          <w:rFonts w:hint="eastAsia" w:ascii="宋体" w:hAnsi="宋体" w:eastAsia="宋体" w:cs="Times New Roman"/>
          <w:b/>
          <w:bCs/>
          <w:kern w:val="2"/>
          <w:sz w:val="21"/>
          <w:szCs w:val="24"/>
          <w:lang w:val="en-US" w:eastAsia="zh-CN" w:bidi="ar-SA"/>
        </w:rPr>
        <w:t>7  投标人应提供的其他资格证明文件</w:t>
      </w:r>
      <w:bookmarkEnd w:id="1503"/>
      <w:r>
        <w:rPr>
          <w:rFonts w:hint="eastAsia" w:ascii="宋体" w:hAnsi="宋体" w:eastAsia="宋体" w:cs="Times New Roman"/>
          <w:b/>
          <w:bCs/>
          <w:kern w:val="2"/>
          <w:sz w:val="21"/>
          <w:szCs w:val="24"/>
          <w:lang w:val="en-US" w:eastAsia="zh-CN" w:bidi="ar-SA"/>
        </w:rPr>
        <w:t xml:space="preserve"> </w:t>
      </w:r>
    </w:p>
    <w:p w14:paraId="6FD60EB2">
      <w:pPr>
        <w:spacing w:line="480" w:lineRule="exact"/>
        <w:jc w:val="center"/>
        <w:rPr>
          <w:rFonts w:ascii="宋体" w:hAnsi="宋体"/>
          <w:szCs w:val="21"/>
        </w:rPr>
      </w:pPr>
      <w:bookmarkStart w:id="1504" w:name="_Toc12123"/>
      <w:r>
        <w:rPr>
          <w:rStyle w:val="49"/>
          <w:rFonts w:hint="eastAsia" w:ascii="黑体" w:hAnsi="黑体" w:eastAsia="黑体" w:cs="宋体"/>
          <w:sz w:val="28"/>
          <w:szCs w:val="28"/>
        </w:rPr>
        <w:t>投标人应提供的其他资格证明文件</w:t>
      </w:r>
      <w:bookmarkEnd w:id="1504"/>
    </w:p>
    <w:p w14:paraId="35DC9B06">
      <w:pPr>
        <w:widowControl/>
        <w:adjustRightInd w:val="0"/>
        <w:snapToGrid w:val="0"/>
        <w:spacing w:line="360" w:lineRule="auto"/>
        <w:ind w:firstLine="420" w:firstLineChars="200"/>
        <w:jc w:val="left"/>
        <w:outlineLvl w:val="9"/>
        <w:rPr>
          <w:rFonts w:ascii="黑体" w:eastAsia="黑体"/>
          <w:color w:val="auto"/>
          <w:sz w:val="32"/>
          <w:szCs w:val="32"/>
          <w:highlight w:val="none"/>
        </w:rPr>
      </w:pPr>
      <w:r>
        <w:rPr>
          <w:rFonts w:ascii="宋体" w:hAnsi="宋体"/>
          <w:color w:val="auto"/>
          <w:szCs w:val="21"/>
          <w:highlight w:val="none"/>
        </w:rPr>
        <w:br w:type="page"/>
      </w:r>
    </w:p>
    <w:p w14:paraId="6EA28563">
      <w:pPr>
        <w:adjustRightInd w:val="0"/>
        <w:snapToGrid w:val="0"/>
        <w:spacing w:line="360" w:lineRule="auto"/>
        <w:jc w:val="center"/>
        <w:rPr>
          <w:rFonts w:ascii="黑体" w:eastAsia="黑体"/>
          <w:color w:val="auto"/>
          <w:sz w:val="32"/>
          <w:szCs w:val="32"/>
          <w:highlight w:val="none"/>
        </w:rPr>
      </w:pPr>
    </w:p>
    <w:p w14:paraId="36157D0F">
      <w:pPr>
        <w:pStyle w:val="22"/>
        <w:adjustRightInd w:val="0"/>
        <w:snapToGrid w:val="0"/>
        <w:spacing w:line="360" w:lineRule="auto"/>
        <w:jc w:val="center"/>
        <w:outlineLvl w:val="9"/>
        <w:rPr>
          <w:rFonts w:ascii="华文中宋" w:hAnsi="华文中宋" w:eastAsia="华文中宋"/>
          <w:bCs/>
          <w:color w:val="auto"/>
          <w:sz w:val="72"/>
          <w:szCs w:val="72"/>
          <w:highlight w:val="none"/>
        </w:rPr>
      </w:pPr>
      <w:r>
        <w:rPr>
          <w:rFonts w:hint="eastAsia" w:ascii="华文中宋" w:hAnsi="华文中宋" w:eastAsia="华文中宋"/>
          <w:bCs/>
          <w:color w:val="auto"/>
          <w:sz w:val="72"/>
          <w:szCs w:val="72"/>
          <w:highlight w:val="none"/>
        </w:rPr>
        <w:t>政府采购</w:t>
      </w:r>
    </w:p>
    <w:p w14:paraId="432614ED">
      <w:pPr>
        <w:adjustRightInd w:val="0"/>
        <w:snapToGrid w:val="0"/>
        <w:spacing w:line="360" w:lineRule="auto"/>
        <w:jc w:val="center"/>
        <w:outlineLvl w:val="9"/>
        <w:rPr>
          <w:rFonts w:ascii="宋体" w:hAnsi="宋体"/>
          <w:b/>
          <w:bCs/>
          <w:color w:val="auto"/>
          <w:sz w:val="84"/>
          <w:szCs w:val="84"/>
          <w:highlight w:val="none"/>
        </w:rPr>
      </w:pPr>
      <w:r>
        <w:rPr>
          <w:rFonts w:hint="eastAsia" w:ascii="宋体" w:hAnsi="宋体"/>
          <w:b/>
          <w:bCs/>
          <w:color w:val="auto"/>
          <w:sz w:val="84"/>
          <w:szCs w:val="84"/>
          <w:highlight w:val="none"/>
        </w:rPr>
        <w:t>投 标 文 件</w:t>
      </w:r>
    </w:p>
    <w:p w14:paraId="087AA50A">
      <w:pPr>
        <w:pStyle w:val="2"/>
        <w:adjustRightInd w:val="0"/>
        <w:snapToGrid w:val="0"/>
        <w:jc w:val="center"/>
        <w:outlineLvl w:val="0"/>
        <w:rPr>
          <w:rFonts w:ascii="黑体" w:hAnsi="黑体" w:eastAsia="黑体"/>
          <w:color w:val="auto"/>
          <w:sz w:val="44"/>
          <w:szCs w:val="44"/>
          <w:highlight w:val="none"/>
        </w:rPr>
      </w:pPr>
      <w:bookmarkStart w:id="1505" w:name="_Toc192951268"/>
      <w:bookmarkStart w:id="1506" w:name="_Toc112705000"/>
      <w:bookmarkStart w:id="1507" w:name="_Toc95601424"/>
      <w:bookmarkStart w:id="1508" w:name="_Toc24192"/>
      <w:bookmarkStart w:id="1509" w:name="_Toc114036771"/>
      <w:bookmarkStart w:id="1510" w:name="_Toc17619"/>
      <w:bookmarkStart w:id="1511" w:name="_Toc85972989"/>
      <w:bookmarkStart w:id="1512" w:name="_Toc15888538"/>
      <w:bookmarkStart w:id="1513" w:name="_Toc77676527"/>
      <w:bookmarkStart w:id="1514" w:name="_Toc100670483"/>
      <w:bookmarkStart w:id="1515" w:name="_Toc154428445"/>
      <w:bookmarkStart w:id="1516" w:name="_Toc108341998"/>
      <w:bookmarkStart w:id="1517" w:name="_Toc75289290"/>
      <w:bookmarkStart w:id="1518" w:name="_Toc19172"/>
      <w:bookmarkStart w:id="1519" w:name="_Toc94367939"/>
      <w:bookmarkStart w:id="1520" w:name="_Toc2817"/>
      <w:bookmarkStart w:id="1521" w:name="_Toc4837"/>
      <w:bookmarkStart w:id="1522" w:name="_Toc171273727"/>
      <w:bookmarkStart w:id="1523" w:name="_Toc192949658"/>
      <w:bookmarkStart w:id="1524" w:name="_Toc1227406406"/>
      <w:bookmarkStart w:id="1525" w:name="_Toc30858"/>
      <w:bookmarkStart w:id="1526" w:name="_Toc192949757"/>
      <w:bookmarkStart w:id="1527" w:name="_Toc75289608"/>
      <w:bookmarkStart w:id="1528" w:name="_Toc78450016"/>
      <w:bookmarkStart w:id="1529" w:name="_Toc117192507"/>
      <w:bookmarkStart w:id="1530" w:name="_Toc78314323"/>
      <w:bookmarkStart w:id="1531" w:name="_Toc18258"/>
      <w:bookmarkStart w:id="1532" w:name="_Toc100670731"/>
      <w:bookmarkStart w:id="1533" w:name="_Toc77199462"/>
      <w:bookmarkStart w:id="1534" w:name="_Toc26261"/>
      <w:bookmarkStart w:id="1535" w:name="_Toc11850"/>
      <w:r>
        <w:rPr>
          <w:rFonts w:hint="eastAsia" w:ascii="黑体" w:hAnsi="黑体" w:eastAsia="黑体"/>
          <w:color w:val="auto"/>
          <w:sz w:val="44"/>
          <w:szCs w:val="44"/>
          <w:highlight w:val="none"/>
        </w:rPr>
        <w:t>第二部分 商务技术文件</w:t>
      </w:r>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p>
    <w:p w14:paraId="1034BF70">
      <w:pPr>
        <w:adjustRightInd w:val="0"/>
        <w:snapToGrid w:val="0"/>
        <w:spacing w:line="360" w:lineRule="auto"/>
        <w:rPr>
          <w:rFonts w:ascii="宋体" w:hAnsi="宋体"/>
          <w:color w:val="auto"/>
          <w:sz w:val="32"/>
          <w:szCs w:val="32"/>
          <w:highlight w:val="none"/>
        </w:rPr>
      </w:pPr>
    </w:p>
    <w:p w14:paraId="2695B95B">
      <w:pPr>
        <w:pStyle w:val="22"/>
        <w:adjustRightInd w:val="0"/>
        <w:snapToGrid w:val="0"/>
        <w:spacing w:line="360" w:lineRule="auto"/>
        <w:ind w:firstLine="1988" w:firstLineChars="660"/>
        <w:rPr>
          <w:rFonts w:hAnsi="宋体"/>
          <w:b/>
          <w:bCs/>
          <w:color w:val="auto"/>
          <w:sz w:val="30"/>
          <w:szCs w:val="30"/>
          <w:highlight w:val="none"/>
        </w:rPr>
      </w:pPr>
    </w:p>
    <w:p w14:paraId="0F5DE0BF">
      <w:pPr>
        <w:pStyle w:val="22"/>
        <w:adjustRightInd w:val="0"/>
        <w:snapToGrid w:val="0"/>
        <w:spacing w:line="360" w:lineRule="auto"/>
        <w:ind w:firstLine="1988" w:firstLineChars="660"/>
        <w:rPr>
          <w:rFonts w:hAnsi="宋体"/>
          <w:b/>
          <w:bCs/>
          <w:color w:val="auto"/>
          <w:sz w:val="30"/>
          <w:szCs w:val="30"/>
          <w:highlight w:val="none"/>
          <w:u w:val="single"/>
        </w:rPr>
      </w:pPr>
      <w:r>
        <w:rPr>
          <w:rFonts w:hint="eastAsia" w:hAnsi="宋体"/>
          <w:b/>
          <w:bCs/>
          <w:color w:val="auto"/>
          <w:sz w:val="30"/>
          <w:szCs w:val="30"/>
          <w:highlight w:val="none"/>
        </w:rPr>
        <w:t>采购项目名称:</w:t>
      </w:r>
    </w:p>
    <w:p w14:paraId="2713871F">
      <w:pPr>
        <w:pStyle w:val="22"/>
        <w:adjustRightInd w:val="0"/>
        <w:snapToGrid w:val="0"/>
        <w:spacing w:line="360" w:lineRule="auto"/>
        <w:ind w:firstLine="1988" w:firstLineChars="660"/>
        <w:rPr>
          <w:rFonts w:hAnsi="宋体"/>
          <w:b/>
          <w:bCs/>
          <w:color w:val="auto"/>
          <w:sz w:val="30"/>
          <w:szCs w:val="30"/>
          <w:highlight w:val="none"/>
        </w:rPr>
      </w:pPr>
      <w:r>
        <w:rPr>
          <w:rFonts w:hint="eastAsia" w:hAnsi="宋体"/>
          <w:b/>
          <w:bCs/>
          <w:color w:val="auto"/>
          <w:sz w:val="30"/>
          <w:szCs w:val="30"/>
          <w:highlight w:val="none"/>
        </w:rPr>
        <w:t>采   购   人：</w:t>
      </w:r>
    </w:p>
    <w:p w14:paraId="1DD634F6">
      <w:pPr>
        <w:pStyle w:val="22"/>
        <w:adjustRightInd w:val="0"/>
        <w:snapToGrid w:val="0"/>
        <w:spacing w:line="360" w:lineRule="auto"/>
        <w:ind w:firstLine="1988" w:firstLineChars="660"/>
        <w:rPr>
          <w:rFonts w:hAnsi="宋体"/>
          <w:b/>
          <w:bCs/>
          <w:color w:val="auto"/>
          <w:sz w:val="30"/>
          <w:szCs w:val="30"/>
          <w:highlight w:val="none"/>
          <w:u w:val="single"/>
        </w:rPr>
      </w:pPr>
      <w:r>
        <w:rPr>
          <w:rFonts w:hint="eastAsia" w:hAnsi="宋体"/>
          <w:b/>
          <w:bCs/>
          <w:color w:val="auto"/>
          <w:sz w:val="30"/>
          <w:szCs w:val="30"/>
          <w:highlight w:val="none"/>
        </w:rPr>
        <w:t>政府采购计划编号:</w:t>
      </w:r>
    </w:p>
    <w:p w14:paraId="017AFBC2">
      <w:pPr>
        <w:pStyle w:val="22"/>
        <w:adjustRightInd w:val="0"/>
        <w:snapToGrid w:val="0"/>
        <w:spacing w:line="360" w:lineRule="auto"/>
        <w:ind w:firstLine="1988" w:firstLineChars="660"/>
        <w:rPr>
          <w:rFonts w:hAnsi="宋体"/>
          <w:b/>
          <w:bCs/>
          <w:color w:val="auto"/>
          <w:sz w:val="30"/>
          <w:szCs w:val="30"/>
          <w:highlight w:val="none"/>
          <w:u w:val="single"/>
        </w:rPr>
      </w:pPr>
      <w:r>
        <w:rPr>
          <w:rFonts w:hint="eastAsia" w:hAnsi="宋体"/>
          <w:b/>
          <w:bCs/>
          <w:color w:val="auto"/>
          <w:sz w:val="30"/>
          <w:szCs w:val="30"/>
          <w:highlight w:val="none"/>
        </w:rPr>
        <w:t>委托代理编号:</w:t>
      </w:r>
    </w:p>
    <w:p w14:paraId="76003D1F">
      <w:pPr>
        <w:pStyle w:val="22"/>
        <w:adjustRightInd w:val="0"/>
        <w:snapToGrid w:val="0"/>
        <w:spacing w:line="360" w:lineRule="auto"/>
        <w:ind w:firstLine="1988" w:firstLineChars="660"/>
        <w:rPr>
          <w:rFonts w:hAnsi="宋体"/>
          <w:b/>
          <w:bCs/>
          <w:color w:val="auto"/>
          <w:sz w:val="30"/>
          <w:szCs w:val="30"/>
          <w:highlight w:val="none"/>
          <w:u w:val="single"/>
        </w:rPr>
      </w:pPr>
      <w:r>
        <w:rPr>
          <w:rFonts w:hint="eastAsia" w:hAnsi="宋体"/>
          <w:b/>
          <w:bCs/>
          <w:color w:val="auto"/>
          <w:sz w:val="30"/>
          <w:szCs w:val="30"/>
          <w:highlight w:val="none"/>
        </w:rPr>
        <w:t>采购代理机构：</w:t>
      </w:r>
    </w:p>
    <w:p w14:paraId="2D0F7981">
      <w:pPr>
        <w:adjustRightInd w:val="0"/>
        <w:snapToGrid w:val="0"/>
        <w:spacing w:line="360" w:lineRule="auto"/>
        <w:rPr>
          <w:rFonts w:ascii="宋体" w:hAnsi="宋体"/>
          <w:color w:val="auto"/>
          <w:sz w:val="30"/>
          <w:szCs w:val="30"/>
          <w:highlight w:val="none"/>
        </w:rPr>
      </w:pPr>
    </w:p>
    <w:p w14:paraId="2660EF15">
      <w:pPr>
        <w:adjustRightInd w:val="0"/>
        <w:snapToGrid w:val="0"/>
        <w:spacing w:line="360" w:lineRule="auto"/>
        <w:rPr>
          <w:rFonts w:ascii="宋体" w:hAnsi="宋体"/>
          <w:color w:val="auto"/>
          <w:sz w:val="30"/>
          <w:szCs w:val="30"/>
          <w:highlight w:val="none"/>
        </w:rPr>
      </w:pPr>
    </w:p>
    <w:p w14:paraId="0952743D">
      <w:pPr>
        <w:adjustRightInd w:val="0"/>
        <w:snapToGrid w:val="0"/>
        <w:spacing w:line="360" w:lineRule="auto"/>
        <w:rPr>
          <w:rFonts w:ascii="宋体" w:hAnsi="宋体"/>
          <w:color w:val="auto"/>
          <w:sz w:val="30"/>
          <w:szCs w:val="30"/>
          <w:highlight w:val="none"/>
        </w:rPr>
      </w:pPr>
    </w:p>
    <w:p w14:paraId="0A6591B7">
      <w:pPr>
        <w:adjustRightInd w:val="0"/>
        <w:snapToGrid w:val="0"/>
        <w:spacing w:line="360" w:lineRule="auto"/>
        <w:rPr>
          <w:rFonts w:ascii="宋体" w:hAnsi="宋体"/>
          <w:color w:val="auto"/>
          <w:sz w:val="30"/>
          <w:szCs w:val="30"/>
          <w:highlight w:val="none"/>
        </w:rPr>
      </w:pPr>
    </w:p>
    <w:p w14:paraId="2130F8B5">
      <w:pPr>
        <w:adjustRightInd w:val="0"/>
        <w:snapToGrid w:val="0"/>
        <w:spacing w:line="360" w:lineRule="auto"/>
        <w:ind w:left="1273" w:leftChars="606" w:firstLine="2"/>
        <w:rPr>
          <w:rFonts w:ascii="宋体" w:hAnsi="宋体"/>
          <w:color w:val="auto"/>
          <w:sz w:val="32"/>
          <w:szCs w:val="32"/>
          <w:highlight w:val="none"/>
          <w:u w:val="single"/>
        </w:rPr>
      </w:pPr>
      <w:r>
        <w:rPr>
          <w:rFonts w:hint="eastAsia" w:ascii="宋体" w:hAnsi="宋体"/>
          <w:color w:val="auto"/>
          <w:sz w:val="32"/>
          <w:szCs w:val="32"/>
          <w:highlight w:val="none"/>
        </w:rPr>
        <w:t>投标人</w:t>
      </w:r>
    </w:p>
    <w:p w14:paraId="6ED13517">
      <w:pPr>
        <w:adjustRightInd w:val="0"/>
        <w:snapToGrid w:val="0"/>
        <w:spacing w:line="360" w:lineRule="auto"/>
        <w:jc w:val="center"/>
        <w:rPr>
          <w:rFonts w:ascii="宋体" w:hAnsi="宋体"/>
          <w:color w:val="auto"/>
          <w:sz w:val="32"/>
          <w:szCs w:val="32"/>
          <w:highlight w:val="none"/>
        </w:rPr>
      </w:pPr>
      <w:r>
        <w:rPr>
          <w:rFonts w:hint="eastAsia" w:ascii="宋体" w:hAnsi="宋体"/>
          <w:color w:val="auto"/>
          <w:sz w:val="32"/>
          <w:szCs w:val="32"/>
          <w:highlight w:val="none"/>
        </w:rPr>
        <w:t>年  月  日</w:t>
      </w:r>
    </w:p>
    <w:p w14:paraId="500A5BE5">
      <w:pPr>
        <w:pStyle w:val="5"/>
        <w:adjustRightInd w:val="0"/>
        <w:spacing w:before="156" w:beforeLines="50" w:after="0" w:line="360" w:lineRule="auto"/>
        <w:jc w:val="left"/>
        <w:outlineLvl w:val="9"/>
        <w:rPr>
          <w:rFonts w:ascii="黑体" w:hAnsi="宋体"/>
          <w:b w:val="0"/>
          <w:bCs w:val="0"/>
          <w:color w:val="auto"/>
          <w:szCs w:val="21"/>
          <w:highlight w:val="none"/>
        </w:rPr>
      </w:pPr>
      <w:r>
        <w:rPr>
          <w:rFonts w:ascii="宋体" w:hAnsi="宋体" w:eastAsia="宋体"/>
          <w:color w:val="auto"/>
          <w:highlight w:val="none"/>
        </w:rPr>
        <w:br w:type="page"/>
      </w:r>
    </w:p>
    <w:p w14:paraId="4CB80022">
      <w:pPr>
        <w:pStyle w:val="2"/>
        <w:jc w:val="center"/>
        <w:rPr>
          <w:rFonts w:ascii="黑体" w:hAnsi="宋体" w:eastAsia="黑体"/>
          <w:color w:val="auto"/>
          <w:sz w:val="28"/>
          <w:szCs w:val="28"/>
          <w:highlight w:val="none"/>
        </w:rPr>
      </w:pPr>
      <w:bookmarkStart w:id="1536" w:name="_Toc4451"/>
      <w:bookmarkStart w:id="1537" w:name="_Toc85972992"/>
      <w:bookmarkStart w:id="1538" w:name="_Toc15888541"/>
      <w:bookmarkStart w:id="1539" w:name="_Toc78314326"/>
      <w:bookmarkStart w:id="1540" w:name="_Toc209498568"/>
      <w:bookmarkStart w:id="1541" w:name="_Toc117192508"/>
      <w:bookmarkStart w:id="1542" w:name="_Toc95601427"/>
      <w:bookmarkStart w:id="1543" w:name="_Toc9833"/>
      <w:bookmarkStart w:id="1544" w:name="_Toc78450019"/>
      <w:bookmarkStart w:id="1545" w:name="_Toc192949659"/>
      <w:bookmarkStart w:id="1546" w:name="_Toc192949758"/>
      <w:bookmarkStart w:id="1547" w:name="_Toc4446"/>
      <w:bookmarkStart w:id="1548" w:name="_Toc77199465"/>
      <w:bookmarkStart w:id="1549" w:name="_Toc17186"/>
      <w:bookmarkStart w:id="1550" w:name="_Toc75289293"/>
      <w:bookmarkStart w:id="1551" w:name="_Toc30810"/>
      <w:bookmarkStart w:id="1552" w:name="_Toc112705001"/>
      <w:bookmarkStart w:id="1553" w:name="_Toc114036772"/>
      <w:bookmarkStart w:id="1554" w:name="_Toc94367942"/>
      <w:bookmarkStart w:id="1555" w:name="_Toc18505"/>
      <w:bookmarkStart w:id="1556" w:name="_Toc171273728"/>
      <w:bookmarkStart w:id="1557" w:name="_Toc77676530"/>
      <w:bookmarkStart w:id="1558" w:name="_Toc9017"/>
      <w:bookmarkStart w:id="1559" w:name="_Toc100670486"/>
      <w:bookmarkStart w:id="1560" w:name="_Toc20564"/>
      <w:bookmarkStart w:id="1561" w:name="_Toc192951269"/>
      <w:bookmarkStart w:id="1562" w:name="_Toc154428446"/>
      <w:bookmarkStart w:id="1563" w:name="_Toc100670734"/>
      <w:bookmarkStart w:id="1564" w:name="_Toc108342001"/>
      <w:bookmarkStart w:id="1565" w:name="_Toc75289611"/>
      <w:bookmarkStart w:id="1566" w:name="_Toc719"/>
      <w:r>
        <w:rPr>
          <w:rFonts w:hint="eastAsia" w:ascii="黑体" w:hAnsi="宋体" w:eastAsia="黑体"/>
          <w:color w:val="auto"/>
          <w:sz w:val="28"/>
          <w:szCs w:val="28"/>
          <w:highlight w:val="none"/>
        </w:rPr>
        <w:t>五</w:t>
      </w:r>
      <w:r>
        <w:rPr>
          <w:rFonts w:ascii="黑体" w:hAnsi="宋体" w:eastAsia="黑体"/>
          <w:color w:val="auto"/>
          <w:sz w:val="28"/>
          <w:szCs w:val="28"/>
          <w:highlight w:val="none"/>
        </w:rPr>
        <w:t>、</w:t>
      </w:r>
      <w:r>
        <w:rPr>
          <w:rFonts w:hint="eastAsia" w:ascii="黑体" w:hAnsi="宋体" w:eastAsia="黑体"/>
          <w:color w:val="auto"/>
          <w:sz w:val="28"/>
          <w:szCs w:val="28"/>
          <w:highlight w:val="none"/>
        </w:rPr>
        <w:t>投标函</w:t>
      </w:r>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p>
    <w:p w14:paraId="6179E8D2">
      <w:pPr>
        <w:adjustRightInd w:val="0"/>
        <w:snapToGrid w:val="0"/>
        <w:spacing w:before="156" w:beforeLines="50" w:line="360" w:lineRule="auto"/>
        <w:rPr>
          <w:rFonts w:ascii="宋体" w:hAnsi="宋体"/>
          <w:color w:val="auto"/>
          <w:szCs w:val="21"/>
          <w:highlight w:val="none"/>
        </w:rPr>
      </w:pPr>
      <w:r>
        <w:rPr>
          <w:rFonts w:hint="eastAsia" w:ascii="宋体" w:hAnsi="宋体"/>
          <w:color w:val="auto"/>
          <w:szCs w:val="21"/>
          <w:highlight w:val="none"/>
        </w:rPr>
        <w:t>致：（采购人、采购代理机构）：</w:t>
      </w:r>
    </w:p>
    <w:p w14:paraId="2C81055C">
      <w:pPr>
        <w:adjustRightInd w:val="0"/>
        <w:snapToGrid w:val="0"/>
        <w:spacing w:before="156" w:beforeLines="50" w:line="360" w:lineRule="auto"/>
        <w:ind w:firstLine="435"/>
        <w:rPr>
          <w:rFonts w:ascii="宋体" w:hAnsi="宋体"/>
          <w:color w:val="auto"/>
          <w:szCs w:val="21"/>
          <w:highlight w:val="none"/>
        </w:rPr>
      </w:pPr>
      <w:r>
        <w:rPr>
          <w:rFonts w:hint="eastAsia" w:ascii="宋体" w:hAnsi="宋体"/>
          <w:color w:val="auto"/>
          <w:szCs w:val="21"/>
          <w:highlight w:val="none"/>
        </w:rPr>
        <w:t>根据贵方为（项目名称）的投标邀请（</w:t>
      </w:r>
      <w:r>
        <w:rPr>
          <w:rFonts w:hint="eastAsia" w:ascii="宋体" w:hAnsi="宋体"/>
          <w:color w:val="auto"/>
          <w:highlight w:val="none"/>
        </w:rPr>
        <w:t>政府采购计划编号</w:t>
      </w:r>
      <w:r>
        <w:rPr>
          <w:rFonts w:hint="eastAsia" w:ascii="宋体" w:hAnsi="宋体"/>
          <w:iCs/>
          <w:color w:val="auto"/>
          <w:highlight w:val="none"/>
        </w:rPr>
        <w:t>： ，</w:t>
      </w:r>
      <w:r>
        <w:rPr>
          <w:rFonts w:hint="eastAsia" w:ascii="宋体" w:hAnsi="宋体"/>
          <w:color w:val="auto"/>
          <w:szCs w:val="21"/>
          <w:highlight w:val="none"/>
        </w:rPr>
        <w:t>委托代理编号：），签字代表 （姓名、职务）经正式授权并代表投标人 （投标人名称）提交下述投标文件电子文档一份，参加采购项目第包投标，并在此声明，所递交的投标文件内容完整、真实。</w:t>
      </w:r>
    </w:p>
    <w:p w14:paraId="4333A191">
      <w:pPr>
        <w:adjustRightInd w:val="0"/>
        <w:snapToGrid w:val="0"/>
        <w:spacing w:before="156" w:beforeLines="50" w:line="360" w:lineRule="auto"/>
        <w:ind w:firstLine="422" w:firstLineChars="200"/>
        <w:rPr>
          <w:rFonts w:ascii="宋体" w:hAnsi="宋体"/>
          <w:b/>
          <w:color w:val="auto"/>
          <w:szCs w:val="21"/>
          <w:highlight w:val="none"/>
        </w:rPr>
      </w:pPr>
      <w:r>
        <w:rPr>
          <w:rFonts w:hint="eastAsia" w:ascii="宋体" w:hAnsi="宋体"/>
          <w:b/>
          <w:color w:val="auto"/>
          <w:szCs w:val="21"/>
          <w:highlight w:val="none"/>
        </w:rPr>
        <w:t>第一部分 资格证明文件</w:t>
      </w:r>
    </w:p>
    <w:p w14:paraId="7CEDEF5C">
      <w:pPr>
        <w:adjustRightInd w:val="0"/>
        <w:snapToGrid w:val="0"/>
        <w:spacing w:before="156" w:beforeLines="50" w:line="360" w:lineRule="auto"/>
        <w:ind w:firstLine="630" w:firstLineChars="300"/>
        <w:rPr>
          <w:rFonts w:ascii="宋体" w:hAnsi="宋体"/>
          <w:color w:val="auto"/>
          <w:szCs w:val="21"/>
          <w:highlight w:val="none"/>
        </w:rPr>
      </w:pPr>
      <w:r>
        <w:rPr>
          <w:rFonts w:hint="eastAsia" w:ascii="宋体" w:hAnsi="宋体"/>
          <w:color w:val="auto"/>
          <w:szCs w:val="21"/>
          <w:highlight w:val="none"/>
        </w:rPr>
        <w:t>一、开标一览表</w:t>
      </w:r>
    </w:p>
    <w:p w14:paraId="6ABF6902">
      <w:pPr>
        <w:adjustRightInd w:val="0"/>
        <w:snapToGrid w:val="0"/>
        <w:spacing w:before="156" w:beforeLines="50" w:line="360" w:lineRule="auto"/>
        <w:ind w:firstLine="630" w:firstLineChars="300"/>
        <w:rPr>
          <w:rFonts w:ascii="宋体" w:hAnsi="宋体"/>
          <w:color w:val="auto"/>
          <w:szCs w:val="21"/>
          <w:highlight w:val="none"/>
        </w:rPr>
      </w:pPr>
      <w:r>
        <w:rPr>
          <w:rFonts w:hint="eastAsia" w:ascii="宋体" w:hAnsi="宋体"/>
          <w:color w:val="auto"/>
          <w:szCs w:val="21"/>
          <w:highlight w:val="none"/>
        </w:rPr>
        <w:t>二、投标保证金</w:t>
      </w:r>
    </w:p>
    <w:p w14:paraId="1863114C">
      <w:pPr>
        <w:adjustRightInd w:val="0"/>
        <w:snapToGrid w:val="0"/>
        <w:spacing w:before="156" w:beforeLines="50" w:line="360" w:lineRule="auto"/>
        <w:ind w:firstLine="630" w:firstLineChars="300"/>
        <w:rPr>
          <w:rFonts w:ascii="宋体" w:hAnsi="宋体"/>
          <w:color w:val="auto"/>
          <w:szCs w:val="21"/>
          <w:highlight w:val="none"/>
        </w:rPr>
      </w:pPr>
      <w:r>
        <w:rPr>
          <w:rFonts w:hint="eastAsia" w:ascii="宋体" w:hAnsi="宋体"/>
          <w:color w:val="auto"/>
          <w:szCs w:val="21"/>
          <w:highlight w:val="none"/>
        </w:rPr>
        <w:t>三、授权委托书</w:t>
      </w:r>
    </w:p>
    <w:p w14:paraId="05A31151">
      <w:pPr>
        <w:adjustRightInd w:val="0"/>
        <w:snapToGrid w:val="0"/>
        <w:spacing w:before="156" w:beforeLines="50" w:line="360" w:lineRule="auto"/>
        <w:ind w:firstLine="630" w:firstLineChars="300"/>
        <w:rPr>
          <w:rFonts w:ascii="宋体" w:hAnsi="宋体"/>
          <w:color w:val="auto"/>
          <w:szCs w:val="21"/>
          <w:highlight w:val="none"/>
        </w:rPr>
      </w:pPr>
      <w:r>
        <w:rPr>
          <w:rFonts w:hint="eastAsia" w:ascii="宋体" w:hAnsi="宋体"/>
          <w:color w:val="auto"/>
          <w:szCs w:val="21"/>
          <w:highlight w:val="none"/>
        </w:rPr>
        <w:t>四、投标人提供的资格证明文件</w:t>
      </w:r>
    </w:p>
    <w:p w14:paraId="5E421422">
      <w:pPr>
        <w:adjustRightInd w:val="0"/>
        <w:snapToGrid w:val="0"/>
        <w:spacing w:before="156" w:beforeLines="50" w:line="360" w:lineRule="auto"/>
        <w:ind w:firstLine="422" w:firstLineChars="200"/>
        <w:rPr>
          <w:rFonts w:ascii="宋体" w:hAnsi="宋体"/>
          <w:b/>
          <w:color w:val="auto"/>
          <w:szCs w:val="21"/>
          <w:highlight w:val="none"/>
        </w:rPr>
      </w:pPr>
      <w:r>
        <w:rPr>
          <w:rFonts w:hint="eastAsia" w:ascii="宋体" w:hAnsi="宋体"/>
          <w:b/>
          <w:color w:val="auto"/>
          <w:szCs w:val="21"/>
          <w:highlight w:val="none"/>
        </w:rPr>
        <w:t>第二部分 商务技术文件</w:t>
      </w:r>
    </w:p>
    <w:p w14:paraId="5627F4B0">
      <w:pPr>
        <w:adjustRightInd w:val="0"/>
        <w:snapToGrid w:val="0"/>
        <w:spacing w:before="156" w:beforeLines="50" w:line="360" w:lineRule="auto"/>
        <w:ind w:firstLine="630" w:firstLineChars="300"/>
        <w:rPr>
          <w:rFonts w:ascii="宋体" w:hAnsi="宋体"/>
          <w:color w:val="auto"/>
          <w:szCs w:val="21"/>
          <w:highlight w:val="none"/>
        </w:rPr>
      </w:pPr>
      <w:r>
        <w:rPr>
          <w:rFonts w:hint="eastAsia" w:ascii="宋体" w:hAnsi="宋体"/>
          <w:color w:val="auto"/>
          <w:szCs w:val="21"/>
          <w:highlight w:val="none"/>
        </w:rPr>
        <w:t>五、投标函</w:t>
      </w:r>
    </w:p>
    <w:p w14:paraId="6CCA7CEB">
      <w:pPr>
        <w:adjustRightInd w:val="0"/>
        <w:snapToGrid w:val="0"/>
        <w:spacing w:before="156" w:beforeLines="50" w:line="360" w:lineRule="auto"/>
        <w:ind w:firstLine="630" w:firstLineChars="300"/>
        <w:rPr>
          <w:rFonts w:ascii="宋体" w:hAnsi="宋体"/>
          <w:color w:val="auto"/>
          <w:szCs w:val="21"/>
          <w:highlight w:val="none"/>
        </w:rPr>
      </w:pPr>
      <w:r>
        <w:rPr>
          <w:rFonts w:hint="eastAsia" w:ascii="宋体" w:hAnsi="宋体"/>
          <w:color w:val="auto"/>
          <w:szCs w:val="21"/>
          <w:highlight w:val="none"/>
        </w:rPr>
        <w:t>六、分项报价</w:t>
      </w:r>
    </w:p>
    <w:p w14:paraId="3BB33B29">
      <w:pPr>
        <w:adjustRightInd w:val="0"/>
        <w:snapToGrid w:val="0"/>
        <w:spacing w:before="156" w:beforeLines="50" w:line="360" w:lineRule="auto"/>
        <w:ind w:firstLine="630" w:firstLineChars="300"/>
        <w:rPr>
          <w:rFonts w:ascii="宋体" w:hAnsi="宋体"/>
          <w:color w:val="auto"/>
          <w:szCs w:val="21"/>
          <w:highlight w:val="none"/>
        </w:rPr>
      </w:pPr>
      <w:r>
        <w:rPr>
          <w:rFonts w:hint="eastAsia" w:ascii="宋体" w:hAnsi="宋体"/>
          <w:color w:val="auto"/>
          <w:szCs w:val="21"/>
          <w:highlight w:val="none"/>
        </w:rPr>
        <w:t>七、采购需求响应</w:t>
      </w:r>
    </w:p>
    <w:p w14:paraId="77EA0092">
      <w:pPr>
        <w:adjustRightInd w:val="0"/>
        <w:snapToGrid w:val="0"/>
        <w:spacing w:before="156" w:beforeLines="50" w:line="360" w:lineRule="auto"/>
        <w:ind w:firstLine="630" w:firstLineChars="300"/>
        <w:rPr>
          <w:rFonts w:ascii="宋体" w:hAnsi="宋体"/>
          <w:color w:val="auto"/>
          <w:szCs w:val="21"/>
          <w:highlight w:val="none"/>
        </w:rPr>
      </w:pPr>
      <w:r>
        <w:rPr>
          <w:rFonts w:hint="eastAsia" w:ascii="宋体" w:hAnsi="宋体"/>
          <w:color w:val="auto"/>
          <w:szCs w:val="21"/>
          <w:highlight w:val="none"/>
        </w:rPr>
        <w:t>八、合同条款偏离表</w:t>
      </w:r>
    </w:p>
    <w:p w14:paraId="1F8AFFE5">
      <w:pPr>
        <w:adjustRightInd w:val="0"/>
        <w:snapToGrid w:val="0"/>
        <w:spacing w:before="156" w:beforeLines="50" w:line="360" w:lineRule="auto"/>
        <w:ind w:firstLine="630" w:firstLineChars="300"/>
        <w:rPr>
          <w:rFonts w:ascii="宋体" w:hAnsi="宋体"/>
          <w:color w:val="auto"/>
          <w:szCs w:val="21"/>
          <w:highlight w:val="none"/>
        </w:rPr>
      </w:pPr>
      <w:r>
        <w:rPr>
          <w:rFonts w:hint="eastAsia" w:ascii="宋体" w:hAnsi="宋体"/>
          <w:color w:val="auto"/>
          <w:szCs w:val="21"/>
          <w:highlight w:val="none"/>
        </w:rPr>
        <w:t>九、采购需求偏离表</w:t>
      </w:r>
    </w:p>
    <w:p w14:paraId="173D014B">
      <w:pPr>
        <w:adjustRightInd w:val="0"/>
        <w:snapToGrid w:val="0"/>
        <w:spacing w:before="156" w:beforeLines="50" w:line="360" w:lineRule="auto"/>
        <w:ind w:firstLine="630" w:firstLineChars="300"/>
        <w:rPr>
          <w:rFonts w:ascii="宋体" w:hAnsi="宋体"/>
          <w:color w:val="auto"/>
          <w:szCs w:val="21"/>
          <w:highlight w:val="none"/>
        </w:rPr>
      </w:pPr>
      <w:r>
        <w:rPr>
          <w:rFonts w:hint="eastAsia" w:ascii="宋体" w:hAnsi="宋体"/>
          <w:color w:val="auto"/>
          <w:szCs w:val="21"/>
          <w:highlight w:val="none"/>
        </w:rPr>
        <w:t>十、享受政府采购政策优惠的证明资料</w:t>
      </w:r>
    </w:p>
    <w:p w14:paraId="4E127BB9">
      <w:pPr>
        <w:adjustRightInd w:val="0"/>
        <w:snapToGrid w:val="0"/>
        <w:spacing w:before="156" w:beforeLines="50" w:line="360" w:lineRule="auto"/>
        <w:ind w:firstLine="630" w:firstLineChars="300"/>
        <w:rPr>
          <w:rFonts w:ascii="宋体" w:hAnsi="宋体"/>
          <w:color w:val="auto"/>
          <w:szCs w:val="21"/>
          <w:highlight w:val="none"/>
        </w:rPr>
      </w:pPr>
      <w:r>
        <w:rPr>
          <w:rFonts w:hint="eastAsia" w:ascii="宋体" w:hAnsi="宋体"/>
          <w:color w:val="auto"/>
          <w:szCs w:val="21"/>
          <w:highlight w:val="none"/>
        </w:rPr>
        <w:t>十一、投标货物符合招标文件规定的证明文件</w:t>
      </w:r>
    </w:p>
    <w:p w14:paraId="4EDD0360">
      <w:pPr>
        <w:adjustRightInd w:val="0"/>
        <w:snapToGrid w:val="0"/>
        <w:spacing w:before="156" w:beforeLines="50" w:line="360" w:lineRule="auto"/>
        <w:ind w:firstLine="630" w:firstLineChars="300"/>
        <w:rPr>
          <w:rFonts w:ascii="宋体" w:hAnsi="宋体"/>
          <w:color w:val="auto"/>
          <w:szCs w:val="21"/>
          <w:highlight w:val="none"/>
        </w:rPr>
      </w:pPr>
      <w:r>
        <w:rPr>
          <w:rFonts w:hint="eastAsia" w:ascii="宋体" w:hAnsi="宋体"/>
          <w:color w:val="auto"/>
          <w:szCs w:val="21"/>
          <w:highlight w:val="none"/>
        </w:rPr>
        <w:t>十二、投标人认为需提供的其他资料</w:t>
      </w:r>
    </w:p>
    <w:p w14:paraId="3190EEA7">
      <w:pPr>
        <w:adjustRightInd w:val="0"/>
        <w:snapToGrid w:val="0"/>
        <w:spacing w:before="156" w:beforeLines="50" w:line="360" w:lineRule="auto"/>
        <w:ind w:firstLine="420" w:firstLineChars="200"/>
        <w:rPr>
          <w:rFonts w:ascii="宋体" w:hAnsi="宋体"/>
          <w:color w:val="auto"/>
          <w:szCs w:val="21"/>
          <w:highlight w:val="none"/>
        </w:rPr>
      </w:pPr>
      <w:r>
        <w:rPr>
          <w:rFonts w:hint="eastAsia" w:ascii="宋体" w:hAnsi="宋体"/>
          <w:color w:val="auto"/>
          <w:szCs w:val="21"/>
          <w:highlight w:val="none"/>
        </w:rPr>
        <w:t>在此，签字代表宣布同意如下：</w:t>
      </w:r>
    </w:p>
    <w:p w14:paraId="058CD2B0">
      <w:pPr>
        <w:adjustRightInd w:val="0"/>
        <w:snapToGrid w:val="0"/>
        <w:spacing w:before="156" w:beforeLines="50" w:line="360" w:lineRule="auto"/>
        <w:ind w:firstLine="420" w:firstLineChars="200"/>
        <w:rPr>
          <w:rFonts w:ascii="宋体" w:hAnsi="宋体"/>
          <w:color w:val="auto"/>
          <w:szCs w:val="21"/>
          <w:highlight w:val="none"/>
        </w:rPr>
      </w:pPr>
      <w:r>
        <w:rPr>
          <w:rFonts w:hint="eastAsia" w:ascii="宋体" w:hAnsi="宋体"/>
          <w:color w:val="auto"/>
          <w:szCs w:val="21"/>
          <w:highlight w:val="none"/>
        </w:rPr>
        <w:t>1、投标人严格按照招标文件的规定报价，见《开标一览表》。</w:t>
      </w:r>
    </w:p>
    <w:p w14:paraId="769629F0">
      <w:pPr>
        <w:adjustRightInd w:val="0"/>
        <w:snapToGrid w:val="0"/>
        <w:spacing w:before="156" w:beforeLines="50" w:line="360" w:lineRule="auto"/>
        <w:ind w:firstLine="420" w:firstLineChars="200"/>
        <w:rPr>
          <w:rFonts w:ascii="宋体" w:hAnsi="宋体"/>
          <w:color w:val="auto"/>
          <w:szCs w:val="21"/>
          <w:highlight w:val="none"/>
        </w:rPr>
      </w:pPr>
      <w:r>
        <w:rPr>
          <w:rFonts w:hint="eastAsia" w:ascii="宋体" w:hAnsi="宋体"/>
          <w:color w:val="auto"/>
          <w:szCs w:val="21"/>
          <w:highlight w:val="none"/>
        </w:rPr>
        <w:t>2、投标人将按招标文件的规定履行合同责任和义务。</w:t>
      </w:r>
    </w:p>
    <w:p w14:paraId="78B66DDE">
      <w:pPr>
        <w:adjustRightInd w:val="0"/>
        <w:snapToGrid w:val="0"/>
        <w:spacing w:before="156" w:beforeLines="50" w:line="360" w:lineRule="auto"/>
        <w:ind w:firstLine="420" w:firstLineChars="200"/>
        <w:rPr>
          <w:rFonts w:ascii="宋体" w:hAnsi="宋体"/>
          <w:color w:val="auto"/>
          <w:szCs w:val="21"/>
          <w:highlight w:val="none"/>
        </w:rPr>
      </w:pPr>
      <w:r>
        <w:rPr>
          <w:rFonts w:hint="eastAsia" w:ascii="宋体" w:hAnsi="宋体"/>
          <w:color w:val="auto"/>
          <w:szCs w:val="21"/>
          <w:highlight w:val="none"/>
        </w:rPr>
        <w:t>3、投标人已详细审查招标文件。我们完全理解并同意放弃对这方面有不明及误解的权力。</w:t>
      </w:r>
    </w:p>
    <w:p w14:paraId="3427AEF6">
      <w:pPr>
        <w:adjustRightInd w:val="0"/>
        <w:snapToGrid w:val="0"/>
        <w:spacing w:before="156" w:beforeLines="50" w:line="360" w:lineRule="auto"/>
        <w:ind w:firstLine="420" w:firstLineChars="200"/>
        <w:rPr>
          <w:rFonts w:ascii="宋体" w:hAnsi="宋体"/>
          <w:color w:val="auto"/>
          <w:highlight w:val="none"/>
        </w:rPr>
      </w:pPr>
      <w:r>
        <w:rPr>
          <w:rFonts w:hint="eastAsia" w:ascii="宋体" w:hAnsi="宋体"/>
          <w:color w:val="auto"/>
          <w:szCs w:val="21"/>
          <w:highlight w:val="none"/>
        </w:rPr>
        <w:t>4、本投标有效期为自招标文件规定的提交投标文件截止之日起</w:t>
      </w:r>
      <w:r>
        <w:rPr>
          <w:rFonts w:hint="eastAsia" w:ascii="宋体" w:hAnsi="宋体"/>
          <w:color w:val="auto"/>
          <w:szCs w:val="21"/>
          <w:highlight w:val="none"/>
          <w:u w:val="single"/>
        </w:rPr>
        <w:t xml:space="preserve">  90  </w:t>
      </w:r>
      <w:r>
        <w:rPr>
          <w:rFonts w:hint="eastAsia" w:ascii="宋体" w:hAnsi="宋体"/>
          <w:color w:val="auto"/>
          <w:szCs w:val="21"/>
          <w:highlight w:val="none"/>
        </w:rPr>
        <w:t>个日历日。在投标有效期内，</w:t>
      </w:r>
      <w:r>
        <w:rPr>
          <w:rFonts w:hint="eastAsia" w:ascii="宋体" w:hAnsi="宋体"/>
          <w:color w:val="auto"/>
          <w:highlight w:val="none"/>
        </w:rPr>
        <w:t>投标人同意遵守本</w:t>
      </w:r>
      <w:r>
        <w:rPr>
          <w:rFonts w:hint="eastAsia" w:ascii="宋体" w:hAnsi="宋体"/>
          <w:color w:val="auto"/>
          <w:szCs w:val="21"/>
          <w:highlight w:val="none"/>
        </w:rPr>
        <w:t>投标</w:t>
      </w:r>
      <w:r>
        <w:rPr>
          <w:rFonts w:hint="eastAsia" w:ascii="宋体" w:hAnsi="宋体"/>
          <w:color w:val="auto"/>
          <w:highlight w:val="none"/>
        </w:rPr>
        <w:t>文件中的承诺且在此期限期满之前</w:t>
      </w:r>
      <w:r>
        <w:rPr>
          <w:rFonts w:hint="eastAsia" w:ascii="宋体" w:hAnsi="宋体"/>
          <w:color w:val="auto"/>
          <w:szCs w:val="21"/>
          <w:highlight w:val="none"/>
        </w:rPr>
        <w:t>投标</w:t>
      </w:r>
      <w:r>
        <w:rPr>
          <w:rFonts w:hint="eastAsia" w:ascii="宋体" w:hAnsi="宋体"/>
          <w:color w:val="auto"/>
          <w:highlight w:val="none"/>
        </w:rPr>
        <w:t>文件</w:t>
      </w:r>
      <w:r>
        <w:rPr>
          <w:rFonts w:hint="eastAsia" w:ascii="宋体" w:hAnsi="宋体"/>
          <w:color w:val="auto"/>
          <w:szCs w:val="21"/>
          <w:highlight w:val="none"/>
        </w:rPr>
        <w:t>对我方具有法律约束力</w:t>
      </w:r>
      <w:r>
        <w:rPr>
          <w:rFonts w:hint="eastAsia" w:ascii="宋体" w:hAnsi="宋体"/>
          <w:color w:val="auto"/>
          <w:highlight w:val="none"/>
        </w:rPr>
        <w:t>。</w:t>
      </w:r>
    </w:p>
    <w:p w14:paraId="2C2A8884">
      <w:pPr>
        <w:adjustRightInd w:val="0"/>
        <w:snapToGrid w:val="0"/>
        <w:spacing w:before="156" w:beforeLines="50" w:line="360" w:lineRule="auto"/>
        <w:ind w:firstLine="420" w:firstLineChars="200"/>
        <w:rPr>
          <w:rFonts w:ascii="宋体" w:hAnsi="宋体"/>
          <w:color w:val="auto"/>
          <w:highlight w:val="none"/>
        </w:rPr>
      </w:pPr>
      <w:r>
        <w:rPr>
          <w:rFonts w:hint="eastAsia" w:ascii="宋体" w:hAnsi="宋体"/>
          <w:color w:val="auto"/>
          <w:highlight w:val="none"/>
        </w:rPr>
        <w:t>5、</w:t>
      </w:r>
      <w:r>
        <w:rPr>
          <w:rFonts w:hint="eastAsia" w:ascii="宋体" w:hAnsi="宋体"/>
          <w:color w:val="auto"/>
          <w:szCs w:val="21"/>
          <w:highlight w:val="none"/>
        </w:rPr>
        <w:t>同意提供贵方可能要求的与其投标有关的一切数据或资料。</w:t>
      </w:r>
    </w:p>
    <w:p w14:paraId="10A2EDD8">
      <w:pPr>
        <w:adjustRightInd w:val="0"/>
        <w:snapToGrid w:val="0"/>
        <w:spacing w:before="156" w:beforeLines="50" w:line="360" w:lineRule="auto"/>
        <w:ind w:firstLine="420" w:firstLineChars="200"/>
        <w:rPr>
          <w:rFonts w:ascii="宋体" w:hAnsi="宋体"/>
          <w:color w:val="auto"/>
          <w:szCs w:val="21"/>
          <w:highlight w:val="none"/>
        </w:rPr>
      </w:pPr>
      <w:r>
        <w:rPr>
          <w:rFonts w:hint="eastAsia" w:ascii="宋体" w:hAnsi="宋体"/>
          <w:color w:val="auto"/>
          <w:szCs w:val="21"/>
          <w:highlight w:val="none"/>
        </w:rPr>
        <w:t>6、与本投标有关的一切正式往来信函请寄：</w:t>
      </w:r>
    </w:p>
    <w:p w14:paraId="2A72B5E1">
      <w:pPr>
        <w:adjustRightInd w:val="0"/>
        <w:snapToGrid w:val="0"/>
        <w:spacing w:before="156" w:beforeLines="50" w:line="360" w:lineRule="auto"/>
        <w:ind w:firstLine="420" w:firstLineChars="200"/>
        <w:rPr>
          <w:rFonts w:ascii="宋体" w:hAnsi="宋体"/>
          <w:color w:val="auto"/>
          <w:szCs w:val="21"/>
          <w:highlight w:val="none"/>
        </w:rPr>
      </w:pPr>
      <w:r>
        <w:rPr>
          <w:rFonts w:hint="eastAsia" w:ascii="宋体" w:hAnsi="宋体"/>
          <w:color w:val="auto"/>
          <w:szCs w:val="21"/>
          <w:highlight w:val="none"/>
        </w:rPr>
        <w:t>地址：；邮编： ；电话：；电子邮箱： 。</w:t>
      </w:r>
    </w:p>
    <w:p w14:paraId="58EE86A7">
      <w:pPr>
        <w:adjustRightInd w:val="0"/>
        <w:snapToGrid w:val="0"/>
        <w:spacing w:before="156" w:beforeLines="50" w:line="360" w:lineRule="auto"/>
        <w:ind w:firstLine="420" w:firstLineChars="200"/>
        <w:rPr>
          <w:rFonts w:ascii="宋体" w:hAnsi="宋体"/>
          <w:color w:val="auto"/>
          <w:szCs w:val="21"/>
          <w:highlight w:val="none"/>
        </w:rPr>
      </w:pPr>
    </w:p>
    <w:p w14:paraId="415ABC39">
      <w:pPr>
        <w:pStyle w:val="22"/>
        <w:adjustRightInd w:val="0"/>
        <w:snapToGrid w:val="0"/>
        <w:spacing w:before="156" w:beforeLines="50" w:line="360" w:lineRule="auto"/>
        <w:rPr>
          <w:rFonts w:hAnsi="宋体"/>
          <w:color w:val="auto"/>
          <w:highlight w:val="none"/>
        </w:rPr>
      </w:pPr>
    </w:p>
    <w:p w14:paraId="2F69ED6E">
      <w:pPr>
        <w:pStyle w:val="22"/>
        <w:adjustRightInd w:val="0"/>
        <w:snapToGrid w:val="0"/>
        <w:spacing w:before="156" w:beforeLines="50" w:line="360" w:lineRule="auto"/>
        <w:rPr>
          <w:rFonts w:hAnsi="宋体"/>
          <w:color w:val="auto"/>
          <w:sz w:val="21"/>
          <w:highlight w:val="none"/>
        </w:rPr>
      </w:pPr>
      <w:r>
        <w:rPr>
          <w:rFonts w:hint="eastAsia" w:hAnsi="宋体"/>
          <w:color w:val="auto"/>
          <w:sz w:val="21"/>
          <w:highlight w:val="none"/>
        </w:rPr>
        <w:t xml:space="preserve">投标人名称（盖单位章）：                       </w:t>
      </w:r>
    </w:p>
    <w:p w14:paraId="789708D2">
      <w:pPr>
        <w:adjustRightInd w:val="0"/>
        <w:snapToGrid w:val="0"/>
        <w:spacing w:before="156" w:beforeLines="50" w:line="360" w:lineRule="auto"/>
        <w:rPr>
          <w:rFonts w:ascii="宋体" w:hAnsi="宋体"/>
          <w:color w:val="auto"/>
          <w:szCs w:val="21"/>
          <w:highlight w:val="none"/>
          <w:u w:val="single"/>
        </w:rPr>
      </w:pPr>
      <w:r>
        <w:rPr>
          <w:rFonts w:hint="eastAsia" w:ascii="宋体" w:hAnsi="宋体" w:cs="微软雅黑"/>
          <w:color w:val="auto"/>
          <w:spacing w:val="-2"/>
          <w:kern w:val="0"/>
          <w:szCs w:val="21"/>
          <w:highlight w:val="none"/>
        </w:rPr>
        <w:t>法</w:t>
      </w:r>
      <w:r>
        <w:rPr>
          <w:rFonts w:hint="eastAsia" w:ascii="宋体" w:hAnsi="宋体" w:cs="微软雅黑"/>
          <w:color w:val="auto"/>
          <w:kern w:val="0"/>
          <w:szCs w:val="21"/>
          <w:highlight w:val="none"/>
        </w:rPr>
        <w:t>定</w:t>
      </w:r>
      <w:r>
        <w:rPr>
          <w:rFonts w:hint="eastAsia" w:ascii="宋体" w:hAnsi="宋体" w:cs="微软雅黑"/>
          <w:color w:val="auto"/>
          <w:spacing w:val="-2"/>
          <w:kern w:val="0"/>
          <w:szCs w:val="21"/>
          <w:highlight w:val="none"/>
        </w:rPr>
        <w:t>代</w:t>
      </w:r>
      <w:r>
        <w:rPr>
          <w:rFonts w:hint="eastAsia" w:ascii="宋体" w:hAnsi="宋体" w:cs="微软雅黑"/>
          <w:color w:val="auto"/>
          <w:kern w:val="0"/>
          <w:szCs w:val="21"/>
          <w:highlight w:val="none"/>
        </w:rPr>
        <w:t>表</w:t>
      </w:r>
      <w:r>
        <w:rPr>
          <w:rFonts w:hint="eastAsia" w:ascii="宋体" w:hAnsi="宋体" w:cs="微软雅黑"/>
          <w:color w:val="auto"/>
          <w:spacing w:val="-2"/>
          <w:kern w:val="0"/>
          <w:szCs w:val="21"/>
          <w:highlight w:val="none"/>
        </w:rPr>
        <w:t>人</w:t>
      </w:r>
      <w:r>
        <w:rPr>
          <w:rFonts w:hint="eastAsia" w:ascii="宋体" w:hAnsi="宋体" w:cs="微软雅黑"/>
          <w:color w:val="auto"/>
          <w:kern w:val="0"/>
          <w:szCs w:val="21"/>
          <w:highlight w:val="none"/>
        </w:rPr>
        <w:t>（</w:t>
      </w:r>
      <w:r>
        <w:rPr>
          <w:rFonts w:hint="eastAsia" w:ascii="宋体" w:hAnsi="宋体" w:cs="微软雅黑"/>
          <w:color w:val="auto"/>
          <w:spacing w:val="-2"/>
          <w:kern w:val="0"/>
          <w:szCs w:val="21"/>
          <w:highlight w:val="none"/>
        </w:rPr>
        <w:t>单</w:t>
      </w:r>
      <w:r>
        <w:rPr>
          <w:rFonts w:hint="eastAsia" w:ascii="宋体" w:hAnsi="宋体" w:cs="微软雅黑"/>
          <w:color w:val="auto"/>
          <w:kern w:val="0"/>
          <w:szCs w:val="21"/>
          <w:highlight w:val="none"/>
        </w:rPr>
        <w:t>位</w:t>
      </w:r>
      <w:r>
        <w:rPr>
          <w:rFonts w:hint="eastAsia" w:ascii="宋体" w:hAnsi="宋体" w:cs="微软雅黑"/>
          <w:color w:val="auto"/>
          <w:spacing w:val="-2"/>
          <w:kern w:val="0"/>
          <w:szCs w:val="21"/>
          <w:highlight w:val="none"/>
        </w:rPr>
        <w:t>负</w:t>
      </w:r>
      <w:r>
        <w:rPr>
          <w:rFonts w:hint="eastAsia" w:ascii="宋体" w:hAnsi="宋体" w:cs="微软雅黑"/>
          <w:color w:val="auto"/>
          <w:kern w:val="0"/>
          <w:szCs w:val="21"/>
          <w:highlight w:val="none"/>
        </w:rPr>
        <w:t>责人</w:t>
      </w:r>
      <w:r>
        <w:rPr>
          <w:rFonts w:hint="eastAsia" w:ascii="宋体" w:hAnsi="宋体" w:cs="微软雅黑"/>
          <w:color w:val="auto"/>
          <w:spacing w:val="-2"/>
          <w:kern w:val="0"/>
          <w:szCs w:val="21"/>
          <w:highlight w:val="none"/>
        </w:rPr>
        <w:t>）</w:t>
      </w:r>
      <w:r>
        <w:rPr>
          <w:rFonts w:hint="eastAsia" w:ascii="宋体" w:hAnsi="宋体"/>
          <w:color w:val="auto"/>
          <w:szCs w:val="21"/>
          <w:highlight w:val="none"/>
        </w:rPr>
        <w:t>或其授权的代理人（签字或印章）：</w:t>
      </w:r>
    </w:p>
    <w:p w14:paraId="234AD768">
      <w:pPr>
        <w:rPr>
          <w:rFonts w:ascii="宋体" w:hAnsi="宋体"/>
          <w:color w:val="auto"/>
          <w:szCs w:val="21"/>
          <w:highlight w:val="none"/>
        </w:rPr>
      </w:pPr>
      <w:bookmarkStart w:id="1567" w:name="_Toc13885"/>
      <w:bookmarkStart w:id="1568" w:name="_Toc108342002"/>
      <w:bookmarkStart w:id="1569" w:name="_Toc100670487"/>
      <w:bookmarkStart w:id="1570" w:name="_Toc75289612"/>
      <w:bookmarkStart w:id="1571" w:name="_Toc100670735"/>
      <w:bookmarkStart w:id="1572" w:name="_Toc85972993"/>
      <w:bookmarkStart w:id="1573" w:name="_Toc95601428"/>
      <w:bookmarkStart w:id="1574" w:name="_Toc78450020"/>
      <w:bookmarkStart w:id="1575" w:name="_Toc340"/>
      <w:bookmarkStart w:id="1576" w:name="_Toc77676531"/>
      <w:bookmarkStart w:id="1577" w:name="_Toc117192509"/>
      <w:bookmarkStart w:id="1578" w:name="_Toc94367943"/>
      <w:bookmarkStart w:id="1579" w:name="_Toc25498"/>
      <w:bookmarkStart w:id="1580" w:name="_Toc112705002"/>
      <w:bookmarkStart w:id="1581" w:name="_Toc8982"/>
      <w:bookmarkStart w:id="1582" w:name="_Toc10455"/>
      <w:bookmarkStart w:id="1583" w:name="_Toc114036773"/>
      <w:bookmarkStart w:id="1584" w:name="_Toc77199466"/>
      <w:bookmarkStart w:id="1585" w:name="_Toc78314327"/>
      <w:r>
        <w:rPr>
          <w:rFonts w:hint="eastAsia" w:ascii="宋体" w:hAnsi="宋体"/>
          <w:color w:val="auto"/>
          <w:szCs w:val="21"/>
          <w:highlight w:val="none"/>
        </w:rPr>
        <w:t>日期：年月日</w:t>
      </w:r>
    </w:p>
    <w:p w14:paraId="15EA547C">
      <w:pPr>
        <w:pStyle w:val="2"/>
        <w:jc w:val="center"/>
        <w:rPr>
          <w:rFonts w:ascii="黑体" w:hAnsi="宋体" w:eastAsia="黑体"/>
          <w:color w:val="auto"/>
          <w:sz w:val="28"/>
          <w:szCs w:val="28"/>
          <w:highlight w:val="none"/>
        </w:rPr>
      </w:pPr>
      <w:r>
        <w:rPr>
          <w:rFonts w:ascii="黑体" w:hAnsi="宋体" w:eastAsia="黑体"/>
          <w:color w:val="auto"/>
          <w:sz w:val="28"/>
          <w:szCs w:val="28"/>
          <w:highlight w:val="none"/>
        </w:rPr>
        <w:br w:type="page"/>
      </w:r>
      <w:bookmarkStart w:id="1586" w:name="_Toc192951270"/>
      <w:bookmarkStart w:id="1587" w:name="_Toc112705003"/>
      <w:bookmarkStart w:id="1588" w:name="_Toc85972994"/>
      <w:bookmarkStart w:id="1589" w:name="_Toc100670488"/>
      <w:bookmarkStart w:id="1590" w:name="_Toc1021005766"/>
      <w:bookmarkStart w:id="1591" w:name="_Toc94367944"/>
      <w:bookmarkStart w:id="1592" w:name="_Toc25562"/>
      <w:bookmarkStart w:id="1593" w:name="_Toc75289613"/>
      <w:bookmarkStart w:id="1594" w:name="_Toc108342003"/>
      <w:bookmarkStart w:id="1595" w:name="_Toc78314328"/>
      <w:bookmarkStart w:id="1596" w:name="_Toc117192510"/>
      <w:bookmarkStart w:id="1597" w:name="_Toc171273729"/>
      <w:bookmarkStart w:id="1598" w:name="_Toc192949660"/>
      <w:bookmarkStart w:id="1599" w:name="_Toc114036774"/>
      <w:bookmarkStart w:id="1600" w:name="_Toc77199467"/>
      <w:bookmarkStart w:id="1601" w:name="_Toc391"/>
      <w:bookmarkStart w:id="1602" w:name="_Toc192949759"/>
      <w:bookmarkStart w:id="1603" w:name="_Toc15888542"/>
      <w:bookmarkStart w:id="1604" w:name="_Toc77676532"/>
      <w:bookmarkStart w:id="1605" w:name="_Toc100670736"/>
      <w:bookmarkStart w:id="1606" w:name="_Toc78450021"/>
      <w:bookmarkStart w:id="1607" w:name="_Toc95601429"/>
      <w:r>
        <w:rPr>
          <w:rFonts w:hint="eastAsia" w:ascii="黑体" w:hAnsi="宋体" w:eastAsia="黑体"/>
          <w:color w:val="auto"/>
          <w:sz w:val="28"/>
          <w:szCs w:val="28"/>
          <w:highlight w:val="none"/>
        </w:rPr>
        <w:t>六、分项报价</w:t>
      </w:r>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p>
    <w:p w14:paraId="7692CF38">
      <w:pPr>
        <w:spacing w:before="120" w:line="377" w:lineRule="auto"/>
        <w:jc w:val="left"/>
        <w:outlineLvl w:val="9"/>
        <w:rPr>
          <w:rFonts w:ascii="黑体" w:hAnsi="宋体" w:cs="微软雅黑"/>
          <w:b w:val="0"/>
          <w:color w:val="auto"/>
          <w:sz w:val="21"/>
          <w:szCs w:val="21"/>
          <w:highlight w:val="none"/>
        </w:rPr>
      </w:pPr>
      <w:bookmarkStart w:id="1608" w:name="_Toc75289294"/>
      <w:bookmarkStart w:id="1609" w:name="_Toc15888543"/>
      <w:r>
        <w:rPr>
          <w:rFonts w:hint="eastAsia" w:ascii="黑体" w:hAnsi="华文中宋" w:cs="宋体"/>
          <w:b w:val="0"/>
          <w:bCs w:val="0"/>
          <w:color w:val="auto"/>
          <w:spacing w:val="6"/>
          <w:sz w:val="21"/>
          <w:szCs w:val="21"/>
          <w:highlight w:val="none"/>
        </w:rPr>
        <w:t xml:space="preserve">附件6-1 </w:t>
      </w:r>
      <w:r>
        <w:rPr>
          <w:rFonts w:hint="eastAsia" w:ascii="黑体" w:hAnsi="宋体" w:cs="微软雅黑"/>
          <w:b w:val="0"/>
          <w:color w:val="auto"/>
          <w:spacing w:val="-2"/>
          <w:sz w:val="21"/>
          <w:szCs w:val="21"/>
          <w:highlight w:val="none"/>
        </w:rPr>
        <w:t>分</w:t>
      </w:r>
      <w:r>
        <w:rPr>
          <w:rFonts w:hint="eastAsia" w:ascii="黑体" w:hAnsi="宋体" w:cs="微软雅黑"/>
          <w:b w:val="0"/>
          <w:color w:val="auto"/>
          <w:sz w:val="21"/>
          <w:szCs w:val="21"/>
          <w:highlight w:val="none"/>
        </w:rPr>
        <w:t>项</w:t>
      </w:r>
      <w:r>
        <w:rPr>
          <w:rFonts w:hint="eastAsia" w:ascii="黑体" w:hAnsi="宋体" w:cs="微软雅黑"/>
          <w:b w:val="0"/>
          <w:color w:val="auto"/>
          <w:spacing w:val="-2"/>
          <w:sz w:val="21"/>
          <w:szCs w:val="21"/>
          <w:highlight w:val="none"/>
        </w:rPr>
        <w:t>报</w:t>
      </w:r>
      <w:r>
        <w:rPr>
          <w:rFonts w:hint="eastAsia" w:ascii="黑体" w:hAnsi="宋体" w:cs="微软雅黑"/>
          <w:b w:val="0"/>
          <w:color w:val="auto"/>
          <w:sz w:val="21"/>
          <w:szCs w:val="21"/>
          <w:highlight w:val="none"/>
        </w:rPr>
        <w:t>价说明</w:t>
      </w:r>
      <w:bookmarkEnd w:id="1608"/>
      <w:bookmarkEnd w:id="1609"/>
    </w:p>
    <w:p w14:paraId="52DE73A3">
      <w:pPr>
        <w:jc w:val="center"/>
        <w:outlineLvl w:val="9"/>
        <w:rPr>
          <w:rFonts w:ascii="黑体" w:hAnsi="宋体" w:eastAsia="黑体" w:cs="微软雅黑"/>
          <w:b w:val="0"/>
          <w:color w:val="auto"/>
          <w:sz w:val="28"/>
          <w:szCs w:val="28"/>
          <w:highlight w:val="none"/>
        </w:rPr>
      </w:pPr>
      <w:bookmarkStart w:id="1610" w:name="_Toc11581"/>
      <w:bookmarkStart w:id="1611" w:name="_Toc192951271"/>
      <w:bookmarkStart w:id="1612" w:name="_Toc117192511"/>
      <w:bookmarkStart w:id="1613" w:name="_Toc75289614"/>
      <w:bookmarkStart w:id="1614" w:name="_Toc77676533"/>
      <w:bookmarkStart w:id="1615" w:name="_Toc108342004"/>
      <w:bookmarkStart w:id="1616" w:name="_Toc24093"/>
      <w:bookmarkStart w:id="1617" w:name="_Toc24903"/>
      <w:bookmarkStart w:id="1618" w:name="_Toc192949760"/>
      <w:bookmarkStart w:id="1619" w:name="_Toc114036775"/>
      <w:bookmarkStart w:id="1620" w:name="_Toc100670489"/>
      <w:bookmarkStart w:id="1621" w:name="_Toc77199468"/>
      <w:bookmarkStart w:id="1622" w:name="_Toc95601430"/>
      <w:bookmarkStart w:id="1623" w:name="_Toc21216"/>
      <w:bookmarkStart w:id="1624" w:name="_Toc112705004"/>
      <w:bookmarkStart w:id="1625" w:name="_Toc78450022"/>
      <w:bookmarkStart w:id="1626" w:name="_Toc78314329"/>
      <w:bookmarkStart w:id="1627" w:name="_Toc85972995"/>
      <w:bookmarkStart w:id="1628" w:name="_Toc29899"/>
      <w:bookmarkStart w:id="1629" w:name="_Toc100670737"/>
      <w:bookmarkStart w:id="1630" w:name="_Toc154428447"/>
      <w:bookmarkStart w:id="1631" w:name="_Toc8317"/>
      <w:bookmarkStart w:id="1632" w:name="_Toc24377"/>
      <w:bookmarkStart w:id="1633" w:name="_Toc31773"/>
      <w:bookmarkStart w:id="1634" w:name="_Toc94367945"/>
      <w:bookmarkStart w:id="1635" w:name="_Toc192949661"/>
      <w:bookmarkStart w:id="1636" w:name="_Toc32330"/>
      <w:bookmarkStart w:id="1637" w:name="_Toc171273730"/>
      <w:r>
        <w:rPr>
          <w:rFonts w:hint="eastAsia" w:ascii="黑体" w:hAnsi="宋体" w:eastAsia="黑体" w:cs="微软雅黑"/>
          <w:b w:val="0"/>
          <w:color w:val="auto"/>
          <w:spacing w:val="-2"/>
          <w:sz w:val="28"/>
          <w:szCs w:val="28"/>
          <w:highlight w:val="none"/>
        </w:rPr>
        <w:t>分</w:t>
      </w:r>
      <w:r>
        <w:rPr>
          <w:rFonts w:hint="eastAsia" w:ascii="黑体" w:hAnsi="宋体" w:eastAsia="黑体" w:cs="微软雅黑"/>
          <w:b w:val="0"/>
          <w:color w:val="auto"/>
          <w:sz w:val="28"/>
          <w:szCs w:val="28"/>
          <w:highlight w:val="none"/>
        </w:rPr>
        <w:t>项</w:t>
      </w:r>
      <w:r>
        <w:rPr>
          <w:rFonts w:hint="eastAsia" w:ascii="黑体" w:hAnsi="宋体" w:eastAsia="黑体" w:cs="微软雅黑"/>
          <w:b w:val="0"/>
          <w:color w:val="auto"/>
          <w:spacing w:val="-2"/>
          <w:sz w:val="28"/>
          <w:szCs w:val="28"/>
          <w:highlight w:val="none"/>
        </w:rPr>
        <w:t>报</w:t>
      </w:r>
      <w:r>
        <w:rPr>
          <w:rFonts w:hint="eastAsia" w:ascii="黑体" w:hAnsi="宋体" w:eastAsia="黑体" w:cs="微软雅黑"/>
          <w:b w:val="0"/>
          <w:color w:val="auto"/>
          <w:sz w:val="28"/>
          <w:szCs w:val="28"/>
          <w:highlight w:val="none"/>
        </w:rPr>
        <w:t>价说明</w:t>
      </w:r>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p>
    <w:p w14:paraId="0F193AB1">
      <w:pPr>
        <w:autoSpaceDE w:val="0"/>
        <w:autoSpaceDN w:val="0"/>
        <w:adjustRightInd w:val="0"/>
        <w:snapToGrid w:val="0"/>
        <w:spacing w:line="360" w:lineRule="auto"/>
        <w:jc w:val="left"/>
        <w:outlineLvl w:val="9"/>
        <w:rPr>
          <w:rFonts w:ascii="宋体" w:hAnsi="宋体" w:cs="微软雅黑"/>
          <w:color w:val="auto"/>
          <w:kern w:val="0"/>
          <w:szCs w:val="21"/>
          <w:highlight w:val="none"/>
        </w:rPr>
      </w:pPr>
      <w:r>
        <w:rPr>
          <w:rFonts w:hint="eastAsia" w:ascii="宋体" w:hAnsi="宋体" w:cs="微软雅黑"/>
          <w:color w:val="auto"/>
          <w:kern w:val="0"/>
          <w:szCs w:val="21"/>
          <w:highlight w:val="none"/>
        </w:rPr>
        <w:t>备注：投标人应按招标文件第二章相关要求，对本节</w:t>
      </w:r>
      <w:r>
        <w:rPr>
          <w:rFonts w:hint="eastAsia" w:ascii="宋体" w:hAnsi="宋体"/>
          <w:bCs/>
          <w:color w:val="auto"/>
          <w:szCs w:val="21"/>
          <w:highlight w:val="none"/>
        </w:rPr>
        <w:t>“</w:t>
      </w:r>
      <w:r>
        <w:rPr>
          <w:rFonts w:hint="eastAsia" w:ascii="宋体" w:hAnsi="宋体" w:cs="微软雅黑"/>
          <w:color w:val="auto"/>
          <w:kern w:val="0"/>
          <w:szCs w:val="21"/>
          <w:highlight w:val="none"/>
        </w:rPr>
        <w:t>分项报价明细表</w:t>
      </w:r>
      <w:r>
        <w:rPr>
          <w:rFonts w:hint="eastAsia" w:ascii="宋体" w:hAnsi="宋体"/>
          <w:bCs/>
          <w:color w:val="auto"/>
          <w:szCs w:val="21"/>
          <w:highlight w:val="none"/>
        </w:rPr>
        <w:t>”进行</w:t>
      </w:r>
      <w:r>
        <w:rPr>
          <w:rFonts w:hint="eastAsia" w:ascii="宋体" w:hAnsi="宋体" w:cs="微软雅黑"/>
          <w:color w:val="auto"/>
          <w:kern w:val="0"/>
          <w:szCs w:val="21"/>
          <w:highlight w:val="none"/>
        </w:rPr>
        <w:t>编制，按附件资料配置清单进行报价并说明。</w:t>
      </w:r>
    </w:p>
    <w:p w14:paraId="7F6EBC51">
      <w:pPr>
        <w:outlineLvl w:val="9"/>
        <w:rPr>
          <w:color w:val="auto"/>
          <w:highlight w:val="none"/>
        </w:rPr>
      </w:pPr>
    </w:p>
    <w:p w14:paraId="688F3472">
      <w:pPr>
        <w:spacing w:before="120" w:line="377" w:lineRule="auto"/>
        <w:jc w:val="left"/>
        <w:outlineLvl w:val="9"/>
        <w:rPr>
          <w:rFonts w:ascii="黑体" w:hAnsi="宋体" w:cs="微软雅黑"/>
          <w:b w:val="0"/>
          <w:color w:val="auto"/>
          <w:sz w:val="21"/>
          <w:szCs w:val="21"/>
          <w:highlight w:val="none"/>
        </w:rPr>
      </w:pPr>
      <w:bookmarkStart w:id="1638" w:name="_Toc15888544"/>
      <w:bookmarkStart w:id="1639" w:name="_Toc75289295"/>
      <w:r>
        <w:rPr>
          <w:rFonts w:hint="eastAsia" w:ascii="黑体" w:hAnsi="华文中宋" w:cs="宋体"/>
          <w:b w:val="0"/>
          <w:bCs w:val="0"/>
          <w:color w:val="auto"/>
          <w:spacing w:val="6"/>
          <w:sz w:val="21"/>
          <w:szCs w:val="21"/>
          <w:highlight w:val="none"/>
        </w:rPr>
        <w:t xml:space="preserve">附件6-2 </w:t>
      </w:r>
      <w:r>
        <w:rPr>
          <w:rFonts w:hint="eastAsia" w:ascii="黑体" w:hAnsi="宋体" w:cs="微软雅黑"/>
          <w:b w:val="0"/>
          <w:color w:val="auto"/>
          <w:spacing w:val="-2"/>
          <w:position w:val="-3"/>
          <w:sz w:val="21"/>
          <w:szCs w:val="21"/>
          <w:highlight w:val="none"/>
        </w:rPr>
        <w:t>分</w:t>
      </w:r>
      <w:r>
        <w:rPr>
          <w:rFonts w:hint="eastAsia" w:ascii="黑体" w:hAnsi="宋体" w:cs="微软雅黑"/>
          <w:b w:val="0"/>
          <w:color w:val="auto"/>
          <w:position w:val="-3"/>
          <w:sz w:val="21"/>
          <w:szCs w:val="21"/>
          <w:highlight w:val="none"/>
        </w:rPr>
        <w:t>项</w:t>
      </w:r>
      <w:r>
        <w:rPr>
          <w:rFonts w:hint="eastAsia" w:ascii="黑体" w:hAnsi="宋体" w:cs="微软雅黑"/>
          <w:b w:val="0"/>
          <w:color w:val="auto"/>
          <w:spacing w:val="-2"/>
          <w:position w:val="-3"/>
          <w:sz w:val="21"/>
          <w:szCs w:val="21"/>
          <w:highlight w:val="none"/>
        </w:rPr>
        <w:t>报</w:t>
      </w:r>
      <w:r>
        <w:rPr>
          <w:rFonts w:hint="eastAsia" w:ascii="黑体" w:hAnsi="宋体" w:cs="微软雅黑"/>
          <w:b w:val="0"/>
          <w:color w:val="auto"/>
          <w:position w:val="-3"/>
          <w:sz w:val="21"/>
          <w:szCs w:val="21"/>
          <w:highlight w:val="none"/>
        </w:rPr>
        <w:t>价明细表</w:t>
      </w:r>
      <w:bookmarkEnd w:id="1638"/>
      <w:bookmarkEnd w:id="1639"/>
    </w:p>
    <w:p w14:paraId="66104356">
      <w:pPr>
        <w:spacing w:after="0" w:line="415" w:lineRule="auto"/>
        <w:jc w:val="center"/>
        <w:outlineLvl w:val="9"/>
        <w:rPr>
          <w:rFonts w:ascii="黑体" w:hAnsi="宋体" w:eastAsia="黑体" w:cs="微软雅黑"/>
          <w:b w:val="0"/>
          <w:color w:val="auto"/>
          <w:position w:val="-3"/>
          <w:sz w:val="28"/>
          <w:szCs w:val="28"/>
          <w:highlight w:val="none"/>
        </w:rPr>
      </w:pPr>
      <w:bookmarkStart w:id="1640" w:name="_Toc14299"/>
      <w:bookmarkStart w:id="1641" w:name="_Toc28816"/>
      <w:bookmarkStart w:id="1642" w:name="_Toc29072"/>
      <w:bookmarkStart w:id="1643" w:name="_Toc85972996"/>
      <w:bookmarkStart w:id="1644" w:name="_Toc77199469"/>
      <w:bookmarkStart w:id="1645" w:name="_Toc100670490"/>
      <w:bookmarkStart w:id="1646" w:name="_Toc192949761"/>
      <w:bookmarkStart w:id="1647" w:name="_Toc114036776"/>
      <w:bookmarkStart w:id="1648" w:name="_Toc75289615"/>
      <w:bookmarkStart w:id="1649" w:name="_Toc29197"/>
      <w:bookmarkStart w:id="1650" w:name="_Toc77676534"/>
      <w:bookmarkStart w:id="1651" w:name="_Toc5001"/>
      <w:bookmarkStart w:id="1652" w:name="_Toc117192512"/>
      <w:bookmarkStart w:id="1653" w:name="_Toc100670738"/>
      <w:bookmarkStart w:id="1654" w:name="_Toc112705005"/>
      <w:bookmarkStart w:id="1655" w:name="_Toc10219"/>
      <w:bookmarkStart w:id="1656" w:name="_Toc78314330"/>
      <w:bookmarkStart w:id="1657" w:name="_Toc94367946"/>
      <w:bookmarkStart w:id="1658" w:name="_Toc154428448"/>
      <w:bookmarkStart w:id="1659" w:name="_Toc108342005"/>
      <w:bookmarkStart w:id="1660" w:name="_Toc78450023"/>
      <w:bookmarkStart w:id="1661" w:name="_Toc192949662"/>
      <w:bookmarkStart w:id="1662" w:name="_Toc95601431"/>
      <w:bookmarkStart w:id="1663" w:name="_Toc8271"/>
      <w:bookmarkStart w:id="1664" w:name="_Toc9805"/>
      <w:bookmarkStart w:id="1665" w:name="_Toc171273731"/>
      <w:bookmarkStart w:id="1666" w:name="_Toc192951272"/>
      <w:bookmarkStart w:id="1667" w:name="_Toc30237"/>
      <w:r>
        <w:rPr>
          <w:rFonts w:hint="eastAsia" w:ascii="黑体" w:hAnsi="宋体" w:eastAsia="黑体" w:cs="微软雅黑"/>
          <w:b w:val="0"/>
          <w:color w:val="auto"/>
          <w:spacing w:val="-2"/>
          <w:position w:val="-3"/>
          <w:sz w:val="28"/>
          <w:szCs w:val="28"/>
          <w:highlight w:val="none"/>
        </w:rPr>
        <w:t>分</w:t>
      </w:r>
      <w:r>
        <w:rPr>
          <w:rFonts w:hint="eastAsia" w:ascii="黑体" w:hAnsi="宋体" w:eastAsia="黑体" w:cs="微软雅黑"/>
          <w:b w:val="0"/>
          <w:color w:val="auto"/>
          <w:position w:val="-3"/>
          <w:sz w:val="28"/>
          <w:szCs w:val="28"/>
          <w:highlight w:val="none"/>
        </w:rPr>
        <w:t>项</w:t>
      </w:r>
      <w:r>
        <w:rPr>
          <w:rFonts w:hint="eastAsia" w:ascii="黑体" w:hAnsi="宋体" w:eastAsia="黑体" w:cs="微软雅黑"/>
          <w:b w:val="0"/>
          <w:color w:val="auto"/>
          <w:spacing w:val="-2"/>
          <w:position w:val="-3"/>
          <w:sz w:val="28"/>
          <w:szCs w:val="28"/>
          <w:highlight w:val="none"/>
        </w:rPr>
        <w:t>报</w:t>
      </w:r>
      <w:r>
        <w:rPr>
          <w:rFonts w:hint="eastAsia" w:ascii="黑体" w:hAnsi="宋体" w:eastAsia="黑体" w:cs="微软雅黑"/>
          <w:b w:val="0"/>
          <w:color w:val="auto"/>
          <w:position w:val="-3"/>
          <w:sz w:val="28"/>
          <w:szCs w:val="28"/>
          <w:highlight w:val="none"/>
        </w:rPr>
        <w:t>价明细表</w:t>
      </w:r>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p>
    <w:p w14:paraId="22C7ACB3">
      <w:pPr>
        <w:adjustRightInd w:val="0"/>
        <w:snapToGrid w:val="0"/>
        <w:spacing w:line="360" w:lineRule="auto"/>
        <w:outlineLvl w:val="9"/>
        <w:rPr>
          <w:rFonts w:ascii="宋体" w:hAnsi="宋体"/>
          <w:color w:val="auto"/>
          <w:szCs w:val="21"/>
          <w:highlight w:val="none"/>
        </w:rPr>
      </w:pPr>
    </w:p>
    <w:p w14:paraId="4AD19912">
      <w:pPr>
        <w:adjustRightInd w:val="0"/>
        <w:snapToGrid w:val="0"/>
        <w:spacing w:line="360" w:lineRule="auto"/>
        <w:outlineLvl w:val="9"/>
        <w:rPr>
          <w:rFonts w:ascii="宋体" w:hAnsi="宋体"/>
          <w:color w:val="auto"/>
          <w:szCs w:val="21"/>
          <w:highlight w:val="none"/>
        </w:rPr>
      </w:pPr>
      <w:r>
        <w:rPr>
          <w:rFonts w:hint="eastAsia" w:ascii="宋体" w:hAnsi="宋体"/>
          <w:color w:val="auto"/>
          <w:szCs w:val="21"/>
          <w:highlight w:val="none"/>
        </w:rPr>
        <w:t>政府采购计划编号：                项目名称：</w:t>
      </w:r>
    </w:p>
    <w:p w14:paraId="378EC959">
      <w:pPr>
        <w:adjustRightInd w:val="0"/>
        <w:snapToGrid w:val="0"/>
        <w:spacing w:line="360" w:lineRule="auto"/>
        <w:outlineLvl w:val="9"/>
        <w:rPr>
          <w:rFonts w:ascii="宋体" w:hAnsi="宋体"/>
          <w:color w:val="auto"/>
          <w:szCs w:val="21"/>
          <w:highlight w:val="none"/>
        </w:rPr>
      </w:pPr>
      <w:r>
        <w:rPr>
          <w:rFonts w:hint="eastAsia" w:ascii="宋体" w:hAnsi="宋体"/>
          <w:color w:val="auto"/>
          <w:szCs w:val="21"/>
          <w:highlight w:val="none"/>
        </w:rPr>
        <w:t>包号：                            包名称：</w:t>
      </w:r>
    </w:p>
    <w:tbl>
      <w:tblPr>
        <w:tblStyle w:val="47"/>
        <w:tblW w:w="8506" w:type="dxa"/>
        <w:jc w:val="center"/>
        <w:tblLayout w:type="fixed"/>
        <w:tblCellMar>
          <w:top w:w="0" w:type="dxa"/>
          <w:left w:w="0" w:type="dxa"/>
          <w:bottom w:w="0" w:type="dxa"/>
          <w:right w:w="0" w:type="dxa"/>
        </w:tblCellMar>
      </w:tblPr>
      <w:tblGrid>
        <w:gridCol w:w="426"/>
        <w:gridCol w:w="1134"/>
        <w:gridCol w:w="1998"/>
        <w:gridCol w:w="1200"/>
        <w:gridCol w:w="1092"/>
        <w:gridCol w:w="910"/>
        <w:gridCol w:w="916"/>
        <w:gridCol w:w="830"/>
      </w:tblGrid>
      <w:tr w14:paraId="189F36C1">
        <w:tblPrEx>
          <w:tblCellMar>
            <w:top w:w="0" w:type="dxa"/>
            <w:left w:w="0" w:type="dxa"/>
            <w:bottom w:w="0" w:type="dxa"/>
            <w:right w:w="0" w:type="dxa"/>
          </w:tblCellMar>
        </w:tblPrEx>
        <w:trPr>
          <w:trHeight w:val="415" w:hRule="exact"/>
          <w:jc w:val="center"/>
        </w:trPr>
        <w:tc>
          <w:tcPr>
            <w:tcW w:w="1560" w:type="dxa"/>
            <w:gridSpan w:val="2"/>
            <w:vMerge w:val="restart"/>
            <w:tcBorders>
              <w:top w:val="double" w:color="auto" w:sz="4" w:space="0"/>
              <w:left w:val="double" w:color="auto" w:sz="4" w:space="0"/>
              <w:right w:val="single" w:color="auto" w:sz="6" w:space="0"/>
            </w:tcBorders>
            <w:vAlign w:val="center"/>
          </w:tcPr>
          <w:p w14:paraId="269E9D72">
            <w:pPr>
              <w:autoSpaceDE w:val="0"/>
              <w:autoSpaceDN w:val="0"/>
              <w:adjustRightInd w:val="0"/>
              <w:snapToGrid w:val="0"/>
              <w:spacing w:line="360" w:lineRule="auto"/>
              <w:ind w:right="-20"/>
              <w:jc w:val="center"/>
              <w:outlineLvl w:val="9"/>
              <w:rPr>
                <w:rFonts w:ascii="宋体" w:hAnsi="宋体" w:cs="微软雅黑"/>
                <w:color w:val="auto"/>
                <w:kern w:val="0"/>
                <w:position w:val="-1"/>
                <w:szCs w:val="21"/>
                <w:highlight w:val="none"/>
              </w:rPr>
            </w:pPr>
            <w:r>
              <w:rPr>
                <w:rFonts w:hint="eastAsia" w:ascii="宋体" w:hAnsi="宋体" w:cs="微软雅黑"/>
                <w:color w:val="auto"/>
                <w:kern w:val="0"/>
                <w:position w:val="-1"/>
                <w:szCs w:val="21"/>
                <w:highlight w:val="none"/>
              </w:rPr>
              <w:t>分项项目名称</w:t>
            </w:r>
          </w:p>
        </w:tc>
        <w:tc>
          <w:tcPr>
            <w:tcW w:w="1998" w:type="dxa"/>
            <w:vMerge w:val="restart"/>
            <w:tcBorders>
              <w:top w:val="double" w:color="auto" w:sz="4" w:space="0"/>
              <w:left w:val="single" w:color="auto" w:sz="6" w:space="0"/>
              <w:bottom w:val="single" w:color="auto" w:sz="6" w:space="0"/>
              <w:right w:val="single" w:color="auto" w:sz="4" w:space="0"/>
            </w:tcBorders>
            <w:vAlign w:val="center"/>
          </w:tcPr>
          <w:p w14:paraId="6C70914C">
            <w:pPr>
              <w:autoSpaceDE w:val="0"/>
              <w:autoSpaceDN w:val="0"/>
              <w:adjustRightInd w:val="0"/>
              <w:snapToGrid w:val="0"/>
              <w:spacing w:line="360" w:lineRule="auto"/>
              <w:ind w:right="-20"/>
              <w:jc w:val="center"/>
              <w:outlineLvl w:val="9"/>
              <w:rPr>
                <w:rFonts w:ascii="宋体" w:hAnsi="宋体"/>
                <w:color w:val="auto"/>
                <w:szCs w:val="21"/>
                <w:highlight w:val="none"/>
              </w:rPr>
            </w:pPr>
            <w:r>
              <w:rPr>
                <w:rFonts w:hint="eastAsia" w:ascii="宋体" w:hAnsi="宋体"/>
                <w:color w:val="auto"/>
                <w:szCs w:val="21"/>
                <w:highlight w:val="none"/>
              </w:rPr>
              <w:t>品牌/产地</w:t>
            </w:r>
          </w:p>
        </w:tc>
        <w:tc>
          <w:tcPr>
            <w:tcW w:w="1200" w:type="dxa"/>
            <w:vMerge w:val="restart"/>
            <w:tcBorders>
              <w:top w:val="double" w:color="auto" w:sz="4" w:space="0"/>
              <w:left w:val="single" w:color="auto" w:sz="4" w:space="0"/>
              <w:bottom w:val="single" w:color="auto" w:sz="6" w:space="0"/>
              <w:right w:val="single" w:color="auto" w:sz="6" w:space="0"/>
            </w:tcBorders>
            <w:vAlign w:val="center"/>
          </w:tcPr>
          <w:p w14:paraId="05A4C0D6">
            <w:pPr>
              <w:autoSpaceDE w:val="0"/>
              <w:autoSpaceDN w:val="0"/>
              <w:adjustRightInd w:val="0"/>
              <w:snapToGrid w:val="0"/>
              <w:spacing w:line="360" w:lineRule="auto"/>
              <w:ind w:right="-20"/>
              <w:jc w:val="center"/>
              <w:outlineLvl w:val="9"/>
              <w:rPr>
                <w:rFonts w:ascii="宋体" w:hAnsi="宋体"/>
                <w:color w:val="auto"/>
                <w:szCs w:val="21"/>
                <w:highlight w:val="none"/>
              </w:rPr>
            </w:pPr>
            <w:r>
              <w:rPr>
                <w:rFonts w:hint="eastAsia" w:ascii="宋体" w:hAnsi="宋体"/>
                <w:color w:val="auto"/>
                <w:szCs w:val="21"/>
                <w:highlight w:val="none"/>
              </w:rPr>
              <w:t>型号规格</w:t>
            </w:r>
          </w:p>
        </w:tc>
        <w:tc>
          <w:tcPr>
            <w:tcW w:w="1092" w:type="dxa"/>
            <w:vMerge w:val="restart"/>
            <w:tcBorders>
              <w:top w:val="double" w:color="auto" w:sz="4" w:space="0"/>
              <w:left w:val="single" w:color="auto" w:sz="6" w:space="0"/>
              <w:right w:val="single" w:color="auto" w:sz="4" w:space="0"/>
            </w:tcBorders>
            <w:vAlign w:val="center"/>
          </w:tcPr>
          <w:p w14:paraId="5BD9BFE4">
            <w:pPr>
              <w:autoSpaceDE w:val="0"/>
              <w:autoSpaceDN w:val="0"/>
              <w:adjustRightInd w:val="0"/>
              <w:snapToGrid w:val="0"/>
              <w:spacing w:line="360" w:lineRule="auto"/>
              <w:ind w:right="-20"/>
              <w:jc w:val="center"/>
              <w:outlineLvl w:val="9"/>
              <w:rPr>
                <w:rFonts w:ascii="宋体" w:hAnsi="宋体" w:cs="微软雅黑"/>
                <w:color w:val="auto"/>
                <w:kern w:val="0"/>
                <w:position w:val="-1"/>
                <w:szCs w:val="21"/>
                <w:highlight w:val="none"/>
              </w:rPr>
            </w:pPr>
            <w:r>
              <w:rPr>
                <w:rFonts w:hint="eastAsia" w:ascii="宋体" w:hAnsi="宋体"/>
                <w:color w:val="auto"/>
                <w:kern w:val="0"/>
                <w:szCs w:val="21"/>
                <w:highlight w:val="none"/>
              </w:rPr>
              <w:t>数量/单位</w:t>
            </w:r>
          </w:p>
        </w:tc>
        <w:tc>
          <w:tcPr>
            <w:tcW w:w="1826" w:type="dxa"/>
            <w:gridSpan w:val="2"/>
            <w:tcBorders>
              <w:top w:val="double" w:color="auto" w:sz="4" w:space="0"/>
              <w:left w:val="single" w:color="auto" w:sz="4" w:space="0"/>
              <w:bottom w:val="single" w:color="auto" w:sz="6" w:space="0"/>
              <w:right w:val="single" w:color="auto" w:sz="6" w:space="0"/>
            </w:tcBorders>
            <w:vAlign w:val="center"/>
          </w:tcPr>
          <w:p w14:paraId="07503E5A">
            <w:pPr>
              <w:autoSpaceDE w:val="0"/>
              <w:autoSpaceDN w:val="0"/>
              <w:adjustRightInd w:val="0"/>
              <w:snapToGrid w:val="0"/>
              <w:spacing w:line="360" w:lineRule="auto"/>
              <w:ind w:right="-20"/>
              <w:jc w:val="center"/>
              <w:outlineLvl w:val="9"/>
              <w:rPr>
                <w:rFonts w:ascii="宋体" w:hAnsi="宋体" w:cs="微软雅黑"/>
                <w:color w:val="auto"/>
                <w:kern w:val="0"/>
                <w:position w:val="-1"/>
                <w:szCs w:val="21"/>
                <w:highlight w:val="none"/>
              </w:rPr>
            </w:pPr>
            <w:r>
              <w:rPr>
                <w:rFonts w:hint="eastAsia" w:ascii="宋体" w:hAnsi="宋体" w:cs="微软雅黑"/>
                <w:color w:val="auto"/>
                <w:kern w:val="0"/>
                <w:position w:val="-1"/>
                <w:szCs w:val="21"/>
                <w:highlight w:val="none"/>
              </w:rPr>
              <w:t>金额（元）</w:t>
            </w:r>
          </w:p>
        </w:tc>
        <w:tc>
          <w:tcPr>
            <w:tcW w:w="830" w:type="dxa"/>
            <w:vMerge w:val="restart"/>
            <w:tcBorders>
              <w:top w:val="double" w:color="auto" w:sz="4" w:space="0"/>
              <w:left w:val="single" w:color="auto" w:sz="6" w:space="0"/>
              <w:bottom w:val="single" w:color="auto" w:sz="6" w:space="0"/>
              <w:right w:val="double" w:color="auto" w:sz="4" w:space="0"/>
            </w:tcBorders>
            <w:vAlign w:val="center"/>
          </w:tcPr>
          <w:p w14:paraId="3B53858A">
            <w:pPr>
              <w:autoSpaceDE w:val="0"/>
              <w:autoSpaceDN w:val="0"/>
              <w:adjustRightInd w:val="0"/>
              <w:snapToGrid w:val="0"/>
              <w:spacing w:line="360" w:lineRule="auto"/>
              <w:ind w:right="-20"/>
              <w:jc w:val="center"/>
              <w:outlineLvl w:val="9"/>
              <w:rPr>
                <w:rFonts w:ascii="宋体" w:hAnsi="宋体" w:cs="微软雅黑"/>
                <w:color w:val="auto"/>
                <w:kern w:val="0"/>
                <w:position w:val="-1"/>
                <w:szCs w:val="21"/>
                <w:highlight w:val="none"/>
              </w:rPr>
            </w:pPr>
            <w:r>
              <w:rPr>
                <w:rFonts w:hint="eastAsia" w:ascii="宋体" w:hAnsi="宋体" w:cs="微软雅黑"/>
                <w:color w:val="auto"/>
                <w:kern w:val="0"/>
                <w:position w:val="-1"/>
                <w:szCs w:val="21"/>
                <w:highlight w:val="none"/>
              </w:rPr>
              <w:t>备注</w:t>
            </w:r>
          </w:p>
        </w:tc>
      </w:tr>
      <w:tr w14:paraId="0A3DFBA6">
        <w:tblPrEx>
          <w:tblCellMar>
            <w:top w:w="0" w:type="dxa"/>
            <w:left w:w="0" w:type="dxa"/>
            <w:bottom w:w="0" w:type="dxa"/>
            <w:right w:w="0" w:type="dxa"/>
          </w:tblCellMar>
        </w:tblPrEx>
        <w:trPr>
          <w:trHeight w:val="415" w:hRule="exact"/>
          <w:jc w:val="center"/>
        </w:trPr>
        <w:tc>
          <w:tcPr>
            <w:tcW w:w="1560" w:type="dxa"/>
            <w:gridSpan w:val="2"/>
            <w:vMerge w:val="continue"/>
            <w:tcBorders>
              <w:left w:val="double" w:color="auto" w:sz="4" w:space="0"/>
              <w:bottom w:val="single" w:color="auto" w:sz="6" w:space="0"/>
              <w:right w:val="single" w:color="auto" w:sz="6" w:space="0"/>
            </w:tcBorders>
          </w:tcPr>
          <w:p w14:paraId="19F6E3FC">
            <w:pPr>
              <w:autoSpaceDE w:val="0"/>
              <w:autoSpaceDN w:val="0"/>
              <w:adjustRightInd w:val="0"/>
              <w:snapToGrid w:val="0"/>
              <w:spacing w:line="360" w:lineRule="auto"/>
              <w:ind w:left="352" w:right="-20"/>
              <w:jc w:val="left"/>
              <w:outlineLvl w:val="9"/>
              <w:rPr>
                <w:rFonts w:ascii="宋体" w:hAnsi="宋体"/>
                <w:color w:val="auto"/>
                <w:kern w:val="0"/>
                <w:szCs w:val="21"/>
                <w:highlight w:val="none"/>
              </w:rPr>
            </w:pPr>
          </w:p>
        </w:tc>
        <w:tc>
          <w:tcPr>
            <w:tcW w:w="1998" w:type="dxa"/>
            <w:vMerge w:val="continue"/>
            <w:tcBorders>
              <w:top w:val="single" w:color="auto" w:sz="6" w:space="0"/>
              <w:left w:val="single" w:color="auto" w:sz="6" w:space="0"/>
              <w:bottom w:val="single" w:color="auto" w:sz="6" w:space="0"/>
              <w:right w:val="single" w:color="auto" w:sz="4" w:space="0"/>
            </w:tcBorders>
            <w:vAlign w:val="center"/>
          </w:tcPr>
          <w:p w14:paraId="3C40A25F">
            <w:pPr>
              <w:autoSpaceDE w:val="0"/>
              <w:autoSpaceDN w:val="0"/>
              <w:adjustRightInd w:val="0"/>
              <w:snapToGrid w:val="0"/>
              <w:spacing w:line="360" w:lineRule="auto"/>
              <w:ind w:right="-20"/>
              <w:jc w:val="center"/>
              <w:outlineLvl w:val="9"/>
              <w:rPr>
                <w:rFonts w:ascii="宋体" w:hAnsi="宋体"/>
                <w:color w:val="auto"/>
                <w:kern w:val="0"/>
                <w:szCs w:val="21"/>
                <w:highlight w:val="none"/>
              </w:rPr>
            </w:pPr>
          </w:p>
        </w:tc>
        <w:tc>
          <w:tcPr>
            <w:tcW w:w="1200" w:type="dxa"/>
            <w:vMerge w:val="continue"/>
            <w:tcBorders>
              <w:top w:val="single" w:color="auto" w:sz="6" w:space="0"/>
              <w:left w:val="single" w:color="auto" w:sz="4" w:space="0"/>
              <w:bottom w:val="single" w:color="auto" w:sz="6" w:space="0"/>
              <w:right w:val="single" w:color="auto" w:sz="6" w:space="0"/>
            </w:tcBorders>
            <w:vAlign w:val="center"/>
          </w:tcPr>
          <w:p w14:paraId="5465B6B3">
            <w:pPr>
              <w:autoSpaceDE w:val="0"/>
              <w:autoSpaceDN w:val="0"/>
              <w:adjustRightInd w:val="0"/>
              <w:snapToGrid w:val="0"/>
              <w:spacing w:line="360" w:lineRule="auto"/>
              <w:ind w:right="-20"/>
              <w:jc w:val="center"/>
              <w:outlineLvl w:val="9"/>
              <w:rPr>
                <w:rFonts w:ascii="宋体" w:hAnsi="宋体"/>
                <w:color w:val="auto"/>
                <w:kern w:val="0"/>
                <w:szCs w:val="21"/>
                <w:highlight w:val="none"/>
              </w:rPr>
            </w:pPr>
          </w:p>
        </w:tc>
        <w:tc>
          <w:tcPr>
            <w:tcW w:w="1092" w:type="dxa"/>
            <w:vMerge w:val="continue"/>
            <w:tcBorders>
              <w:left w:val="single" w:color="auto" w:sz="6" w:space="0"/>
              <w:bottom w:val="single" w:color="auto" w:sz="6" w:space="0"/>
              <w:right w:val="single" w:color="auto" w:sz="4" w:space="0"/>
            </w:tcBorders>
            <w:vAlign w:val="center"/>
          </w:tcPr>
          <w:p w14:paraId="09D70AC2">
            <w:pPr>
              <w:autoSpaceDE w:val="0"/>
              <w:autoSpaceDN w:val="0"/>
              <w:adjustRightInd w:val="0"/>
              <w:snapToGrid w:val="0"/>
              <w:spacing w:line="360" w:lineRule="auto"/>
              <w:ind w:right="-20"/>
              <w:jc w:val="center"/>
              <w:outlineLvl w:val="9"/>
              <w:rPr>
                <w:rFonts w:ascii="宋体" w:hAnsi="宋体"/>
                <w:color w:val="auto"/>
                <w:kern w:val="0"/>
                <w:szCs w:val="21"/>
                <w:highlight w:val="none"/>
              </w:rPr>
            </w:pPr>
          </w:p>
        </w:tc>
        <w:tc>
          <w:tcPr>
            <w:tcW w:w="910" w:type="dxa"/>
            <w:tcBorders>
              <w:top w:val="single" w:color="auto" w:sz="6" w:space="0"/>
              <w:left w:val="single" w:color="auto" w:sz="4" w:space="0"/>
              <w:bottom w:val="single" w:color="auto" w:sz="6" w:space="0"/>
              <w:right w:val="single" w:color="auto" w:sz="4" w:space="0"/>
            </w:tcBorders>
            <w:vAlign w:val="center"/>
          </w:tcPr>
          <w:p w14:paraId="7555DFFA">
            <w:pPr>
              <w:autoSpaceDE w:val="0"/>
              <w:autoSpaceDN w:val="0"/>
              <w:adjustRightInd w:val="0"/>
              <w:snapToGrid w:val="0"/>
              <w:spacing w:line="360" w:lineRule="auto"/>
              <w:ind w:right="-20"/>
              <w:jc w:val="center"/>
              <w:outlineLvl w:val="9"/>
              <w:rPr>
                <w:rFonts w:ascii="宋体" w:hAnsi="宋体"/>
                <w:color w:val="auto"/>
                <w:kern w:val="0"/>
                <w:szCs w:val="21"/>
                <w:highlight w:val="none"/>
              </w:rPr>
            </w:pPr>
            <w:r>
              <w:rPr>
                <w:rFonts w:hint="eastAsia" w:ascii="宋体" w:hAnsi="宋体" w:cs="微软雅黑"/>
                <w:color w:val="auto"/>
                <w:kern w:val="0"/>
                <w:position w:val="-1"/>
                <w:szCs w:val="21"/>
                <w:highlight w:val="none"/>
              </w:rPr>
              <w:t>单价</w:t>
            </w:r>
          </w:p>
        </w:tc>
        <w:tc>
          <w:tcPr>
            <w:tcW w:w="916" w:type="dxa"/>
            <w:tcBorders>
              <w:top w:val="single" w:color="auto" w:sz="6" w:space="0"/>
              <w:left w:val="single" w:color="auto" w:sz="4" w:space="0"/>
              <w:bottom w:val="single" w:color="auto" w:sz="6" w:space="0"/>
              <w:right w:val="single" w:color="auto" w:sz="6" w:space="0"/>
            </w:tcBorders>
            <w:vAlign w:val="center"/>
          </w:tcPr>
          <w:p w14:paraId="5D77A8E4">
            <w:pPr>
              <w:autoSpaceDE w:val="0"/>
              <w:autoSpaceDN w:val="0"/>
              <w:adjustRightInd w:val="0"/>
              <w:snapToGrid w:val="0"/>
              <w:spacing w:line="360" w:lineRule="auto"/>
              <w:ind w:left="70" w:right="-20"/>
              <w:jc w:val="center"/>
              <w:outlineLvl w:val="9"/>
              <w:rPr>
                <w:rFonts w:ascii="宋体" w:hAnsi="宋体"/>
                <w:color w:val="auto"/>
                <w:kern w:val="0"/>
                <w:szCs w:val="21"/>
                <w:highlight w:val="none"/>
              </w:rPr>
            </w:pPr>
            <w:r>
              <w:rPr>
                <w:rFonts w:hint="eastAsia" w:ascii="宋体" w:hAnsi="宋体"/>
                <w:color w:val="auto"/>
                <w:kern w:val="0"/>
                <w:szCs w:val="21"/>
                <w:highlight w:val="none"/>
              </w:rPr>
              <w:t>小计</w:t>
            </w:r>
          </w:p>
        </w:tc>
        <w:tc>
          <w:tcPr>
            <w:tcW w:w="830" w:type="dxa"/>
            <w:vMerge w:val="continue"/>
            <w:tcBorders>
              <w:top w:val="single" w:color="auto" w:sz="6" w:space="0"/>
              <w:left w:val="single" w:color="auto" w:sz="6" w:space="0"/>
              <w:bottom w:val="single" w:color="auto" w:sz="6" w:space="0"/>
              <w:right w:val="double" w:color="auto" w:sz="4" w:space="0"/>
            </w:tcBorders>
          </w:tcPr>
          <w:p w14:paraId="3A7FFF2C">
            <w:pPr>
              <w:autoSpaceDE w:val="0"/>
              <w:autoSpaceDN w:val="0"/>
              <w:adjustRightInd w:val="0"/>
              <w:snapToGrid w:val="0"/>
              <w:spacing w:line="360" w:lineRule="auto"/>
              <w:ind w:left="422" w:right="-20"/>
              <w:jc w:val="left"/>
              <w:outlineLvl w:val="9"/>
              <w:rPr>
                <w:rFonts w:ascii="宋体" w:hAnsi="宋体"/>
                <w:color w:val="auto"/>
                <w:kern w:val="0"/>
                <w:szCs w:val="21"/>
                <w:highlight w:val="none"/>
              </w:rPr>
            </w:pPr>
          </w:p>
        </w:tc>
      </w:tr>
      <w:tr w14:paraId="3F7613CD">
        <w:tblPrEx>
          <w:tblCellMar>
            <w:top w:w="0" w:type="dxa"/>
            <w:left w:w="0" w:type="dxa"/>
            <w:bottom w:w="0" w:type="dxa"/>
            <w:right w:w="0" w:type="dxa"/>
          </w:tblCellMar>
        </w:tblPrEx>
        <w:trPr>
          <w:trHeight w:val="378" w:hRule="exact"/>
          <w:jc w:val="center"/>
        </w:trPr>
        <w:tc>
          <w:tcPr>
            <w:tcW w:w="426" w:type="dxa"/>
            <w:tcBorders>
              <w:top w:val="single" w:color="auto" w:sz="6" w:space="0"/>
              <w:left w:val="double" w:color="auto" w:sz="4" w:space="0"/>
              <w:bottom w:val="single" w:color="auto" w:sz="6" w:space="0"/>
              <w:right w:val="single" w:color="auto" w:sz="6" w:space="0"/>
            </w:tcBorders>
            <w:vAlign w:val="center"/>
          </w:tcPr>
          <w:p w14:paraId="02D1AEF3">
            <w:pPr>
              <w:jc w:val="center"/>
              <w:outlineLvl w:val="9"/>
              <w:rPr>
                <w:rFonts w:ascii="宋体" w:hAnsi="宋体" w:cs="宋体"/>
                <w:color w:val="auto"/>
                <w:highlight w:val="none"/>
              </w:rPr>
            </w:pPr>
            <w:r>
              <w:rPr>
                <w:rFonts w:hint="eastAsia" w:ascii="宋体" w:hAnsi="宋体" w:cs="宋体"/>
                <w:color w:val="auto"/>
                <w:highlight w:val="none"/>
              </w:rPr>
              <w:t>1</w:t>
            </w:r>
          </w:p>
        </w:tc>
        <w:tc>
          <w:tcPr>
            <w:tcW w:w="1134" w:type="dxa"/>
            <w:tcBorders>
              <w:top w:val="single" w:color="auto" w:sz="6" w:space="0"/>
              <w:left w:val="single" w:color="auto" w:sz="6" w:space="0"/>
              <w:bottom w:val="single" w:color="auto" w:sz="6" w:space="0"/>
              <w:right w:val="single" w:color="auto" w:sz="6" w:space="0"/>
            </w:tcBorders>
            <w:vAlign w:val="center"/>
          </w:tcPr>
          <w:p w14:paraId="5014B08D">
            <w:pPr>
              <w:autoSpaceDE w:val="0"/>
              <w:autoSpaceDN w:val="0"/>
              <w:adjustRightInd w:val="0"/>
              <w:snapToGrid w:val="0"/>
              <w:spacing w:line="360" w:lineRule="auto"/>
              <w:jc w:val="center"/>
              <w:outlineLvl w:val="9"/>
              <w:rPr>
                <w:rFonts w:ascii="宋体" w:hAnsi="宋体"/>
                <w:color w:val="auto"/>
                <w:kern w:val="0"/>
                <w:szCs w:val="21"/>
                <w:highlight w:val="none"/>
              </w:rPr>
            </w:pPr>
          </w:p>
        </w:tc>
        <w:tc>
          <w:tcPr>
            <w:tcW w:w="1998" w:type="dxa"/>
            <w:tcBorders>
              <w:top w:val="single" w:color="auto" w:sz="6" w:space="0"/>
              <w:left w:val="single" w:color="auto" w:sz="6" w:space="0"/>
              <w:bottom w:val="single" w:color="auto" w:sz="6" w:space="0"/>
              <w:right w:val="single" w:color="auto" w:sz="4" w:space="0"/>
            </w:tcBorders>
          </w:tcPr>
          <w:p w14:paraId="2C6A90FF">
            <w:pPr>
              <w:autoSpaceDE w:val="0"/>
              <w:autoSpaceDN w:val="0"/>
              <w:adjustRightInd w:val="0"/>
              <w:snapToGrid w:val="0"/>
              <w:spacing w:line="360" w:lineRule="auto"/>
              <w:jc w:val="left"/>
              <w:outlineLvl w:val="9"/>
              <w:rPr>
                <w:rFonts w:ascii="宋体" w:hAnsi="宋体"/>
                <w:color w:val="auto"/>
                <w:kern w:val="0"/>
                <w:szCs w:val="21"/>
                <w:highlight w:val="none"/>
              </w:rPr>
            </w:pPr>
          </w:p>
        </w:tc>
        <w:tc>
          <w:tcPr>
            <w:tcW w:w="1200" w:type="dxa"/>
            <w:tcBorders>
              <w:top w:val="single" w:color="auto" w:sz="6" w:space="0"/>
              <w:left w:val="single" w:color="auto" w:sz="4" w:space="0"/>
              <w:bottom w:val="single" w:color="auto" w:sz="6" w:space="0"/>
              <w:right w:val="single" w:color="auto" w:sz="6" w:space="0"/>
            </w:tcBorders>
          </w:tcPr>
          <w:p w14:paraId="05C61CFE">
            <w:pPr>
              <w:autoSpaceDE w:val="0"/>
              <w:autoSpaceDN w:val="0"/>
              <w:adjustRightInd w:val="0"/>
              <w:snapToGrid w:val="0"/>
              <w:spacing w:line="360" w:lineRule="auto"/>
              <w:jc w:val="left"/>
              <w:outlineLvl w:val="9"/>
              <w:rPr>
                <w:rFonts w:ascii="宋体" w:hAnsi="宋体"/>
                <w:color w:val="auto"/>
                <w:kern w:val="0"/>
                <w:szCs w:val="21"/>
                <w:highlight w:val="none"/>
              </w:rPr>
            </w:pPr>
          </w:p>
        </w:tc>
        <w:tc>
          <w:tcPr>
            <w:tcW w:w="1092" w:type="dxa"/>
            <w:tcBorders>
              <w:top w:val="single" w:color="auto" w:sz="6" w:space="0"/>
              <w:left w:val="single" w:color="auto" w:sz="6" w:space="0"/>
              <w:bottom w:val="single" w:color="auto" w:sz="6" w:space="0"/>
              <w:right w:val="single" w:color="auto" w:sz="4" w:space="0"/>
            </w:tcBorders>
          </w:tcPr>
          <w:p w14:paraId="5CF06C32">
            <w:pPr>
              <w:autoSpaceDE w:val="0"/>
              <w:autoSpaceDN w:val="0"/>
              <w:adjustRightInd w:val="0"/>
              <w:snapToGrid w:val="0"/>
              <w:spacing w:line="360" w:lineRule="auto"/>
              <w:jc w:val="left"/>
              <w:outlineLvl w:val="9"/>
              <w:rPr>
                <w:rFonts w:ascii="宋体" w:hAnsi="宋体"/>
                <w:color w:val="auto"/>
                <w:kern w:val="0"/>
                <w:szCs w:val="21"/>
                <w:highlight w:val="none"/>
              </w:rPr>
            </w:pPr>
          </w:p>
        </w:tc>
        <w:tc>
          <w:tcPr>
            <w:tcW w:w="910" w:type="dxa"/>
            <w:tcBorders>
              <w:top w:val="single" w:color="auto" w:sz="6" w:space="0"/>
              <w:left w:val="single" w:color="auto" w:sz="6" w:space="0"/>
              <w:bottom w:val="single" w:color="auto" w:sz="6" w:space="0"/>
              <w:right w:val="single" w:color="auto" w:sz="6" w:space="0"/>
            </w:tcBorders>
          </w:tcPr>
          <w:p w14:paraId="57AE154E">
            <w:pPr>
              <w:autoSpaceDE w:val="0"/>
              <w:autoSpaceDN w:val="0"/>
              <w:adjustRightInd w:val="0"/>
              <w:snapToGrid w:val="0"/>
              <w:spacing w:line="360" w:lineRule="auto"/>
              <w:jc w:val="left"/>
              <w:outlineLvl w:val="9"/>
              <w:rPr>
                <w:rFonts w:ascii="宋体" w:hAnsi="宋体"/>
                <w:color w:val="auto"/>
                <w:kern w:val="0"/>
                <w:szCs w:val="21"/>
                <w:highlight w:val="none"/>
              </w:rPr>
            </w:pPr>
          </w:p>
        </w:tc>
        <w:tc>
          <w:tcPr>
            <w:tcW w:w="916" w:type="dxa"/>
            <w:tcBorders>
              <w:top w:val="single" w:color="auto" w:sz="6" w:space="0"/>
              <w:left w:val="single" w:color="auto" w:sz="6" w:space="0"/>
              <w:bottom w:val="single" w:color="auto" w:sz="6" w:space="0"/>
              <w:right w:val="single" w:color="auto" w:sz="6" w:space="0"/>
            </w:tcBorders>
          </w:tcPr>
          <w:p w14:paraId="37FCA1F4">
            <w:pPr>
              <w:autoSpaceDE w:val="0"/>
              <w:autoSpaceDN w:val="0"/>
              <w:adjustRightInd w:val="0"/>
              <w:snapToGrid w:val="0"/>
              <w:spacing w:line="360" w:lineRule="auto"/>
              <w:jc w:val="left"/>
              <w:outlineLvl w:val="9"/>
              <w:rPr>
                <w:rFonts w:ascii="宋体" w:hAnsi="宋体"/>
                <w:color w:val="auto"/>
                <w:kern w:val="0"/>
                <w:szCs w:val="21"/>
                <w:highlight w:val="none"/>
              </w:rPr>
            </w:pPr>
          </w:p>
        </w:tc>
        <w:tc>
          <w:tcPr>
            <w:tcW w:w="830" w:type="dxa"/>
            <w:tcBorders>
              <w:top w:val="single" w:color="auto" w:sz="6" w:space="0"/>
              <w:left w:val="single" w:color="auto" w:sz="6" w:space="0"/>
              <w:bottom w:val="single" w:color="auto" w:sz="6" w:space="0"/>
              <w:right w:val="double" w:color="auto" w:sz="4" w:space="0"/>
            </w:tcBorders>
          </w:tcPr>
          <w:p w14:paraId="6036B9FC">
            <w:pPr>
              <w:autoSpaceDE w:val="0"/>
              <w:autoSpaceDN w:val="0"/>
              <w:adjustRightInd w:val="0"/>
              <w:snapToGrid w:val="0"/>
              <w:spacing w:line="360" w:lineRule="auto"/>
              <w:jc w:val="left"/>
              <w:outlineLvl w:val="9"/>
              <w:rPr>
                <w:rFonts w:ascii="宋体" w:hAnsi="宋体"/>
                <w:color w:val="auto"/>
                <w:kern w:val="0"/>
                <w:szCs w:val="21"/>
                <w:highlight w:val="none"/>
              </w:rPr>
            </w:pPr>
          </w:p>
        </w:tc>
      </w:tr>
      <w:tr w14:paraId="66F61CAA">
        <w:tblPrEx>
          <w:tblCellMar>
            <w:top w:w="0" w:type="dxa"/>
            <w:left w:w="0" w:type="dxa"/>
            <w:bottom w:w="0" w:type="dxa"/>
            <w:right w:w="0" w:type="dxa"/>
          </w:tblCellMar>
        </w:tblPrEx>
        <w:trPr>
          <w:trHeight w:val="415" w:hRule="exact"/>
          <w:jc w:val="center"/>
        </w:trPr>
        <w:tc>
          <w:tcPr>
            <w:tcW w:w="426" w:type="dxa"/>
            <w:tcBorders>
              <w:top w:val="single" w:color="auto" w:sz="6" w:space="0"/>
              <w:left w:val="double" w:color="auto" w:sz="4" w:space="0"/>
              <w:bottom w:val="single" w:color="auto" w:sz="6" w:space="0"/>
              <w:right w:val="single" w:color="auto" w:sz="6" w:space="0"/>
            </w:tcBorders>
            <w:vAlign w:val="center"/>
          </w:tcPr>
          <w:p w14:paraId="183FBEBE">
            <w:pPr>
              <w:jc w:val="center"/>
              <w:outlineLvl w:val="9"/>
              <w:rPr>
                <w:rFonts w:ascii="宋体" w:hAnsi="宋体" w:cs="宋体"/>
                <w:color w:val="auto"/>
                <w:highlight w:val="none"/>
              </w:rPr>
            </w:pPr>
            <w:r>
              <w:rPr>
                <w:rFonts w:hint="eastAsia" w:ascii="宋体" w:hAnsi="宋体" w:cs="宋体"/>
                <w:color w:val="auto"/>
                <w:highlight w:val="none"/>
              </w:rPr>
              <w:t>2</w:t>
            </w:r>
          </w:p>
        </w:tc>
        <w:tc>
          <w:tcPr>
            <w:tcW w:w="1134" w:type="dxa"/>
            <w:tcBorders>
              <w:top w:val="single" w:color="auto" w:sz="6" w:space="0"/>
              <w:left w:val="single" w:color="auto" w:sz="6" w:space="0"/>
              <w:bottom w:val="single" w:color="auto" w:sz="6" w:space="0"/>
              <w:right w:val="single" w:color="auto" w:sz="6" w:space="0"/>
            </w:tcBorders>
            <w:vAlign w:val="center"/>
          </w:tcPr>
          <w:p w14:paraId="60EA3CD0">
            <w:pPr>
              <w:autoSpaceDE w:val="0"/>
              <w:autoSpaceDN w:val="0"/>
              <w:adjustRightInd w:val="0"/>
              <w:snapToGrid w:val="0"/>
              <w:spacing w:line="360" w:lineRule="auto"/>
              <w:jc w:val="center"/>
              <w:outlineLvl w:val="9"/>
              <w:rPr>
                <w:rFonts w:ascii="宋体" w:hAnsi="宋体"/>
                <w:color w:val="auto"/>
                <w:kern w:val="0"/>
                <w:szCs w:val="21"/>
                <w:highlight w:val="none"/>
              </w:rPr>
            </w:pPr>
          </w:p>
        </w:tc>
        <w:tc>
          <w:tcPr>
            <w:tcW w:w="1998" w:type="dxa"/>
            <w:tcBorders>
              <w:top w:val="single" w:color="auto" w:sz="6" w:space="0"/>
              <w:left w:val="single" w:color="auto" w:sz="6" w:space="0"/>
              <w:bottom w:val="single" w:color="auto" w:sz="6" w:space="0"/>
              <w:right w:val="single" w:color="auto" w:sz="4" w:space="0"/>
            </w:tcBorders>
          </w:tcPr>
          <w:p w14:paraId="29A115FF">
            <w:pPr>
              <w:autoSpaceDE w:val="0"/>
              <w:autoSpaceDN w:val="0"/>
              <w:adjustRightInd w:val="0"/>
              <w:snapToGrid w:val="0"/>
              <w:spacing w:line="360" w:lineRule="auto"/>
              <w:jc w:val="left"/>
              <w:outlineLvl w:val="9"/>
              <w:rPr>
                <w:rFonts w:ascii="宋体" w:hAnsi="宋体"/>
                <w:color w:val="auto"/>
                <w:kern w:val="0"/>
                <w:szCs w:val="21"/>
                <w:highlight w:val="none"/>
              </w:rPr>
            </w:pPr>
          </w:p>
        </w:tc>
        <w:tc>
          <w:tcPr>
            <w:tcW w:w="1200" w:type="dxa"/>
            <w:tcBorders>
              <w:top w:val="single" w:color="auto" w:sz="6" w:space="0"/>
              <w:left w:val="single" w:color="auto" w:sz="4" w:space="0"/>
              <w:bottom w:val="single" w:color="auto" w:sz="6" w:space="0"/>
              <w:right w:val="single" w:color="auto" w:sz="6" w:space="0"/>
            </w:tcBorders>
          </w:tcPr>
          <w:p w14:paraId="585B535B">
            <w:pPr>
              <w:autoSpaceDE w:val="0"/>
              <w:autoSpaceDN w:val="0"/>
              <w:adjustRightInd w:val="0"/>
              <w:snapToGrid w:val="0"/>
              <w:spacing w:line="360" w:lineRule="auto"/>
              <w:jc w:val="left"/>
              <w:outlineLvl w:val="9"/>
              <w:rPr>
                <w:rFonts w:ascii="宋体" w:hAnsi="宋体"/>
                <w:color w:val="auto"/>
                <w:kern w:val="0"/>
                <w:szCs w:val="21"/>
                <w:highlight w:val="none"/>
              </w:rPr>
            </w:pPr>
          </w:p>
        </w:tc>
        <w:tc>
          <w:tcPr>
            <w:tcW w:w="1092" w:type="dxa"/>
            <w:tcBorders>
              <w:top w:val="single" w:color="auto" w:sz="6" w:space="0"/>
              <w:left w:val="single" w:color="auto" w:sz="6" w:space="0"/>
              <w:bottom w:val="single" w:color="auto" w:sz="6" w:space="0"/>
              <w:right w:val="single" w:color="auto" w:sz="4" w:space="0"/>
            </w:tcBorders>
          </w:tcPr>
          <w:p w14:paraId="2643CE36">
            <w:pPr>
              <w:autoSpaceDE w:val="0"/>
              <w:autoSpaceDN w:val="0"/>
              <w:adjustRightInd w:val="0"/>
              <w:snapToGrid w:val="0"/>
              <w:spacing w:line="360" w:lineRule="auto"/>
              <w:jc w:val="left"/>
              <w:outlineLvl w:val="9"/>
              <w:rPr>
                <w:rFonts w:ascii="宋体" w:hAnsi="宋体"/>
                <w:color w:val="auto"/>
                <w:kern w:val="0"/>
                <w:szCs w:val="21"/>
                <w:highlight w:val="none"/>
              </w:rPr>
            </w:pPr>
          </w:p>
        </w:tc>
        <w:tc>
          <w:tcPr>
            <w:tcW w:w="910" w:type="dxa"/>
            <w:tcBorders>
              <w:top w:val="single" w:color="auto" w:sz="6" w:space="0"/>
              <w:left w:val="single" w:color="auto" w:sz="6" w:space="0"/>
              <w:bottom w:val="single" w:color="auto" w:sz="6" w:space="0"/>
              <w:right w:val="single" w:color="auto" w:sz="6" w:space="0"/>
            </w:tcBorders>
          </w:tcPr>
          <w:p w14:paraId="26581575">
            <w:pPr>
              <w:autoSpaceDE w:val="0"/>
              <w:autoSpaceDN w:val="0"/>
              <w:adjustRightInd w:val="0"/>
              <w:snapToGrid w:val="0"/>
              <w:spacing w:line="360" w:lineRule="auto"/>
              <w:jc w:val="left"/>
              <w:outlineLvl w:val="9"/>
              <w:rPr>
                <w:rFonts w:ascii="宋体" w:hAnsi="宋体"/>
                <w:color w:val="auto"/>
                <w:kern w:val="0"/>
                <w:szCs w:val="21"/>
                <w:highlight w:val="none"/>
              </w:rPr>
            </w:pPr>
          </w:p>
        </w:tc>
        <w:tc>
          <w:tcPr>
            <w:tcW w:w="916" w:type="dxa"/>
            <w:tcBorders>
              <w:top w:val="single" w:color="auto" w:sz="6" w:space="0"/>
              <w:left w:val="single" w:color="auto" w:sz="6" w:space="0"/>
              <w:bottom w:val="single" w:color="auto" w:sz="6" w:space="0"/>
              <w:right w:val="single" w:color="auto" w:sz="6" w:space="0"/>
            </w:tcBorders>
          </w:tcPr>
          <w:p w14:paraId="4726D7C3">
            <w:pPr>
              <w:autoSpaceDE w:val="0"/>
              <w:autoSpaceDN w:val="0"/>
              <w:adjustRightInd w:val="0"/>
              <w:snapToGrid w:val="0"/>
              <w:spacing w:line="360" w:lineRule="auto"/>
              <w:jc w:val="left"/>
              <w:outlineLvl w:val="9"/>
              <w:rPr>
                <w:rFonts w:ascii="宋体" w:hAnsi="宋体"/>
                <w:color w:val="auto"/>
                <w:kern w:val="0"/>
                <w:szCs w:val="21"/>
                <w:highlight w:val="none"/>
              </w:rPr>
            </w:pPr>
          </w:p>
        </w:tc>
        <w:tc>
          <w:tcPr>
            <w:tcW w:w="830" w:type="dxa"/>
            <w:tcBorders>
              <w:top w:val="single" w:color="auto" w:sz="6" w:space="0"/>
              <w:left w:val="single" w:color="auto" w:sz="6" w:space="0"/>
              <w:bottom w:val="single" w:color="auto" w:sz="6" w:space="0"/>
              <w:right w:val="double" w:color="auto" w:sz="4" w:space="0"/>
            </w:tcBorders>
          </w:tcPr>
          <w:p w14:paraId="6ADC2226">
            <w:pPr>
              <w:autoSpaceDE w:val="0"/>
              <w:autoSpaceDN w:val="0"/>
              <w:adjustRightInd w:val="0"/>
              <w:snapToGrid w:val="0"/>
              <w:spacing w:line="360" w:lineRule="auto"/>
              <w:jc w:val="left"/>
              <w:outlineLvl w:val="9"/>
              <w:rPr>
                <w:rFonts w:ascii="宋体" w:hAnsi="宋体"/>
                <w:color w:val="auto"/>
                <w:kern w:val="0"/>
                <w:szCs w:val="21"/>
                <w:highlight w:val="none"/>
              </w:rPr>
            </w:pPr>
          </w:p>
        </w:tc>
      </w:tr>
      <w:tr w14:paraId="675AD796">
        <w:tblPrEx>
          <w:tblCellMar>
            <w:top w:w="0" w:type="dxa"/>
            <w:left w:w="0" w:type="dxa"/>
            <w:bottom w:w="0" w:type="dxa"/>
            <w:right w:w="0" w:type="dxa"/>
          </w:tblCellMar>
        </w:tblPrEx>
        <w:trPr>
          <w:trHeight w:val="415" w:hRule="exact"/>
          <w:jc w:val="center"/>
        </w:trPr>
        <w:tc>
          <w:tcPr>
            <w:tcW w:w="426" w:type="dxa"/>
            <w:tcBorders>
              <w:top w:val="single" w:color="auto" w:sz="6" w:space="0"/>
              <w:left w:val="double" w:color="auto" w:sz="4" w:space="0"/>
              <w:bottom w:val="single" w:color="auto" w:sz="6" w:space="0"/>
              <w:right w:val="single" w:color="auto" w:sz="6" w:space="0"/>
            </w:tcBorders>
            <w:vAlign w:val="center"/>
          </w:tcPr>
          <w:p w14:paraId="318450C8">
            <w:pPr>
              <w:jc w:val="center"/>
              <w:outlineLvl w:val="9"/>
              <w:rPr>
                <w:rFonts w:ascii="宋体" w:hAnsi="宋体" w:cs="宋体"/>
                <w:color w:val="auto"/>
                <w:highlight w:val="none"/>
              </w:rPr>
            </w:pPr>
            <w:r>
              <w:rPr>
                <w:rFonts w:hint="eastAsia" w:ascii="宋体" w:hAnsi="宋体" w:cs="宋体"/>
                <w:color w:val="auto"/>
                <w:highlight w:val="none"/>
              </w:rPr>
              <w:t>3</w:t>
            </w:r>
          </w:p>
        </w:tc>
        <w:tc>
          <w:tcPr>
            <w:tcW w:w="1134" w:type="dxa"/>
            <w:tcBorders>
              <w:top w:val="single" w:color="auto" w:sz="6" w:space="0"/>
              <w:left w:val="single" w:color="auto" w:sz="6" w:space="0"/>
              <w:bottom w:val="single" w:color="auto" w:sz="6" w:space="0"/>
              <w:right w:val="single" w:color="auto" w:sz="6" w:space="0"/>
            </w:tcBorders>
            <w:vAlign w:val="center"/>
          </w:tcPr>
          <w:p w14:paraId="36271D74">
            <w:pPr>
              <w:autoSpaceDE w:val="0"/>
              <w:autoSpaceDN w:val="0"/>
              <w:adjustRightInd w:val="0"/>
              <w:snapToGrid w:val="0"/>
              <w:spacing w:line="360" w:lineRule="auto"/>
              <w:jc w:val="center"/>
              <w:outlineLvl w:val="9"/>
              <w:rPr>
                <w:rFonts w:ascii="宋体" w:hAnsi="宋体"/>
                <w:color w:val="auto"/>
                <w:kern w:val="0"/>
                <w:szCs w:val="21"/>
                <w:highlight w:val="none"/>
              </w:rPr>
            </w:pPr>
          </w:p>
        </w:tc>
        <w:tc>
          <w:tcPr>
            <w:tcW w:w="1998" w:type="dxa"/>
            <w:tcBorders>
              <w:top w:val="single" w:color="auto" w:sz="6" w:space="0"/>
              <w:left w:val="single" w:color="auto" w:sz="6" w:space="0"/>
              <w:bottom w:val="single" w:color="auto" w:sz="6" w:space="0"/>
              <w:right w:val="single" w:color="auto" w:sz="4" w:space="0"/>
            </w:tcBorders>
          </w:tcPr>
          <w:p w14:paraId="76590A9A">
            <w:pPr>
              <w:autoSpaceDE w:val="0"/>
              <w:autoSpaceDN w:val="0"/>
              <w:adjustRightInd w:val="0"/>
              <w:snapToGrid w:val="0"/>
              <w:spacing w:line="360" w:lineRule="auto"/>
              <w:jc w:val="left"/>
              <w:outlineLvl w:val="9"/>
              <w:rPr>
                <w:rFonts w:ascii="宋体" w:hAnsi="宋体"/>
                <w:color w:val="auto"/>
                <w:kern w:val="0"/>
                <w:szCs w:val="21"/>
                <w:highlight w:val="none"/>
              </w:rPr>
            </w:pPr>
          </w:p>
        </w:tc>
        <w:tc>
          <w:tcPr>
            <w:tcW w:w="1200" w:type="dxa"/>
            <w:tcBorders>
              <w:top w:val="single" w:color="auto" w:sz="6" w:space="0"/>
              <w:left w:val="single" w:color="auto" w:sz="4" w:space="0"/>
              <w:bottom w:val="single" w:color="auto" w:sz="6" w:space="0"/>
              <w:right w:val="single" w:color="auto" w:sz="6" w:space="0"/>
            </w:tcBorders>
          </w:tcPr>
          <w:p w14:paraId="43809161">
            <w:pPr>
              <w:autoSpaceDE w:val="0"/>
              <w:autoSpaceDN w:val="0"/>
              <w:adjustRightInd w:val="0"/>
              <w:snapToGrid w:val="0"/>
              <w:spacing w:line="360" w:lineRule="auto"/>
              <w:jc w:val="left"/>
              <w:outlineLvl w:val="9"/>
              <w:rPr>
                <w:rFonts w:ascii="宋体" w:hAnsi="宋体"/>
                <w:color w:val="auto"/>
                <w:kern w:val="0"/>
                <w:szCs w:val="21"/>
                <w:highlight w:val="none"/>
              </w:rPr>
            </w:pPr>
          </w:p>
        </w:tc>
        <w:tc>
          <w:tcPr>
            <w:tcW w:w="1092" w:type="dxa"/>
            <w:tcBorders>
              <w:top w:val="single" w:color="auto" w:sz="6" w:space="0"/>
              <w:left w:val="single" w:color="auto" w:sz="6" w:space="0"/>
              <w:bottom w:val="single" w:color="auto" w:sz="6" w:space="0"/>
              <w:right w:val="single" w:color="auto" w:sz="4" w:space="0"/>
            </w:tcBorders>
          </w:tcPr>
          <w:p w14:paraId="0FB35229">
            <w:pPr>
              <w:autoSpaceDE w:val="0"/>
              <w:autoSpaceDN w:val="0"/>
              <w:adjustRightInd w:val="0"/>
              <w:snapToGrid w:val="0"/>
              <w:spacing w:line="360" w:lineRule="auto"/>
              <w:jc w:val="left"/>
              <w:outlineLvl w:val="9"/>
              <w:rPr>
                <w:rFonts w:ascii="宋体" w:hAnsi="宋体"/>
                <w:color w:val="auto"/>
                <w:kern w:val="0"/>
                <w:szCs w:val="21"/>
                <w:highlight w:val="none"/>
              </w:rPr>
            </w:pPr>
          </w:p>
        </w:tc>
        <w:tc>
          <w:tcPr>
            <w:tcW w:w="910" w:type="dxa"/>
            <w:tcBorders>
              <w:top w:val="single" w:color="auto" w:sz="6" w:space="0"/>
              <w:left w:val="single" w:color="auto" w:sz="6" w:space="0"/>
              <w:bottom w:val="single" w:color="auto" w:sz="6" w:space="0"/>
              <w:right w:val="single" w:color="auto" w:sz="6" w:space="0"/>
            </w:tcBorders>
          </w:tcPr>
          <w:p w14:paraId="2D122F4E">
            <w:pPr>
              <w:autoSpaceDE w:val="0"/>
              <w:autoSpaceDN w:val="0"/>
              <w:adjustRightInd w:val="0"/>
              <w:snapToGrid w:val="0"/>
              <w:spacing w:line="360" w:lineRule="auto"/>
              <w:jc w:val="left"/>
              <w:outlineLvl w:val="9"/>
              <w:rPr>
                <w:rFonts w:ascii="宋体" w:hAnsi="宋体"/>
                <w:color w:val="auto"/>
                <w:kern w:val="0"/>
                <w:szCs w:val="21"/>
                <w:highlight w:val="none"/>
              </w:rPr>
            </w:pPr>
          </w:p>
        </w:tc>
        <w:tc>
          <w:tcPr>
            <w:tcW w:w="916" w:type="dxa"/>
            <w:tcBorders>
              <w:top w:val="single" w:color="auto" w:sz="6" w:space="0"/>
              <w:left w:val="single" w:color="auto" w:sz="6" w:space="0"/>
              <w:bottom w:val="single" w:color="auto" w:sz="6" w:space="0"/>
              <w:right w:val="single" w:color="auto" w:sz="6" w:space="0"/>
            </w:tcBorders>
          </w:tcPr>
          <w:p w14:paraId="06729323">
            <w:pPr>
              <w:autoSpaceDE w:val="0"/>
              <w:autoSpaceDN w:val="0"/>
              <w:adjustRightInd w:val="0"/>
              <w:snapToGrid w:val="0"/>
              <w:spacing w:line="360" w:lineRule="auto"/>
              <w:jc w:val="left"/>
              <w:outlineLvl w:val="9"/>
              <w:rPr>
                <w:rFonts w:ascii="宋体" w:hAnsi="宋体"/>
                <w:color w:val="auto"/>
                <w:kern w:val="0"/>
                <w:szCs w:val="21"/>
                <w:highlight w:val="none"/>
              </w:rPr>
            </w:pPr>
          </w:p>
        </w:tc>
        <w:tc>
          <w:tcPr>
            <w:tcW w:w="830" w:type="dxa"/>
            <w:tcBorders>
              <w:top w:val="single" w:color="auto" w:sz="6" w:space="0"/>
              <w:left w:val="single" w:color="auto" w:sz="6" w:space="0"/>
              <w:bottom w:val="single" w:color="auto" w:sz="6" w:space="0"/>
              <w:right w:val="double" w:color="auto" w:sz="4" w:space="0"/>
            </w:tcBorders>
          </w:tcPr>
          <w:p w14:paraId="202B25CD">
            <w:pPr>
              <w:autoSpaceDE w:val="0"/>
              <w:autoSpaceDN w:val="0"/>
              <w:adjustRightInd w:val="0"/>
              <w:snapToGrid w:val="0"/>
              <w:spacing w:line="360" w:lineRule="auto"/>
              <w:jc w:val="left"/>
              <w:outlineLvl w:val="9"/>
              <w:rPr>
                <w:rFonts w:ascii="宋体" w:hAnsi="宋体"/>
                <w:color w:val="auto"/>
                <w:kern w:val="0"/>
                <w:szCs w:val="21"/>
                <w:highlight w:val="none"/>
              </w:rPr>
            </w:pPr>
          </w:p>
        </w:tc>
      </w:tr>
      <w:tr w14:paraId="68B87F07">
        <w:tblPrEx>
          <w:tblCellMar>
            <w:top w:w="0" w:type="dxa"/>
            <w:left w:w="0" w:type="dxa"/>
            <w:bottom w:w="0" w:type="dxa"/>
            <w:right w:w="0" w:type="dxa"/>
          </w:tblCellMar>
        </w:tblPrEx>
        <w:trPr>
          <w:trHeight w:val="415" w:hRule="exact"/>
          <w:jc w:val="center"/>
        </w:trPr>
        <w:tc>
          <w:tcPr>
            <w:tcW w:w="426" w:type="dxa"/>
            <w:tcBorders>
              <w:top w:val="single" w:color="auto" w:sz="6" w:space="0"/>
              <w:left w:val="double" w:color="auto" w:sz="4" w:space="0"/>
              <w:bottom w:val="single" w:color="auto" w:sz="6" w:space="0"/>
              <w:right w:val="single" w:color="auto" w:sz="6" w:space="0"/>
            </w:tcBorders>
            <w:vAlign w:val="center"/>
          </w:tcPr>
          <w:p w14:paraId="6DC17F4C">
            <w:pPr>
              <w:jc w:val="center"/>
              <w:outlineLvl w:val="9"/>
              <w:rPr>
                <w:rFonts w:ascii="宋体" w:hAnsi="宋体" w:cs="宋体"/>
                <w:color w:val="auto"/>
                <w:highlight w:val="none"/>
              </w:rPr>
            </w:pPr>
            <w:r>
              <w:rPr>
                <w:rFonts w:hint="eastAsia" w:ascii="宋体" w:hAnsi="宋体" w:cs="宋体"/>
                <w:color w:val="auto"/>
                <w:highlight w:val="none"/>
              </w:rPr>
              <w:t>4</w:t>
            </w:r>
          </w:p>
        </w:tc>
        <w:tc>
          <w:tcPr>
            <w:tcW w:w="1134" w:type="dxa"/>
            <w:tcBorders>
              <w:top w:val="single" w:color="auto" w:sz="6" w:space="0"/>
              <w:left w:val="single" w:color="auto" w:sz="6" w:space="0"/>
              <w:bottom w:val="single" w:color="auto" w:sz="6" w:space="0"/>
              <w:right w:val="single" w:color="auto" w:sz="6" w:space="0"/>
            </w:tcBorders>
            <w:vAlign w:val="center"/>
          </w:tcPr>
          <w:p w14:paraId="19DAA319">
            <w:pPr>
              <w:autoSpaceDE w:val="0"/>
              <w:autoSpaceDN w:val="0"/>
              <w:adjustRightInd w:val="0"/>
              <w:snapToGrid w:val="0"/>
              <w:spacing w:line="360" w:lineRule="auto"/>
              <w:jc w:val="center"/>
              <w:outlineLvl w:val="9"/>
              <w:rPr>
                <w:rFonts w:ascii="宋体" w:hAnsi="宋体"/>
                <w:color w:val="auto"/>
                <w:kern w:val="0"/>
                <w:szCs w:val="21"/>
                <w:highlight w:val="none"/>
              </w:rPr>
            </w:pPr>
          </w:p>
        </w:tc>
        <w:tc>
          <w:tcPr>
            <w:tcW w:w="1998" w:type="dxa"/>
            <w:tcBorders>
              <w:top w:val="single" w:color="auto" w:sz="6" w:space="0"/>
              <w:left w:val="single" w:color="auto" w:sz="6" w:space="0"/>
              <w:bottom w:val="single" w:color="auto" w:sz="6" w:space="0"/>
              <w:right w:val="single" w:color="auto" w:sz="4" w:space="0"/>
            </w:tcBorders>
          </w:tcPr>
          <w:p w14:paraId="39CB7940">
            <w:pPr>
              <w:autoSpaceDE w:val="0"/>
              <w:autoSpaceDN w:val="0"/>
              <w:adjustRightInd w:val="0"/>
              <w:snapToGrid w:val="0"/>
              <w:spacing w:line="360" w:lineRule="auto"/>
              <w:jc w:val="left"/>
              <w:outlineLvl w:val="9"/>
              <w:rPr>
                <w:rFonts w:ascii="宋体" w:hAnsi="宋体"/>
                <w:color w:val="auto"/>
                <w:kern w:val="0"/>
                <w:szCs w:val="21"/>
                <w:highlight w:val="none"/>
              </w:rPr>
            </w:pPr>
          </w:p>
        </w:tc>
        <w:tc>
          <w:tcPr>
            <w:tcW w:w="1200" w:type="dxa"/>
            <w:tcBorders>
              <w:top w:val="single" w:color="auto" w:sz="6" w:space="0"/>
              <w:left w:val="single" w:color="auto" w:sz="4" w:space="0"/>
              <w:bottom w:val="single" w:color="auto" w:sz="6" w:space="0"/>
              <w:right w:val="single" w:color="auto" w:sz="6" w:space="0"/>
            </w:tcBorders>
          </w:tcPr>
          <w:p w14:paraId="15A9E03E">
            <w:pPr>
              <w:autoSpaceDE w:val="0"/>
              <w:autoSpaceDN w:val="0"/>
              <w:adjustRightInd w:val="0"/>
              <w:snapToGrid w:val="0"/>
              <w:spacing w:line="360" w:lineRule="auto"/>
              <w:jc w:val="left"/>
              <w:outlineLvl w:val="9"/>
              <w:rPr>
                <w:rFonts w:ascii="宋体" w:hAnsi="宋体"/>
                <w:color w:val="auto"/>
                <w:kern w:val="0"/>
                <w:szCs w:val="21"/>
                <w:highlight w:val="none"/>
              </w:rPr>
            </w:pPr>
          </w:p>
        </w:tc>
        <w:tc>
          <w:tcPr>
            <w:tcW w:w="1092" w:type="dxa"/>
            <w:tcBorders>
              <w:top w:val="single" w:color="auto" w:sz="6" w:space="0"/>
              <w:left w:val="single" w:color="auto" w:sz="6" w:space="0"/>
              <w:bottom w:val="single" w:color="auto" w:sz="6" w:space="0"/>
              <w:right w:val="single" w:color="auto" w:sz="4" w:space="0"/>
            </w:tcBorders>
          </w:tcPr>
          <w:p w14:paraId="4BBAA045">
            <w:pPr>
              <w:autoSpaceDE w:val="0"/>
              <w:autoSpaceDN w:val="0"/>
              <w:adjustRightInd w:val="0"/>
              <w:snapToGrid w:val="0"/>
              <w:spacing w:line="360" w:lineRule="auto"/>
              <w:jc w:val="left"/>
              <w:outlineLvl w:val="9"/>
              <w:rPr>
                <w:rFonts w:ascii="宋体" w:hAnsi="宋体"/>
                <w:color w:val="auto"/>
                <w:kern w:val="0"/>
                <w:szCs w:val="21"/>
                <w:highlight w:val="none"/>
              </w:rPr>
            </w:pPr>
          </w:p>
        </w:tc>
        <w:tc>
          <w:tcPr>
            <w:tcW w:w="910" w:type="dxa"/>
            <w:tcBorders>
              <w:top w:val="single" w:color="auto" w:sz="6" w:space="0"/>
              <w:left w:val="single" w:color="auto" w:sz="4" w:space="0"/>
              <w:bottom w:val="single" w:color="auto" w:sz="6" w:space="0"/>
              <w:right w:val="single" w:color="auto" w:sz="6" w:space="0"/>
            </w:tcBorders>
          </w:tcPr>
          <w:p w14:paraId="7AB47FB3">
            <w:pPr>
              <w:autoSpaceDE w:val="0"/>
              <w:autoSpaceDN w:val="0"/>
              <w:adjustRightInd w:val="0"/>
              <w:snapToGrid w:val="0"/>
              <w:spacing w:line="360" w:lineRule="auto"/>
              <w:jc w:val="left"/>
              <w:outlineLvl w:val="9"/>
              <w:rPr>
                <w:rFonts w:ascii="宋体" w:hAnsi="宋体"/>
                <w:color w:val="auto"/>
                <w:kern w:val="0"/>
                <w:szCs w:val="21"/>
                <w:highlight w:val="none"/>
              </w:rPr>
            </w:pPr>
          </w:p>
        </w:tc>
        <w:tc>
          <w:tcPr>
            <w:tcW w:w="916" w:type="dxa"/>
            <w:tcBorders>
              <w:top w:val="single" w:color="auto" w:sz="6" w:space="0"/>
              <w:left w:val="single" w:color="auto" w:sz="6" w:space="0"/>
              <w:bottom w:val="single" w:color="auto" w:sz="6" w:space="0"/>
              <w:right w:val="single" w:color="auto" w:sz="6" w:space="0"/>
            </w:tcBorders>
          </w:tcPr>
          <w:p w14:paraId="3BB8931B">
            <w:pPr>
              <w:autoSpaceDE w:val="0"/>
              <w:autoSpaceDN w:val="0"/>
              <w:adjustRightInd w:val="0"/>
              <w:snapToGrid w:val="0"/>
              <w:spacing w:line="360" w:lineRule="auto"/>
              <w:jc w:val="left"/>
              <w:outlineLvl w:val="9"/>
              <w:rPr>
                <w:rFonts w:ascii="宋体" w:hAnsi="宋体"/>
                <w:color w:val="auto"/>
                <w:kern w:val="0"/>
                <w:szCs w:val="21"/>
                <w:highlight w:val="none"/>
              </w:rPr>
            </w:pPr>
          </w:p>
        </w:tc>
        <w:tc>
          <w:tcPr>
            <w:tcW w:w="830" w:type="dxa"/>
            <w:tcBorders>
              <w:top w:val="single" w:color="auto" w:sz="6" w:space="0"/>
              <w:left w:val="single" w:color="auto" w:sz="6" w:space="0"/>
              <w:bottom w:val="single" w:color="auto" w:sz="6" w:space="0"/>
              <w:right w:val="double" w:color="auto" w:sz="4" w:space="0"/>
            </w:tcBorders>
          </w:tcPr>
          <w:p w14:paraId="711DFB76">
            <w:pPr>
              <w:autoSpaceDE w:val="0"/>
              <w:autoSpaceDN w:val="0"/>
              <w:adjustRightInd w:val="0"/>
              <w:snapToGrid w:val="0"/>
              <w:spacing w:line="360" w:lineRule="auto"/>
              <w:jc w:val="left"/>
              <w:outlineLvl w:val="9"/>
              <w:rPr>
                <w:rFonts w:ascii="宋体" w:hAnsi="宋体"/>
                <w:color w:val="auto"/>
                <w:kern w:val="0"/>
                <w:szCs w:val="21"/>
                <w:highlight w:val="none"/>
              </w:rPr>
            </w:pPr>
          </w:p>
        </w:tc>
      </w:tr>
      <w:tr w14:paraId="76211AC7">
        <w:tblPrEx>
          <w:tblCellMar>
            <w:top w:w="0" w:type="dxa"/>
            <w:left w:w="0" w:type="dxa"/>
            <w:bottom w:w="0" w:type="dxa"/>
            <w:right w:w="0" w:type="dxa"/>
          </w:tblCellMar>
        </w:tblPrEx>
        <w:trPr>
          <w:trHeight w:val="415" w:hRule="exact"/>
          <w:jc w:val="center"/>
        </w:trPr>
        <w:tc>
          <w:tcPr>
            <w:tcW w:w="426" w:type="dxa"/>
            <w:tcBorders>
              <w:top w:val="single" w:color="auto" w:sz="6" w:space="0"/>
              <w:left w:val="double" w:color="auto" w:sz="4" w:space="0"/>
              <w:bottom w:val="single" w:color="auto" w:sz="6" w:space="0"/>
              <w:right w:val="single" w:color="auto" w:sz="6" w:space="0"/>
            </w:tcBorders>
            <w:vAlign w:val="center"/>
          </w:tcPr>
          <w:p w14:paraId="251EE9F6">
            <w:pPr>
              <w:jc w:val="center"/>
              <w:outlineLvl w:val="9"/>
              <w:rPr>
                <w:rFonts w:ascii="宋体" w:hAnsi="宋体" w:cs="宋体"/>
                <w:color w:val="auto"/>
                <w:highlight w:val="none"/>
              </w:rPr>
            </w:pPr>
            <w:r>
              <w:rPr>
                <w:rFonts w:hint="eastAsia" w:ascii="宋体" w:hAnsi="宋体" w:cs="宋体"/>
                <w:color w:val="auto"/>
                <w:highlight w:val="none"/>
              </w:rPr>
              <w:t>5</w:t>
            </w:r>
          </w:p>
        </w:tc>
        <w:tc>
          <w:tcPr>
            <w:tcW w:w="1134" w:type="dxa"/>
            <w:tcBorders>
              <w:top w:val="single" w:color="auto" w:sz="6" w:space="0"/>
              <w:left w:val="single" w:color="auto" w:sz="6" w:space="0"/>
              <w:bottom w:val="single" w:color="auto" w:sz="6" w:space="0"/>
              <w:right w:val="single" w:color="auto" w:sz="6" w:space="0"/>
            </w:tcBorders>
            <w:vAlign w:val="center"/>
          </w:tcPr>
          <w:p w14:paraId="49F60B75">
            <w:pPr>
              <w:autoSpaceDE w:val="0"/>
              <w:autoSpaceDN w:val="0"/>
              <w:adjustRightInd w:val="0"/>
              <w:snapToGrid w:val="0"/>
              <w:spacing w:line="360" w:lineRule="auto"/>
              <w:jc w:val="center"/>
              <w:outlineLvl w:val="9"/>
              <w:rPr>
                <w:rFonts w:ascii="宋体" w:hAnsi="宋体"/>
                <w:color w:val="auto"/>
                <w:kern w:val="0"/>
                <w:szCs w:val="21"/>
                <w:highlight w:val="none"/>
              </w:rPr>
            </w:pPr>
          </w:p>
        </w:tc>
        <w:tc>
          <w:tcPr>
            <w:tcW w:w="1998" w:type="dxa"/>
            <w:tcBorders>
              <w:top w:val="single" w:color="auto" w:sz="6" w:space="0"/>
              <w:left w:val="single" w:color="auto" w:sz="6" w:space="0"/>
              <w:bottom w:val="single" w:color="auto" w:sz="6" w:space="0"/>
              <w:right w:val="single" w:color="auto" w:sz="4" w:space="0"/>
            </w:tcBorders>
          </w:tcPr>
          <w:p w14:paraId="2271CEAC">
            <w:pPr>
              <w:autoSpaceDE w:val="0"/>
              <w:autoSpaceDN w:val="0"/>
              <w:adjustRightInd w:val="0"/>
              <w:snapToGrid w:val="0"/>
              <w:spacing w:line="360" w:lineRule="auto"/>
              <w:jc w:val="left"/>
              <w:outlineLvl w:val="9"/>
              <w:rPr>
                <w:rFonts w:ascii="宋体" w:hAnsi="宋体"/>
                <w:color w:val="auto"/>
                <w:kern w:val="0"/>
                <w:szCs w:val="21"/>
                <w:highlight w:val="none"/>
              </w:rPr>
            </w:pPr>
          </w:p>
        </w:tc>
        <w:tc>
          <w:tcPr>
            <w:tcW w:w="1200" w:type="dxa"/>
            <w:tcBorders>
              <w:top w:val="single" w:color="auto" w:sz="6" w:space="0"/>
              <w:left w:val="single" w:color="auto" w:sz="4" w:space="0"/>
              <w:bottom w:val="single" w:color="auto" w:sz="6" w:space="0"/>
              <w:right w:val="single" w:color="auto" w:sz="6" w:space="0"/>
            </w:tcBorders>
          </w:tcPr>
          <w:p w14:paraId="4FA04DD0">
            <w:pPr>
              <w:autoSpaceDE w:val="0"/>
              <w:autoSpaceDN w:val="0"/>
              <w:adjustRightInd w:val="0"/>
              <w:snapToGrid w:val="0"/>
              <w:spacing w:line="360" w:lineRule="auto"/>
              <w:jc w:val="left"/>
              <w:outlineLvl w:val="9"/>
              <w:rPr>
                <w:rFonts w:ascii="宋体" w:hAnsi="宋体"/>
                <w:color w:val="auto"/>
                <w:kern w:val="0"/>
                <w:szCs w:val="21"/>
                <w:highlight w:val="none"/>
              </w:rPr>
            </w:pPr>
          </w:p>
        </w:tc>
        <w:tc>
          <w:tcPr>
            <w:tcW w:w="1092" w:type="dxa"/>
            <w:tcBorders>
              <w:top w:val="single" w:color="auto" w:sz="6" w:space="0"/>
              <w:left w:val="single" w:color="auto" w:sz="6" w:space="0"/>
              <w:bottom w:val="single" w:color="auto" w:sz="6" w:space="0"/>
              <w:right w:val="single" w:color="auto" w:sz="4" w:space="0"/>
            </w:tcBorders>
          </w:tcPr>
          <w:p w14:paraId="153B4486">
            <w:pPr>
              <w:autoSpaceDE w:val="0"/>
              <w:autoSpaceDN w:val="0"/>
              <w:adjustRightInd w:val="0"/>
              <w:snapToGrid w:val="0"/>
              <w:spacing w:line="360" w:lineRule="auto"/>
              <w:jc w:val="left"/>
              <w:outlineLvl w:val="9"/>
              <w:rPr>
                <w:rFonts w:ascii="宋体" w:hAnsi="宋体"/>
                <w:color w:val="auto"/>
                <w:kern w:val="0"/>
                <w:szCs w:val="21"/>
                <w:highlight w:val="none"/>
              </w:rPr>
            </w:pPr>
          </w:p>
        </w:tc>
        <w:tc>
          <w:tcPr>
            <w:tcW w:w="910" w:type="dxa"/>
            <w:tcBorders>
              <w:top w:val="single" w:color="auto" w:sz="6" w:space="0"/>
              <w:left w:val="single" w:color="auto" w:sz="4" w:space="0"/>
              <w:bottom w:val="single" w:color="auto" w:sz="6" w:space="0"/>
              <w:right w:val="single" w:color="auto" w:sz="6" w:space="0"/>
            </w:tcBorders>
          </w:tcPr>
          <w:p w14:paraId="6871BAD0">
            <w:pPr>
              <w:autoSpaceDE w:val="0"/>
              <w:autoSpaceDN w:val="0"/>
              <w:adjustRightInd w:val="0"/>
              <w:snapToGrid w:val="0"/>
              <w:spacing w:line="360" w:lineRule="auto"/>
              <w:jc w:val="left"/>
              <w:outlineLvl w:val="9"/>
              <w:rPr>
                <w:rFonts w:ascii="宋体" w:hAnsi="宋体"/>
                <w:color w:val="auto"/>
                <w:kern w:val="0"/>
                <w:szCs w:val="21"/>
                <w:highlight w:val="none"/>
              </w:rPr>
            </w:pPr>
          </w:p>
        </w:tc>
        <w:tc>
          <w:tcPr>
            <w:tcW w:w="916" w:type="dxa"/>
            <w:tcBorders>
              <w:top w:val="single" w:color="auto" w:sz="6" w:space="0"/>
              <w:left w:val="single" w:color="auto" w:sz="6" w:space="0"/>
              <w:bottom w:val="single" w:color="auto" w:sz="6" w:space="0"/>
              <w:right w:val="single" w:color="auto" w:sz="6" w:space="0"/>
            </w:tcBorders>
          </w:tcPr>
          <w:p w14:paraId="49A3E104">
            <w:pPr>
              <w:autoSpaceDE w:val="0"/>
              <w:autoSpaceDN w:val="0"/>
              <w:adjustRightInd w:val="0"/>
              <w:snapToGrid w:val="0"/>
              <w:spacing w:line="360" w:lineRule="auto"/>
              <w:jc w:val="left"/>
              <w:outlineLvl w:val="9"/>
              <w:rPr>
                <w:rFonts w:ascii="宋体" w:hAnsi="宋体"/>
                <w:color w:val="auto"/>
                <w:kern w:val="0"/>
                <w:szCs w:val="21"/>
                <w:highlight w:val="none"/>
              </w:rPr>
            </w:pPr>
          </w:p>
        </w:tc>
        <w:tc>
          <w:tcPr>
            <w:tcW w:w="830" w:type="dxa"/>
            <w:tcBorders>
              <w:top w:val="single" w:color="auto" w:sz="6" w:space="0"/>
              <w:left w:val="single" w:color="auto" w:sz="6" w:space="0"/>
              <w:bottom w:val="single" w:color="auto" w:sz="6" w:space="0"/>
              <w:right w:val="double" w:color="auto" w:sz="4" w:space="0"/>
            </w:tcBorders>
          </w:tcPr>
          <w:p w14:paraId="4FB4280D">
            <w:pPr>
              <w:autoSpaceDE w:val="0"/>
              <w:autoSpaceDN w:val="0"/>
              <w:adjustRightInd w:val="0"/>
              <w:snapToGrid w:val="0"/>
              <w:spacing w:line="360" w:lineRule="auto"/>
              <w:jc w:val="left"/>
              <w:outlineLvl w:val="9"/>
              <w:rPr>
                <w:rFonts w:ascii="宋体" w:hAnsi="宋体"/>
                <w:color w:val="auto"/>
                <w:kern w:val="0"/>
                <w:szCs w:val="21"/>
                <w:highlight w:val="none"/>
              </w:rPr>
            </w:pPr>
          </w:p>
        </w:tc>
      </w:tr>
      <w:tr w14:paraId="7C11A44F">
        <w:tblPrEx>
          <w:tblCellMar>
            <w:top w:w="0" w:type="dxa"/>
            <w:left w:w="0" w:type="dxa"/>
            <w:bottom w:w="0" w:type="dxa"/>
            <w:right w:w="0" w:type="dxa"/>
          </w:tblCellMar>
        </w:tblPrEx>
        <w:trPr>
          <w:trHeight w:val="415" w:hRule="exact"/>
          <w:jc w:val="center"/>
        </w:trPr>
        <w:tc>
          <w:tcPr>
            <w:tcW w:w="426" w:type="dxa"/>
            <w:tcBorders>
              <w:top w:val="single" w:color="auto" w:sz="6" w:space="0"/>
              <w:left w:val="double" w:color="auto" w:sz="4" w:space="0"/>
              <w:bottom w:val="single" w:color="auto" w:sz="6" w:space="0"/>
              <w:right w:val="single" w:color="auto" w:sz="6" w:space="0"/>
            </w:tcBorders>
            <w:vAlign w:val="center"/>
          </w:tcPr>
          <w:p w14:paraId="6C19F316">
            <w:pPr>
              <w:jc w:val="center"/>
              <w:outlineLvl w:val="9"/>
              <w:rPr>
                <w:color w:val="auto"/>
                <w:highlight w:val="none"/>
              </w:rPr>
            </w:pPr>
            <w:r>
              <w:rPr>
                <w:color w:val="auto"/>
                <w:highlight w:val="none"/>
              </w:rPr>
              <w:t>…</w:t>
            </w:r>
          </w:p>
        </w:tc>
        <w:tc>
          <w:tcPr>
            <w:tcW w:w="1134" w:type="dxa"/>
            <w:tcBorders>
              <w:top w:val="single" w:color="auto" w:sz="6" w:space="0"/>
              <w:left w:val="single" w:color="auto" w:sz="6" w:space="0"/>
              <w:bottom w:val="single" w:color="auto" w:sz="6" w:space="0"/>
              <w:right w:val="single" w:color="auto" w:sz="6" w:space="0"/>
            </w:tcBorders>
          </w:tcPr>
          <w:p w14:paraId="5B476886">
            <w:pPr>
              <w:autoSpaceDE w:val="0"/>
              <w:autoSpaceDN w:val="0"/>
              <w:adjustRightInd w:val="0"/>
              <w:snapToGrid w:val="0"/>
              <w:spacing w:line="360" w:lineRule="auto"/>
              <w:ind w:left="527" w:right="507"/>
              <w:jc w:val="center"/>
              <w:outlineLvl w:val="9"/>
              <w:rPr>
                <w:rFonts w:ascii="宋体" w:hAnsi="宋体"/>
                <w:color w:val="auto"/>
                <w:kern w:val="0"/>
                <w:szCs w:val="21"/>
                <w:highlight w:val="none"/>
              </w:rPr>
            </w:pPr>
          </w:p>
        </w:tc>
        <w:tc>
          <w:tcPr>
            <w:tcW w:w="1998" w:type="dxa"/>
            <w:tcBorders>
              <w:top w:val="single" w:color="auto" w:sz="6" w:space="0"/>
              <w:left w:val="single" w:color="auto" w:sz="6" w:space="0"/>
              <w:bottom w:val="single" w:color="auto" w:sz="6" w:space="0"/>
              <w:right w:val="single" w:color="auto" w:sz="4" w:space="0"/>
            </w:tcBorders>
          </w:tcPr>
          <w:p w14:paraId="22E6FEB0">
            <w:pPr>
              <w:autoSpaceDE w:val="0"/>
              <w:autoSpaceDN w:val="0"/>
              <w:adjustRightInd w:val="0"/>
              <w:snapToGrid w:val="0"/>
              <w:spacing w:line="360" w:lineRule="auto"/>
              <w:jc w:val="left"/>
              <w:outlineLvl w:val="9"/>
              <w:rPr>
                <w:rFonts w:ascii="宋体" w:hAnsi="宋体"/>
                <w:color w:val="auto"/>
                <w:kern w:val="0"/>
                <w:szCs w:val="21"/>
                <w:highlight w:val="none"/>
              </w:rPr>
            </w:pPr>
          </w:p>
        </w:tc>
        <w:tc>
          <w:tcPr>
            <w:tcW w:w="1200" w:type="dxa"/>
            <w:tcBorders>
              <w:top w:val="single" w:color="auto" w:sz="6" w:space="0"/>
              <w:left w:val="single" w:color="auto" w:sz="4" w:space="0"/>
              <w:bottom w:val="single" w:color="auto" w:sz="6" w:space="0"/>
              <w:right w:val="single" w:color="auto" w:sz="6" w:space="0"/>
            </w:tcBorders>
          </w:tcPr>
          <w:p w14:paraId="2768F193">
            <w:pPr>
              <w:autoSpaceDE w:val="0"/>
              <w:autoSpaceDN w:val="0"/>
              <w:adjustRightInd w:val="0"/>
              <w:snapToGrid w:val="0"/>
              <w:spacing w:line="360" w:lineRule="auto"/>
              <w:jc w:val="left"/>
              <w:outlineLvl w:val="9"/>
              <w:rPr>
                <w:rFonts w:ascii="宋体" w:hAnsi="宋体"/>
                <w:color w:val="auto"/>
                <w:kern w:val="0"/>
                <w:szCs w:val="21"/>
                <w:highlight w:val="none"/>
              </w:rPr>
            </w:pPr>
          </w:p>
        </w:tc>
        <w:tc>
          <w:tcPr>
            <w:tcW w:w="1092" w:type="dxa"/>
            <w:tcBorders>
              <w:top w:val="single" w:color="auto" w:sz="6" w:space="0"/>
              <w:left w:val="single" w:color="auto" w:sz="6" w:space="0"/>
              <w:bottom w:val="single" w:color="auto" w:sz="6" w:space="0"/>
              <w:right w:val="single" w:color="auto" w:sz="4" w:space="0"/>
            </w:tcBorders>
          </w:tcPr>
          <w:p w14:paraId="6D781315">
            <w:pPr>
              <w:autoSpaceDE w:val="0"/>
              <w:autoSpaceDN w:val="0"/>
              <w:adjustRightInd w:val="0"/>
              <w:snapToGrid w:val="0"/>
              <w:spacing w:line="360" w:lineRule="auto"/>
              <w:jc w:val="left"/>
              <w:outlineLvl w:val="9"/>
              <w:rPr>
                <w:rFonts w:ascii="宋体" w:hAnsi="宋体"/>
                <w:color w:val="auto"/>
                <w:kern w:val="0"/>
                <w:szCs w:val="21"/>
                <w:highlight w:val="none"/>
              </w:rPr>
            </w:pPr>
          </w:p>
        </w:tc>
        <w:tc>
          <w:tcPr>
            <w:tcW w:w="910" w:type="dxa"/>
            <w:tcBorders>
              <w:top w:val="single" w:color="auto" w:sz="6" w:space="0"/>
              <w:left w:val="single" w:color="auto" w:sz="4" w:space="0"/>
              <w:bottom w:val="single" w:color="auto" w:sz="6" w:space="0"/>
              <w:right w:val="single" w:color="auto" w:sz="6" w:space="0"/>
            </w:tcBorders>
          </w:tcPr>
          <w:p w14:paraId="094071AA">
            <w:pPr>
              <w:autoSpaceDE w:val="0"/>
              <w:autoSpaceDN w:val="0"/>
              <w:adjustRightInd w:val="0"/>
              <w:snapToGrid w:val="0"/>
              <w:spacing w:line="360" w:lineRule="auto"/>
              <w:jc w:val="left"/>
              <w:outlineLvl w:val="9"/>
              <w:rPr>
                <w:rFonts w:ascii="宋体" w:hAnsi="宋体"/>
                <w:color w:val="auto"/>
                <w:kern w:val="0"/>
                <w:szCs w:val="21"/>
                <w:highlight w:val="none"/>
              </w:rPr>
            </w:pPr>
          </w:p>
        </w:tc>
        <w:tc>
          <w:tcPr>
            <w:tcW w:w="916" w:type="dxa"/>
            <w:tcBorders>
              <w:top w:val="single" w:color="auto" w:sz="6" w:space="0"/>
              <w:left w:val="single" w:color="auto" w:sz="6" w:space="0"/>
              <w:bottom w:val="single" w:color="auto" w:sz="6" w:space="0"/>
              <w:right w:val="single" w:color="auto" w:sz="6" w:space="0"/>
            </w:tcBorders>
          </w:tcPr>
          <w:p w14:paraId="39203820">
            <w:pPr>
              <w:autoSpaceDE w:val="0"/>
              <w:autoSpaceDN w:val="0"/>
              <w:adjustRightInd w:val="0"/>
              <w:snapToGrid w:val="0"/>
              <w:spacing w:line="360" w:lineRule="auto"/>
              <w:jc w:val="left"/>
              <w:outlineLvl w:val="9"/>
              <w:rPr>
                <w:rFonts w:ascii="宋体" w:hAnsi="宋体"/>
                <w:color w:val="auto"/>
                <w:kern w:val="0"/>
                <w:szCs w:val="21"/>
                <w:highlight w:val="none"/>
              </w:rPr>
            </w:pPr>
          </w:p>
        </w:tc>
        <w:tc>
          <w:tcPr>
            <w:tcW w:w="830" w:type="dxa"/>
            <w:tcBorders>
              <w:top w:val="single" w:color="auto" w:sz="6" w:space="0"/>
              <w:left w:val="single" w:color="auto" w:sz="6" w:space="0"/>
              <w:bottom w:val="single" w:color="auto" w:sz="6" w:space="0"/>
              <w:right w:val="double" w:color="auto" w:sz="4" w:space="0"/>
            </w:tcBorders>
          </w:tcPr>
          <w:p w14:paraId="1D261BD5">
            <w:pPr>
              <w:autoSpaceDE w:val="0"/>
              <w:autoSpaceDN w:val="0"/>
              <w:adjustRightInd w:val="0"/>
              <w:snapToGrid w:val="0"/>
              <w:spacing w:line="360" w:lineRule="auto"/>
              <w:jc w:val="left"/>
              <w:outlineLvl w:val="9"/>
              <w:rPr>
                <w:rFonts w:ascii="宋体" w:hAnsi="宋体"/>
                <w:color w:val="auto"/>
                <w:kern w:val="0"/>
                <w:szCs w:val="21"/>
                <w:highlight w:val="none"/>
              </w:rPr>
            </w:pPr>
          </w:p>
        </w:tc>
      </w:tr>
      <w:tr w14:paraId="176C5600">
        <w:tblPrEx>
          <w:tblCellMar>
            <w:top w:w="0" w:type="dxa"/>
            <w:left w:w="0" w:type="dxa"/>
            <w:bottom w:w="0" w:type="dxa"/>
            <w:right w:w="0" w:type="dxa"/>
          </w:tblCellMar>
        </w:tblPrEx>
        <w:trPr>
          <w:trHeight w:val="415" w:hRule="exact"/>
          <w:jc w:val="center"/>
        </w:trPr>
        <w:tc>
          <w:tcPr>
            <w:tcW w:w="6760" w:type="dxa"/>
            <w:gridSpan w:val="6"/>
            <w:tcBorders>
              <w:top w:val="single" w:color="auto" w:sz="6" w:space="0"/>
              <w:left w:val="double" w:color="auto" w:sz="4" w:space="0"/>
              <w:bottom w:val="double" w:color="auto" w:sz="4" w:space="0"/>
              <w:right w:val="single" w:color="auto" w:sz="6" w:space="0"/>
            </w:tcBorders>
            <w:vAlign w:val="center"/>
          </w:tcPr>
          <w:p w14:paraId="2029F53F">
            <w:pPr>
              <w:autoSpaceDE w:val="0"/>
              <w:autoSpaceDN w:val="0"/>
              <w:adjustRightInd w:val="0"/>
              <w:snapToGrid w:val="0"/>
              <w:spacing w:line="360" w:lineRule="auto"/>
              <w:jc w:val="center"/>
              <w:outlineLvl w:val="9"/>
              <w:rPr>
                <w:rFonts w:ascii="宋体" w:hAnsi="宋体"/>
                <w:color w:val="auto"/>
                <w:kern w:val="0"/>
                <w:szCs w:val="21"/>
                <w:highlight w:val="none"/>
              </w:rPr>
            </w:pPr>
            <w:r>
              <w:rPr>
                <w:rFonts w:hint="eastAsia" w:ascii="宋体" w:hAnsi="宋体" w:cs="微软雅黑"/>
                <w:color w:val="auto"/>
                <w:kern w:val="0"/>
                <w:position w:val="-1"/>
                <w:szCs w:val="21"/>
                <w:highlight w:val="none"/>
              </w:rPr>
              <w:t>报价合计（投标总价）（元）</w:t>
            </w:r>
          </w:p>
        </w:tc>
        <w:tc>
          <w:tcPr>
            <w:tcW w:w="916" w:type="dxa"/>
            <w:tcBorders>
              <w:top w:val="single" w:color="auto" w:sz="6" w:space="0"/>
              <w:left w:val="single" w:color="auto" w:sz="6" w:space="0"/>
              <w:bottom w:val="double" w:color="auto" w:sz="4" w:space="0"/>
              <w:right w:val="single" w:color="auto" w:sz="6" w:space="0"/>
            </w:tcBorders>
          </w:tcPr>
          <w:p w14:paraId="7F9D8219">
            <w:pPr>
              <w:autoSpaceDE w:val="0"/>
              <w:autoSpaceDN w:val="0"/>
              <w:adjustRightInd w:val="0"/>
              <w:snapToGrid w:val="0"/>
              <w:spacing w:line="360" w:lineRule="auto"/>
              <w:jc w:val="left"/>
              <w:outlineLvl w:val="9"/>
              <w:rPr>
                <w:rFonts w:ascii="宋体" w:hAnsi="宋体"/>
                <w:color w:val="auto"/>
                <w:kern w:val="0"/>
                <w:szCs w:val="21"/>
                <w:highlight w:val="none"/>
              </w:rPr>
            </w:pPr>
          </w:p>
        </w:tc>
        <w:tc>
          <w:tcPr>
            <w:tcW w:w="830" w:type="dxa"/>
            <w:tcBorders>
              <w:top w:val="single" w:color="auto" w:sz="6" w:space="0"/>
              <w:left w:val="single" w:color="auto" w:sz="6" w:space="0"/>
              <w:bottom w:val="double" w:color="auto" w:sz="4" w:space="0"/>
              <w:right w:val="double" w:color="auto" w:sz="4" w:space="0"/>
            </w:tcBorders>
          </w:tcPr>
          <w:p w14:paraId="340E3E34">
            <w:pPr>
              <w:autoSpaceDE w:val="0"/>
              <w:autoSpaceDN w:val="0"/>
              <w:adjustRightInd w:val="0"/>
              <w:snapToGrid w:val="0"/>
              <w:spacing w:line="360" w:lineRule="auto"/>
              <w:jc w:val="left"/>
              <w:outlineLvl w:val="9"/>
              <w:rPr>
                <w:rFonts w:ascii="宋体" w:hAnsi="宋体"/>
                <w:color w:val="auto"/>
                <w:kern w:val="0"/>
                <w:szCs w:val="21"/>
                <w:highlight w:val="none"/>
              </w:rPr>
            </w:pPr>
          </w:p>
        </w:tc>
      </w:tr>
    </w:tbl>
    <w:p w14:paraId="04F92605">
      <w:pPr>
        <w:adjustRightInd w:val="0"/>
        <w:snapToGrid w:val="0"/>
        <w:spacing w:line="360" w:lineRule="auto"/>
        <w:outlineLvl w:val="9"/>
        <w:rPr>
          <w:rFonts w:ascii="宋体" w:hAnsi="宋体"/>
          <w:color w:val="auto"/>
          <w:szCs w:val="21"/>
          <w:highlight w:val="none"/>
        </w:rPr>
      </w:pPr>
      <w:r>
        <w:rPr>
          <w:rFonts w:hint="eastAsia" w:ascii="宋体" w:hAnsi="宋体"/>
          <w:color w:val="auto"/>
          <w:szCs w:val="21"/>
          <w:highlight w:val="none"/>
        </w:rPr>
        <w:t>备注：1.</w:t>
      </w:r>
      <w:r>
        <w:rPr>
          <w:rFonts w:hint="eastAsia" w:ascii="宋体" w:hAnsi="宋体"/>
          <w:b/>
          <w:color w:val="auto"/>
          <w:szCs w:val="21"/>
          <w:highlight w:val="none"/>
        </w:rPr>
        <w:t>本表应对应</w:t>
      </w:r>
      <w:r>
        <w:rPr>
          <w:rFonts w:hint="eastAsia" w:ascii="宋体" w:hAnsi="宋体"/>
          <w:color w:val="auto"/>
          <w:szCs w:val="21"/>
          <w:highlight w:val="none"/>
        </w:rPr>
        <w:t>“</w:t>
      </w:r>
      <w:r>
        <w:rPr>
          <w:rFonts w:hint="eastAsia" w:ascii="宋体" w:hAnsi="宋体"/>
          <w:b/>
          <w:color w:val="auto"/>
          <w:szCs w:val="21"/>
          <w:highlight w:val="none"/>
        </w:rPr>
        <w:t>开标一览表</w:t>
      </w:r>
      <w:r>
        <w:rPr>
          <w:rFonts w:hint="eastAsia" w:ascii="宋体" w:hAnsi="宋体"/>
          <w:color w:val="auto"/>
          <w:szCs w:val="21"/>
          <w:highlight w:val="none"/>
        </w:rPr>
        <w:t>”</w:t>
      </w:r>
      <w:r>
        <w:rPr>
          <w:rFonts w:hint="eastAsia" w:ascii="宋体" w:hAnsi="宋体"/>
          <w:b/>
          <w:color w:val="auto"/>
          <w:szCs w:val="21"/>
          <w:highlight w:val="none"/>
        </w:rPr>
        <w:t>，按包填写</w:t>
      </w:r>
      <w:r>
        <w:rPr>
          <w:rFonts w:hint="eastAsia" w:ascii="宋体" w:hAnsi="宋体"/>
          <w:color w:val="auto"/>
          <w:szCs w:val="21"/>
          <w:highlight w:val="none"/>
        </w:rPr>
        <w:t>。投标人如果不提供分项报价明细表，其</w:t>
      </w:r>
      <w:r>
        <w:rPr>
          <w:rFonts w:hint="eastAsia" w:ascii="宋体" w:hAnsi="宋体"/>
          <w:b/>
          <w:color w:val="auto"/>
          <w:szCs w:val="21"/>
          <w:highlight w:val="none"/>
        </w:rPr>
        <w:t>投标无效</w:t>
      </w:r>
      <w:r>
        <w:rPr>
          <w:rFonts w:hint="eastAsia" w:ascii="宋体" w:hAnsi="宋体"/>
          <w:color w:val="auto"/>
          <w:szCs w:val="21"/>
          <w:highlight w:val="none"/>
        </w:rPr>
        <w:t>。</w:t>
      </w:r>
    </w:p>
    <w:p w14:paraId="093E5D64">
      <w:pPr>
        <w:adjustRightInd w:val="0"/>
        <w:snapToGrid w:val="0"/>
        <w:spacing w:line="360" w:lineRule="auto"/>
        <w:ind w:firstLine="420" w:firstLineChars="200"/>
        <w:outlineLvl w:val="9"/>
        <w:rPr>
          <w:rFonts w:ascii="宋体" w:hAnsi="宋体"/>
          <w:color w:val="auto"/>
          <w:szCs w:val="21"/>
          <w:highlight w:val="none"/>
        </w:rPr>
      </w:pPr>
      <w:r>
        <w:rPr>
          <w:rFonts w:hint="eastAsia" w:ascii="宋体" w:hAnsi="宋体"/>
          <w:color w:val="auto"/>
          <w:szCs w:val="21"/>
          <w:highlight w:val="none"/>
        </w:rPr>
        <w:t>2.不得填写“免费”或“赠与”，也不得进行“零”报价，否则</w:t>
      </w:r>
      <w:r>
        <w:rPr>
          <w:rFonts w:hint="eastAsia" w:ascii="宋体" w:hAnsi="宋体"/>
          <w:b/>
          <w:color w:val="auto"/>
          <w:szCs w:val="21"/>
          <w:highlight w:val="none"/>
        </w:rPr>
        <w:t>投标无效</w:t>
      </w:r>
      <w:r>
        <w:rPr>
          <w:rFonts w:hint="eastAsia" w:ascii="宋体" w:hAnsi="宋体"/>
          <w:color w:val="auto"/>
          <w:szCs w:val="21"/>
          <w:highlight w:val="none"/>
        </w:rPr>
        <w:t>。</w:t>
      </w:r>
    </w:p>
    <w:p w14:paraId="106C08BA">
      <w:pPr>
        <w:adjustRightInd w:val="0"/>
        <w:snapToGrid w:val="0"/>
        <w:spacing w:line="360" w:lineRule="auto"/>
        <w:ind w:firstLine="420" w:firstLineChars="200"/>
        <w:outlineLvl w:val="9"/>
        <w:rPr>
          <w:rFonts w:ascii="宋体" w:hAnsi="宋体"/>
          <w:color w:val="auto"/>
          <w:szCs w:val="21"/>
          <w:highlight w:val="none"/>
        </w:rPr>
      </w:pPr>
      <w:r>
        <w:rPr>
          <w:rFonts w:hint="eastAsia" w:ascii="宋体" w:hAnsi="宋体"/>
          <w:color w:val="auto"/>
          <w:szCs w:val="21"/>
          <w:highlight w:val="none"/>
        </w:rPr>
        <w:t>3.如果开标一览表内容与本表内容不一致的，以开标一览表内容为准。</w:t>
      </w:r>
    </w:p>
    <w:p w14:paraId="7B472891">
      <w:pPr>
        <w:adjustRightInd w:val="0"/>
        <w:snapToGrid w:val="0"/>
        <w:spacing w:line="360" w:lineRule="auto"/>
        <w:outlineLvl w:val="9"/>
        <w:rPr>
          <w:rFonts w:ascii="宋体" w:hAnsi="宋体"/>
          <w:color w:val="auto"/>
          <w:szCs w:val="21"/>
          <w:highlight w:val="none"/>
        </w:rPr>
      </w:pPr>
      <w:r>
        <w:rPr>
          <w:rFonts w:hint="eastAsia" w:ascii="宋体" w:hAnsi="宋体"/>
          <w:color w:val="auto"/>
          <w:szCs w:val="21"/>
          <w:highlight w:val="none"/>
        </w:rPr>
        <w:t>4.</w:t>
      </w:r>
      <w:r>
        <w:rPr>
          <w:rFonts w:hint="eastAsia" w:ascii="宋体" w:hAnsi="宋体"/>
          <w:bCs/>
          <w:color w:val="auto"/>
          <w:szCs w:val="21"/>
          <w:highlight w:val="none"/>
        </w:rPr>
        <w:t>投标人在投标截止时间前修改“开标一览表”中的投标报价的，应按第二章第13.7款规定修改本表相应内容。否则，</w:t>
      </w:r>
      <w:r>
        <w:rPr>
          <w:rFonts w:hint="eastAsia" w:ascii="宋体" w:hAnsi="宋体"/>
          <w:color w:val="auto"/>
          <w:szCs w:val="21"/>
          <w:highlight w:val="none"/>
        </w:rPr>
        <w:t>本表相应内容按投标报价修改的相同比例进行调整。</w:t>
      </w:r>
    </w:p>
    <w:p w14:paraId="78EBF132">
      <w:pPr>
        <w:adjustRightInd w:val="0"/>
        <w:snapToGrid w:val="0"/>
        <w:spacing w:line="360" w:lineRule="auto"/>
        <w:outlineLvl w:val="9"/>
        <w:rPr>
          <w:rFonts w:ascii="宋体" w:hAnsi="宋体"/>
          <w:color w:val="auto"/>
          <w:szCs w:val="21"/>
          <w:highlight w:val="none"/>
        </w:rPr>
      </w:pPr>
    </w:p>
    <w:p w14:paraId="707B10B0">
      <w:pPr>
        <w:adjustRightInd w:val="0"/>
        <w:snapToGrid w:val="0"/>
        <w:spacing w:line="360" w:lineRule="auto"/>
        <w:outlineLvl w:val="9"/>
        <w:rPr>
          <w:rFonts w:ascii="宋体" w:hAnsi="宋体"/>
          <w:color w:val="auto"/>
          <w:szCs w:val="21"/>
          <w:highlight w:val="none"/>
        </w:rPr>
      </w:pPr>
      <w:r>
        <w:rPr>
          <w:rFonts w:hint="eastAsia" w:ascii="宋体" w:hAnsi="宋体"/>
          <w:color w:val="auto"/>
          <w:szCs w:val="21"/>
          <w:highlight w:val="none"/>
        </w:rPr>
        <w:t>投标人名称（盖单位章）：</w:t>
      </w:r>
    </w:p>
    <w:p w14:paraId="7077921A">
      <w:pPr>
        <w:adjustRightInd w:val="0"/>
        <w:snapToGrid w:val="0"/>
        <w:spacing w:line="360" w:lineRule="auto"/>
        <w:outlineLvl w:val="9"/>
        <w:rPr>
          <w:rFonts w:ascii="宋体" w:hAnsi="宋体"/>
          <w:color w:val="auto"/>
          <w:szCs w:val="21"/>
          <w:highlight w:val="none"/>
        </w:rPr>
      </w:pPr>
      <w:r>
        <w:rPr>
          <w:rFonts w:hint="eastAsia" w:ascii="宋体" w:hAnsi="宋体" w:cs="微软雅黑"/>
          <w:color w:val="auto"/>
          <w:spacing w:val="-2"/>
          <w:kern w:val="0"/>
          <w:szCs w:val="21"/>
          <w:highlight w:val="none"/>
        </w:rPr>
        <w:t>法</w:t>
      </w:r>
      <w:r>
        <w:rPr>
          <w:rFonts w:hint="eastAsia" w:ascii="宋体" w:hAnsi="宋体" w:cs="微软雅黑"/>
          <w:color w:val="auto"/>
          <w:kern w:val="0"/>
          <w:szCs w:val="21"/>
          <w:highlight w:val="none"/>
        </w:rPr>
        <w:t>定</w:t>
      </w:r>
      <w:r>
        <w:rPr>
          <w:rFonts w:hint="eastAsia" w:ascii="宋体" w:hAnsi="宋体" w:cs="微软雅黑"/>
          <w:color w:val="auto"/>
          <w:spacing w:val="-2"/>
          <w:kern w:val="0"/>
          <w:szCs w:val="21"/>
          <w:highlight w:val="none"/>
        </w:rPr>
        <w:t>代</w:t>
      </w:r>
      <w:r>
        <w:rPr>
          <w:rFonts w:hint="eastAsia" w:ascii="宋体" w:hAnsi="宋体" w:cs="微软雅黑"/>
          <w:color w:val="auto"/>
          <w:kern w:val="0"/>
          <w:szCs w:val="21"/>
          <w:highlight w:val="none"/>
        </w:rPr>
        <w:t>表</w:t>
      </w:r>
      <w:r>
        <w:rPr>
          <w:rFonts w:hint="eastAsia" w:ascii="宋体" w:hAnsi="宋体" w:cs="微软雅黑"/>
          <w:color w:val="auto"/>
          <w:spacing w:val="-2"/>
          <w:kern w:val="0"/>
          <w:szCs w:val="21"/>
          <w:highlight w:val="none"/>
        </w:rPr>
        <w:t>人</w:t>
      </w:r>
      <w:r>
        <w:rPr>
          <w:rFonts w:hint="eastAsia" w:ascii="宋体" w:hAnsi="宋体" w:cs="微软雅黑"/>
          <w:color w:val="auto"/>
          <w:kern w:val="0"/>
          <w:szCs w:val="21"/>
          <w:highlight w:val="none"/>
        </w:rPr>
        <w:t>（</w:t>
      </w:r>
      <w:r>
        <w:rPr>
          <w:rFonts w:hint="eastAsia" w:ascii="宋体" w:hAnsi="宋体" w:cs="微软雅黑"/>
          <w:color w:val="auto"/>
          <w:spacing w:val="-2"/>
          <w:kern w:val="0"/>
          <w:szCs w:val="21"/>
          <w:highlight w:val="none"/>
        </w:rPr>
        <w:t>单</w:t>
      </w:r>
      <w:r>
        <w:rPr>
          <w:rFonts w:hint="eastAsia" w:ascii="宋体" w:hAnsi="宋体" w:cs="微软雅黑"/>
          <w:color w:val="auto"/>
          <w:kern w:val="0"/>
          <w:szCs w:val="21"/>
          <w:highlight w:val="none"/>
        </w:rPr>
        <w:t>位</w:t>
      </w:r>
      <w:r>
        <w:rPr>
          <w:rFonts w:hint="eastAsia" w:ascii="宋体" w:hAnsi="宋体" w:cs="微软雅黑"/>
          <w:color w:val="auto"/>
          <w:spacing w:val="-2"/>
          <w:kern w:val="0"/>
          <w:szCs w:val="21"/>
          <w:highlight w:val="none"/>
        </w:rPr>
        <w:t>负</w:t>
      </w:r>
      <w:r>
        <w:rPr>
          <w:rFonts w:hint="eastAsia" w:ascii="宋体" w:hAnsi="宋体" w:cs="微软雅黑"/>
          <w:color w:val="auto"/>
          <w:kern w:val="0"/>
          <w:szCs w:val="21"/>
          <w:highlight w:val="none"/>
        </w:rPr>
        <w:t>责人</w:t>
      </w:r>
      <w:r>
        <w:rPr>
          <w:rFonts w:hint="eastAsia" w:ascii="宋体" w:hAnsi="宋体" w:cs="微软雅黑"/>
          <w:color w:val="auto"/>
          <w:spacing w:val="-2"/>
          <w:kern w:val="0"/>
          <w:szCs w:val="21"/>
          <w:highlight w:val="none"/>
        </w:rPr>
        <w:t>）</w:t>
      </w:r>
      <w:r>
        <w:rPr>
          <w:rFonts w:hint="eastAsia" w:ascii="宋体" w:hAnsi="宋体"/>
          <w:color w:val="auto"/>
          <w:szCs w:val="21"/>
          <w:highlight w:val="none"/>
        </w:rPr>
        <w:t>或其授权的代理人（签字或印章）：</w:t>
      </w:r>
    </w:p>
    <w:p w14:paraId="030C0354">
      <w:pPr>
        <w:adjustRightInd w:val="0"/>
        <w:snapToGrid w:val="0"/>
        <w:spacing w:line="360" w:lineRule="auto"/>
        <w:outlineLvl w:val="9"/>
        <w:rPr>
          <w:rFonts w:ascii="宋体" w:hAnsi="宋体"/>
          <w:color w:val="auto"/>
          <w:szCs w:val="21"/>
          <w:highlight w:val="none"/>
        </w:rPr>
      </w:pPr>
      <w:r>
        <w:rPr>
          <w:rFonts w:hint="eastAsia" w:ascii="宋体" w:hAnsi="宋体"/>
          <w:color w:val="auto"/>
          <w:szCs w:val="21"/>
          <w:highlight w:val="none"/>
        </w:rPr>
        <w:t>日期：年月日</w:t>
      </w:r>
    </w:p>
    <w:p w14:paraId="726FBAF6">
      <w:pPr>
        <w:pStyle w:val="2"/>
        <w:jc w:val="center"/>
        <w:rPr>
          <w:rFonts w:ascii="黑体" w:hAnsi="宋体" w:eastAsia="黑体"/>
          <w:color w:val="auto"/>
          <w:sz w:val="28"/>
          <w:szCs w:val="28"/>
          <w:highlight w:val="none"/>
        </w:rPr>
      </w:pPr>
      <w:bookmarkStart w:id="1668" w:name="_Toc13451"/>
      <w:bookmarkStart w:id="1669" w:name="_Toc85972997"/>
      <w:bookmarkStart w:id="1670" w:name="_Toc31482"/>
      <w:bookmarkStart w:id="1671" w:name="_Toc108342006"/>
      <w:bookmarkStart w:id="1672" w:name="_Toc3771"/>
      <w:bookmarkStart w:id="1673" w:name="_Toc1759473900"/>
      <w:bookmarkStart w:id="1674" w:name="_Toc77199470"/>
      <w:bookmarkStart w:id="1675" w:name="_Toc192949663"/>
      <w:bookmarkStart w:id="1676" w:name="_Toc75289296"/>
      <w:bookmarkStart w:id="1677" w:name="_Toc95601432"/>
      <w:bookmarkStart w:id="1678" w:name="_Toc75289616"/>
      <w:bookmarkStart w:id="1679" w:name="_Toc78450024"/>
      <w:bookmarkStart w:id="1680" w:name="_Toc192951273"/>
      <w:bookmarkStart w:id="1681" w:name="_Toc11805"/>
      <w:bookmarkStart w:id="1682" w:name="_Toc26084"/>
      <w:bookmarkStart w:id="1683" w:name="_Toc117192513"/>
      <w:bookmarkStart w:id="1684" w:name="_Toc6566"/>
      <w:bookmarkStart w:id="1685" w:name="_Toc94367947"/>
      <w:bookmarkStart w:id="1686" w:name="_Toc77676535"/>
      <w:bookmarkStart w:id="1687" w:name="_Toc100670739"/>
      <w:bookmarkStart w:id="1688" w:name="_Toc620"/>
      <w:bookmarkStart w:id="1689" w:name="_Toc171273732"/>
      <w:bookmarkStart w:id="1690" w:name="_Toc78314331"/>
      <w:bookmarkStart w:id="1691" w:name="_Toc192949762"/>
      <w:bookmarkStart w:id="1692" w:name="_Toc114036777"/>
      <w:bookmarkStart w:id="1693" w:name="_Toc112705006"/>
      <w:bookmarkStart w:id="1694" w:name="_Toc100670491"/>
      <w:bookmarkStart w:id="1695" w:name="_Toc15888547"/>
      <w:bookmarkStart w:id="1696" w:name="_Toc31388"/>
      <w:bookmarkStart w:id="1697" w:name="_Toc22256"/>
      <w:bookmarkStart w:id="1698" w:name="_Toc154428449"/>
      <w:r>
        <w:rPr>
          <w:rFonts w:hint="eastAsia" w:ascii="黑体" w:hAnsi="宋体" w:eastAsia="黑体"/>
          <w:color w:val="auto"/>
          <w:sz w:val="28"/>
          <w:szCs w:val="28"/>
          <w:highlight w:val="none"/>
        </w:rPr>
        <w:t>七、采购需求响应</w:t>
      </w:r>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p>
    <w:p w14:paraId="55053EC5">
      <w:pPr>
        <w:adjustRightInd w:val="0"/>
        <w:snapToGrid w:val="0"/>
        <w:spacing w:line="360" w:lineRule="auto"/>
        <w:rPr>
          <w:rFonts w:ascii="宋体" w:hAnsi="宋体"/>
          <w:b/>
          <w:color w:val="auto"/>
          <w:szCs w:val="21"/>
          <w:highlight w:val="none"/>
        </w:rPr>
      </w:pPr>
    </w:p>
    <w:p w14:paraId="60621D32">
      <w:pPr>
        <w:adjustRightInd w:val="0"/>
        <w:snapToGrid w:val="0"/>
        <w:spacing w:line="360" w:lineRule="auto"/>
        <w:rPr>
          <w:b/>
          <w:color w:val="auto"/>
          <w:highlight w:val="none"/>
        </w:rPr>
      </w:pPr>
      <w:r>
        <w:rPr>
          <w:rFonts w:hint="eastAsia" w:ascii="宋体" w:hAnsi="宋体"/>
          <w:b/>
          <w:color w:val="auto"/>
          <w:szCs w:val="21"/>
          <w:highlight w:val="none"/>
        </w:rPr>
        <w:t>备注</w:t>
      </w:r>
      <w:r>
        <w:rPr>
          <w:rFonts w:hint="eastAsia" w:ascii="宋体" w:hAnsi="宋体"/>
          <w:bCs/>
          <w:color w:val="auto"/>
          <w:szCs w:val="21"/>
          <w:highlight w:val="none"/>
        </w:rPr>
        <w:t>：</w:t>
      </w:r>
      <w:r>
        <w:rPr>
          <w:rFonts w:hint="eastAsia"/>
          <w:b/>
          <w:color w:val="auto"/>
          <w:highlight w:val="none"/>
        </w:rPr>
        <w:t>投标人应按招标文件第五章采购需求与评审标准自行编写采购需求响应文件。</w:t>
      </w:r>
    </w:p>
    <w:p w14:paraId="38B80BD4">
      <w:pPr>
        <w:pStyle w:val="24"/>
        <w:adjustRightInd w:val="0"/>
        <w:snapToGrid w:val="0"/>
        <w:spacing w:line="360" w:lineRule="auto"/>
        <w:ind w:left="-88" w:leftChars="-42"/>
        <w:rPr>
          <w:rFonts w:ascii="宋体" w:hAnsi="宋体"/>
          <w:bCs/>
          <w:color w:val="auto"/>
          <w:sz w:val="21"/>
          <w:szCs w:val="21"/>
          <w:highlight w:val="none"/>
        </w:rPr>
      </w:pPr>
    </w:p>
    <w:p w14:paraId="6AFB7BF9">
      <w:pPr>
        <w:rPr>
          <w:color w:val="auto"/>
          <w:highlight w:val="none"/>
        </w:rPr>
      </w:pPr>
    </w:p>
    <w:p w14:paraId="2457D4BE">
      <w:pPr>
        <w:rPr>
          <w:color w:val="auto"/>
          <w:highlight w:val="none"/>
        </w:rPr>
      </w:pPr>
    </w:p>
    <w:p w14:paraId="785E266C">
      <w:pPr>
        <w:rPr>
          <w:color w:val="auto"/>
          <w:highlight w:val="none"/>
        </w:rPr>
      </w:pPr>
    </w:p>
    <w:p w14:paraId="43E9FD52">
      <w:pPr>
        <w:adjustRightInd w:val="0"/>
        <w:snapToGrid w:val="0"/>
        <w:spacing w:line="360" w:lineRule="auto"/>
        <w:rPr>
          <w:rFonts w:ascii="宋体" w:hAnsi="宋体"/>
          <w:color w:val="auto"/>
          <w:szCs w:val="21"/>
          <w:highlight w:val="none"/>
        </w:rPr>
      </w:pPr>
    </w:p>
    <w:p w14:paraId="3D5ACA94">
      <w:pPr>
        <w:adjustRightInd w:val="0"/>
        <w:snapToGrid w:val="0"/>
        <w:spacing w:line="360" w:lineRule="auto"/>
        <w:rPr>
          <w:rFonts w:ascii="宋体" w:hAnsi="宋体"/>
          <w:color w:val="auto"/>
          <w:szCs w:val="21"/>
          <w:highlight w:val="none"/>
        </w:rPr>
      </w:pPr>
      <w:r>
        <w:rPr>
          <w:rFonts w:hint="eastAsia" w:ascii="宋体" w:hAnsi="宋体"/>
          <w:color w:val="auto"/>
          <w:szCs w:val="21"/>
          <w:highlight w:val="none"/>
        </w:rPr>
        <w:t>投标人名称（盖单位章）：</w:t>
      </w:r>
    </w:p>
    <w:p w14:paraId="683A9CBD">
      <w:pPr>
        <w:adjustRightInd w:val="0"/>
        <w:snapToGrid w:val="0"/>
        <w:spacing w:line="360" w:lineRule="auto"/>
        <w:rPr>
          <w:rFonts w:ascii="宋体" w:hAnsi="宋体"/>
          <w:color w:val="auto"/>
          <w:szCs w:val="21"/>
          <w:highlight w:val="none"/>
          <w:u w:val="single"/>
        </w:rPr>
      </w:pPr>
      <w:r>
        <w:rPr>
          <w:rFonts w:hint="eastAsia" w:ascii="宋体" w:hAnsi="宋体"/>
          <w:color w:val="auto"/>
          <w:szCs w:val="21"/>
          <w:highlight w:val="none"/>
        </w:rPr>
        <w:t>法定代表人</w:t>
      </w:r>
      <w:r>
        <w:rPr>
          <w:rFonts w:hint="eastAsia" w:ascii="宋体" w:hAnsi="宋体" w:cs="微软雅黑"/>
          <w:color w:val="auto"/>
          <w:kern w:val="0"/>
          <w:szCs w:val="21"/>
          <w:highlight w:val="none"/>
        </w:rPr>
        <w:t>（</w:t>
      </w:r>
      <w:r>
        <w:rPr>
          <w:rFonts w:hint="eastAsia" w:ascii="宋体" w:hAnsi="宋体" w:cs="微软雅黑"/>
          <w:color w:val="auto"/>
          <w:spacing w:val="-2"/>
          <w:kern w:val="0"/>
          <w:szCs w:val="21"/>
          <w:highlight w:val="none"/>
        </w:rPr>
        <w:t>单</w:t>
      </w:r>
      <w:r>
        <w:rPr>
          <w:rFonts w:hint="eastAsia" w:ascii="宋体" w:hAnsi="宋体" w:cs="微软雅黑"/>
          <w:color w:val="auto"/>
          <w:kern w:val="0"/>
          <w:szCs w:val="21"/>
          <w:highlight w:val="none"/>
        </w:rPr>
        <w:t>位</w:t>
      </w:r>
      <w:r>
        <w:rPr>
          <w:rFonts w:hint="eastAsia" w:ascii="宋体" w:hAnsi="宋体" w:cs="微软雅黑"/>
          <w:color w:val="auto"/>
          <w:spacing w:val="-2"/>
          <w:kern w:val="0"/>
          <w:szCs w:val="21"/>
          <w:highlight w:val="none"/>
        </w:rPr>
        <w:t>负</w:t>
      </w:r>
      <w:r>
        <w:rPr>
          <w:rFonts w:hint="eastAsia" w:ascii="宋体" w:hAnsi="宋体" w:cs="微软雅黑"/>
          <w:color w:val="auto"/>
          <w:kern w:val="0"/>
          <w:szCs w:val="21"/>
          <w:highlight w:val="none"/>
        </w:rPr>
        <w:t>责人</w:t>
      </w:r>
      <w:r>
        <w:rPr>
          <w:rFonts w:hint="eastAsia" w:ascii="宋体" w:hAnsi="宋体" w:cs="微软雅黑"/>
          <w:color w:val="auto"/>
          <w:spacing w:val="-2"/>
          <w:kern w:val="0"/>
          <w:szCs w:val="21"/>
          <w:highlight w:val="none"/>
        </w:rPr>
        <w:t>）</w:t>
      </w:r>
      <w:r>
        <w:rPr>
          <w:rFonts w:hint="eastAsia" w:ascii="宋体" w:hAnsi="宋体"/>
          <w:color w:val="auto"/>
          <w:szCs w:val="21"/>
          <w:highlight w:val="none"/>
        </w:rPr>
        <w:t>或其授权的代理人（签字或印章）：：</w:t>
      </w:r>
    </w:p>
    <w:p w14:paraId="2B2B54C8">
      <w:pPr>
        <w:adjustRightInd w:val="0"/>
        <w:snapToGrid w:val="0"/>
        <w:spacing w:line="360" w:lineRule="auto"/>
        <w:rPr>
          <w:rFonts w:ascii="宋体" w:hAnsi="宋体"/>
          <w:color w:val="auto"/>
          <w:szCs w:val="21"/>
          <w:highlight w:val="none"/>
        </w:rPr>
      </w:pPr>
      <w:r>
        <w:rPr>
          <w:rFonts w:hint="eastAsia" w:ascii="宋体" w:hAnsi="宋体"/>
          <w:color w:val="auto"/>
          <w:szCs w:val="21"/>
          <w:highlight w:val="none"/>
        </w:rPr>
        <w:t>日期：年月日</w:t>
      </w:r>
    </w:p>
    <w:p w14:paraId="3F6F9411">
      <w:pPr>
        <w:rPr>
          <w:color w:val="auto"/>
          <w:highlight w:val="none"/>
        </w:rPr>
      </w:pPr>
    </w:p>
    <w:p w14:paraId="74E0AD2F">
      <w:pPr>
        <w:pStyle w:val="2"/>
        <w:outlineLvl w:val="9"/>
        <w:rPr>
          <w:color w:val="auto"/>
          <w:highlight w:val="none"/>
        </w:rPr>
      </w:pPr>
    </w:p>
    <w:p w14:paraId="669C7F86">
      <w:pPr>
        <w:rPr>
          <w:color w:val="auto"/>
          <w:highlight w:val="none"/>
        </w:rPr>
      </w:pPr>
    </w:p>
    <w:p w14:paraId="5335A5D4">
      <w:pPr>
        <w:pStyle w:val="2"/>
        <w:outlineLvl w:val="9"/>
        <w:rPr>
          <w:color w:val="auto"/>
          <w:highlight w:val="none"/>
        </w:rPr>
      </w:pPr>
    </w:p>
    <w:p w14:paraId="3E373E02">
      <w:pPr>
        <w:pStyle w:val="102"/>
        <w:ind w:firstLine="400"/>
        <w:rPr>
          <w:color w:val="auto"/>
          <w:highlight w:val="none"/>
        </w:rPr>
      </w:pPr>
    </w:p>
    <w:p w14:paraId="50A63AE3">
      <w:pPr>
        <w:adjustRightInd w:val="0"/>
        <w:snapToGrid w:val="0"/>
        <w:spacing w:before="156" w:beforeLines="50" w:after="0" w:line="360" w:lineRule="auto"/>
        <w:outlineLvl w:val="9"/>
        <w:rPr>
          <w:rFonts w:ascii="黑体" w:hAnsi="黑体"/>
          <w:b w:val="0"/>
          <w:color w:val="auto"/>
          <w:sz w:val="21"/>
          <w:szCs w:val="21"/>
          <w:highlight w:val="none"/>
        </w:rPr>
      </w:pPr>
      <w:bookmarkStart w:id="1699" w:name="_Toc15888548"/>
      <w:bookmarkStart w:id="1700" w:name="_Toc75289297"/>
      <w:r>
        <w:rPr>
          <w:rFonts w:hint="eastAsia" w:ascii="黑体" w:hAnsi="黑体" w:cs="宋体"/>
          <w:b w:val="0"/>
          <w:color w:val="auto"/>
          <w:spacing w:val="6"/>
          <w:sz w:val="21"/>
          <w:szCs w:val="21"/>
          <w:highlight w:val="none"/>
        </w:rPr>
        <w:t>附件7-1 响应</w:t>
      </w:r>
      <w:r>
        <w:rPr>
          <w:rFonts w:hint="eastAsia" w:ascii="黑体" w:hAnsi="黑体"/>
          <w:b w:val="0"/>
          <w:color w:val="auto"/>
          <w:sz w:val="21"/>
          <w:szCs w:val="21"/>
          <w:highlight w:val="none"/>
        </w:rPr>
        <w:t>-览表</w:t>
      </w:r>
      <w:bookmarkEnd w:id="1699"/>
      <w:bookmarkEnd w:id="1700"/>
    </w:p>
    <w:p w14:paraId="793CB068">
      <w:pPr>
        <w:jc w:val="center"/>
        <w:outlineLvl w:val="9"/>
        <w:rPr>
          <w:rFonts w:ascii="黑体" w:hAnsi="黑体" w:eastAsia="黑体"/>
          <w:b w:val="0"/>
          <w:bCs w:val="0"/>
          <w:color w:val="auto"/>
          <w:sz w:val="28"/>
          <w:szCs w:val="28"/>
          <w:highlight w:val="none"/>
        </w:rPr>
      </w:pPr>
      <w:bookmarkStart w:id="1701" w:name="_Toc112705007"/>
      <w:bookmarkStart w:id="1702" w:name="_Toc75289617"/>
      <w:bookmarkStart w:id="1703" w:name="_Toc192951274"/>
      <w:bookmarkStart w:id="1704" w:name="_Toc77199471"/>
      <w:bookmarkStart w:id="1705" w:name="_Toc77676536"/>
      <w:bookmarkStart w:id="1706" w:name="_Toc100670492"/>
      <w:bookmarkStart w:id="1707" w:name="_Toc23732"/>
      <w:bookmarkStart w:id="1708" w:name="_Toc95601433"/>
      <w:bookmarkStart w:id="1709" w:name="_Toc114036778"/>
      <w:bookmarkStart w:id="1710" w:name="_Toc22587"/>
      <w:bookmarkStart w:id="1711" w:name="_Toc171273733"/>
      <w:bookmarkStart w:id="1712" w:name="_Toc32113"/>
      <w:bookmarkStart w:id="1713" w:name="_Toc78450025"/>
      <w:bookmarkStart w:id="1714" w:name="_Toc85972998"/>
      <w:bookmarkStart w:id="1715" w:name="_Toc78314332"/>
      <w:bookmarkStart w:id="1716" w:name="_Toc192949763"/>
      <w:bookmarkStart w:id="1717" w:name="_Toc94367948"/>
      <w:bookmarkStart w:id="1718" w:name="_Toc23088"/>
      <w:bookmarkStart w:id="1719" w:name="_Toc26213"/>
      <w:bookmarkStart w:id="1720" w:name="_Toc22400"/>
      <w:bookmarkStart w:id="1721" w:name="_Toc154428450"/>
      <w:bookmarkStart w:id="1722" w:name="_Toc108342007"/>
      <w:bookmarkStart w:id="1723" w:name="_Toc21536"/>
      <w:bookmarkStart w:id="1724" w:name="_Toc117192514"/>
      <w:bookmarkStart w:id="1725" w:name="_Toc6662"/>
      <w:bookmarkStart w:id="1726" w:name="_Toc192949664"/>
      <w:bookmarkStart w:id="1727" w:name="_Toc19145"/>
      <w:bookmarkStart w:id="1728" w:name="_Toc100670740"/>
      <w:r>
        <w:rPr>
          <w:rFonts w:hint="eastAsia" w:ascii="黑体" w:hAnsi="黑体" w:eastAsia="黑体"/>
          <w:b w:val="0"/>
          <w:bCs w:val="0"/>
          <w:color w:val="auto"/>
          <w:sz w:val="28"/>
          <w:szCs w:val="28"/>
          <w:highlight w:val="none"/>
        </w:rPr>
        <w:t>响应-览表</w:t>
      </w:r>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p>
    <w:tbl>
      <w:tblPr>
        <w:tblStyle w:val="47"/>
        <w:tblW w:w="8965" w:type="dxa"/>
        <w:tblInd w:w="0"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429"/>
        <w:gridCol w:w="957"/>
        <w:gridCol w:w="2124"/>
        <w:gridCol w:w="2127"/>
        <w:gridCol w:w="992"/>
        <w:gridCol w:w="1136"/>
        <w:gridCol w:w="1200"/>
      </w:tblGrid>
      <w:tr w14:paraId="16BF184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880" w:hRule="atLeast"/>
        </w:trPr>
        <w:tc>
          <w:tcPr>
            <w:tcW w:w="429" w:type="dxa"/>
            <w:vAlign w:val="center"/>
          </w:tcPr>
          <w:p w14:paraId="36FE6E6F">
            <w:pPr>
              <w:jc w:val="center"/>
              <w:rPr>
                <w:color w:val="auto"/>
                <w:szCs w:val="21"/>
                <w:highlight w:val="none"/>
              </w:rPr>
            </w:pPr>
            <w:r>
              <w:rPr>
                <w:rFonts w:hint="eastAsia"/>
                <w:color w:val="auto"/>
                <w:szCs w:val="21"/>
                <w:highlight w:val="none"/>
              </w:rPr>
              <w:t xml:space="preserve">包号 </w:t>
            </w:r>
          </w:p>
        </w:tc>
        <w:tc>
          <w:tcPr>
            <w:tcW w:w="957" w:type="dxa"/>
            <w:tcBorders>
              <w:right w:val="single" w:color="auto" w:sz="4" w:space="0"/>
            </w:tcBorders>
            <w:vAlign w:val="center"/>
          </w:tcPr>
          <w:p w14:paraId="7D9AEA10">
            <w:pPr>
              <w:jc w:val="center"/>
              <w:rPr>
                <w:color w:val="auto"/>
                <w:szCs w:val="21"/>
                <w:highlight w:val="none"/>
              </w:rPr>
            </w:pPr>
            <w:r>
              <w:rPr>
                <w:rFonts w:hint="eastAsia"/>
                <w:color w:val="auto"/>
                <w:szCs w:val="21"/>
                <w:highlight w:val="none"/>
              </w:rPr>
              <w:t>包名称</w:t>
            </w:r>
          </w:p>
        </w:tc>
        <w:tc>
          <w:tcPr>
            <w:tcW w:w="2124" w:type="dxa"/>
            <w:tcBorders>
              <w:left w:val="single" w:color="auto" w:sz="4" w:space="0"/>
            </w:tcBorders>
            <w:vAlign w:val="center"/>
          </w:tcPr>
          <w:p w14:paraId="2CC3A4F5">
            <w:pPr>
              <w:jc w:val="center"/>
              <w:rPr>
                <w:color w:val="auto"/>
                <w:szCs w:val="21"/>
                <w:highlight w:val="none"/>
              </w:rPr>
            </w:pPr>
            <w:r>
              <w:rPr>
                <w:rFonts w:hint="eastAsia"/>
                <w:color w:val="auto"/>
                <w:szCs w:val="21"/>
                <w:highlight w:val="none"/>
              </w:rPr>
              <w:t>标的名称</w:t>
            </w:r>
          </w:p>
        </w:tc>
        <w:tc>
          <w:tcPr>
            <w:tcW w:w="2127" w:type="dxa"/>
            <w:vAlign w:val="center"/>
          </w:tcPr>
          <w:p w14:paraId="63429CF4">
            <w:pPr>
              <w:jc w:val="center"/>
              <w:rPr>
                <w:color w:val="auto"/>
                <w:szCs w:val="21"/>
                <w:highlight w:val="none"/>
              </w:rPr>
            </w:pPr>
            <w:r>
              <w:rPr>
                <w:rFonts w:hint="eastAsia"/>
                <w:color w:val="auto"/>
                <w:szCs w:val="21"/>
                <w:highlight w:val="none"/>
              </w:rPr>
              <w:t>主要技术参数或规格</w:t>
            </w:r>
          </w:p>
        </w:tc>
        <w:tc>
          <w:tcPr>
            <w:tcW w:w="992" w:type="dxa"/>
            <w:vAlign w:val="center"/>
          </w:tcPr>
          <w:p w14:paraId="6D09FBC4">
            <w:pPr>
              <w:jc w:val="center"/>
              <w:rPr>
                <w:color w:val="auto"/>
                <w:szCs w:val="21"/>
                <w:highlight w:val="none"/>
              </w:rPr>
            </w:pPr>
            <w:r>
              <w:rPr>
                <w:rFonts w:hint="eastAsia"/>
                <w:color w:val="auto"/>
                <w:szCs w:val="21"/>
                <w:highlight w:val="none"/>
              </w:rPr>
              <w:t>数量</w:t>
            </w:r>
          </w:p>
        </w:tc>
        <w:tc>
          <w:tcPr>
            <w:tcW w:w="1136" w:type="dxa"/>
            <w:vAlign w:val="center"/>
          </w:tcPr>
          <w:p w14:paraId="603866E7">
            <w:pPr>
              <w:adjustRightInd w:val="0"/>
              <w:snapToGrid w:val="0"/>
              <w:jc w:val="center"/>
              <w:rPr>
                <w:color w:val="auto"/>
                <w:szCs w:val="21"/>
                <w:highlight w:val="none"/>
              </w:rPr>
            </w:pPr>
            <w:r>
              <w:rPr>
                <w:rFonts w:hint="eastAsia"/>
                <w:color w:val="auto"/>
                <w:szCs w:val="21"/>
                <w:highlight w:val="none"/>
              </w:rPr>
              <w:t>节能产品</w:t>
            </w:r>
          </w:p>
        </w:tc>
        <w:tc>
          <w:tcPr>
            <w:tcW w:w="1200" w:type="dxa"/>
            <w:vAlign w:val="center"/>
          </w:tcPr>
          <w:p w14:paraId="317A483A">
            <w:pPr>
              <w:adjustRightInd w:val="0"/>
              <w:snapToGrid w:val="0"/>
              <w:jc w:val="center"/>
              <w:rPr>
                <w:color w:val="auto"/>
                <w:szCs w:val="21"/>
                <w:highlight w:val="none"/>
              </w:rPr>
            </w:pPr>
            <w:r>
              <w:rPr>
                <w:rFonts w:hint="eastAsia"/>
                <w:color w:val="auto"/>
                <w:szCs w:val="21"/>
                <w:highlight w:val="none"/>
              </w:rPr>
              <w:t>进口产品</w:t>
            </w:r>
          </w:p>
        </w:tc>
      </w:tr>
      <w:tr w14:paraId="0B6D144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520" w:hRule="atLeast"/>
        </w:trPr>
        <w:tc>
          <w:tcPr>
            <w:tcW w:w="429" w:type="dxa"/>
            <w:vMerge w:val="restart"/>
          </w:tcPr>
          <w:p w14:paraId="556F6D95">
            <w:pPr>
              <w:rPr>
                <w:color w:val="auto"/>
                <w:szCs w:val="21"/>
                <w:highlight w:val="none"/>
              </w:rPr>
            </w:pPr>
          </w:p>
        </w:tc>
        <w:tc>
          <w:tcPr>
            <w:tcW w:w="957" w:type="dxa"/>
            <w:vMerge w:val="restart"/>
            <w:tcBorders>
              <w:right w:val="single" w:color="auto" w:sz="4" w:space="0"/>
            </w:tcBorders>
          </w:tcPr>
          <w:p w14:paraId="69729D04">
            <w:pPr>
              <w:rPr>
                <w:color w:val="auto"/>
                <w:szCs w:val="21"/>
                <w:highlight w:val="none"/>
              </w:rPr>
            </w:pPr>
          </w:p>
        </w:tc>
        <w:tc>
          <w:tcPr>
            <w:tcW w:w="2124" w:type="dxa"/>
            <w:tcBorders>
              <w:left w:val="single" w:color="auto" w:sz="4" w:space="0"/>
            </w:tcBorders>
          </w:tcPr>
          <w:p w14:paraId="0704351B">
            <w:pPr>
              <w:rPr>
                <w:color w:val="auto"/>
                <w:szCs w:val="21"/>
                <w:highlight w:val="none"/>
              </w:rPr>
            </w:pPr>
          </w:p>
        </w:tc>
        <w:tc>
          <w:tcPr>
            <w:tcW w:w="2127" w:type="dxa"/>
          </w:tcPr>
          <w:p w14:paraId="1E0E4686">
            <w:pPr>
              <w:rPr>
                <w:color w:val="auto"/>
                <w:szCs w:val="21"/>
                <w:highlight w:val="none"/>
              </w:rPr>
            </w:pPr>
          </w:p>
        </w:tc>
        <w:tc>
          <w:tcPr>
            <w:tcW w:w="992" w:type="dxa"/>
          </w:tcPr>
          <w:p w14:paraId="36B9017E">
            <w:pPr>
              <w:rPr>
                <w:color w:val="auto"/>
                <w:szCs w:val="21"/>
                <w:highlight w:val="none"/>
              </w:rPr>
            </w:pPr>
          </w:p>
        </w:tc>
        <w:tc>
          <w:tcPr>
            <w:tcW w:w="1136" w:type="dxa"/>
          </w:tcPr>
          <w:p w14:paraId="744246C0">
            <w:pPr>
              <w:adjustRightInd w:val="0"/>
              <w:snapToGrid w:val="0"/>
              <w:spacing w:before="156" w:beforeLines="50" w:line="360" w:lineRule="auto"/>
              <w:rPr>
                <w:color w:val="auto"/>
                <w:szCs w:val="21"/>
                <w:highlight w:val="none"/>
              </w:rPr>
            </w:pPr>
            <w:r>
              <w:rPr>
                <w:rFonts w:hint="eastAsia" w:ascii="宋体" w:hAnsi="宋体"/>
                <w:iCs/>
                <w:color w:val="auto"/>
                <w:szCs w:val="21"/>
                <w:highlight w:val="none"/>
              </w:rPr>
              <w:sym w:font="Wingdings" w:char="00A8"/>
            </w:r>
          </w:p>
        </w:tc>
        <w:tc>
          <w:tcPr>
            <w:tcW w:w="1200" w:type="dxa"/>
          </w:tcPr>
          <w:p w14:paraId="6D4863FF">
            <w:pPr>
              <w:adjustRightInd w:val="0"/>
              <w:snapToGrid w:val="0"/>
              <w:spacing w:before="156" w:beforeLines="50" w:line="360" w:lineRule="auto"/>
              <w:rPr>
                <w:color w:val="auto"/>
                <w:szCs w:val="21"/>
                <w:highlight w:val="none"/>
              </w:rPr>
            </w:pPr>
          </w:p>
        </w:tc>
      </w:tr>
      <w:tr w14:paraId="1DB360C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520" w:hRule="atLeast"/>
        </w:trPr>
        <w:tc>
          <w:tcPr>
            <w:tcW w:w="429" w:type="dxa"/>
            <w:vMerge w:val="continue"/>
          </w:tcPr>
          <w:p w14:paraId="669C4094">
            <w:pPr>
              <w:rPr>
                <w:color w:val="auto"/>
                <w:szCs w:val="21"/>
                <w:highlight w:val="none"/>
              </w:rPr>
            </w:pPr>
          </w:p>
        </w:tc>
        <w:tc>
          <w:tcPr>
            <w:tcW w:w="957" w:type="dxa"/>
            <w:vMerge w:val="continue"/>
            <w:tcBorders>
              <w:right w:val="single" w:color="auto" w:sz="4" w:space="0"/>
            </w:tcBorders>
          </w:tcPr>
          <w:p w14:paraId="3A1D746B">
            <w:pPr>
              <w:rPr>
                <w:color w:val="auto"/>
                <w:szCs w:val="21"/>
                <w:highlight w:val="none"/>
              </w:rPr>
            </w:pPr>
          </w:p>
        </w:tc>
        <w:tc>
          <w:tcPr>
            <w:tcW w:w="2124" w:type="dxa"/>
            <w:tcBorders>
              <w:left w:val="single" w:color="auto" w:sz="4" w:space="0"/>
            </w:tcBorders>
          </w:tcPr>
          <w:p w14:paraId="0379F854">
            <w:pPr>
              <w:rPr>
                <w:color w:val="auto"/>
                <w:szCs w:val="21"/>
                <w:highlight w:val="none"/>
              </w:rPr>
            </w:pPr>
          </w:p>
        </w:tc>
        <w:tc>
          <w:tcPr>
            <w:tcW w:w="2127" w:type="dxa"/>
          </w:tcPr>
          <w:p w14:paraId="7FDB4359">
            <w:pPr>
              <w:rPr>
                <w:color w:val="auto"/>
                <w:szCs w:val="21"/>
                <w:highlight w:val="none"/>
              </w:rPr>
            </w:pPr>
          </w:p>
        </w:tc>
        <w:tc>
          <w:tcPr>
            <w:tcW w:w="992" w:type="dxa"/>
          </w:tcPr>
          <w:p w14:paraId="1EEB3D6D">
            <w:pPr>
              <w:rPr>
                <w:color w:val="auto"/>
                <w:szCs w:val="21"/>
                <w:highlight w:val="none"/>
              </w:rPr>
            </w:pPr>
          </w:p>
        </w:tc>
        <w:tc>
          <w:tcPr>
            <w:tcW w:w="1136" w:type="dxa"/>
          </w:tcPr>
          <w:p w14:paraId="559DC9BC">
            <w:pPr>
              <w:adjustRightInd w:val="0"/>
              <w:snapToGrid w:val="0"/>
              <w:spacing w:before="156" w:beforeLines="50" w:line="360" w:lineRule="auto"/>
              <w:rPr>
                <w:color w:val="auto"/>
                <w:szCs w:val="21"/>
                <w:highlight w:val="none"/>
              </w:rPr>
            </w:pPr>
          </w:p>
        </w:tc>
        <w:tc>
          <w:tcPr>
            <w:tcW w:w="1200" w:type="dxa"/>
          </w:tcPr>
          <w:p w14:paraId="40E704AC">
            <w:pPr>
              <w:adjustRightInd w:val="0"/>
              <w:snapToGrid w:val="0"/>
              <w:spacing w:before="156" w:beforeLines="50" w:line="360" w:lineRule="auto"/>
              <w:rPr>
                <w:color w:val="auto"/>
                <w:szCs w:val="21"/>
                <w:highlight w:val="none"/>
              </w:rPr>
            </w:pPr>
            <w:r>
              <w:rPr>
                <w:rFonts w:hint="eastAsia" w:ascii="宋体" w:hAnsi="宋体"/>
                <w:iCs/>
                <w:color w:val="auto"/>
                <w:szCs w:val="21"/>
                <w:highlight w:val="none"/>
              </w:rPr>
              <w:sym w:font="Wingdings" w:char="00A8"/>
            </w:r>
          </w:p>
        </w:tc>
      </w:tr>
      <w:tr w14:paraId="7B6B727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520" w:hRule="atLeast"/>
        </w:trPr>
        <w:tc>
          <w:tcPr>
            <w:tcW w:w="429" w:type="dxa"/>
            <w:vMerge w:val="restart"/>
          </w:tcPr>
          <w:p w14:paraId="0486B8C0">
            <w:pPr>
              <w:rPr>
                <w:color w:val="auto"/>
                <w:szCs w:val="21"/>
                <w:highlight w:val="none"/>
              </w:rPr>
            </w:pPr>
          </w:p>
        </w:tc>
        <w:tc>
          <w:tcPr>
            <w:tcW w:w="957" w:type="dxa"/>
            <w:vMerge w:val="restart"/>
            <w:tcBorders>
              <w:right w:val="single" w:color="auto" w:sz="4" w:space="0"/>
            </w:tcBorders>
          </w:tcPr>
          <w:p w14:paraId="016E77EA">
            <w:pPr>
              <w:rPr>
                <w:color w:val="auto"/>
                <w:szCs w:val="21"/>
                <w:highlight w:val="none"/>
              </w:rPr>
            </w:pPr>
          </w:p>
        </w:tc>
        <w:tc>
          <w:tcPr>
            <w:tcW w:w="2124" w:type="dxa"/>
            <w:tcBorders>
              <w:left w:val="single" w:color="auto" w:sz="4" w:space="0"/>
            </w:tcBorders>
          </w:tcPr>
          <w:p w14:paraId="27AEEBE0">
            <w:pPr>
              <w:rPr>
                <w:color w:val="auto"/>
                <w:szCs w:val="21"/>
                <w:highlight w:val="none"/>
              </w:rPr>
            </w:pPr>
          </w:p>
        </w:tc>
        <w:tc>
          <w:tcPr>
            <w:tcW w:w="2127" w:type="dxa"/>
          </w:tcPr>
          <w:p w14:paraId="271D699F">
            <w:pPr>
              <w:rPr>
                <w:color w:val="auto"/>
                <w:szCs w:val="21"/>
                <w:highlight w:val="none"/>
              </w:rPr>
            </w:pPr>
          </w:p>
        </w:tc>
        <w:tc>
          <w:tcPr>
            <w:tcW w:w="992" w:type="dxa"/>
          </w:tcPr>
          <w:p w14:paraId="11F1EA33">
            <w:pPr>
              <w:rPr>
                <w:color w:val="auto"/>
                <w:szCs w:val="21"/>
                <w:highlight w:val="none"/>
              </w:rPr>
            </w:pPr>
          </w:p>
        </w:tc>
        <w:tc>
          <w:tcPr>
            <w:tcW w:w="1136" w:type="dxa"/>
          </w:tcPr>
          <w:p w14:paraId="43B984D3">
            <w:pPr>
              <w:rPr>
                <w:color w:val="auto"/>
                <w:szCs w:val="21"/>
                <w:highlight w:val="none"/>
              </w:rPr>
            </w:pPr>
          </w:p>
        </w:tc>
        <w:tc>
          <w:tcPr>
            <w:tcW w:w="1200" w:type="dxa"/>
          </w:tcPr>
          <w:p w14:paraId="29D52B93">
            <w:pPr>
              <w:rPr>
                <w:color w:val="auto"/>
                <w:szCs w:val="21"/>
                <w:highlight w:val="none"/>
              </w:rPr>
            </w:pPr>
          </w:p>
        </w:tc>
      </w:tr>
      <w:tr w14:paraId="65A477F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520" w:hRule="atLeast"/>
        </w:trPr>
        <w:tc>
          <w:tcPr>
            <w:tcW w:w="429" w:type="dxa"/>
            <w:vMerge w:val="continue"/>
          </w:tcPr>
          <w:p w14:paraId="354ADA6F">
            <w:pPr>
              <w:rPr>
                <w:color w:val="auto"/>
                <w:szCs w:val="21"/>
                <w:highlight w:val="none"/>
              </w:rPr>
            </w:pPr>
          </w:p>
        </w:tc>
        <w:tc>
          <w:tcPr>
            <w:tcW w:w="957" w:type="dxa"/>
            <w:vMerge w:val="continue"/>
            <w:tcBorders>
              <w:right w:val="single" w:color="auto" w:sz="4" w:space="0"/>
            </w:tcBorders>
          </w:tcPr>
          <w:p w14:paraId="610DDF05">
            <w:pPr>
              <w:rPr>
                <w:color w:val="auto"/>
                <w:szCs w:val="21"/>
                <w:highlight w:val="none"/>
              </w:rPr>
            </w:pPr>
          </w:p>
        </w:tc>
        <w:tc>
          <w:tcPr>
            <w:tcW w:w="2124" w:type="dxa"/>
            <w:tcBorders>
              <w:left w:val="single" w:color="auto" w:sz="4" w:space="0"/>
            </w:tcBorders>
          </w:tcPr>
          <w:p w14:paraId="6E78CCAA">
            <w:pPr>
              <w:rPr>
                <w:color w:val="auto"/>
                <w:szCs w:val="21"/>
                <w:highlight w:val="none"/>
              </w:rPr>
            </w:pPr>
          </w:p>
        </w:tc>
        <w:tc>
          <w:tcPr>
            <w:tcW w:w="2127" w:type="dxa"/>
          </w:tcPr>
          <w:p w14:paraId="4BF1B36D">
            <w:pPr>
              <w:rPr>
                <w:color w:val="auto"/>
                <w:szCs w:val="21"/>
                <w:highlight w:val="none"/>
              </w:rPr>
            </w:pPr>
          </w:p>
        </w:tc>
        <w:tc>
          <w:tcPr>
            <w:tcW w:w="992" w:type="dxa"/>
          </w:tcPr>
          <w:p w14:paraId="60639560">
            <w:pPr>
              <w:rPr>
                <w:color w:val="auto"/>
                <w:szCs w:val="21"/>
                <w:highlight w:val="none"/>
              </w:rPr>
            </w:pPr>
          </w:p>
        </w:tc>
        <w:tc>
          <w:tcPr>
            <w:tcW w:w="1136" w:type="dxa"/>
          </w:tcPr>
          <w:p w14:paraId="0AED0D0A">
            <w:pPr>
              <w:rPr>
                <w:color w:val="auto"/>
                <w:szCs w:val="21"/>
                <w:highlight w:val="none"/>
              </w:rPr>
            </w:pPr>
          </w:p>
        </w:tc>
        <w:tc>
          <w:tcPr>
            <w:tcW w:w="1200" w:type="dxa"/>
          </w:tcPr>
          <w:p w14:paraId="41CD405E">
            <w:pPr>
              <w:rPr>
                <w:color w:val="auto"/>
                <w:szCs w:val="21"/>
                <w:highlight w:val="none"/>
              </w:rPr>
            </w:pPr>
          </w:p>
        </w:tc>
      </w:tr>
      <w:tr w14:paraId="3B5BCB7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520" w:hRule="atLeast"/>
        </w:trPr>
        <w:tc>
          <w:tcPr>
            <w:tcW w:w="429" w:type="dxa"/>
            <w:vMerge w:val="continue"/>
          </w:tcPr>
          <w:p w14:paraId="5D43C962">
            <w:pPr>
              <w:rPr>
                <w:color w:val="auto"/>
                <w:szCs w:val="21"/>
                <w:highlight w:val="none"/>
              </w:rPr>
            </w:pPr>
          </w:p>
        </w:tc>
        <w:tc>
          <w:tcPr>
            <w:tcW w:w="957" w:type="dxa"/>
            <w:vMerge w:val="continue"/>
            <w:tcBorders>
              <w:right w:val="single" w:color="auto" w:sz="4" w:space="0"/>
            </w:tcBorders>
          </w:tcPr>
          <w:p w14:paraId="128AC6C7">
            <w:pPr>
              <w:rPr>
                <w:color w:val="auto"/>
                <w:szCs w:val="21"/>
                <w:highlight w:val="none"/>
              </w:rPr>
            </w:pPr>
          </w:p>
        </w:tc>
        <w:tc>
          <w:tcPr>
            <w:tcW w:w="2124" w:type="dxa"/>
            <w:tcBorders>
              <w:left w:val="single" w:color="auto" w:sz="4" w:space="0"/>
            </w:tcBorders>
          </w:tcPr>
          <w:p w14:paraId="4ED54B47">
            <w:pPr>
              <w:rPr>
                <w:color w:val="auto"/>
                <w:szCs w:val="21"/>
                <w:highlight w:val="none"/>
              </w:rPr>
            </w:pPr>
          </w:p>
        </w:tc>
        <w:tc>
          <w:tcPr>
            <w:tcW w:w="2127" w:type="dxa"/>
          </w:tcPr>
          <w:p w14:paraId="53A10414">
            <w:pPr>
              <w:rPr>
                <w:color w:val="auto"/>
                <w:szCs w:val="21"/>
                <w:highlight w:val="none"/>
              </w:rPr>
            </w:pPr>
          </w:p>
        </w:tc>
        <w:tc>
          <w:tcPr>
            <w:tcW w:w="992" w:type="dxa"/>
          </w:tcPr>
          <w:p w14:paraId="4B4C9554">
            <w:pPr>
              <w:rPr>
                <w:color w:val="auto"/>
                <w:szCs w:val="21"/>
                <w:highlight w:val="none"/>
              </w:rPr>
            </w:pPr>
          </w:p>
        </w:tc>
        <w:tc>
          <w:tcPr>
            <w:tcW w:w="1136" w:type="dxa"/>
          </w:tcPr>
          <w:p w14:paraId="147D7004">
            <w:pPr>
              <w:rPr>
                <w:color w:val="auto"/>
                <w:szCs w:val="21"/>
                <w:highlight w:val="none"/>
              </w:rPr>
            </w:pPr>
          </w:p>
        </w:tc>
        <w:tc>
          <w:tcPr>
            <w:tcW w:w="1200" w:type="dxa"/>
          </w:tcPr>
          <w:p w14:paraId="1A5588A1">
            <w:pPr>
              <w:rPr>
                <w:color w:val="auto"/>
                <w:szCs w:val="21"/>
                <w:highlight w:val="none"/>
              </w:rPr>
            </w:pPr>
          </w:p>
        </w:tc>
      </w:tr>
    </w:tbl>
    <w:p w14:paraId="23C4872E">
      <w:pPr>
        <w:adjustRightInd w:val="0"/>
        <w:snapToGrid w:val="0"/>
        <w:spacing w:line="360" w:lineRule="auto"/>
        <w:rPr>
          <w:color w:val="auto"/>
          <w:highlight w:val="none"/>
        </w:rPr>
      </w:pPr>
    </w:p>
    <w:p w14:paraId="69F2DB3A">
      <w:pPr>
        <w:adjustRightInd w:val="0"/>
        <w:snapToGrid w:val="0"/>
        <w:spacing w:line="360" w:lineRule="auto"/>
        <w:rPr>
          <w:rFonts w:ascii="宋体" w:hAnsi="宋体"/>
          <w:color w:val="auto"/>
          <w:szCs w:val="21"/>
          <w:highlight w:val="none"/>
        </w:rPr>
      </w:pPr>
    </w:p>
    <w:p w14:paraId="55A5F42D">
      <w:pPr>
        <w:adjustRightInd w:val="0"/>
        <w:snapToGrid w:val="0"/>
        <w:spacing w:line="360" w:lineRule="auto"/>
        <w:rPr>
          <w:rFonts w:ascii="宋体" w:hAnsi="宋体"/>
          <w:color w:val="auto"/>
          <w:szCs w:val="21"/>
          <w:highlight w:val="none"/>
        </w:rPr>
      </w:pPr>
    </w:p>
    <w:p w14:paraId="3F1C9AAE">
      <w:pPr>
        <w:adjustRightInd w:val="0"/>
        <w:snapToGrid w:val="0"/>
        <w:spacing w:line="360" w:lineRule="auto"/>
        <w:rPr>
          <w:rFonts w:ascii="黑体" w:hAnsi="宋体" w:eastAsia="黑体"/>
          <w:color w:val="auto"/>
          <w:sz w:val="28"/>
          <w:szCs w:val="28"/>
          <w:highlight w:val="none"/>
        </w:rPr>
        <w:sectPr>
          <w:headerReference r:id="rId5" w:type="first"/>
          <w:headerReference r:id="rId3" w:type="default"/>
          <w:footerReference r:id="rId6" w:type="default"/>
          <w:headerReference r:id="rId4" w:type="even"/>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pPr>
    </w:p>
    <w:p w14:paraId="3EF4A1D6">
      <w:pPr>
        <w:pStyle w:val="2"/>
        <w:jc w:val="center"/>
        <w:rPr>
          <w:rFonts w:ascii="黑体" w:hAnsi="黑体" w:eastAsia="黑体"/>
          <w:color w:val="auto"/>
          <w:sz w:val="28"/>
          <w:szCs w:val="28"/>
          <w:highlight w:val="none"/>
        </w:rPr>
      </w:pPr>
      <w:bookmarkStart w:id="1729" w:name="_Toc108342008"/>
      <w:bookmarkStart w:id="1730" w:name="_Toc192949665"/>
      <w:bookmarkStart w:id="1731" w:name="_Toc78314333"/>
      <w:bookmarkStart w:id="1732" w:name="_Toc9300"/>
      <w:bookmarkStart w:id="1733" w:name="_Toc171273734"/>
      <w:bookmarkStart w:id="1734" w:name="_Toc15888549"/>
      <w:bookmarkStart w:id="1735" w:name="_Toc77199472"/>
      <w:bookmarkStart w:id="1736" w:name="_Toc9932"/>
      <w:bookmarkStart w:id="1737" w:name="_Toc22746"/>
      <w:bookmarkStart w:id="1738" w:name="_Toc27715"/>
      <w:bookmarkStart w:id="1739" w:name="_Toc75289298"/>
      <w:bookmarkStart w:id="1740" w:name="_Toc4202"/>
      <w:bookmarkStart w:id="1741" w:name="_Toc15550"/>
      <w:bookmarkStart w:id="1742" w:name="_Toc112705008"/>
      <w:bookmarkStart w:id="1743" w:name="_Toc154428451"/>
      <w:bookmarkStart w:id="1744" w:name="_Toc100670493"/>
      <w:bookmarkStart w:id="1745" w:name="_Toc117192515"/>
      <w:bookmarkStart w:id="1746" w:name="_Toc31163"/>
      <w:bookmarkStart w:id="1747" w:name="_Toc9219"/>
      <w:bookmarkStart w:id="1748" w:name="_Toc94367949"/>
      <w:bookmarkStart w:id="1749" w:name="_Toc100670741"/>
      <w:bookmarkStart w:id="1750" w:name="_Toc75289618"/>
      <w:bookmarkStart w:id="1751" w:name="_Toc192951275"/>
      <w:bookmarkStart w:id="1752" w:name="_Toc192949764"/>
      <w:bookmarkStart w:id="1753" w:name="_Toc85972999"/>
      <w:bookmarkStart w:id="1754" w:name="_Toc78450026"/>
      <w:bookmarkStart w:id="1755" w:name="_Toc1877653715"/>
      <w:bookmarkStart w:id="1756" w:name="_Toc114036779"/>
      <w:bookmarkStart w:id="1757" w:name="_Toc4383"/>
      <w:bookmarkStart w:id="1758" w:name="_Toc77676537"/>
      <w:bookmarkStart w:id="1759" w:name="_Toc95601434"/>
      <w:r>
        <w:rPr>
          <w:rFonts w:hint="eastAsia" w:ascii="黑体" w:hAnsi="黑体" w:eastAsia="黑体"/>
          <w:color w:val="auto"/>
          <w:sz w:val="28"/>
          <w:szCs w:val="28"/>
          <w:highlight w:val="none"/>
        </w:rPr>
        <w:t>八、合同条款偏离表</w:t>
      </w:r>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p>
    <w:p w14:paraId="1992E85F">
      <w:pPr>
        <w:adjustRightInd w:val="0"/>
        <w:snapToGrid w:val="0"/>
        <w:spacing w:line="360" w:lineRule="auto"/>
        <w:rPr>
          <w:rFonts w:ascii="宋体" w:hAnsi="宋体"/>
          <w:color w:val="auto"/>
          <w:szCs w:val="21"/>
          <w:highlight w:val="none"/>
        </w:rPr>
      </w:pPr>
    </w:p>
    <w:p w14:paraId="50D0514C">
      <w:pPr>
        <w:adjustRightInd w:val="0"/>
        <w:snapToGrid w:val="0"/>
        <w:spacing w:line="360" w:lineRule="auto"/>
        <w:ind w:firstLine="420" w:firstLineChars="200"/>
        <w:rPr>
          <w:rFonts w:ascii="宋体" w:hAnsi="宋体"/>
          <w:color w:val="auto"/>
          <w:szCs w:val="21"/>
          <w:highlight w:val="none"/>
          <w:u w:val="single"/>
        </w:rPr>
      </w:pPr>
      <w:r>
        <w:rPr>
          <w:rFonts w:hint="eastAsia" w:ascii="宋体" w:hAnsi="宋体"/>
          <w:color w:val="auto"/>
          <w:szCs w:val="21"/>
          <w:highlight w:val="none"/>
        </w:rPr>
        <w:t>政府采购计划编号：            项目名称：</w:t>
      </w:r>
    </w:p>
    <w:p w14:paraId="200E6E96">
      <w:pPr>
        <w:adjustRightInd w:val="0"/>
        <w:snapToGrid w:val="0"/>
        <w:spacing w:line="360" w:lineRule="auto"/>
        <w:ind w:firstLine="420" w:firstLineChars="200"/>
        <w:rPr>
          <w:rFonts w:ascii="宋体" w:hAnsi="宋体"/>
          <w:color w:val="auto"/>
          <w:szCs w:val="21"/>
          <w:highlight w:val="none"/>
          <w:u w:val="single"/>
        </w:rPr>
      </w:pPr>
      <w:r>
        <w:rPr>
          <w:rFonts w:hint="eastAsia" w:ascii="宋体" w:hAnsi="宋体"/>
          <w:color w:val="auto"/>
          <w:szCs w:val="21"/>
          <w:highlight w:val="none"/>
        </w:rPr>
        <w:t>包号：                       包名称：</w:t>
      </w:r>
    </w:p>
    <w:tbl>
      <w:tblPr>
        <w:tblStyle w:val="47"/>
        <w:tblW w:w="9014"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28" w:type="dxa"/>
          <w:bottom w:w="0" w:type="dxa"/>
          <w:right w:w="28" w:type="dxa"/>
        </w:tblCellMar>
      </w:tblPr>
      <w:tblGrid>
        <w:gridCol w:w="595"/>
        <w:gridCol w:w="2410"/>
        <w:gridCol w:w="1985"/>
        <w:gridCol w:w="2082"/>
        <w:gridCol w:w="1942"/>
      </w:tblGrid>
      <w:tr w14:paraId="4432453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595" w:type="dxa"/>
            <w:vAlign w:val="center"/>
          </w:tcPr>
          <w:p w14:paraId="0506E19E">
            <w:pPr>
              <w:adjustRightInd w:val="0"/>
              <w:snapToGrid w:val="0"/>
              <w:spacing w:before="50" w:line="360" w:lineRule="auto"/>
              <w:ind w:left="-88" w:leftChars="-42"/>
              <w:jc w:val="center"/>
              <w:rPr>
                <w:rFonts w:ascii="宋体" w:hAnsi="宋体"/>
                <w:color w:val="auto"/>
                <w:szCs w:val="21"/>
                <w:highlight w:val="none"/>
              </w:rPr>
            </w:pPr>
            <w:r>
              <w:rPr>
                <w:rFonts w:hint="eastAsia" w:ascii="宋体" w:hAnsi="宋体"/>
                <w:bCs/>
                <w:color w:val="auto"/>
                <w:szCs w:val="21"/>
                <w:highlight w:val="none"/>
              </w:rPr>
              <w:t>序</w:t>
            </w:r>
            <w:r>
              <w:rPr>
                <w:rFonts w:hint="eastAsia" w:ascii="宋体" w:hAnsi="宋体"/>
                <w:color w:val="auto"/>
                <w:szCs w:val="21"/>
                <w:highlight w:val="none"/>
              </w:rPr>
              <w:t>号</w:t>
            </w:r>
          </w:p>
        </w:tc>
        <w:tc>
          <w:tcPr>
            <w:tcW w:w="2410" w:type="dxa"/>
            <w:vAlign w:val="center"/>
          </w:tcPr>
          <w:p w14:paraId="673F1AA2">
            <w:pPr>
              <w:adjustRightInd w:val="0"/>
              <w:snapToGrid w:val="0"/>
              <w:spacing w:before="50" w:line="360" w:lineRule="auto"/>
              <w:ind w:left="-88" w:leftChars="-42"/>
              <w:jc w:val="center"/>
              <w:rPr>
                <w:rFonts w:ascii="宋体" w:hAnsi="宋体"/>
                <w:color w:val="auto"/>
                <w:szCs w:val="21"/>
                <w:highlight w:val="none"/>
              </w:rPr>
            </w:pPr>
            <w:r>
              <w:rPr>
                <w:rFonts w:hint="eastAsia" w:ascii="宋体" w:hAnsi="宋体"/>
                <w:color w:val="auto"/>
                <w:szCs w:val="21"/>
                <w:highlight w:val="none"/>
              </w:rPr>
              <w:t>招标文件章节</w:t>
            </w:r>
            <w:r>
              <w:rPr>
                <w:rFonts w:hint="eastAsia" w:ascii="宋体" w:hAnsi="宋体"/>
                <w:bCs/>
                <w:color w:val="auto"/>
                <w:szCs w:val="21"/>
                <w:highlight w:val="none"/>
              </w:rPr>
              <w:t>条</w:t>
            </w:r>
            <w:r>
              <w:rPr>
                <w:rFonts w:hint="eastAsia" w:ascii="宋体" w:hAnsi="宋体"/>
                <w:color w:val="auto"/>
                <w:szCs w:val="21"/>
                <w:highlight w:val="none"/>
              </w:rPr>
              <w:t>款号</w:t>
            </w:r>
          </w:p>
        </w:tc>
        <w:tc>
          <w:tcPr>
            <w:tcW w:w="1985" w:type="dxa"/>
            <w:vAlign w:val="center"/>
          </w:tcPr>
          <w:p w14:paraId="18D31044">
            <w:pPr>
              <w:adjustRightInd w:val="0"/>
              <w:snapToGrid w:val="0"/>
              <w:spacing w:before="50" w:line="360" w:lineRule="auto"/>
              <w:ind w:left="-88" w:leftChars="-42"/>
              <w:jc w:val="center"/>
              <w:rPr>
                <w:rFonts w:ascii="宋体" w:hAnsi="宋体"/>
                <w:color w:val="auto"/>
                <w:szCs w:val="21"/>
                <w:highlight w:val="none"/>
              </w:rPr>
            </w:pPr>
            <w:r>
              <w:rPr>
                <w:rFonts w:hint="eastAsia"/>
                <w:color w:val="auto"/>
                <w:highlight w:val="none"/>
              </w:rPr>
              <w:t>招标文件要求</w:t>
            </w:r>
          </w:p>
        </w:tc>
        <w:tc>
          <w:tcPr>
            <w:tcW w:w="2082" w:type="dxa"/>
            <w:tcBorders>
              <w:right w:val="single" w:color="auto" w:sz="4" w:space="0"/>
            </w:tcBorders>
            <w:vAlign w:val="center"/>
          </w:tcPr>
          <w:p w14:paraId="619F8771">
            <w:pPr>
              <w:adjustRightInd w:val="0"/>
              <w:snapToGrid w:val="0"/>
              <w:spacing w:before="50" w:line="360" w:lineRule="auto"/>
              <w:jc w:val="center"/>
              <w:rPr>
                <w:rFonts w:ascii="宋体" w:hAnsi="宋体"/>
                <w:color w:val="auto"/>
                <w:szCs w:val="21"/>
                <w:highlight w:val="none"/>
              </w:rPr>
            </w:pPr>
            <w:r>
              <w:rPr>
                <w:rFonts w:hint="eastAsia"/>
                <w:color w:val="auto"/>
                <w:highlight w:val="none"/>
              </w:rPr>
              <w:t>投标文件的应答</w:t>
            </w:r>
          </w:p>
        </w:tc>
        <w:tc>
          <w:tcPr>
            <w:tcW w:w="1942" w:type="dxa"/>
            <w:tcBorders>
              <w:left w:val="single" w:color="auto" w:sz="4" w:space="0"/>
            </w:tcBorders>
            <w:vAlign w:val="center"/>
          </w:tcPr>
          <w:p w14:paraId="4433C926">
            <w:pPr>
              <w:adjustRightInd w:val="0"/>
              <w:snapToGrid w:val="0"/>
              <w:spacing w:before="50" w:line="360" w:lineRule="auto"/>
              <w:ind w:left="-88" w:leftChars="-42"/>
              <w:jc w:val="center"/>
              <w:rPr>
                <w:rFonts w:ascii="宋体" w:hAnsi="宋体"/>
                <w:color w:val="auto"/>
                <w:szCs w:val="21"/>
                <w:highlight w:val="none"/>
              </w:rPr>
            </w:pPr>
            <w:r>
              <w:rPr>
                <w:rFonts w:hint="eastAsia" w:ascii="宋体" w:hAnsi="宋体"/>
                <w:color w:val="auto"/>
                <w:szCs w:val="21"/>
                <w:highlight w:val="none"/>
              </w:rPr>
              <w:t>偏离说明</w:t>
            </w:r>
          </w:p>
        </w:tc>
      </w:tr>
      <w:tr w14:paraId="28D5995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95" w:type="dxa"/>
            <w:vAlign w:val="center"/>
          </w:tcPr>
          <w:p w14:paraId="3308704A">
            <w:pPr>
              <w:adjustRightInd w:val="0"/>
              <w:snapToGrid w:val="0"/>
              <w:spacing w:before="50" w:line="360" w:lineRule="auto"/>
              <w:ind w:left="-88" w:leftChars="-42"/>
              <w:jc w:val="center"/>
              <w:rPr>
                <w:rFonts w:ascii="宋体" w:hAnsi="宋体"/>
                <w:color w:val="auto"/>
                <w:szCs w:val="21"/>
                <w:highlight w:val="none"/>
              </w:rPr>
            </w:pPr>
          </w:p>
        </w:tc>
        <w:tc>
          <w:tcPr>
            <w:tcW w:w="2410" w:type="dxa"/>
            <w:vAlign w:val="center"/>
          </w:tcPr>
          <w:p w14:paraId="04F09AB0">
            <w:pPr>
              <w:adjustRightInd w:val="0"/>
              <w:snapToGrid w:val="0"/>
              <w:spacing w:before="50" w:line="360" w:lineRule="auto"/>
              <w:ind w:left="-88" w:leftChars="-42"/>
              <w:jc w:val="center"/>
              <w:rPr>
                <w:rFonts w:ascii="宋体" w:hAnsi="宋体"/>
                <w:color w:val="auto"/>
                <w:szCs w:val="21"/>
                <w:highlight w:val="none"/>
              </w:rPr>
            </w:pPr>
          </w:p>
        </w:tc>
        <w:tc>
          <w:tcPr>
            <w:tcW w:w="1985" w:type="dxa"/>
          </w:tcPr>
          <w:p w14:paraId="1760298E">
            <w:pPr>
              <w:adjustRightInd w:val="0"/>
              <w:snapToGrid w:val="0"/>
              <w:spacing w:before="50" w:line="360" w:lineRule="auto"/>
              <w:rPr>
                <w:color w:val="auto"/>
                <w:highlight w:val="none"/>
              </w:rPr>
            </w:pPr>
          </w:p>
        </w:tc>
        <w:tc>
          <w:tcPr>
            <w:tcW w:w="2082" w:type="dxa"/>
            <w:tcBorders>
              <w:right w:val="single" w:color="auto" w:sz="4" w:space="0"/>
            </w:tcBorders>
          </w:tcPr>
          <w:p w14:paraId="17894A8A">
            <w:pPr>
              <w:adjustRightInd w:val="0"/>
              <w:snapToGrid w:val="0"/>
              <w:spacing w:before="50" w:line="360" w:lineRule="auto"/>
              <w:rPr>
                <w:color w:val="auto"/>
                <w:highlight w:val="none"/>
              </w:rPr>
            </w:pPr>
          </w:p>
        </w:tc>
        <w:tc>
          <w:tcPr>
            <w:tcW w:w="1942" w:type="dxa"/>
            <w:tcBorders>
              <w:left w:val="single" w:color="auto" w:sz="4" w:space="0"/>
            </w:tcBorders>
          </w:tcPr>
          <w:p w14:paraId="096363FD">
            <w:pPr>
              <w:adjustRightInd w:val="0"/>
              <w:snapToGrid w:val="0"/>
              <w:spacing w:before="50" w:line="360" w:lineRule="auto"/>
              <w:ind w:left="-88" w:leftChars="-42"/>
              <w:jc w:val="center"/>
              <w:rPr>
                <w:rFonts w:ascii="宋体" w:hAnsi="宋体"/>
                <w:color w:val="auto"/>
                <w:szCs w:val="21"/>
                <w:highlight w:val="none"/>
              </w:rPr>
            </w:pPr>
          </w:p>
        </w:tc>
      </w:tr>
      <w:tr w14:paraId="488C4A1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95" w:type="dxa"/>
            <w:vAlign w:val="center"/>
          </w:tcPr>
          <w:p w14:paraId="452F4FEC">
            <w:pPr>
              <w:adjustRightInd w:val="0"/>
              <w:snapToGrid w:val="0"/>
              <w:spacing w:before="50" w:line="360" w:lineRule="auto"/>
              <w:ind w:left="-88" w:leftChars="-42"/>
              <w:jc w:val="center"/>
              <w:rPr>
                <w:rFonts w:ascii="宋体" w:hAnsi="宋体"/>
                <w:color w:val="auto"/>
                <w:szCs w:val="21"/>
                <w:highlight w:val="none"/>
              </w:rPr>
            </w:pPr>
          </w:p>
        </w:tc>
        <w:tc>
          <w:tcPr>
            <w:tcW w:w="2410" w:type="dxa"/>
            <w:vAlign w:val="center"/>
          </w:tcPr>
          <w:p w14:paraId="2C28A052">
            <w:pPr>
              <w:adjustRightInd w:val="0"/>
              <w:snapToGrid w:val="0"/>
              <w:spacing w:before="50" w:line="360" w:lineRule="auto"/>
              <w:ind w:left="-88" w:leftChars="-42"/>
              <w:jc w:val="center"/>
              <w:rPr>
                <w:rFonts w:ascii="宋体" w:hAnsi="宋体"/>
                <w:color w:val="auto"/>
                <w:szCs w:val="21"/>
                <w:highlight w:val="none"/>
              </w:rPr>
            </w:pPr>
          </w:p>
        </w:tc>
        <w:tc>
          <w:tcPr>
            <w:tcW w:w="1985" w:type="dxa"/>
            <w:vAlign w:val="center"/>
          </w:tcPr>
          <w:p w14:paraId="6F1D2F96">
            <w:pPr>
              <w:adjustRightInd w:val="0"/>
              <w:snapToGrid w:val="0"/>
              <w:spacing w:before="50" w:line="360" w:lineRule="auto"/>
              <w:ind w:left="-88" w:leftChars="-42"/>
              <w:jc w:val="center"/>
              <w:rPr>
                <w:rFonts w:ascii="宋体" w:hAnsi="宋体"/>
                <w:color w:val="auto"/>
                <w:szCs w:val="21"/>
                <w:highlight w:val="none"/>
              </w:rPr>
            </w:pPr>
          </w:p>
        </w:tc>
        <w:tc>
          <w:tcPr>
            <w:tcW w:w="2082" w:type="dxa"/>
            <w:tcBorders>
              <w:right w:val="single" w:color="auto" w:sz="4" w:space="0"/>
            </w:tcBorders>
            <w:vAlign w:val="center"/>
          </w:tcPr>
          <w:p w14:paraId="1DA9ACE5">
            <w:pPr>
              <w:adjustRightInd w:val="0"/>
              <w:snapToGrid w:val="0"/>
              <w:spacing w:before="50" w:line="360" w:lineRule="auto"/>
              <w:ind w:left="-88" w:leftChars="-42"/>
              <w:jc w:val="center"/>
              <w:rPr>
                <w:rFonts w:ascii="宋体" w:hAnsi="宋体"/>
                <w:color w:val="auto"/>
                <w:szCs w:val="21"/>
                <w:highlight w:val="none"/>
              </w:rPr>
            </w:pPr>
          </w:p>
        </w:tc>
        <w:tc>
          <w:tcPr>
            <w:tcW w:w="1942" w:type="dxa"/>
            <w:tcBorders>
              <w:left w:val="single" w:color="auto" w:sz="4" w:space="0"/>
            </w:tcBorders>
            <w:vAlign w:val="center"/>
          </w:tcPr>
          <w:p w14:paraId="1448959C">
            <w:pPr>
              <w:adjustRightInd w:val="0"/>
              <w:snapToGrid w:val="0"/>
              <w:spacing w:before="50" w:line="360" w:lineRule="auto"/>
              <w:ind w:left="-88" w:leftChars="-42"/>
              <w:jc w:val="center"/>
              <w:rPr>
                <w:rFonts w:ascii="宋体" w:hAnsi="宋体"/>
                <w:color w:val="auto"/>
                <w:szCs w:val="21"/>
                <w:highlight w:val="none"/>
              </w:rPr>
            </w:pPr>
          </w:p>
        </w:tc>
      </w:tr>
      <w:tr w14:paraId="67C94F7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95" w:type="dxa"/>
            <w:vAlign w:val="center"/>
          </w:tcPr>
          <w:p w14:paraId="1E705671">
            <w:pPr>
              <w:adjustRightInd w:val="0"/>
              <w:snapToGrid w:val="0"/>
              <w:spacing w:before="50" w:line="360" w:lineRule="auto"/>
              <w:ind w:left="-88" w:leftChars="-42"/>
              <w:jc w:val="center"/>
              <w:rPr>
                <w:rFonts w:ascii="宋体" w:hAnsi="宋体"/>
                <w:color w:val="auto"/>
                <w:szCs w:val="21"/>
                <w:highlight w:val="none"/>
              </w:rPr>
            </w:pPr>
          </w:p>
        </w:tc>
        <w:tc>
          <w:tcPr>
            <w:tcW w:w="2410" w:type="dxa"/>
            <w:vAlign w:val="center"/>
          </w:tcPr>
          <w:p w14:paraId="7B2482AD">
            <w:pPr>
              <w:adjustRightInd w:val="0"/>
              <w:snapToGrid w:val="0"/>
              <w:spacing w:before="50" w:line="360" w:lineRule="auto"/>
              <w:ind w:left="-88" w:leftChars="-42"/>
              <w:jc w:val="center"/>
              <w:rPr>
                <w:rFonts w:ascii="宋体" w:hAnsi="宋体"/>
                <w:color w:val="auto"/>
                <w:szCs w:val="21"/>
                <w:highlight w:val="none"/>
              </w:rPr>
            </w:pPr>
          </w:p>
        </w:tc>
        <w:tc>
          <w:tcPr>
            <w:tcW w:w="1985" w:type="dxa"/>
            <w:vAlign w:val="center"/>
          </w:tcPr>
          <w:p w14:paraId="3B1609EE">
            <w:pPr>
              <w:adjustRightInd w:val="0"/>
              <w:snapToGrid w:val="0"/>
              <w:spacing w:before="50" w:line="360" w:lineRule="auto"/>
              <w:ind w:left="-88" w:leftChars="-42"/>
              <w:jc w:val="center"/>
              <w:rPr>
                <w:rFonts w:ascii="宋体" w:hAnsi="宋体"/>
                <w:color w:val="auto"/>
                <w:szCs w:val="21"/>
                <w:highlight w:val="none"/>
              </w:rPr>
            </w:pPr>
          </w:p>
        </w:tc>
        <w:tc>
          <w:tcPr>
            <w:tcW w:w="2082" w:type="dxa"/>
            <w:tcBorders>
              <w:right w:val="single" w:color="auto" w:sz="4" w:space="0"/>
            </w:tcBorders>
            <w:vAlign w:val="center"/>
          </w:tcPr>
          <w:p w14:paraId="68A5FAE1">
            <w:pPr>
              <w:adjustRightInd w:val="0"/>
              <w:snapToGrid w:val="0"/>
              <w:spacing w:before="50" w:line="360" w:lineRule="auto"/>
              <w:ind w:left="-88" w:leftChars="-42"/>
              <w:jc w:val="center"/>
              <w:rPr>
                <w:rFonts w:ascii="宋体" w:hAnsi="宋体"/>
                <w:color w:val="auto"/>
                <w:szCs w:val="21"/>
                <w:highlight w:val="none"/>
              </w:rPr>
            </w:pPr>
          </w:p>
        </w:tc>
        <w:tc>
          <w:tcPr>
            <w:tcW w:w="1942" w:type="dxa"/>
            <w:tcBorders>
              <w:left w:val="single" w:color="auto" w:sz="4" w:space="0"/>
            </w:tcBorders>
            <w:vAlign w:val="center"/>
          </w:tcPr>
          <w:p w14:paraId="3A79F4E0">
            <w:pPr>
              <w:adjustRightInd w:val="0"/>
              <w:snapToGrid w:val="0"/>
              <w:spacing w:before="50" w:line="360" w:lineRule="auto"/>
              <w:ind w:left="-88" w:leftChars="-42"/>
              <w:jc w:val="center"/>
              <w:rPr>
                <w:rFonts w:ascii="宋体" w:hAnsi="宋体"/>
                <w:color w:val="auto"/>
                <w:szCs w:val="21"/>
                <w:highlight w:val="none"/>
              </w:rPr>
            </w:pPr>
          </w:p>
        </w:tc>
      </w:tr>
      <w:tr w14:paraId="6FC3954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95" w:type="dxa"/>
            <w:vAlign w:val="center"/>
          </w:tcPr>
          <w:p w14:paraId="58F1E8D5">
            <w:pPr>
              <w:adjustRightInd w:val="0"/>
              <w:snapToGrid w:val="0"/>
              <w:spacing w:before="50" w:line="360" w:lineRule="auto"/>
              <w:ind w:left="-88" w:leftChars="-42"/>
              <w:jc w:val="center"/>
              <w:rPr>
                <w:rFonts w:ascii="宋体" w:hAnsi="宋体"/>
                <w:color w:val="auto"/>
                <w:szCs w:val="21"/>
                <w:highlight w:val="none"/>
              </w:rPr>
            </w:pPr>
          </w:p>
        </w:tc>
        <w:tc>
          <w:tcPr>
            <w:tcW w:w="2410" w:type="dxa"/>
            <w:vAlign w:val="center"/>
          </w:tcPr>
          <w:p w14:paraId="0F12D69E">
            <w:pPr>
              <w:adjustRightInd w:val="0"/>
              <w:snapToGrid w:val="0"/>
              <w:spacing w:before="50" w:line="360" w:lineRule="auto"/>
              <w:ind w:left="-88" w:leftChars="-42"/>
              <w:jc w:val="center"/>
              <w:rPr>
                <w:rFonts w:ascii="宋体" w:hAnsi="宋体"/>
                <w:color w:val="auto"/>
                <w:szCs w:val="21"/>
                <w:highlight w:val="none"/>
              </w:rPr>
            </w:pPr>
          </w:p>
        </w:tc>
        <w:tc>
          <w:tcPr>
            <w:tcW w:w="1985" w:type="dxa"/>
            <w:vAlign w:val="center"/>
          </w:tcPr>
          <w:p w14:paraId="1A432D86">
            <w:pPr>
              <w:adjustRightInd w:val="0"/>
              <w:snapToGrid w:val="0"/>
              <w:spacing w:before="50" w:line="360" w:lineRule="auto"/>
              <w:ind w:left="-88" w:leftChars="-42"/>
              <w:jc w:val="center"/>
              <w:rPr>
                <w:rFonts w:ascii="宋体" w:hAnsi="宋体"/>
                <w:color w:val="auto"/>
                <w:szCs w:val="21"/>
                <w:highlight w:val="none"/>
              </w:rPr>
            </w:pPr>
          </w:p>
        </w:tc>
        <w:tc>
          <w:tcPr>
            <w:tcW w:w="2082" w:type="dxa"/>
            <w:tcBorders>
              <w:right w:val="single" w:color="auto" w:sz="4" w:space="0"/>
            </w:tcBorders>
            <w:vAlign w:val="center"/>
          </w:tcPr>
          <w:p w14:paraId="6DA2552B">
            <w:pPr>
              <w:adjustRightInd w:val="0"/>
              <w:snapToGrid w:val="0"/>
              <w:spacing w:before="50" w:line="360" w:lineRule="auto"/>
              <w:ind w:left="-88" w:leftChars="-42"/>
              <w:jc w:val="center"/>
              <w:rPr>
                <w:rFonts w:ascii="宋体" w:hAnsi="宋体"/>
                <w:color w:val="auto"/>
                <w:szCs w:val="21"/>
                <w:highlight w:val="none"/>
              </w:rPr>
            </w:pPr>
          </w:p>
        </w:tc>
        <w:tc>
          <w:tcPr>
            <w:tcW w:w="1942" w:type="dxa"/>
            <w:tcBorders>
              <w:left w:val="single" w:color="auto" w:sz="4" w:space="0"/>
            </w:tcBorders>
            <w:vAlign w:val="center"/>
          </w:tcPr>
          <w:p w14:paraId="76B4539C">
            <w:pPr>
              <w:adjustRightInd w:val="0"/>
              <w:snapToGrid w:val="0"/>
              <w:spacing w:before="50" w:line="360" w:lineRule="auto"/>
              <w:ind w:left="-88" w:leftChars="-42"/>
              <w:jc w:val="center"/>
              <w:rPr>
                <w:rFonts w:ascii="宋体" w:hAnsi="宋体"/>
                <w:color w:val="auto"/>
                <w:szCs w:val="21"/>
                <w:highlight w:val="none"/>
              </w:rPr>
            </w:pPr>
          </w:p>
        </w:tc>
      </w:tr>
      <w:tr w14:paraId="018EE4E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95" w:type="dxa"/>
            <w:vAlign w:val="center"/>
          </w:tcPr>
          <w:p w14:paraId="22AAD9A8">
            <w:pPr>
              <w:adjustRightInd w:val="0"/>
              <w:snapToGrid w:val="0"/>
              <w:spacing w:before="50" w:line="360" w:lineRule="auto"/>
              <w:ind w:left="-88" w:leftChars="-42"/>
              <w:jc w:val="center"/>
              <w:rPr>
                <w:rFonts w:ascii="宋体" w:hAnsi="宋体"/>
                <w:color w:val="auto"/>
                <w:szCs w:val="21"/>
                <w:highlight w:val="none"/>
              </w:rPr>
            </w:pPr>
          </w:p>
        </w:tc>
        <w:tc>
          <w:tcPr>
            <w:tcW w:w="2410" w:type="dxa"/>
            <w:vAlign w:val="center"/>
          </w:tcPr>
          <w:p w14:paraId="175720B9">
            <w:pPr>
              <w:adjustRightInd w:val="0"/>
              <w:snapToGrid w:val="0"/>
              <w:spacing w:before="50" w:line="360" w:lineRule="auto"/>
              <w:ind w:left="-88" w:leftChars="-42"/>
              <w:jc w:val="center"/>
              <w:rPr>
                <w:rFonts w:ascii="宋体" w:hAnsi="宋体"/>
                <w:color w:val="auto"/>
                <w:szCs w:val="21"/>
                <w:highlight w:val="none"/>
              </w:rPr>
            </w:pPr>
          </w:p>
        </w:tc>
        <w:tc>
          <w:tcPr>
            <w:tcW w:w="1985" w:type="dxa"/>
            <w:vAlign w:val="center"/>
          </w:tcPr>
          <w:p w14:paraId="78099CD6">
            <w:pPr>
              <w:adjustRightInd w:val="0"/>
              <w:snapToGrid w:val="0"/>
              <w:spacing w:before="50" w:line="360" w:lineRule="auto"/>
              <w:ind w:left="-88" w:leftChars="-42"/>
              <w:jc w:val="center"/>
              <w:rPr>
                <w:rFonts w:ascii="宋体" w:hAnsi="宋体"/>
                <w:color w:val="auto"/>
                <w:szCs w:val="21"/>
                <w:highlight w:val="none"/>
              </w:rPr>
            </w:pPr>
          </w:p>
        </w:tc>
        <w:tc>
          <w:tcPr>
            <w:tcW w:w="2082" w:type="dxa"/>
            <w:tcBorders>
              <w:right w:val="single" w:color="auto" w:sz="4" w:space="0"/>
            </w:tcBorders>
            <w:vAlign w:val="center"/>
          </w:tcPr>
          <w:p w14:paraId="0288FE8D">
            <w:pPr>
              <w:adjustRightInd w:val="0"/>
              <w:snapToGrid w:val="0"/>
              <w:spacing w:before="50" w:line="360" w:lineRule="auto"/>
              <w:ind w:left="-88" w:leftChars="-42"/>
              <w:jc w:val="center"/>
              <w:rPr>
                <w:rFonts w:ascii="宋体" w:hAnsi="宋体"/>
                <w:color w:val="auto"/>
                <w:szCs w:val="21"/>
                <w:highlight w:val="none"/>
              </w:rPr>
            </w:pPr>
          </w:p>
        </w:tc>
        <w:tc>
          <w:tcPr>
            <w:tcW w:w="1942" w:type="dxa"/>
            <w:tcBorders>
              <w:left w:val="single" w:color="auto" w:sz="4" w:space="0"/>
            </w:tcBorders>
            <w:vAlign w:val="center"/>
          </w:tcPr>
          <w:p w14:paraId="33518E6C">
            <w:pPr>
              <w:adjustRightInd w:val="0"/>
              <w:snapToGrid w:val="0"/>
              <w:spacing w:before="50" w:line="360" w:lineRule="auto"/>
              <w:ind w:left="-88" w:leftChars="-42"/>
              <w:jc w:val="center"/>
              <w:rPr>
                <w:rFonts w:ascii="宋体" w:hAnsi="宋体"/>
                <w:color w:val="auto"/>
                <w:szCs w:val="21"/>
                <w:highlight w:val="none"/>
              </w:rPr>
            </w:pPr>
          </w:p>
        </w:tc>
      </w:tr>
      <w:tr w14:paraId="5A5EECD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95" w:type="dxa"/>
            <w:vAlign w:val="center"/>
          </w:tcPr>
          <w:p w14:paraId="67F950EA">
            <w:pPr>
              <w:adjustRightInd w:val="0"/>
              <w:snapToGrid w:val="0"/>
              <w:spacing w:before="50" w:line="360" w:lineRule="auto"/>
              <w:ind w:left="-88" w:leftChars="-42"/>
              <w:jc w:val="center"/>
              <w:rPr>
                <w:rFonts w:ascii="宋体" w:hAnsi="宋体"/>
                <w:color w:val="auto"/>
                <w:szCs w:val="21"/>
                <w:highlight w:val="none"/>
              </w:rPr>
            </w:pPr>
          </w:p>
        </w:tc>
        <w:tc>
          <w:tcPr>
            <w:tcW w:w="2410" w:type="dxa"/>
            <w:vAlign w:val="center"/>
          </w:tcPr>
          <w:p w14:paraId="51BB7370">
            <w:pPr>
              <w:adjustRightInd w:val="0"/>
              <w:snapToGrid w:val="0"/>
              <w:spacing w:before="50" w:line="360" w:lineRule="auto"/>
              <w:ind w:left="-88" w:leftChars="-42"/>
              <w:jc w:val="center"/>
              <w:rPr>
                <w:rFonts w:ascii="宋体" w:hAnsi="宋体"/>
                <w:color w:val="auto"/>
                <w:szCs w:val="21"/>
                <w:highlight w:val="none"/>
              </w:rPr>
            </w:pPr>
          </w:p>
        </w:tc>
        <w:tc>
          <w:tcPr>
            <w:tcW w:w="1985" w:type="dxa"/>
            <w:vAlign w:val="center"/>
          </w:tcPr>
          <w:p w14:paraId="09C5E13C">
            <w:pPr>
              <w:adjustRightInd w:val="0"/>
              <w:snapToGrid w:val="0"/>
              <w:spacing w:before="50" w:line="360" w:lineRule="auto"/>
              <w:ind w:left="-88" w:leftChars="-42"/>
              <w:jc w:val="center"/>
              <w:rPr>
                <w:rFonts w:ascii="宋体" w:hAnsi="宋体"/>
                <w:color w:val="auto"/>
                <w:szCs w:val="21"/>
                <w:highlight w:val="none"/>
              </w:rPr>
            </w:pPr>
          </w:p>
        </w:tc>
        <w:tc>
          <w:tcPr>
            <w:tcW w:w="2082" w:type="dxa"/>
            <w:tcBorders>
              <w:right w:val="single" w:color="auto" w:sz="4" w:space="0"/>
            </w:tcBorders>
            <w:vAlign w:val="center"/>
          </w:tcPr>
          <w:p w14:paraId="5E5A9BF1">
            <w:pPr>
              <w:adjustRightInd w:val="0"/>
              <w:snapToGrid w:val="0"/>
              <w:spacing w:before="50" w:line="360" w:lineRule="auto"/>
              <w:ind w:left="-88" w:leftChars="-42"/>
              <w:jc w:val="center"/>
              <w:rPr>
                <w:rFonts w:ascii="宋体" w:hAnsi="宋体"/>
                <w:color w:val="auto"/>
                <w:szCs w:val="21"/>
                <w:highlight w:val="none"/>
              </w:rPr>
            </w:pPr>
          </w:p>
        </w:tc>
        <w:tc>
          <w:tcPr>
            <w:tcW w:w="1942" w:type="dxa"/>
            <w:tcBorders>
              <w:left w:val="single" w:color="auto" w:sz="4" w:space="0"/>
            </w:tcBorders>
            <w:vAlign w:val="center"/>
          </w:tcPr>
          <w:p w14:paraId="2618A62C">
            <w:pPr>
              <w:adjustRightInd w:val="0"/>
              <w:snapToGrid w:val="0"/>
              <w:spacing w:before="50" w:line="360" w:lineRule="auto"/>
              <w:ind w:left="-88" w:leftChars="-42"/>
              <w:jc w:val="center"/>
              <w:rPr>
                <w:rFonts w:ascii="宋体" w:hAnsi="宋体"/>
                <w:color w:val="auto"/>
                <w:szCs w:val="21"/>
                <w:highlight w:val="none"/>
              </w:rPr>
            </w:pPr>
          </w:p>
        </w:tc>
      </w:tr>
      <w:tr w14:paraId="3B12ECD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95" w:type="dxa"/>
            <w:vAlign w:val="center"/>
          </w:tcPr>
          <w:p w14:paraId="27A212A1">
            <w:pPr>
              <w:adjustRightInd w:val="0"/>
              <w:snapToGrid w:val="0"/>
              <w:spacing w:before="50" w:line="360" w:lineRule="auto"/>
              <w:ind w:left="-88" w:leftChars="-42"/>
              <w:jc w:val="center"/>
              <w:rPr>
                <w:rFonts w:ascii="宋体" w:hAnsi="宋体"/>
                <w:color w:val="auto"/>
                <w:szCs w:val="21"/>
                <w:highlight w:val="none"/>
              </w:rPr>
            </w:pPr>
          </w:p>
        </w:tc>
        <w:tc>
          <w:tcPr>
            <w:tcW w:w="2410" w:type="dxa"/>
            <w:vAlign w:val="center"/>
          </w:tcPr>
          <w:p w14:paraId="46792011">
            <w:pPr>
              <w:adjustRightInd w:val="0"/>
              <w:snapToGrid w:val="0"/>
              <w:spacing w:before="50" w:line="360" w:lineRule="auto"/>
              <w:ind w:left="-88" w:leftChars="-42"/>
              <w:jc w:val="center"/>
              <w:rPr>
                <w:rFonts w:ascii="宋体" w:hAnsi="宋体"/>
                <w:color w:val="auto"/>
                <w:szCs w:val="21"/>
                <w:highlight w:val="none"/>
              </w:rPr>
            </w:pPr>
          </w:p>
        </w:tc>
        <w:tc>
          <w:tcPr>
            <w:tcW w:w="1985" w:type="dxa"/>
            <w:vAlign w:val="center"/>
          </w:tcPr>
          <w:p w14:paraId="1FCEB24D">
            <w:pPr>
              <w:adjustRightInd w:val="0"/>
              <w:snapToGrid w:val="0"/>
              <w:spacing w:before="50" w:line="360" w:lineRule="auto"/>
              <w:ind w:left="-88" w:leftChars="-42"/>
              <w:jc w:val="center"/>
              <w:rPr>
                <w:rFonts w:ascii="宋体" w:hAnsi="宋体"/>
                <w:color w:val="auto"/>
                <w:szCs w:val="21"/>
                <w:highlight w:val="none"/>
              </w:rPr>
            </w:pPr>
          </w:p>
        </w:tc>
        <w:tc>
          <w:tcPr>
            <w:tcW w:w="4024" w:type="dxa"/>
            <w:gridSpan w:val="2"/>
            <w:vAlign w:val="center"/>
          </w:tcPr>
          <w:p w14:paraId="53CAECC2">
            <w:pPr>
              <w:adjustRightInd w:val="0"/>
              <w:snapToGrid w:val="0"/>
              <w:spacing w:before="50" w:line="360" w:lineRule="auto"/>
              <w:ind w:firstLine="422" w:firstLineChars="200"/>
              <w:jc w:val="left"/>
              <w:rPr>
                <w:rFonts w:ascii="宋体" w:hAnsi="宋体"/>
                <w:b/>
                <w:color w:val="auto"/>
                <w:szCs w:val="21"/>
                <w:highlight w:val="none"/>
              </w:rPr>
            </w:pPr>
            <w:r>
              <w:rPr>
                <w:rFonts w:hint="eastAsia" w:ascii="宋体" w:hAnsi="宋体"/>
                <w:b/>
                <w:color w:val="auto"/>
                <w:szCs w:val="21"/>
                <w:highlight w:val="none"/>
              </w:rPr>
              <w:t>投标人保证：除本合同条款偏离表列出的偏离外，我单位对招标文件的其他商务、合同条款完全响应，无偏离。</w:t>
            </w:r>
          </w:p>
        </w:tc>
      </w:tr>
    </w:tbl>
    <w:p w14:paraId="2E055A51">
      <w:pPr>
        <w:adjustRightInd w:val="0"/>
        <w:snapToGrid w:val="0"/>
        <w:spacing w:before="50" w:line="360" w:lineRule="auto"/>
        <w:ind w:left="-88" w:leftChars="-42"/>
        <w:rPr>
          <w:rFonts w:ascii="宋体" w:hAnsi="宋体"/>
          <w:color w:val="auto"/>
          <w:szCs w:val="21"/>
          <w:highlight w:val="none"/>
        </w:rPr>
      </w:pPr>
      <w:r>
        <w:rPr>
          <w:rFonts w:hint="eastAsia" w:ascii="宋体" w:hAnsi="宋体"/>
          <w:b/>
          <w:color w:val="auto"/>
          <w:szCs w:val="21"/>
          <w:highlight w:val="none"/>
        </w:rPr>
        <w:t>备注</w:t>
      </w:r>
      <w:r>
        <w:rPr>
          <w:rFonts w:hint="eastAsia" w:ascii="宋体" w:hAnsi="宋体"/>
          <w:color w:val="auto"/>
          <w:szCs w:val="21"/>
          <w:highlight w:val="none"/>
        </w:rPr>
        <w:t>：1.投标人应根据招标文件第六章</w:t>
      </w:r>
      <w:r>
        <w:rPr>
          <w:rFonts w:hint="eastAsia" w:ascii="华文宋体" w:hAnsi="华文宋体" w:eastAsia="华文宋体"/>
          <w:color w:val="auto"/>
          <w:szCs w:val="21"/>
          <w:highlight w:val="none"/>
        </w:rPr>
        <w:t>“</w:t>
      </w:r>
      <w:r>
        <w:rPr>
          <w:rFonts w:hint="eastAsia" w:ascii="宋体" w:hAnsi="宋体"/>
          <w:color w:val="auto"/>
          <w:szCs w:val="21"/>
          <w:highlight w:val="none"/>
        </w:rPr>
        <w:t>政府采购合同</w:t>
      </w:r>
      <w:r>
        <w:rPr>
          <w:rFonts w:hint="eastAsia" w:ascii="华文宋体" w:hAnsi="华文宋体" w:eastAsia="华文宋体"/>
          <w:color w:val="auto"/>
          <w:szCs w:val="21"/>
          <w:highlight w:val="none"/>
        </w:rPr>
        <w:t>”</w:t>
      </w:r>
      <w:r>
        <w:rPr>
          <w:rFonts w:hint="eastAsia" w:ascii="宋体" w:hAnsi="宋体"/>
          <w:color w:val="auto"/>
          <w:szCs w:val="21"/>
          <w:highlight w:val="none"/>
        </w:rPr>
        <w:t>填写本表；</w:t>
      </w:r>
    </w:p>
    <w:p w14:paraId="4104376C">
      <w:pPr>
        <w:adjustRightInd w:val="0"/>
        <w:snapToGrid w:val="0"/>
        <w:spacing w:before="50" w:line="360" w:lineRule="auto"/>
        <w:ind w:left="-88" w:leftChars="-42" w:firstLine="420" w:firstLineChars="200"/>
        <w:rPr>
          <w:rFonts w:ascii="宋体" w:hAnsi="宋体"/>
          <w:b/>
          <w:color w:val="auto"/>
          <w:szCs w:val="21"/>
          <w:highlight w:val="none"/>
        </w:rPr>
      </w:pPr>
      <w:r>
        <w:rPr>
          <w:rFonts w:hint="eastAsia" w:ascii="宋体" w:hAnsi="宋体"/>
          <w:color w:val="auto"/>
          <w:szCs w:val="21"/>
          <w:highlight w:val="none"/>
        </w:rPr>
        <w:t>2.</w:t>
      </w:r>
      <w:r>
        <w:rPr>
          <w:rFonts w:hint="eastAsia" w:ascii="宋体" w:hAnsi="宋体"/>
          <w:b/>
          <w:color w:val="auto"/>
          <w:szCs w:val="21"/>
          <w:highlight w:val="none"/>
        </w:rPr>
        <w:t>投标人如果对招标文件第六章“政府采购合同”的响应有偏离，应将偏离条款逐条如实应答，并作出说明；</w:t>
      </w:r>
    </w:p>
    <w:p w14:paraId="75ED4830">
      <w:pPr>
        <w:adjustRightInd w:val="0"/>
        <w:snapToGrid w:val="0"/>
        <w:spacing w:before="50" w:line="360" w:lineRule="auto"/>
        <w:ind w:left="-88" w:leftChars="-42" w:firstLine="420" w:firstLineChars="200"/>
        <w:rPr>
          <w:rFonts w:ascii="宋体" w:hAnsi="宋体"/>
          <w:color w:val="auto"/>
          <w:szCs w:val="21"/>
          <w:highlight w:val="none"/>
        </w:rPr>
      </w:pPr>
      <w:r>
        <w:rPr>
          <w:rFonts w:hint="eastAsia" w:ascii="宋体" w:hAnsi="宋体"/>
          <w:color w:val="auto"/>
          <w:szCs w:val="21"/>
          <w:highlight w:val="none"/>
        </w:rPr>
        <w:t>3.如不提供此表，则视为投标人不满足招标文件第六章的所有条款要求，其</w:t>
      </w:r>
      <w:r>
        <w:rPr>
          <w:rFonts w:hint="eastAsia" w:ascii="宋体" w:hAnsi="宋体"/>
          <w:b/>
          <w:color w:val="auto"/>
          <w:szCs w:val="21"/>
          <w:highlight w:val="none"/>
        </w:rPr>
        <w:t>投标无效</w:t>
      </w:r>
      <w:r>
        <w:rPr>
          <w:rFonts w:hint="eastAsia" w:ascii="宋体" w:hAnsi="宋体"/>
          <w:color w:val="auto"/>
          <w:szCs w:val="21"/>
          <w:highlight w:val="none"/>
        </w:rPr>
        <w:t>。</w:t>
      </w:r>
    </w:p>
    <w:p w14:paraId="3997AB79">
      <w:pPr>
        <w:adjustRightInd w:val="0"/>
        <w:snapToGrid w:val="0"/>
        <w:spacing w:line="360" w:lineRule="auto"/>
        <w:ind w:firstLine="315" w:firstLineChars="150"/>
        <w:rPr>
          <w:rFonts w:ascii="宋体" w:hAnsi="宋体"/>
          <w:color w:val="auto"/>
          <w:szCs w:val="21"/>
          <w:highlight w:val="none"/>
        </w:rPr>
      </w:pPr>
      <w:r>
        <w:rPr>
          <w:rFonts w:hint="eastAsia" w:ascii="宋体" w:hAnsi="宋体"/>
          <w:color w:val="auto"/>
          <w:szCs w:val="21"/>
          <w:highlight w:val="none"/>
        </w:rPr>
        <w:t>4.在采购人与中标人签订合同时，如中标人未在投标文件“合同条款偏离表”中列出偏离说明，无论已发生或即将发生任何情形，均视为完全符合招标文件要求，并写入合同。若中标人在合同签订前，以上述事项为借口而不履行合同签订手续及执行合同，则视作拒绝与采购人签订合同。</w:t>
      </w:r>
    </w:p>
    <w:p w14:paraId="5136A297">
      <w:pPr>
        <w:adjustRightInd w:val="0"/>
        <w:snapToGrid w:val="0"/>
        <w:spacing w:before="50" w:line="360" w:lineRule="auto"/>
        <w:rPr>
          <w:rFonts w:ascii="宋体" w:hAnsi="宋体"/>
          <w:color w:val="auto"/>
          <w:szCs w:val="21"/>
          <w:highlight w:val="none"/>
        </w:rPr>
      </w:pPr>
    </w:p>
    <w:p w14:paraId="74C7CCAB">
      <w:pPr>
        <w:adjustRightInd w:val="0"/>
        <w:snapToGrid w:val="0"/>
        <w:spacing w:before="50" w:line="360" w:lineRule="auto"/>
        <w:rPr>
          <w:rFonts w:ascii="宋体" w:hAnsi="宋体"/>
          <w:color w:val="auto"/>
          <w:szCs w:val="21"/>
          <w:highlight w:val="none"/>
        </w:rPr>
      </w:pPr>
    </w:p>
    <w:p w14:paraId="6E0DF338">
      <w:pPr>
        <w:adjustRightInd w:val="0"/>
        <w:snapToGrid w:val="0"/>
        <w:spacing w:before="50" w:line="360" w:lineRule="auto"/>
        <w:rPr>
          <w:rFonts w:ascii="宋体" w:hAnsi="宋体"/>
          <w:color w:val="auto"/>
          <w:szCs w:val="21"/>
          <w:highlight w:val="none"/>
        </w:rPr>
      </w:pPr>
      <w:r>
        <w:rPr>
          <w:rFonts w:hint="eastAsia" w:ascii="宋体" w:hAnsi="宋体"/>
          <w:color w:val="auto"/>
          <w:szCs w:val="21"/>
          <w:highlight w:val="none"/>
        </w:rPr>
        <w:t>投标人名称（盖单位章）：</w:t>
      </w:r>
    </w:p>
    <w:p w14:paraId="10EA8E38">
      <w:pPr>
        <w:adjustRightInd w:val="0"/>
        <w:snapToGrid w:val="0"/>
        <w:spacing w:before="50" w:line="360" w:lineRule="auto"/>
        <w:rPr>
          <w:rFonts w:ascii="宋体" w:hAnsi="宋体"/>
          <w:color w:val="auto"/>
          <w:szCs w:val="21"/>
          <w:highlight w:val="none"/>
        </w:rPr>
      </w:pPr>
      <w:r>
        <w:rPr>
          <w:rFonts w:hint="eastAsia" w:ascii="宋体" w:hAnsi="宋体"/>
          <w:color w:val="auto"/>
          <w:szCs w:val="21"/>
          <w:highlight w:val="none"/>
        </w:rPr>
        <w:t>法定代表人</w:t>
      </w:r>
      <w:r>
        <w:rPr>
          <w:rFonts w:hint="eastAsia" w:ascii="宋体" w:hAnsi="宋体" w:cs="微软雅黑"/>
          <w:color w:val="auto"/>
          <w:kern w:val="0"/>
          <w:szCs w:val="21"/>
          <w:highlight w:val="none"/>
        </w:rPr>
        <w:t>（</w:t>
      </w:r>
      <w:r>
        <w:rPr>
          <w:rFonts w:hint="eastAsia" w:ascii="宋体" w:hAnsi="宋体" w:cs="微软雅黑"/>
          <w:color w:val="auto"/>
          <w:spacing w:val="-2"/>
          <w:kern w:val="0"/>
          <w:szCs w:val="21"/>
          <w:highlight w:val="none"/>
        </w:rPr>
        <w:t>单</w:t>
      </w:r>
      <w:r>
        <w:rPr>
          <w:rFonts w:hint="eastAsia" w:ascii="宋体" w:hAnsi="宋体" w:cs="微软雅黑"/>
          <w:color w:val="auto"/>
          <w:kern w:val="0"/>
          <w:szCs w:val="21"/>
          <w:highlight w:val="none"/>
        </w:rPr>
        <w:t>位</w:t>
      </w:r>
      <w:r>
        <w:rPr>
          <w:rFonts w:hint="eastAsia" w:ascii="宋体" w:hAnsi="宋体" w:cs="微软雅黑"/>
          <w:color w:val="auto"/>
          <w:spacing w:val="-2"/>
          <w:kern w:val="0"/>
          <w:szCs w:val="21"/>
          <w:highlight w:val="none"/>
        </w:rPr>
        <w:t>负</w:t>
      </w:r>
      <w:r>
        <w:rPr>
          <w:rFonts w:hint="eastAsia" w:ascii="宋体" w:hAnsi="宋体" w:cs="微软雅黑"/>
          <w:color w:val="auto"/>
          <w:kern w:val="0"/>
          <w:szCs w:val="21"/>
          <w:highlight w:val="none"/>
        </w:rPr>
        <w:t>责人</w:t>
      </w:r>
      <w:r>
        <w:rPr>
          <w:rFonts w:hint="eastAsia" w:ascii="宋体" w:hAnsi="宋体" w:cs="微软雅黑"/>
          <w:color w:val="auto"/>
          <w:spacing w:val="-2"/>
          <w:kern w:val="0"/>
          <w:szCs w:val="21"/>
          <w:highlight w:val="none"/>
        </w:rPr>
        <w:t>）</w:t>
      </w:r>
      <w:r>
        <w:rPr>
          <w:rFonts w:hint="eastAsia" w:ascii="宋体" w:hAnsi="宋体"/>
          <w:color w:val="auto"/>
          <w:szCs w:val="21"/>
          <w:highlight w:val="none"/>
        </w:rPr>
        <w:t>或其授权的代理人（签字或印章）：</w:t>
      </w:r>
    </w:p>
    <w:p w14:paraId="4571D15C">
      <w:pPr>
        <w:adjustRightInd w:val="0"/>
        <w:snapToGrid w:val="0"/>
        <w:rPr>
          <w:rFonts w:ascii="黑体" w:hAnsi="宋体" w:eastAsia="黑体"/>
          <w:b/>
          <w:bCs/>
          <w:color w:val="auto"/>
          <w:szCs w:val="21"/>
          <w:highlight w:val="none"/>
        </w:rPr>
      </w:pPr>
      <w:r>
        <w:rPr>
          <w:rFonts w:hint="eastAsia" w:ascii="宋体" w:hAnsi="宋体"/>
          <w:color w:val="auto"/>
          <w:szCs w:val="21"/>
          <w:highlight w:val="none"/>
        </w:rPr>
        <w:t>日       期：年月_日</w:t>
      </w:r>
      <w:r>
        <w:rPr>
          <w:rFonts w:ascii="黑体" w:hAnsi="宋体" w:eastAsia="黑体"/>
          <w:color w:val="auto"/>
          <w:sz w:val="28"/>
          <w:szCs w:val="28"/>
          <w:highlight w:val="none"/>
        </w:rPr>
        <w:br w:type="page"/>
      </w:r>
    </w:p>
    <w:p w14:paraId="6805DE6C">
      <w:pPr>
        <w:pStyle w:val="2"/>
        <w:jc w:val="center"/>
        <w:rPr>
          <w:rFonts w:ascii="黑体" w:hAnsi="宋体" w:eastAsia="黑体"/>
          <w:color w:val="auto"/>
          <w:sz w:val="28"/>
          <w:szCs w:val="28"/>
          <w:highlight w:val="none"/>
        </w:rPr>
      </w:pPr>
      <w:bookmarkStart w:id="1760" w:name="_Toc94367950"/>
      <w:bookmarkStart w:id="1761" w:name="_Toc15888550"/>
      <w:bookmarkStart w:id="1762" w:name="_Toc23817"/>
      <w:bookmarkStart w:id="1763" w:name="_Toc9023"/>
      <w:bookmarkStart w:id="1764" w:name="_Toc15051"/>
      <w:bookmarkStart w:id="1765" w:name="_Toc192951276"/>
      <w:bookmarkStart w:id="1766" w:name="_Toc100670494"/>
      <w:bookmarkStart w:id="1767" w:name="_Toc77676538"/>
      <w:bookmarkStart w:id="1768" w:name="_Toc4642"/>
      <w:bookmarkStart w:id="1769" w:name="_Toc171273735"/>
      <w:bookmarkStart w:id="1770" w:name="_Toc85973000"/>
      <w:bookmarkStart w:id="1771" w:name="_Toc100670742"/>
      <w:bookmarkStart w:id="1772" w:name="_Toc108342009"/>
      <w:bookmarkStart w:id="1773" w:name="_Toc78450027"/>
      <w:bookmarkStart w:id="1774" w:name="_Toc95601435"/>
      <w:bookmarkStart w:id="1775" w:name="_Toc154428452"/>
      <w:bookmarkStart w:id="1776" w:name="_Toc75289619"/>
      <w:bookmarkStart w:id="1777" w:name="_Toc77199473"/>
      <w:bookmarkStart w:id="1778" w:name="_Toc21260"/>
      <w:bookmarkStart w:id="1779" w:name="_Toc192949765"/>
      <w:bookmarkStart w:id="1780" w:name="_Toc192949666"/>
      <w:bookmarkStart w:id="1781" w:name="_Toc20402"/>
      <w:bookmarkStart w:id="1782" w:name="_Toc390538621"/>
      <w:bookmarkStart w:id="1783" w:name="_Toc2557"/>
      <w:bookmarkStart w:id="1784" w:name="_Toc75289299"/>
      <w:bookmarkStart w:id="1785" w:name="_Toc114036780"/>
      <w:bookmarkStart w:id="1786" w:name="_Toc78314334"/>
      <w:bookmarkStart w:id="1787" w:name="_Toc27130"/>
      <w:bookmarkStart w:id="1788" w:name="_Toc117192516"/>
      <w:bookmarkStart w:id="1789" w:name="_Toc11942"/>
      <w:bookmarkStart w:id="1790" w:name="_Toc112705009"/>
      <w:r>
        <w:rPr>
          <w:rFonts w:hint="eastAsia" w:ascii="黑体" w:hAnsi="宋体" w:eastAsia="黑体"/>
          <w:color w:val="auto"/>
          <w:sz w:val="28"/>
          <w:szCs w:val="28"/>
          <w:highlight w:val="none"/>
        </w:rPr>
        <w:t>九、采购需求偏离表</w:t>
      </w:r>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p>
    <w:p w14:paraId="3CCA381B">
      <w:pPr>
        <w:adjustRightInd w:val="0"/>
        <w:snapToGrid w:val="0"/>
        <w:spacing w:line="360" w:lineRule="auto"/>
        <w:rPr>
          <w:rFonts w:ascii="宋体" w:hAnsi="宋体"/>
          <w:color w:val="auto"/>
          <w:szCs w:val="21"/>
          <w:highlight w:val="none"/>
        </w:rPr>
      </w:pPr>
    </w:p>
    <w:p w14:paraId="3C5C55E4">
      <w:pPr>
        <w:adjustRightInd w:val="0"/>
        <w:snapToGrid w:val="0"/>
        <w:spacing w:line="360" w:lineRule="auto"/>
        <w:ind w:firstLine="420" w:firstLineChars="200"/>
        <w:rPr>
          <w:rFonts w:ascii="宋体" w:hAnsi="宋体"/>
          <w:color w:val="auto"/>
          <w:szCs w:val="21"/>
          <w:highlight w:val="none"/>
          <w:u w:val="single"/>
        </w:rPr>
      </w:pPr>
      <w:r>
        <w:rPr>
          <w:rFonts w:hint="eastAsia" w:ascii="宋体" w:hAnsi="宋体"/>
          <w:color w:val="auto"/>
          <w:szCs w:val="21"/>
          <w:highlight w:val="none"/>
        </w:rPr>
        <w:t>政府采购计划编号：                 项目名称：</w:t>
      </w:r>
    </w:p>
    <w:p w14:paraId="5B0FC892">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包号：                             包名称：</w:t>
      </w:r>
    </w:p>
    <w:tbl>
      <w:tblPr>
        <w:tblStyle w:val="47"/>
        <w:tblW w:w="9014"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28" w:type="dxa"/>
          <w:bottom w:w="0" w:type="dxa"/>
          <w:right w:w="28" w:type="dxa"/>
        </w:tblCellMar>
      </w:tblPr>
      <w:tblGrid>
        <w:gridCol w:w="737"/>
        <w:gridCol w:w="2410"/>
        <w:gridCol w:w="1985"/>
        <w:gridCol w:w="2126"/>
        <w:gridCol w:w="1756"/>
      </w:tblGrid>
      <w:tr w14:paraId="3C2C884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737" w:type="dxa"/>
            <w:vAlign w:val="center"/>
          </w:tcPr>
          <w:p w14:paraId="2E34B40F">
            <w:pPr>
              <w:adjustRightInd w:val="0"/>
              <w:snapToGrid w:val="0"/>
              <w:spacing w:before="50" w:line="360" w:lineRule="auto"/>
              <w:ind w:left="-88" w:leftChars="-42"/>
              <w:jc w:val="center"/>
              <w:rPr>
                <w:rFonts w:ascii="宋体" w:hAnsi="宋体"/>
                <w:color w:val="auto"/>
                <w:szCs w:val="21"/>
                <w:highlight w:val="none"/>
              </w:rPr>
            </w:pPr>
            <w:r>
              <w:rPr>
                <w:rFonts w:hint="eastAsia" w:ascii="宋体" w:hAnsi="宋体"/>
                <w:bCs/>
                <w:color w:val="auto"/>
                <w:szCs w:val="21"/>
                <w:highlight w:val="none"/>
              </w:rPr>
              <w:t>序</w:t>
            </w:r>
            <w:r>
              <w:rPr>
                <w:rFonts w:hint="eastAsia" w:ascii="宋体" w:hAnsi="宋体"/>
                <w:color w:val="auto"/>
                <w:szCs w:val="21"/>
                <w:highlight w:val="none"/>
              </w:rPr>
              <w:t>号</w:t>
            </w:r>
          </w:p>
        </w:tc>
        <w:tc>
          <w:tcPr>
            <w:tcW w:w="2410" w:type="dxa"/>
            <w:vAlign w:val="center"/>
          </w:tcPr>
          <w:p w14:paraId="454ABA5B">
            <w:pPr>
              <w:adjustRightInd w:val="0"/>
              <w:snapToGrid w:val="0"/>
              <w:spacing w:before="50" w:line="360" w:lineRule="auto"/>
              <w:ind w:left="-88" w:leftChars="-42"/>
              <w:jc w:val="center"/>
              <w:rPr>
                <w:rFonts w:ascii="宋体" w:hAnsi="宋体"/>
                <w:color w:val="auto"/>
                <w:szCs w:val="21"/>
                <w:highlight w:val="none"/>
              </w:rPr>
            </w:pPr>
            <w:r>
              <w:rPr>
                <w:rFonts w:hint="eastAsia" w:ascii="宋体" w:hAnsi="宋体"/>
                <w:color w:val="auto"/>
                <w:szCs w:val="21"/>
                <w:highlight w:val="none"/>
              </w:rPr>
              <w:t>招标文件章节</w:t>
            </w:r>
            <w:r>
              <w:rPr>
                <w:rFonts w:hint="eastAsia" w:ascii="宋体" w:hAnsi="宋体"/>
                <w:bCs/>
                <w:color w:val="auto"/>
                <w:szCs w:val="21"/>
                <w:highlight w:val="none"/>
              </w:rPr>
              <w:t>条</w:t>
            </w:r>
            <w:r>
              <w:rPr>
                <w:rFonts w:hint="eastAsia" w:ascii="宋体" w:hAnsi="宋体"/>
                <w:color w:val="auto"/>
                <w:szCs w:val="21"/>
                <w:highlight w:val="none"/>
              </w:rPr>
              <w:t>款号</w:t>
            </w:r>
          </w:p>
        </w:tc>
        <w:tc>
          <w:tcPr>
            <w:tcW w:w="1985" w:type="dxa"/>
            <w:tcBorders>
              <w:right w:val="single" w:color="auto" w:sz="4" w:space="0"/>
            </w:tcBorders>
          </w:tcPr>
          <w:p w14:paraId="277462F6">
            <w:pPr>
              <w:adjustRightInd w:val="0"/>
              <w:snapToGrid w:val="0"/>
              <w:spacing w:before="50" w:line="360" w:lineRule="auto"/>
              <w:jc w:val="center"/>
              <w:rPr>
                <w:color w:val="auto"/>
                <w:highlight w:val="none"/>
              </w:rPr>
            </w:pPr>
            <w:r>
              <w:rPr>
                <w:rFonts w:hint="eastAsia"/>
                <w:color w:val="auto"/>
                <w:highlight w:val="none"/>
              </w:rPr>
              <w:t>招标文件要求</w:t>
            </w:r>
          </w:p>
        </w:tc>
        <w:tc>
          <w:tcPr>
            <w:tcW w:w="2126" w:type="dxa"/>
            <w:tcBorders>
              <w:left w:val="single" w:color="auto" w:sz="4" w:space="0"/>
            </w:tcBorders>
          </w:tcPr>
          <w:p w14:paraId="0AE7804B">
            <w:pPr>
              <w:adjustRightInd w:val="0"/>
              <w:snapToGrid w:val="0"/>
              <w:spacing w:before="50" w:line="360" w:lineRule="auto"/>
              <w:jc w:val="center"/>
              <w:rPr>
                <w:color w:val="auto"/>
                <w:highlight w:val="none"/>
              </w:rPr>
            </w:pPr>
            <w:r>
              <w:rPr>
                <w:rFonts w:hint="eastAsia"/>
                <w:color w:val="auto"/>
                <w:highlight w:val="none"/>
              </w:rPr>
              <w:t>投标文件应答</w:t>
            </w:r>
          </w:p>
        </w:tc>
        <w:tc>
          <w:tcPr>
            <w:tcW w:w="1756" w:type="dxa"/>
            <w:vAlign w:val="center"/>
          </w:tcPr>
          <w:p w14:paraId="39B6E9A5">
            <w:pPr>
              <w:adjustRightInd w:val="0"/>
              <w:snapToGrid w:val="0"/>
              <w:spacing w:before="50" w:line="360" w:lineRule="auto"/>
              <w:ind w:left="-88" w:leftChars="-42"/>
              <w:jc w:val="center"/>
              <w:rPr>
                <w:rFonts w:ascii="宋体" w:hAnsi="宋体"/>
                <w:color w:val="auto"/>
                <w:szCs w:val="21"/>
                <w:highlight w:val="none"/>
              </w:rPr>
            </w:pPr>
            <w:r>
              <w:rPr>
                <w:rFonts w:hint="eastAsia" w:ascii="宋体" w:hAnsi="宋体"/>
                <w:color w:val="auto"/>
                <w:szCs w:val="21"/>
                <w:highlight w:val="none"/>
              </w:rPr>
              <w:t>偏离说明</w:t>
            </w:r>
          </w:p>
        </w:tc>
      </w:tr>
      <w:tr w14:paraId="0575635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737" w:type="dxa"/>
            <w:vAlign w:val="center"/>
          </w:tcPr>
          <w:p w14:paraId="65692BE1">
            <w:pPr>
              <w:adjustRightInd w:val="0"/>
              <w:snapToGrid w:val="0"/>
              <w:spacing w:before="50" w:line="360" w:lineRule="auto"/>
              <w:ind w:left="-88" w:leftChars="-42"/>
              <w:jc w:val="center"/>
              <w:rPr>
                <w:rFonts w:ascii="宋体" w:hAnsi="宋体"/>
                <w:color w:val="auto"/>
                <w:szCs w:val="21"/>
                <w:highlight w:val="none"/>
              </w:rPr>
            </w:pPr>
          </w:p>
        </w:tc>
        <w:tc>
          <w:tcPr>
            <w:tcW w:w="2410" w:type="dxa"/>
            <w:vAlign w:val="center"/>
          </w:tcPr>
          <w:p w14:paraId="71F551C6">
            <w:pPr>
              <w:adjustRightInd w:val="0"/>
              <w:snapToGrid w:val="0"/>
              <w:spacing w:before="50" w:line="360" w:lineRule="auto"/>
              <w:ind w:left="-88" w:leftChars="-42"/>
              <w:jc w:val="center"/>
              <w:rPr>
                <w:rFonts w:ascii="宋体" w:hAnsi="宋体"/>
                <w:color w:val="auto"/>
                <w:szCs w:val="21"/>
                <w:highlight w:val="none"/>
              </w:rPr>
            </w:pPr>
          </w:p>
        </w:tc>
        <w:tc>
          <w:tcPr>
            <w:tcW w:w="1985" w:type="dxa"/>
            <w:tcBorders>
              <w:right w:val="single" w:color="auto" w:sz="4" w:space="0"/>
            </w:tcBorders>
            <w:vAlign w:val="center"/>
          </w:tcPr>
          <w:p w14:paraId="4E9474DD">
            <w:pPr>
              <w:adjustRightInd w:val="0"/>
              <w:snapToGrid w:val="0"/>
              <w:spacing w:before="50" w:line="360" w:lineRule="auto"/>
              <w:ind w:left="-88" w:leftChars="-42"/>
              <w:jc w:val="center"/>
              <w:rPr>
                <w:rFonts w:ascii="宋体" w:hAnsi="宋体"/>
                <w:color w:val="auto"/>
                <w:szCs w:val="21"/>
                <w:highlight w:val="none"/>
              </w:rPr>
            </w:pPr>
          </w:p>
        </w:tc>
        <w:tc>
          <w:tcPr>
            <w:tcW w:w="2126" w:type="dxa"/>
            <w:tcBorders>
              <w:left w:val="single" w:color="auto" w:sz="4" w:space="0"/>
            </w:tcBorders>
            <w:vAlign w:val="center"/>
          </w:tcPr>
          <w:p w14:paraId="2E7AF192">
            <w:pPr>
              <w:adjustRightInd w:val="0"/>
              <w:snapToGrid w:val="0"/>
              <w:spacing w:before="50" w:line="360" w:lineRule="auto"/>
              <w:ind w:left="-88" w:leftChars="-42"/>
              <w:jc w:val="center"/>
              <w:rPr>
                <w:rFonts w:ascii="宋体" w:hAnsi="宋体"/>
                <w:color w:val="auto"/>
                <w:szCs w:val="21"/>
                <w:highlight w:val="none"/>
              </w:rPr>
            </w:pPr>
          </w:p>
        </w:tc>
        <w:tc>
          <w:tcPr>
            <w:tcW w:w="1756" w:type="dxa"/>
            <w:vAlign w:val="center"/>
          </w:tcPr>
          <w:p w14:paraId="05280374">
            <w:pPr>
              <w:adjustRightInd w:val="0"/>
              <w:snapToGrid w:val="0"/>
              <w:spacing w:before="50" w:line="360" w:lineRule="auto"/>
              <w:ind w:left="-88" w:leftChars="-42"/>
              <w:jc w:val="center"/>
              <w:rPr>
                <w:rFonts w:ascii="宋体" w:hAnsi="宋体"/>
                <w:color w:val="auto"/>
                <w:szCs w:val="21"/>
                <w:highlight w:val="none"/>
              </w:rPr>
            </w:pPr>
          </w:p>
        </w:tc>
      </w:tr>
      <w:tr w14:paraId="321B090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737" w:type="dxa"/>
            <w:vAlign w:val="center"/>
          </w:tcPr>
          <w:p w14:paraId="2C717C36">
            <w:pPr>
              <w:adjustRightInd w:val="0"/>
              <w:snapToGrid w:val="0"/>
              <w:spacing w:before="50" w:line="360" w:lineRule="auto"/>
              <w:ind w:left="-88" w:leftChars="-42"/>
              <w:jc w:val="center"/>
              <w:rPr>
                <w:rFonts w:ascii="宋体" w:hAnsi="宋体"/>
                <w:color w:val="auto"/>
                <w:szCs w:val="21"/>
                <w:highlight w:val="none"/>
              </w:rPr>
            </w:pPr>
          </w:p>
        </w:tc>
        <w:tc>
          <w:tcPr>
            <w:tcW w:w="2410" w:type="dxa"/>
            <w:vAlign w:val="center"/>
          </w:tcPr>
          <w:p w14:paraId="6D90E2AE">
            <w:pPr>
              <w:adjustRightInd w:val="0"/>
              <w:snapToGrid w:val="0"/>
              <w:spacing w:before="50" w:line="360" w:lineRule="auto"/>
              <w:ind w:left="-88" w:leftChars="-42"/>
              <w:jc w:val="center"/>
              <w:rPr>
                <w:rFonts w:ascii="宋体" w:hAnsi="宋体"/>
                <w:color w:val="auto"/>
                <w:szCs w:val="21"/>
                <w:highlight w:val="none"/>
              </w:rPr>
            </w:pPr>
          </w:p>
        </w:tc>
        <w:tc>
          <w:tcPr>
            <w:tcW w:w="1985" w:type="dxa"/>
            <w:tcBorders>
              <w:right w:val="single" w:color="auto" w:sz="4" w:space="0"/>
            </w:tcBorders>
            <w:vAlign w:val="center"/>
          </w:tcPr>
          <w:p w14:paraId="280D475C">
            <w:pPr>
              <w:adjustRightInd w:val="0"/>
              <w:snapToGrid w:val="0"/>
              <w:spacing w:before="50" w:line="360" w:lineRule="auto"/>
              <w:ind w:left="-88" w:leftChars="-42"/>
              <w:jc w:val="center"/>
              <w:rPr>
                <w:rFonts w:ascii="宋体" w:hAnsi="宋体"/>
                <w:color w:val="auto"/>
                <w:szCs w:val="21"/>
                <w:highlight w:val="none"/>
              </w:rPr>
            </w:pPr>
          </w:p>
        </w:tc>
        <w:tc>
          <w:tcPr>
            <w:tcW w:w="2126" w:type="dxa"/>
            <w:tcBorders>
              <w:left w:val="single" w:color="auto" w:sz="4" w:space="0"/>
            </w:tcBorders>
            <w:vAlign w:val="center"/>
          </w:tcPr>
          <w:p w14:paraId="1C5DEF64">
            <w:pPr>
              <w:adjustRightInd w:val="0"/>
              <w:snapToGrid w:val="0"/>
              <w:spacing w:before="50" w:line="360" w:lineRule="auto"/>
              <w:ind w:left="-88" w:leftChars="-42"/>
              <w:jc w:val="center"/>
              <w:rPr>
                <w:rFonts w:ascii="宋体" w:hAnsi="宋体"/>
                <w:color w:val="auto"/>
                <w:szCs w:val="21"/>
                <w:highlight w:val="none"/>
              </w:rPr>
            </w:pPr>
          </w:p>
        </w:tc>
        <w:tc>
          <w:tcPr>
            <w:tcW w:w="1756" w:type="dxa"/>
            <w:vAlign w:val="center"/>
          </w:tcPr>
          <w:p w14:paraId="7BC064E7">
            <w:pPr>
              <w:adjustRightInd w:val="0"/>
              <w:snapToGrid w:val="0"/>
              <w:spacing w:before="50" w:line="360" w:lineRule="auto"/>
              <w:ind w:left="-88" w:leftChars="-42"/>
              <w:jc w:val="center"/>
              <w:rPr>
                <w:rFonts w:ascii="宋体" w:hAnsi="宋体"/>
                <w:color w:val="auto"/>
                <w:szCs w:val="21"/>
                <w:highlight w:val="none"/>
              </w:rPr>
            </w:pPr>
          </w:p>
        </w:tc>
      </w:tr>
      <w:tr w14:paraId="5294FE1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737" w:type="dxa"/>
            <w:vAlign w:val="center"/>
          </w:tcPr>
          <w:p w14:paraId="0273079A">
            <w:pPr>
              <w:adjustRightInd w:val="0"/>
              <w:snapToGrid w:val="0"/>
              <w:spacing w:before="50" w:line="360" w:lineRule="auto"/>
              <w:ind w:left="-88" w:leftChars="-42"/>
              <w:jc w:val="center"/>
              <w:rPr>
                <w:rFonts w:ascii="宋体" w:hAnsi="宋体"/>
                <w:color w:val="auto"/>
                <w:szCs w:val="21"/>
                <w:highlight w:val="none"/>
              </w:rPr>
            </w:pPr>
          </w:p>
        </w:tc>
        <w:tc>
          <w:tcPr>
            <w:tcW w:w="2410" w:type="dxa"/>
            <w:vAlign w:val="center"/>
          </w:tcPr>
          <w:p w14:paraId="66077920">
            <w:pPr>
              <w:adjustRightInd w:val="0"/>
              <w:snapToGrid w:val="0"/>
              <w:spacing w:before="50" w:line="360" w:lineRule="auto"/>
              <w:ind w:left="-88" w:leftChars="-42"/>
              <w:jc w:val="center"/>
              <w:rPr>
                <w:rFonts w:ascii="宋体" w:hAnsi="宋体"/>
                <w:color w:val="auto"/>
                <w:szCs w:val="21"/>
                <w:highlight w:val="none"/>
              </w:rPr>
            </w:pPr>
          </w:p>
        </w:tc>
        <w:tc>
          <w:tcPr>
            <w:tcW w:w="1985" w:type="dxa"/>
            <w:tcBorders>
              <w:right w:val="single" w:color="auto" w:sz="4" w:space="0"/>
            </w:tcBorders>
            <w:vAlign w:val="center"/>
          </w:tcPr>
          <w:p w14:paraId="1F25AC74">
            <w:pPr>
              <w:adjustRightInd w:val="0"/>
              <w:snapToGrid w:val="0"/>
              <w:spacing w:before="50" w:line="360" w:lineRule="auto"/>
              <w:ind w:left="-88" w:leftChars="-42"/>
              <w:jc w:val="center"/>
              <w:rPr>
                <w:rFonts w:ascii="宋体" w:hAnsi="宋体"/>
                <w:color w:val="auto"/>
                <w:szCs w:val="21"/>
                <w:highlight w:val="none"/>
              </w:rPr>
            </w:pPr>
          </w:p>
        </w:tc>
        <w:tc>
          <w:tcPr>
            <w:tcW w:w="2126" w:type="dxa"/>
            <w:tcBorders>
              <w:left w:val="single" w:color="auto" w:sz="4" w:space="0"/>
            </w:tcBorders>
            <w:vAlign w:val="center"/>
          </w:tcPr>
          <w:p w14:paraId="6D63D052">
            <w:pPr>
              <w:adjustRightInd w:val="0"/>
              <w:snapToGrid w:val="0"/>
              <w:spacing w:before="50" w:line="360" w:lineRule="auto"/>
              <w:ind w:left="-88" w:leftChars="-42"/>
              <w:jc w:val="center"/>
              <w:rPr>
                <w:rFonts w:ascii="宋体" w:hAnsi="宋体"/>
                <w:color w:val="auto"/>
                <w:szCs w:val="21"/>
                <w:highlight w:val="none"/>
              </w:rPr>
            </w:pPr>
          </w:p>
        </w:tc>
        <w:tc>
          <w:tcPr>
            <w:tcW w:w="1756" w:type="dxa"/>
            <w:vAlign w:val="center"/>
          </w:tcPr>
          <w:p w14:paraId="19460165">
            <w:pPr>
              <w:adjustRightInd w:val="0"/>
              <w:snapToGrid w:val="0"/>
              <w:spacing w:before="50" w:line="360" w:lineRule="auto"/>
              <w:ind w:left="-88" w:leftChars="-42"/>
              <w:jc w:val="center"/>
              <w:rPr>
                <w:rFonts w:ascii="宋体" w:hAnsi="宋体"/>
                <w:color w:val="auto"/>
                <w:szCs w:val="21"/>
                <w:highlight w:val="none"/>
              </w:rPr>
            </w:pPr>
          </w:p>
        </w:tc>
      </w:tr>
      <w:tr w14:paraId="47A1A41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737" w:type="dxa"/>
            <w:vAlign w:val="center"/>
          </w:tcPr>
          <w:p w14:paraId="0EB9DAC4">
            <w:pPr>
              <w:adjustRightInd w:val="0"/>
              <w:snapToGrid w:val="0"/>
              <w:spacing w:before="50" w:line="360" w:lineRule="auto"/>
              <w:ind w:left="-88" w:leftChars="-42"/>
              <w:jc w:val="center"/>
              <w:rPr>
                <w:rFonts w:ascii="宋体" w:hAnsi="宋体"/>
                <w:color w:val="auto"/>
                <w:szCs w:val="21"/>
                <w:highlight w:val="none"/>
              </w:rPr>
            </w:pPr>
          </w:p>
        </w:tc>
        <w:tc>
          <w:tcPr>
            <w:tcW w:w="2410" w:type="dxa"/>
            <w:vAlign w:val="center"/>
          </w:tcPr>
          <w:p w14:paraId="183605FE">
            <w:pPr>
              <w:adjustRightInd w:val="0"/>
              <w:snapToGrid w:val="0"/>
              <w:spacing w:before="50" w:line="360" w:lineRule="auto"/>
              <w:ind w:left="-88" w:leftChars="-42"/>
              <w:jc w:val="center"/>
              <w:rPr>
                <w:rFonts w:ascii="宋体" w:hAnsi="宋体"/>
                <w:color w:val="auto"/>
                <w:szCs w:val="21"/>
                <w:highlight w:val="none"/>
              </w:rPr>
            </w:pPr>
          </w:p>
        </w:tc>
        <w:tc>
          <w:tcPr>
            <w:tcW w:w="1985" w:type="dxa"/>
            <w:tcBorders>
              <w:right w:val="single" w:color="auto" w:sz="4" w:space="0"/>
            </w:tcBorders>
            <w:vAlign w:val="center"/>
          </w:tcPr>
          <w:p w14:paraId="2C2B8C19">
            <w:pPr>
              <w:adjustRightInd w:val="0"/>
              <w:snapToGrid w:val="0"/>
              <w:spacing w:before="50" w:line="360" w:lineRule="auto"/>
              <w:ind w:left="-88" w:leftChars="-42"/>
              <w:jc w:val="center"/>
              <w:rPr>
                <w:rFonts w:ascii="宋体" w:hAnsi="宋体"/>
                <w:color w:val="auto"/>
                <w:szCs w:val="21"/>
                <w:highlight w:val="none"/>
              </w:rPr>
            </w:pPr>
          </w:p>
        </w:tc>
        <w:tc>
          <w:tcPr>
            <w:tcW w:w="2126" w:type="dxa"/>
            <w:tcBorders>
              <w:left w:val="single" w:color="auto" w:sz="4" w:space="0"/>
            </w:tcBorders>
            <w:vAlign w:val="center"/>
          </w:tcPr>
          <w:p w14:paraId="574E4932">
            <w:pPr>
              <w:adjustRightInd w:val="0"/>
              <w:snapToGrid w:val="0"/>
              <w:spacing w:before="50" w:line="360" w:lineRule="auto"/>
              <w:ind w:left="-88" w:leftChars="-42"/>
              <w:jc w:val="center"/>
              <w:rPr>
                <w:rFonts w:ascii="宋体" w:hAnsi="宋体"/>
                <w:color w:val="auto"/>
                <w:szCs w:val="21"/>
                <w:highlight w:val="none"/>
              </w:rPr>
            </w:pPr>
          </w:p>
        </w:tc>
        <w:tc>
          <w:tcPr>
            <w:tcW w:w="1756" w:type="dxa"/>
            <w:vAlign w:val="center"/>
          </w:tcPr>
          <w:p w14:paraId="742EF422">
            <w:pPr>
              <w:adjustRightInd w:val="0"/>
              <w:snapToGrid w:val="0"/>
              <w:spacing w:before="50" w:line="360" w:lineRule="auto"/>
              <w:ind w:left="-88" w:leftChars="-42"/>
              <w:jc w:val="center"/>
              <w:rPr>
                <w:rFonts w:ascii="宋体" w:hAnsi="宋体"/>
                <w:color w:val="auto"/>
                <w:szCs w:val="21"/>
                <w:highlight w:val="none"/>
              </w:rPr>
            </w:pPr>
          </w:p>
        </w:tc>
      </w:tr>
      <w:tr w14:paraId="033CAF0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737" w:type="dxa"/>
            <w:vAlign w:val="center"/>
          </w:tcPr>
          <w:p w14:paraId="5AE3BD41">
            <w:pPr>
              <w:adjustRightInd w:val="0"/>
              <w:snapToGrid w:val="0"/>
              <w:spacing w:before="50" w:line="360" w:lineRule="auto"/>
              <w:ind w:left="-88" w:leftChars="-42"/>
              <w:jc w:val="center"/>
              <w:rPr>
                <w:rFonts w:ascii="宋体" w:hAnsi="宋体"/>
                <w:color w:val="auto"/>
                <w:szCs w:val="21"/>
                <w:highlight w:val="none"/>
              </w:rPr>
            </w:pPr>
          </w:p>
        </w:tc>
        <w:tc>
          <w:tcPr>
            <w:tcW w:w="2410" w:type="dxa"/>
            <w:vAlign w:val="center"/>
          </w:tcPr>
          <w:p w14:paraId="4E8C9476">
            <w:pPr>
              <w:adjustRightInd w:val="0"/>
              <w:snapToGrid w:val="0"/>
              <w:spacing w:before="50" w:line="360" w:lineRule="auto"/>
              <w:ind w:left="-88" w:leftChars="-42"/>
              <w:jc w:val="center"/>
              <w:rPr>
                <w:rFonts w:ascii="宋体" w:hAnsi="宋体"/>
                <w:color w:val="auto"/>
                <w:szCs w:val="21"/>
                <w:highlight w:val="none"/>
              </w:rPr>
            </w:pPr>
          </w:p>
        </w:tc>
        <w:tc>
          <w:tcPr>
            <w:tcW w:w="1985" w:type="dxa"/>
            <w:tcBorders>
              <w:right w:val="single" w:color="auto" w:sz="4" w:space="0"/>
            </w:tcBorders>
            <w:vAlign w:val="center"/>
          </w:tcPr>
          <w:p w14:paraId="3C1B041E">
            <w:pPr>
              <w:adjustRightInd w:val="0"/>
              <w:snapToGrid w:val="0"/>
              <w:spacing w:before="50" w:line="360" w:lineRule="auto"/>
              <w:ind w:left="-88" w:leftChars="-42"/>
              <w:jc w:val="center"/>
              <w:rPr>
                <w:rFonts w:ascii="宋体" w:hAnsi="宋体"/>
                <w:color w:val="auto"/>
                <w:szCs w:val="21"/>
                <w:highlight w:val="none"/>
              </w:rPr>
            </w:pPr>
          </w:p>
        </w:tc>
        <w:tc>
          <w:tcPr>
            <w:tcW w:w="2126" w:type="dxa"/>
            <w:tcBorders>
              <w:left w:val="single" w:color="auto" w:sz="4" w:space="0"/>
            </w:tcBorders>
            <w:vAlign w:val="center"/>
          </w:tcPr>
          <w:p w14:paraId="25EA0A76">
            <w:pPr>
              <w:adjustRightInd w:val="0"/>
              <w:snapToGrid w:val="0"/>
              <w:spacing w:before="50" w:line="360" w:lineRule="auto"/>
              <w:ind w:left="-88" w:leftChars="-42"/>
              <w:jc w:val="center"/>
              <w:rPr>
                <w:rFonts w:ascii="宋体" w:hAnsi="宋体"/>
                <w:color w:val="auto"/>
                <w:szCs w:val="21"/>
                <w:highlight w:val="none"/>
              </w:rPr>
            </w:pPr>
          </w:p>
        </w:tc>
        <w:tc>
          <w:tcPr>
            <w:tcW w:w="1756" w:type="dxa"/>
            <w:vAlign w:val="center"/>
          </w:tcPr>
          <w:p w14:paraId="1DB72D97">
            <w:pPr>
              <w:adjustRightInd w:val="0"/>
              <w:snapToGrid w:val="0"/>
              <w:spacing w:before="50" w:line="360" w:lineRule="auto"/>
              <w:ind w:left="-88" w:leftChars="-42"/>
              <w:jc w:val="center"/>
              <w:rPr>
                <w:rFonts w:ascii="宋体" w:hAnsi="宋体"/>
                <w:color w:val="auto"/>
                <w:szCs w:val="21"/>
                <w:highlight w:val="none"/>
              </w:rPr>
            </w:pPr>
          </w:p>
        </w:tc>
      </w:tr>
      <w:tr w14:paraId="10F2B1D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737" w:type="dxa"/>
            <w:vAlign w:val="center"/>
          </w:tcPr>
          <w:p w14:paraId="6C04DB56">
            <w:pPr>
              <w:adjustRightInd w:val="0"/>
              <w:snapToGrid w:val="0"/>
              <w:spacing w:before="50" w:line="360" w:lineRule="auto"/>
              <w:ind w:left="-88" w:leftChars="-42"/>
              <w:jc w:val="center"/>
              <w:rPr>
                <w:rFonts w:ascii="宋体" w:hAnsi="宋体"/>
                <w:color w:val="auto"/>
                <w:szCs w:val="21"/>
                <w:highlight w:val="none"/>
              </w:rPr>
            </w:pPr>
          </w:p>
        </w:tc>
        <w:tc>
          <w:tcPr>
            <w:tcW w:w="2410" w:type="dxa"/>
            <w:vAlign w:val="center"/>
          </w:tcPr>
          <w:p w14:paraId="1B396900">
            <w:pPr>
              <w:adjustRightInd w:val="0"/>
              <w:snapToGrid w:val="0"/>
              <w:spacing w:before="50" w:line="360" w:lineRule="auto"/>
              <w:ind w:left="-88" w:leftChars="-42"/>
              <w:jc w:val="center"/>
              <w:rPr>
                <w:rFonts w:ascii="宋体" w:hAnsi="宋体"/>
                <w:color w:val="auto"/>
                <w:szCs w:val="21"/>
                <w:highlight w:val="none"/>
              </w:rPr>
            </w:pPr>
          </w:p>
        </w:tc>
        <w:tc>
          <w:tcPr>
            <w:tcW w:w="1985" w:type="dxa"/>
            <w:tcBorders>
              <w:right w:val="single" w:color="auto" w:sz="4" w:space="0"/>
            </w:tcBorders>
            <w:vAlign w:val="center"/>
          </w:tcPr>
          <w:p w14:paraId="198E9295">
            <w:pPr>
              <w:adjustRightInd w:val="0"/>
              <w:snapToGrid w:val="0"/>
              <w:spacing w:before="50" w:line="360" w:lineRule="auto"/>
              <w:ind w:left="-88" w:leftChars="-42"/>
              <w:jc w:val="center"/>
              <w:rPr>
                <w:rFonts w:ascii="宋体" w:hAnsi="宋体"/>
                <w:color w:val="auto"/>
                <w:szCs w:val="21"/>
                <w:highlight w:val="none"/>
              </w:rPr>
            </w:pPr>
          </w:p>
        </w:tc>
        <w:tc>
          <w:tcPr>
            <w:tcW w:w="3882" w:type="dxa"/>
            <w:gridSpan w:val="2"/>
            <w:tcBorders>
              <w:left w:val="single" w:color="auto" w:sz="4" w:space="0"/>
            </w:tcBorders>
            <w:vAlign w:val="center"/>
          </w:tcPr>
          <w:p w14:paraId="4AF7E76D">
            <w:pPr>
              <w:adjustRightInd w:val="0"/>
              <w:snapToGrid w:val="0"/>
              <w:spacing w:before="50" w:line="360" w:lineRule="auto"/>
              <w:ind w:firstLine="422" w:firstLineChars="200"/>
              <w:rPr>
                <w:rFonts w:ascii="宋体" w:hAnsi="宋体"/>
                <w:color w:val="auto"/>
                <w:szCs w:val="21"/>
                <w:highlight w:val="none"/>
              </w:rPr>
            </w:pPr>
            <w:r>
              <w:rPr>
                <w:rFonts w:hint="eastAsia" w:ascii="宋体" w:hAnsi="宋体"/>
                <w:b/>
                <w:color w:val="auto"/>
                <w:szCs w:val="21"/>
                <w:highlight w:val="none"/>
              </w:rPr>
              <w:t>投标人保证：除本采购需求偏离表列出的偏离外，我单位对招标文件的其他采购需求条款完全响应，无偏离。</w:t>
            </w:r>
          </w:p>
        </w:tc>
      </w:tr>
    </w:tbl>
    <w:p w14:paraId="68386D7B">
      <w:pPr>
        <w:adjustRightInd w:val="0"/>
        <w:snapToGrid w:val="0"/>
        <w:spacing w:before="50" w:line="360" w:lineRule="auto"/>
        <w:ind w:left="-88" w:leftChars="-42"/>
        <w:rPr>
          <w:rFonts w:ascii="宋体" w:hAnsi="宋体"/>
          <w:color w:val="auto"/>
          <w:szCs w:val="21"/>
          <w:highlight w:val="none"/>
        </w:rPr>
      </w:pPr>
      <w:r>
        <w:rPr>
          <w:rFonts w:hint="eastAsia" w:ascii="宋体" w:hAnsi="宋体"/>
          <w:b/>
          <w:color w:val="auto"/>
          <w:szCs w:val="21"/>
          <w:highlight w:val="none"/>
        </w:rPr>
        <w:t>备注</w:t>
      </w:r>
      <w:r>
        <w:rPr>
          <w:rFonts w:hint="eastAsia" w:ascii="宋体" w:hAnsi="宋体"/>
          <w:color w:val="auto"/>
          <w:szCs w:val="21"/>
          <w:highlight w:val="none"/>
        </w:rPr>
        <w:t>：1.投标人应根据招标文件第五章“采购需求”填写本表；</w:t>
      </w:r>
    </w:p>
    <w:p w14:paraId="5B8A6B38">
      <w:pPr>
        <w:adjustRightInd w:val="0"/>
        <w:snapToGrid w:val="0"/>
        <w:spacing w:before="50" w:line="360" w:lineRule="auto"/>
        <w:ind w:left="-88" w:leftChars="-42" w:firstLine="420" w:firstLineChars="200"/>
        <w:rPr>
          <w:rFonts w:ascii="宋体" w:hAnsi="宋体"/>
          <w:b/>
          <w:color w:val="auto"/>
          <w:szCs w:val="21"/>
          <w:highlight w:val="none"/>
        </w:rPr>
      </w:pPr>
      <w:r>
        <w:rPr>
          <w:rFonts w:hint="eastAsia" w:ascii="宋体" w:hAnsi="宋体"/>
          <w:color w:val="auto"/>
          <w:szCs w:val="21"/>
          <w:highlight w:val="none"/>
        </w:rPr>
        <w:t>2.</w:t>
      </w:r>
      <w:r>
        <w:rPr>
          <w:rFonts w:hint="eastAsia" w:ascii="宋体" w:hAnsi="宋体"/>
          <w:b/>
          <w:color w:val="auto"/>
          <w:szCs w:val="21"/>
          <w:highlight w:val="none"/>
        </w:rPr>
        <w:t>投标人如果对招标文件第五章“采购需求”的响应有偏离，应将偏离条款逐条如实应答，并作出说明；</w:t>
      </w:r>
    </w:p>
    <w:p w14:paraId="083B83F6">
      <w:pPr>
        <w:adjustRightInd w:val="0"/>
        <w:snapToGrid w:val="0"/>
        <w:spacing w:before="50" w:line="360" w:lineRule="auto"/>
        <w:ind w:left="-88" w:leftChars="-42" w:firstLine="420" w:firstLineChars="200"/>
        <w:rPr>
          <w:rFonts w:ascii="宋体" w:hAnsi="宋体"/>
          <w:color w:val="auto"/>
          <w:szCs w:val="21"/>
          <w:highlight w:val="none"/>
        </w:rPr>
      </w:pPr>
      <w:r>
        <w:rPr>
          <w:rFonts w:hint="eastAsia" w:ascii="宋体" w:hAnsi="宋体"/>
          <w:color w:val="auto"/>
          <w:szCs w:val="21"/>
          <w:highlight w:val="none"/>
        </w:rPr>
        <w:t>3.如不提供此表，则视为投标人不满足招标文件第五章的所有条款要求，其</w:t>
      </w:r>
      <w:r>
        <w:rPr>
          <w:rFonts w:hint="eastAsia" w:ascii="宋体" w:hAnsi="宋体"/>
          <w:b/>
          <w:color w:val="auto"/>
          <w:szCs w:val="21"/>
          <w:highlight w:val="none"/>
        </w:rPr>
        <w:t>投标无效</w:t>
      </w:r>
      <w:r>
        <w:rPr>
          <w:rFonts w:hint="eastAsia" w:ascii="宋体" w:hAnsi="宋体"/>
          <w:color w:val="auto"/>
          <w:szCs w:val="21"/>
          <w:highlight w:val="none"/>
        </w:rPr>
        <w:t>。</w:t>
      </w:r>
    </w:p>
    <w:p w14:paraId="112185AD">
      <w:pPr>
        <w:adjustRightInd w:val="0"/>
        <w:snapToGrid w:val="0"/>
        <w:spacing w:before="50" w:line="360" w:lineRule="auto"/>
        <w:ind w:left="-88" w:leftChars="-42" w:firstLine="420" w:firstLineChars="200"/>
        <w:rPr>
          <w:rFonts w:ascii="宋体" w:hAnsi="宋体"/>
          <w:color w:val="auto"/>
          <w:szCs w:val="21"/>
          <w:highlight w:val="none"/>
        </w:rPr>
      </w:pPr>
      <w:r>
        <w:rPr>
          <w:rFonts w:hint="eastAsia" w:ascii="宋体" w:hAnsi="宋体"/>
          <w:color w:val="auto"/>
          <w:szCs w:val="21"/>
          <w:highlight w:val="none"/>
        </w:rPr>
        <w:t>4.在采购人与中标人签订合同时，如中标人未在投标文件“采购需求偏离表”中列出偏离说明，无论已发生或即将发生任何情形，均视为完全符合招标文件要求，并写入合同。若中标人在合同签订前，以上述事项为借口而不履行合同签订手续及执行合同，则视作拒绝与采购人签订合同。</w:t>
      </w:r>
    </w:p>
    <w:p w14:paraId="359B390D">
      <w:pPr>
        <w:adjustRightInd w:val="0"/>
        <w:snapToGrid w:val="0"/>
        <w:spacing w:line="360" w:lineRule="auto"/>
        <w:ind w:firstLine="315" w:firstLineChars="150"/>
        <w:rPr>
          <w:rFonts w:ascii="宋体" w:hAnsi="宋体"/>
          <w:color w:val="auto"/>
          <w:szCs w:val="21"/>
          <w:highlight w:val="none"/>
        </w:rPr>
      </w:pPr>
      <w:r>
        <w:rPr>
          <w:rFonts w:hint="eastAsia" w:ascii="宋体" w:hAnsi="宋体"/>
          <w:color w:val="auto"/>
          <w:szCs w:val="21"/>
          <w:highlight w:val="none"/>
        </w:rPr>
        <w:t>5.本表偏离表与本章第七节“采购需求响应”不一致时，以“采购需求响应”为准。</w:t>
      </w:r>
    </w:p>
    <w:p w14:paraId="08295F93">
      <w:pPr>
        <w:adjustRightInd w:val="0"/>
        <w:snapToGrid w:val="0"/>
        <w:spacing w:before="50" w:line="360" w:lineRule="auto"/>
        <w:rPr>
          <w:rFonts w:ascii="宋体" w:hAnsi="宋体"/>
          <w:color w:val="auto"/>
          <w:szCs w:val="21"/>
          <w:highlight w:val="none"/>
        </w:rPr>
      </w:pPr>
    </w:p>
    <w:p w14:paraId="69140EDE">
      <w:pPr>
        <w:adjustRightInd w:val="0"/>
        <w:snapToGrid w:val="0"/>
        <w:spacing w:before="50" w:line="360" w:lineRule="auto"/>
        <w:rPr>
          <w:rFonts w:ascii="宋体" w:hAnsi="宋体"/>
          <w:color w:val="auto"/>
          <w:szCs w:val="21"/>
          <w:highlight w:val="none"/>
        </w:rPr>
      </w:pPr>
    </w:p>
    <w:p w14:paraId="62DA56E3">
      <w:pPr>
        <w:adjustRightInd w:val="0"/>
        <w:snapToGrid w:val="0"/>
        <w:spacing w:before="50" w:line="360" w:lineRule="auto"/>
        <w:rPr>
          <w:rFonts w:ascii="宋体" w:hAnsi="宋体"/>
          <w:color w:val="auto"/>
          <w:szCs w:val="21"/>
          <w:highlight w:val="none"/>
        </w:rPr>
      </w:pPr>
      <w:r>
        <w:rPr>
          <w:rFonts w:hint="eastAsia" w:ascii="宋体" w:hAnsi="宋体"/>
          <w:color w:val="auto"/>
          <w:szCs w:val="21"/>
          <w:highlight w:val="none"/>
        </w:rPr>
        <w:t>投标人名称（盖单位章）：</w:t>
      </w:r>
    </w:p>
    <w:p w14:paraId="2EA4BCE3">
      <w:pPr>
        <w:adjustRightInd w:val="0"/>
        <w:snapToGrid w:val="0"/>
        <w:spacing w:before="50" w:line="360" w:lineRule="auto"/>
        <w:rPr>
          <w:rFonts w:ascii="宋体" w:hAnsi="宋体"/>
          <w:color w:val="auto"/>
          <w:szCs w:val="21"/>
          <w:highlight w:val="none"/>
        </w:rPr>
      </w:pPr>
      <w:r>
        <w:rPr>
          <w:rFonts w:hint="eastAsia" w:ascii="宋体" w:hAnsi="宋体"/>
          <w:color w:val="auto"/>
          <w:szCs w:val="21"/>
          <w:highlight w:val="none"/>
        </w:rPr>
        <w:t>法定代表人</w:t>
      </w:r>
      <w:r>
        <w:rPr>
          <w:rFonts w:hint="eastAsia" w:ascii="宋体" w:hAnsi="宋体" w:cs="微软雅黑"/>
          <w:color w:val="auto"/>
          <w:kern w:val="0"/>
          <w:szCs w:val="21"/>
          <w:highlight w:val="none"/>
        </w:rPr>
        <w:t>（</w:t>
      </w:r>
      <w:r>
        <w:rPr>
          <w:rFonts w:hint="eastAsia" w:ascii="宋体" w:hAnsi="宋体" w:cs="微软雅黑"/>
          <w:color w:val="auto"/>
          <w:spacing w:val="-2"/>
          <w:kern w:val="0"/>
          <w:szCs w:val="21"/>
          <w:highlight w:val="none"/>
        </w:rPr>
        <w:t>单</w:t>
      </w:r>
      <w:r>
        <w:rPr>
          <w:rFonts w:hint="eastAsia" w:ascii="宋体" w:hAnsi="宋体" w:cs="微软雅黑"/>
          <w:color w:val="auto"/>
          <w:kern w:val="0"/>
          <w:szCs w:val="21"/>
          <w:highlight w:val="none"/>
        </w:rPr>
        <w:t>位</w:t>
      </w:r>
      <w:r>
        <w:rPr>
          <w:rFonts w:hint="eastAsia" w:ascii="宋体" w:hAnsi="宋体" w:cs="微软雅黑"/>
          <w:color w:val="auto"/>
          <w:spacing w:val="-2"/>
          <w:kern w:val="0"/>
          <w:szCs w:val="21"/>
          <w:highlight w:val="none"/>
        </w:rPr>
        <w:t>负</w:t>
      </w:r>
      <w:r>
        <w:rPr>
          <w:rFonts w:hint="eastAsia" w:ascii="宋体" w:hAnsi="宋体" w:cs="微软雅黑"/>
          <w:color w:val="auto"/>
          <w:kern w:val="0"/>
          <w:szCs w:val="21"/>
          <w:highlight w:val="none"/>
        </w:rPr>
        <w:t>责人</w:t>
      </w:r>
      <w:r>
        <w:rPr>
          <w:rFonts w:hint="eastAsia" w:ascii="宋体" w:hAnsi="宋体" w:cs="微软雅黑"/>
          <w:color w:val="auto"/>
          <w:spacing w:val="-2"/>
          <w:kern w:val="0"/>
          <w:szCs w:val="21"/>
          <w:highlight w:val="none"/>
        </w:rPr>
        <w:t>）</w:t>
      </w:r>
      <w:r>
        <w:rPr>
          <w:rFonts w:hint="eastAsia" w:ascii="宋体" w:hAnsi="宋体"/>
          <w:color w:val="auto"/>
          <w:szCs w:val="21"/>
          <w:highlight w:val="none"/>
        </w:rPr>
        <w:t>或其授权的代理人（签字或印章）：</w:t>
      </w:r>
    </w:p>
    <w:p w14:paraId="5E75EC2D">
      <w:pPr>
        <w:adjustRightInd w:val="0"/>
        <w:snapToGrid w:val="0"/>
        <w:spacing w:before="50" w:line="360" w:lineRule="auto"/>
        <w:rPr>
          <w:rFonts w:ascii="宋体" w:hAnsi="宋体"/>
          <w:color w:val="auto"/>
          <w:szCs w:val="21"/>
          <w:highlight w:val="none"/>
        </w:rPr>
      </w:pPr>
      <w:r>
        <w:rPr>
          <w:rFonts w:hint="eastAsia" w:ascii="宋体" w:hAnsi="宋体"/>
          <w:color w:val="auto"/>
          <w:szCs w:val="21"/>
          <w:highlight w:val="none"/>
        </w:rPr>
        <w:t>日      期：年月_日</w:t>
      </w:r>
    </w:p>
    <w:p w14:paraId="4C0BCD7D">
      <w:pPr>
        <w:pStyle w:val="2"/>
        <w:jc w:val="center"/>
        <w:rPr>
          <w:rFonts w:ascii="黑体" w:hAnsi="宋体" w:eastAsia="黑体"/>
          <w:color w:val="auto"/>
          <w:sz w:val="28"/>
          <w:szCs w:val="28"/>
          <w:highlight w:val="none"/>
        </w:rPr>
      </w:pPr>
      <w:r>
        <w:rPr>
          <w:rFonts w:ascii="宋体" w:hAnsi="宋体"/>
          <w:color w:val="auto"/>
          <w:szCs w:val="21"/>
          <w:highlight w:val="none"/>
        </w:rPr>
        <w:br w:type="page"/>
      </w:r>
      <w:bookmarkStart w:id="1791" w:name="_Toc100670743"/>
      <w:bookmarkStart w:id="1792" w:name="_Toc19293"/>
      <w:bookmarkStart w:id="1793" w:name="_Toc171273736"/>
      <w:bookmarkStart w:id="1794" w:name="_Toc95601436"/>
      <w:bookmarkStart w:id="1795" w:name="_Toc650203768"/>
      <w:bookmarkStart w:id="1796" w:name="_Toc75289300"/>
      <w:bookmarkStart w:id="1797" w:name="_Toc75289620"/>
      <w:bookmarkStart w:id="1798" w:name="_Toc117192517"/>
      <w:bookmarkStart w:id="1799" w:name="_Toc154428453"/>
      <w:bookmarkStart w:id="1800" w:name="_Toc192949766"/>
      <w:bookmarkStart w:id="1801" w:name="_Toc192949667"/>
      <w:bookmarkStart w:id="1802" w:name="_Toc15888551"/>
      <w:bookmarkStart w:id="1803" w:name="_Toc23095"/>
      <w:bookmarkStart w:id="1804" w:name="_Toc10089"/>
      <w:bookmarkStart w:id="1805" w:name="_Toc112705010"/>
      <w:bookmarkStart w:id="1806" w:name="_Toc94367951"/>
      <w:bookmarkStart w:id="1807" w:name="_Toc26783"/>
      <w:bookmarkStart w:id="1808" w:name="_Toc22526"/>
      <w:bookmarkStart w:id="1809" w:name="_Toc15001"/>
      <w:bookmarkStart w:id="1810" w:name="_Toc85973001"/>
      <w:bookmarkStart w:id="1811" w:name="_Toc78314335"/>
      <w:bookmarkStart w:id="1812" w:name="_Toc13154"/>
      <w:bookmarkStart w:id="1813" w:name="_Toc100670495"/>
      <w:bookmarkStart w:id="1814" w:name="_Toc192951277"/>
      <w:bookmarkStart w:id="1815" w:name="_Toc77199474"/>
      <w:bookmarkStart w:id="1816" w:name="_Toc77676539"/>
      <w:bookmarkStart w:id="1817" w:name="_Toc114036781"/>
      <w:bookmarkStart w:id="1818" w:name="_Toc5315"/>
      <w:bookmarkStart w:id="1819" w:name="_Toc31488"/>
      <w:bookmarkStart w:id="1820" w:name="_Toc78450028"/>
      <w:bookmarkStart w:id="1821" w:name="_Toc108342010"/>
      <w:r>
        <w:rPr>
          <w:rFonts w:hint="eastAsia" w:ascii="黑体" w:hAnsi="宋体" w:eastAsia="黑体"/>
          <w:color w:val="auto"/>
          <w:sz w:val="28"/>
          <w:szCs w:val="28"/>
          <w:highlight w:val="none"/>
        </w:rPr>
        <w:t>十、享受政府采购政策优惠的证明资料</w:t>
      </w:r>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p>
    <w:p w14:paraId="62380191">
      <w:pPr>
        <w:adjustRightInd w:val="0"/>
        <w:snapToGrid w:val="0"/>
        <w:spacing w:line="360" w:lineRule="auto"/>
        <w:rPr>
          <w:rFonts w:ascii="黑体" w:hAnsi="华文中宋" w:eastAsia="黑体" w:cs="宋体"/>
          <w:bCs/>
          <w:color w:val="auto"/>
          <w:spacing w:val="6"/>
          <w:kern w:val="0"/>
          <w:szCs w:val="21"/>
          <w:highlight w:val="none"/>
        </w:rPr>
      </w:pPr>
    </w:p>
    <w:p w14:paraId="6D26BDC9">
      <w:pPr>
        <w:adjustRightInd w:val="0"/>
        <w:snapToGrid w:val="0"/>
        <w:spacing w:line="360" w:lineRule="auto"/>
        <w:ind w:firstLine="444" w:firstLineChars="200"/>
        <w:outlineLvl w:val="9"/>
        <w:rPr>
          <w:rFonts w:ascii="宋体" w:hAnsi="宋体" w:cs="宋体"/>
          <w:bCs/>
          <w:color w:val="auto"/>
          <w:spacing w:val="6"/>
          <w:kern w:val="0"/>
          <w:szCs w:val="21"/>
          <w:highlight w:val="none"/>
        </w:rPr>
      </w:pPr>
      <w:r>
        <w:rPr>
          <w:rFonts w:hint="eastAsia" w:ascii="宋体" w:hAnsi="宋体" w:cs="宋体"/>
          <w:bCs/>
          <w:color w:val="auto"/>
          <w:spacing w:val="6"/>
          <w:kern w:val="0"/>
          <w:szCs w:val="21"/>
          <w:highlight w:val="none"/>
        </w:rPr>
        <w:t>投标人符合第二章第33.6条要求的，应提供下列证明资料，并填写相关数据。否则，评审时不予以考虑。</w:t>
      </w:r>
    </w:p>
    <w:p w14:paraId="49208F86">
      <w:pPr>
        <w:outlineLvl w:val="9"/>
        <w:rPr>
          <w:color w:val="auto"/>
          <w:highlight w:val="none"/>
        </w:rPr>
      </w:pPr>
    </w:p>
    <w:p w14:paraId="13451CEE">
      <w:pPr>
        <w:spacing w:after="0" w:line="377" w:lineRule="auto"/>
        <w:outlineLvl w:val="9"/>
        <w:rPr>
          <w:rFonts w:ascii="黑体" w:hAnsi="华文中宋" w:cs="宋体"/>
          <w:b w:val="0"/>
          <w:bCs w:val="0"/>
          <w:color w:val="auto"/>
          <w:spacing w:val="6"/>
          <w:sz w:val="21"/>
          <w:szCs w:val="21"/>
          <w:highlight w:val="none"/>
        </w:rPr>
      </w:pPr>
      <w:bookmarkStart w:id="1822" w:name="_Toc75289301"/>
      <w:bookmarkStart w:id="1823" w:name="_Toc15888552"/>
      <w:r>
        <w:rPr>
          <w:rFonts w:hint="eastAsia" w:ascii="黑体" w:hAnsi="华文中宋" w:cs="宋体"/>
          <w:b w:val="0"/>
          <w:bCs w:val="0"/>
          <w:color w:val="auto"/>
          <w:spacing w:val="6"/>
          <w:sz w:val="21"/>
          <w:szCs w:val="21"/>
          <w:highlight w:val="none"/>
        </w:rPr>
        <w:t>附件10-1中小企业声明函</w:t>
      </w:r>
      <w:bookmarkEnd w:id="1822"/>
      <w:bookmarkEnd w:id="1823"/>
    </w:p>
    <w:p w14:paraId="239AC2A8">
      <w:pPr>
        <w:spacing w:after="0" w:line="415" w:lineRule="auto"/>
        <w:jc w:val="center"/>
        <w:outlineLvl w:val="9"/>
        <w:rPr>
          <w:rFonts w:ascii="黑体" w:hAnsi="黑体" w:eastAsia="黑体" w:cs="宋体"/>
          <w:b w:val="0"/>
          <w:bCs w:val="0"/>
          <w:color w:val="auto"/>
          <w:spacing w:val="6"/>
          <w:sz w:val="28"/>
          <w:szCs w:val="28"/>
          <w:highlight w:val="none"/>
        </w:rPr>
      </w:pPr>
      <w:bookmarkStart w:id="1824" w:name="_Toc85973002"/>
      <w:bookmarkStart w:id="1825" w:name="_Toc22678"/>
      <w:bookmarkStart w:id="1826" w:name="_Toc95601437"/>
      <w:bookmarkStart w:id="1827" w:name="_Toc117192518"/>
      <w:bookmarkStart w:id="1828" w:name="_Toc192951278"/>
      <w:bookmarkStart w:id="1829" w:name="_Toc171273737"/>
      <w:bookmarkStart w:id="1830" w:name="_Toc100670744"/>
      <w:bookmarkStart w:id="1831" w:name="_Toc78314336"/>
      <w:bookmarkStart w:id="1832" w:name="_Toc112705011"/>
      <w:bookmarkStart w:id="1833" w:name="_Toc15556"/>
      <w:bookmarkStart w:id="1834" w:name="_Toc10314"/>
      <w:bookmarkStart w:id="1835" w:name="_Toc192949767"/>
      <w:bookmarkStart w:id="1836" w:name="_Toc12993"/>
      <w:bookmarkStart w:id="1837" w:name="_Toc100670496"/>
      <w:bookmarkStart w:id="1838" w:name="_Toc108342011"/>
      <w:bookmarkStart w:id="1839" w:name="_Toc114036782"/>
      <w:bookmarkStart w:id="1840" w:name="_Toc28233"/>
      <w:bookmarkStart w:id="1841" w:name="_Toc154428454"/>
      <w:bookmarkStart w:id="1842" w:name="_Toc27763"/>
      <w:bookmarkStart w:id="1843" w:name="_Toc192949668"/>
      <w:bookmarkStart w:id="1844" w:name="_Toc7710"/>
      <w:bookmarkStart w:id="1845" w:name="_Toc22430"/>
      <w:bookmarkStart w:id="1846" w:name="_Toc94367952"/>
      <w:bookmarkStart w:id="1847" w:name="_Toc78450029"/>
      <w:bookmarkStart w:id="1848" w:name="_Toc12721"/>
      <w:r>
        <w:rPr>
          <w:rFonts w:hint="eastAsia" w:ascii="黑体" w:hAnsi="黑体" w:eastAsia="黑体" w:cs="黑体"/>
          <w:b w:val="0"/>
          <w:bCs w:val="0"/>
          <w:color w:val="auto"/>
          <w:spacing w:val="6"/>
          <w:sz w:val="28"/>
          <w:szCs w:val="28"/>
          <w:highlight w:val="none"/>
        </w:rPr>
        <w:t>中小企业声明函</w:t>
      </w:r>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p>
    <w:p w14:paraId="325EE890">
      <w:pPr>
        <w:widowControl/>
        <w:adjustRightInd w:val="0"/>
        <w:snapToGrid w:val="0"/>
        <w:spacing w:line="360" w:lineRule="auto"/>
        <w:jc w:val="center"/>
        <w:outlineLvl w:val="9"/>
        <w:rPr>
          <w:rFonts w:ascii="宋体" w:hAnsi="宋体" w:cs="宋体"/>
          <w:b/>
          <w:color w:val="auto"/>
          <w:spacing w:val="6"/>
          <w:kern w:val="0"/>
          <w:szCs w:val="21"/>
          <w:highlight w:val="none"/>
        </w:rPr>
      </w:pPr>
      <w:r>
        <w:rPr>
          <w:rFonts w:hint="eastAsia" w:ascii="宋体" w:hAnsi="宋体" w:cs="宋体"/>
          <w:b/>
          <w:color w:val="auto"/>
          <w:spacing w:val="6"/>
          <w:kern w:val="0"/>
          <w:szCs w:val="21"/>
          <w:highlight w:val="none"/>
        </w:rPr>
        <w:t>(不满足以下条件的无需填写)</w:t>
      </w:r>
    </w:p>
    <w:p w14:paraId="6A04E390">
      <w:pPr>
        <w:widowControl/>
        <w:spacing w:line="360" w:lineRule="auto"/>
        <w:ind w:firstLine="420" w:firstLineChars="200"/>
        <w:jc w:val="left"/>
        <w:outlineLvl w:val="9"/>
        <w:rPr>
          <w:rFonts w:ascii="宋体" w:hAnsi="宋体" w:cs="宋体"/>
          <w:color w:val="auto"/>
          <w:szCs w:val="21"/>
          <w:highlight w:val="none"/>
        </w:rPr>
      </w:pPr>
      <w:r>
        <w:rPr>
          <w:rFonts w:hint="eastAsia" w:ascii="宋体" w:hAnsi="宋体" w:cs="宋体"/>
          <w:color w:val="auto"/>
          <w:kern w:val="0"/>
          <w:szCs w:val="21"/>
          <w:highlight w:val="none"/>
        </w:rPr>
        <w:t>本公司（联合体）郑重声明，根据《政府采购促进中小企业发展管理办法》（财库﹝2020﹞46 号）的规定，本公司（联合体）参加</w:t>
      </w:r>
      <w:r>
        <w:rPr>
          <w:rFonts w:hint="eastAsia" w:ascii="宋体" w:hAnsi="宋体" w:cs="宋体"/>
          <w:color w:val="auto"/>
          <w:kern w:val="0"/>
          <w:szCs w:val="21"/>
          <w:highlight w:val="none"/>
          <w:u w:val="single"/>
        </w:rPr>
        <w:t>（单位名称）</w:t>
      </w:r>
      <w:r>
        <w:rPr>
          <w:rFonts w:hint="eastAsia" w:ascii="宋体" w:hAnsi="宋体" w:cs="宋体"/>
          <w:color w:val="auto"/>
          <w:kern w:val="0"/>
          <w:szCs w:val="21"/>
          <w:highlight w:val="none"/>
        </w:rPr>
        <w:t>的</w:t>
      </w:r>
      <w:r>
        <w:rPr>
          <w:rFonts w:hint="eastAsia" w:ascii="宋体" w:hAnsi="宋体" w:cs="宋体"/>
          <w:color w:val="auto"/>
          <w:kern w:val="0"/>
          <w:szCs w:val="21"/>
          <w:highlight w:val="none"/>
          <w:u w:val="single"/>
        </w:rPr>
        <w:t>（项目名称）</w:t>
      </w:r>
      <w:r>
        <w:rPr>
          <w:rFonts w:hint="eastAsia" w:ascii="宋体" w:hAnsi="宋体" w:cs="宋体"/>
          <w:color w:val="auto"/>
          <w:kern w:val="0"/>
          <w:szCs w:val="21"/>
          <w:highlight w:val="none"/>
        </w:rPr>
        <w:t xml:space="preserve">采购活动，提供的货物全部由符合政策要求的中小企业制造。相关企业（含联合体中的中小企业、签订分包意向协议的中小企业）的具体情况如下： </w:t>
      </w:r>
    </w:p>
    <w:p w14:paraId="40262A3A">
      <w:pPr>
        <w:widowControl/>
        <w:spacing w:line="360" w:lineRule="auto"/>
        <w:ind w:firstLine="420" w:firstLineChars="200"/>
        <w:jc w:val="left"/>
        <w:outlineLvl w:val="9"/>
        <w:rPr>
          <w:rFonts w:ascii="宋体" w:hAnsi="宋体" w:cs="宋体"/>
          <w:color w:val="auto"/>
          <w:szCs w:val="21"/>
          <w:highlight w:val="none"/>
        </w:rPr>
      </w:pPr>
      <w:r>
        <w:rPr>
          <w:rFonts w:hint="eastAsia" w:ascii="宋体" w:hAnsi="宋体" w:cs="宋体"/>
          <w:color w:val="auto"/>
          <w:kern w:val="0"/>
          <w:szCs w:val="21"/>
          <w:highlight w:val="none"/>
        </w:rPr>
        <w:t xml:space="preserve">1. </w:t>
      </w:r>
      <w:r>
        <w:rPr>
          <w:rFonts w:hint="eastAsia" w:ascii="宋体" w:hAnsi="宋体" w:cs="宋体"/>
          <w:color w:val="auto"/>
          <w:kern w:val="0"/>
          <w:szCs w:val="21"/>
          <w:highlight w:val="none"/>
          <w:u w:val="single"/>
        </w:rPr>
        <w:t xml:space="preserve">（标的名称） </w:t>
      </w:r>
      <w:r>
        <w:rPr>
          <w:rFonts w:hint="eastAsia" w:ascii="宋体" w:hAnsi="宋体" w:cs="宋体"/>
          <w:color w:val="auto"/>
          <w:kern w:val="0"/>
          <w:szCs w:val="21"/>
          <w:highlight w:val="none"/>
        </w:rPr>
        <w:t>，属于</w:t>
      </w:r>
      <w:r>
        <w:rPr>
          <w:rFonts w:hint="eastAsia" w:ascii="宋体" w:hAnsi="宋体" w:cs="宋体"/>
          <w:color w:val="auto"/>
          <w:kern w:val="0"/>
          <w:szCs w:val="21"/>
          <w:highlight w:val="none"/>
          <w:u w:val="single"/>
        </w:rPr>
        <w:t>（采购文件中明确的所属行业）</w:t>
      </w:r>
      <w:r>
        <w:rPr>
          <w:rFonts w:hint="eastAsia" w:ascii="宋体" w:hAnsi="宋体" w:cs="宋体"/>
          <w:color w:val="auto"/>
          <w:kern w:val="0"/>
          <w:szCs w:val="21"/>
          <w:highlight w:val="none"/>
        </w:rPr>
        <w:t>行业；制造商为</w:t>
      </w:r>
      <w:r>
        <w:rPr>
          <w:rFonts w:hint="eastAsia" w:ascii="宋体" w:hAnsi="宋体" w:cs="宋体"/>
          <w:color w:val="auto"/>
          <w:kern w:val="0"/>
          <w:szCs w:val="21"/>
          <w:highlight w:val="none"/>
          <w:u w:val="single"/>
        </w:rPr>
        <w:t>（企业名称）</w:t>
      </w:r>
      <w:r>
        <w:rPr>
          <w:rFonts w:hint="eastAsia" w:ascii="宋体" w:hAnsi="宋体" w:cs="宋体"/>
          <w:color w:val="auto"/>
          <w:kern w:val="0"/>
          <w:szCs w:val="21"/>
          <w:highlight w:val="none"/>
        </w:rPr>
        <w:t>，从业人员人，营业收入为万元，资产总额为万元，属于</w:t>
      </w:r>
      <w:r>
        <w:rPr>
          <w:rFonts w:hint="eastAsia" w:ascii="宋体" w:hAnsi="宋体" w:cs="宋体"/>
          <w:color w:val="auto"/>
          <w:kern w:val="0"/>
          <w:szCs w:val="21"/>
          <w:highlight w:val="none"/>
          <w:u w:val="single"/>
        </w:rPr>
        <w:t>（中型企业、小型企业、微型企业）</w:t>
      </w:r>
      <w:r>
        <w:rPr>
          <w:rFonts w:hint="eastAsia" w:ascii="宋体" w:hAnsi="宋体" w:cs="宋体"/>
          <w:color w:val="auto"/>
          <w:kern w:val="0"/>
          <w:szCs w:val="21"/>
          <w:highlight w:val="none"/>
        </w:rPr>
        <w:t xml:space="preserve">； </w:t>
      </w:r>
    </w:p>
    <w:p w14:paraId="36924E73">
      <w:pPr>
        <w:widowControl/>
        <w:spacing w:line="360" w:lineRule="auto"/>
        <w:ind w:firstLine="420" w:firstLineChars="200"/>
        <w:jc w:val="left"/>
        <w:outlineLvl w:val="9"/>
        <w:rPr>
          <w:rFonts w:ascii="宋体" w:hAnsi="宋体" w:cs="宋体"/>
          <w:color w:val="auto"/>
          <w:szCs w:val="21"/>
          <w:highlight w:val="none"/>
        </w:rPr>
      </w:pPr>
      <w:r>
        <w:rPr>
          <w:rFonts w:hint="eastAsia" w:ascii="宋体" w:hAnsi="宋体" w:cs="宋体"/>
          <w:color w:val="auto"/>
          <w:kern w:val="0"/>
          <w:szCs w:val="21"/>
          <w:highlight w:val="none"/>
        </w:rPr>
        <w:t xml:space="preserve">2. </w:t>
      </w:r>
      <w:r>
        <w:rPr>
          <w:rFonts w:hint="eastAsia" w:ascii="宋体" w:hAnsi="宋体" w:cs="宋体"/>
          <w:color w:val="auto"/>
          <w:kern w:val="0"/>
          <w:szCs w:val="21"/>
          <w:highlight w:val="none"/>
          <w:u w:val="single"/>
        </w:rPr>
        <w:t xml:space="preserve">（标的名称） </w:t>
      </w:r>
      <w:r>
        <w:rPr>
          <w:rFonts w:hint="eastAsia" w:ascii="宋体" w:hAnsi="宋体" w:cs="宋体"/>
          <w:color w:val="auto"/>
          <w:kern w:val="0"/>
          <w:szCs w:val="21"/>
          <w:highlight w:val="none"/>
        </w:rPr>
        <w:t>，属于</w:t>
      </w:r>
      <w:r>
        <w:rPr>
          <w:rFonts w:hint="eastAsia" w:ascii="宋体" w:hAnsi="宋体" w:cs="宋体"/>
          <w:color w:val="auto"/>
          <w:kern w:val="0"/>
          <w:szCs w:val="21"/>
          <w:highlight w:val="none"/>
          <w:u w:val="single"/>
        </w:rPr>
        <w:t>（采购文件中明确的所属行业）</w:t>
      </w:r>
      <w:r>
        <w:rPr>
          <w:rFonts w:hint="eastAsia" w:ascii="宋体" w:hAnsi="宋体" w:cs="宋体"/>
          <w:color w:val="auto"/>
          <w:kern w:val="0"/>
          <w:szCs w:val="21"/>
          <w:highlight w:val="none"/>
        </w:rPr>
        <w:t>行业；制造商为</w:t>
      </w:r>
      <w:r>
        <w:rPr>
          <w:rFonts w:hint="eastAsia" w:ascii="宋体" w:hAnsi="宋体" w:cs="宋体"/>
          <w:color w:val="auto"/>
          <w:kern w:val="0"/>
          <w:szCs w:val="21"/>
          <w:highlight w:val="none"/>
          <w:u w:val="single"/>
        </w:rPr>
        <w:t>（企业名称）</w:t>
      </w:r>
      <w:r>
        <w:rPr>
          <w:rFonts w:hint="eastAsia" w:ascii="宋体" w:hAnsi="宋体" w:cs="宋体"/>
          <w:color w:val="auto"/>
          <w:kern w:val="0"/>
          <w:szCs w:val="21"/>
          <w:highlight w:val="none"/>
        </w:rPr>
        <w:t>，从业人员人，营业收入为万元，资产总额为万元，属于</w:t>
      </w:r>
      <w:r>
        <w:rPr>
          <w:rFonts w:hint="eastAsia" w:ascii="宋体" w:hAnsi="宋体" w:cs="宋体"/>
          <w:color w:val="auto"/>
          <w:kern w:val="0"/>
          <w:szCs w:val="21"/>
          <w:highlight w:val="none"/>
          <w:u w:val="single"/>
        </w:rPr>
        <w:t>（中型企业、小型企业、微型企业）</w:t>
      </w:r>
      <w:r>
        <w:rPr>
          <w:rFonts w:hint="eastAsia" w:ascii="宋体" w:hAnsi="宋体" w:cs="宋体"/>
          <w:color w:val="auto"/>
          <w:kern w:val="0"/>
          <w:szCs w:val="21"/>
          <w:highlight w:val="none"/>
        </w:rPr>
        <w:t xml:space="preserve">；  </w:t>
      </w:r>
    </w:p>
    <w:p w14:paraId="4B080617">
      <w:pPr>
        <w:widowControl/>
        <w:spacing w:line="360" w:lineRule="auto"/>
        <w:ind w:firstLine="420" w:firstLineChars="200"/>
        <w:jc w:val="left"/>
        <w:outlineLvl w:val="9"/>
        <w:rPr>
          <w:rFonts w:ascii="宋体" w:hAnsi="宋体" w:cs="宋体"/>
          <w:color w:val="auto"/>
          <w:szCs w:val="21"/>
          <w:highlight w:val="none"/>
        </w:rPr>
      </w:pPr>
      <w:r>
        <w:rPr>
          <w:rFonts w:hint="eastAsia" w:ascii="宋体" w:hAnsi="宋体" w:cs="宋体"/>
          <w:color w:val="auto"/>
          <w:kern w:val="0"/>
          <w:szCs w:val="21"/>
          <w:highlight w:val="none"/>
        </w:rPr>
        <w:t>……</w:t>
      </w:r>
    </w:p>
    <w:p w14:paraId="7FAAF119">
      <w:pPr>
        <w:widowControl/>
        <w:spacing w:line="360" w:lineRule="auto"/>
        <w:ind w:firstLine="420" w:firstLineChars="200"/>
        <w:jc w:val="left"/>
        <w:outlineLvl w:val="9"/>
        <w:rPr>
          <w:rFonts w:ascii="宋体" w:hAnsi="宋体" w:cs="宋体"/>
          <w:color w:val="auto"/>
          <w:szCs w:val="21"/>
          <w:highlight w:val="none"/>
        </w:rPr>
      </w:pPr>
      <w:r>
        <w:rPr>
          <w:rFonts w:hint="eastAsia" w:ascii="宋体" w:hAnsi="宋体" w:cs="宋体"/>
          <w:color w:val="auto"/>
          <w:kern w:val="0"/>
          <w:szCs w:val="21"/>
          <w:highlight w:val="none"/>
        </w:rPr>
        <w:t xml:space="preserve">以上企业，不属于大企业的分支机构，不存在控股股东为大企业的情形，也不存在与大企业的负责人为同一人的情形。本企业对上述声明内容的真实性负责。如有虚假，将依法承担相应责任。 </w:t>
      </w:r>
    </w:p>
    <w:p w14:paraId="7DDDCC5F">
      <w:pPr>
        <w:widowControl/>
        <w:spacing w:line="360" w:lineRule="auto"/>
        <w:ind w:firstLine="420" w:firstLineChars="200"/>
        <w:jc w:val="left"/>
        <w:outlineLvl w:val="9"/>
        <w:rPr>
          <w:rFonts w:ascii="宋体" w:hAnsi="宋体" w:cs="宋体"/>
          <w:color w:val="auto"/>
          <w:szCs w:val="21"/>
          <w:highlight w:val="none"/>
        </w:rPr>
      </w:pPr>
      <w:r>
        <w:rPr>
          <w:rFonts w:hint="eastAsia" w:ascii="宋体" w:hAnsi="宋体" w:cs="宋体"/>
          <w:color w:val="auto"/>
          <w:kern w:val="0"/>
          <w:szCs w:val="21"/>
          <w:highlight w:val="none"/>
        </w:rPr>
        <w:t xml:space="preserve">企业名称（盖章）： </w:t>
      </w:r>
    </w:p>
    <w:p w14:paraId="5A3E7F91">
      <w:pPr>
        <w:widowControl/>
        <w:spacing w:line="360" w:lineRule="auto"/>
        <w:ind w:firstLine="420" w:firstLineChars="200"/>
        <w:jc w:val="left"/>
        <w:outlineLvl w:val="9"/>
        <w:rPr>
          <w:rFonts w:ascii="宋体" w:hAnsi="宋体" w:cs="宋体"/>
          <w:color w:val="auto"/>
          <w:szCs w:val="21"/>
          <w:highlight w:val="none"/>
        </w:rPr>
      </w:pPr>
      <w:r>
        <w:rPr>
          <w:rFonts w:hint="eastAsia" w:ascii="宋体" w:hAnsi="宋体" w:cs="宋体"/>
          <w:color w:val="auto"/>
          <w:kern w:val="0"/>
          <w:szCs w:val="21"/>
          <w:highlight w:val="none"/>
        </w:rPr>
        <w:t xml:space="preserve">日 期： </w:t>
      </w:r>
    </w:p>
    <w:p w14:paraId="2186C4F2">
      <w:pPr>
        <w:widowControl/>
        <w:ind w:firstLine="360" w:firstLineChars="200"/>
        <w:jc w:val="left"/>
        <w:outlineLvl w:val="9"/>
        <w:rPr>
          <w:rFonts w:ascii="宋体" w:hAnsi="宋体" w:cs="宋体"/>
          <w:color w:val="auto"/>
          <w:kern w:val="0"/>
          <w:sz w:val="18"/>
          <w:szCs w:val="18"/>
          <w:highlight w:val="none"/>
        </w:rPr>
      </w:pPr>
    </w:p>
    <w:p w14:paraId="1122E91D">
      <w:pPr>
        <w:widowControl/>
        <w:ind w:firstLine="420" w:firstLineChars="200"/>
        <w:jc w:val="left"/>
        <w:outlineLvl w:val="9"/>
        <w:rPr>
          <w:rFonts w:ascii="宋体" w:hAnsi="宋体" w:cs="宋体"/>
          <w:color w:val="auto"/>
          <w:kern w:val="0"/>
          <w:szCs w:val="21"/>
          <w:highlight w:val="none"/>
        </w:rPr>
      </w:pPr>
      <w:r>
        <w:rPr>
          <w:rFonts w:hint="eastAsia" w:ascii="宋体" w:hAnsi="宋体" w:cs="宋体"/>
          <w:color w:val="auto"/>
          <w:kern w:val="0"/>
          <w:szCs w:val="21"/>
          <w:highlight w:val="none"/>
        </w:rPr>
        <w:t>注：1.属于专门面向中小企业采购的政府采购货物类项目，投标人应按本声明函内容和格式如实声明采购标的制造商的企业规模，未提供本声明函或不符合《政府采购促进中小企业发展管理办法》（财库﹝2020﹞46 号）规定的，其</w:t>
      </w:r>
      <w:r>
        <w:rPr>
          <w:rFonts w:hint="eastAsia" w:ascii="宋体" w:hAnsi="宋体" w:cs="宋体"/>
          <w:b/>
          <w:bCs/>
          <w:color w:val="auto"/>
          <w:kern w:val="0"/>
          <w:szCs w:val="21"/>
          <w:highlight w:val="none"/>
        </w:rPr>
        <w:t>投标无效。</w:t>
      </w:r>
    </w:p>
    <w:p w14:paraId="1B2931A0">
      <w:pPr>
        <w:widowControl/>
        <w:adjustRightInd w:val="0"/>
        <w:snapToGrid w:val="0"/>
        <w:spacing w:line="360" w:lineRule="auto"/>
        <w:ind w:firstLine="420" w:firstLineChars="200"/>
        <w:jc w:val="left"/>
        <w:outlineLvl w:val="9"/>
        <w:rPr>
          <w:rFonts w:ascii="宋体" w:hAnsi="宋体" w:cs="宋体"/>
          <w:color w:val="auto"/>
          <w:spacing w:val="6"/>
          <w:kern w:val="0"/>
          <w:szCs w:val="21"/>
          <w:highlight w:val="none"/>
          <w:u w:val="single"/>
        </w:rPr>
      </w:pPr>
      <w:r>
        <w:rPr>
          <w:rFonts w:hint="eastAsia" w:ascii="宋体" w:hAnsi="宋体" w:cs="宋体"/>
          <w:color w:val="auto"/>
          <w:kern w:val="0"/>
          <w:szCs w:val="21"/>
          <w:highlight w:val="none"/>
        </w:rPr>
        <w:t>2.从业人员、营业收入、资产总额填报上一年度数据，无上一年度数据的新成立企业可不填报。</w:t>
      </w:r>
    </w:p>
    <w:p w14:paraId="1053ADAC">
      <w:pPr>
        <w:outlineLvl w:val="9"/>
        <w:rPr>
          <w:color w:val="auto"/>
          <w:highlight w:val="none"/>
        </w:rPr>
      </w:pPr>
    </w:p>
    <w:p w14:paraId="119286FD">
      <w:pPr>
        <w:spacing w:before="0" w:line="240" w:lineRule="auto"/>
        <w:outlineLvl w:val="9"/>
        <w:rPr>
          <w:rFonts w:hint="eastAsia" w:ascii="黑体" w:hAnsi="华文中宋" w:cs="宋体"/>
          <w:b w:val="0"/>
          <w:bCs w:val="0"/>
          <w:color w:val="auto"/>
          <w:spacing w:val="6"/>
          <w:sz w:val="21"/>
          <w:szCs w:val="21"/>
          <w:highlight w:val="none"/>
        </w:rPr>
      </w:pPr>
      <w:bookmarkStart w:id="1849" w:name="_Toc15888553"/>
      <w:bookmarkStart w:id="1850" w:name="_Toc75289303"/>
    </w:p>
    <w:p w14:paraId="4A4D84B2">
      <w:pPr>
        <w:spacing w:before="0" w:line="240" w:lineRule="auto"/>
        <w:outlineLvl w:val="9"/>
        <w:rPr>
          <w:rFonts w:hint="eastAsia" w:ascii="黑体" w:hAnsi="华文中宋" w:cs="宋体"/>
          <w:b w:val="0"/>
          <w:bCs w:val="0"/>
          <w:color w:val="auto"/>
          <w:spacing w:val="6"/>
          <w:sz w:val="21"/>
          <w:szCs w:val="21"/>
          <w:highlight w:val="none"/>
        </w:rPr>
      </w:pPr>
    </w:p>
    <w:p w14:paraId="40256F8C">
      <w:pPr>
        <w:spacing w:before="0" w:line="240" w:lineRule="auto"/>
        <w:outlineLvl w:val="9"/>
        <w:rPr>
          <w:rFonts w:hint="eastAsia" w:ascii="黑体" w:hAnsi="华文中宋" w:cs="宋体"/>
          <w:b w:val="0"/>
          <w:bCs w:val="0"/>
          <w:color w:val="auto"/>
          <w:spacing w:val="6"/>
          <w:sz w:val="21"/>
          <w:szCs w:val="21"/>
          <w:highlight w:val="none"/>
        </w:rPr>
      </w:pPr>
    </w:p>
    <w:p w14:paraId="75CA24E8">
      <w:pPr>
        <w:spacing w:before="0" w:line="240" w:lineRule="auto"/>
        <w:outlineLvl w:val="9"/>
        <w:rPr>
          <w:rFonts w:hint="eastAsia" w:ascii="黑体" w:hAnsi="华文中宋" w:cs="宋体"/>
          <w:b w:val="0"/>
          <w:bCs w:val="0"/>
          <w:color w:val="auto"/>
          <w:spacing w:val="6"/>
          <w:sz w:val="21"/>
          <w:szCs w:val="21"/>
          <w:highlight w:val="none"/>
        </w:rPr>
      </w:pPr>
    </w:p>
    <w:p w14:paraId="685EA009">
      <w:pPr>
        <w:spacing w:before="0" w:line="240" w:lineRule="auto"/>
        <w:outlineLvl w:val="9"/>
        <w:rPr>
          <w:rFonts w:ascii="黑体" w:hAnsi="宋体"/>
          <w:b w:val="0"/>
          <w:color w:val="auto"/>
          <w:spacing w:val="6"/>
          <w:sz w:val="21"/>
          <w:szCs w:val="21"/>
          <w:highlight w:val="none"/>
        </w:rPr>
      </w:pPr>
      <w:r>
        <w:rPr>
          <w:rFonts w:hint="eastAsia" w:ascii="黑体" w:hAnsi="华文中宋" w:cs="宋体"/>
          <w:b w:val="0"/>
          <w:bCs w:val="0"/>
          <w:color w:val="auto"/>
          <w:spacing w:val="6"/>
          <w:sz w:val="21"/>
          <w:szCs w:val="21"/>
          <w:highlight w:val="none"/>
        </w:rPr>
        <w:t xml:space="preserve">附件10-2 </w:t>
      </w:r>
      <w:r>
        <w:rPr>
          <w:rFonts w:hint="eastAsia" w:ascii="黑体" w:hAnsi="宋体"/>
          <w:b w:val="0"/>
          <w:color w:val="auto"/>
          <w:spacing w:val="6"/>
          <w:sz w:val="21"/>
          <w:szCs w:val="21"/>
          <w:highlight w:val="none"/>
        </w:rPr>
        <w:t>残疾人福利性单位声明函</w:t>
      </w:r>
      <w:bookmarkEnd w:id="1849"/>
      <w:bookmarkEnd w:id="1850"/>
    </w:p>
    <w:p w14:paraId="3978579B">
      <w:pPr>
        <w:jc w:val="center"/>
        <w:outlineLvl w:val="9"/>
        <w:rPr>
          <w:rFonts w:ascii="黑体" w:hAnsi="黑体" w:eastAsia="黑体"/>
          <w:b w:val="0"/>
          <w:color w:val="auto"/>
          <w:spacing w:val="6"/>
          <w:sz w:val="28"/>
          <w:szCs w:val="28"/>
          <w:highlight w:val="none"/>
        </w:rPr>
      </w:pPr>
      <w:bookmarkStart w:id="1851" w:name="_Toc171273738"/>
      <w:bookmarkStart w:id="1852" w:name="_Toc192949768"/>
      <w:bookmarkStart w:id="1853" w:name="_Toc192951279"/>
      <w:bookmarkStart w:id="1854" w:name="_Toc11112"/>
      <w:bookmarkStart w:id="1855" w:name="_Toc6680"/>
      <w:bookmarkStart w:id="1856" w:name="_Toc77199477"/>
      <w:bookmarkStart w:id="1857" w:name="_Toc192949669"/>
      <w:bookmarkStart w:id="1858" w:name="_Toc117192519"/>
      <w:bookmarkStart w:id="1859" w:name="_Toc154428455"/>
      <w:bookmarkStart w:id="1860" w:name="_Toc17284"/>
      <w:bookmarkStart w:id="1861" w:name="_Toc8004"/>
      <w:bookmarkStart w:id="1862" w:name="_Toc78314338"/>
      <w:bookmarkStart w:id="1863" w:name="_Toc15516"/>
      <w:bookmarkStart w:id="1864" w:name="_Toc75289623"/>
      <w:bookmarkStart w:id="1865" w:name="_Toc77676542"/>
      <w:bookmarkStart w:id="1866" w:name="_Toc114036783"/>
      <w:bookmarkStart w:id="1867" w:name="_Toc24223"/>
      <w:bookmarkStart w:id="1868" w:name="_Toc94367954"/>
      <w:bookmarkStart w:id="1869" w:name="_Toc112705012"/>
      <w:bookmarkStart w:id="1870" w:name="_Toc85973004"/>
      <w:bookmarkStart w:id="1871" w:name="_Toc100670746"/>
      <w:bookmarkStart w:id="1872" w:name="_Toc27619"/>
      <w:bookmarkStart w:id="1873" w:name="_Toc100670498"/>
      <w:bookmarkStart w:id="1874" w:name="_Toc4629"/>
      <w:bookmarkStart w:id="1875" w:name="_Toc95601439"/>
      <w:bookmarkStart w:id="1876" w:name="_Toc30176"/>
      <w:bookmarkStart w:id="1877" w:name="_Toc108342013"/>
      <w:bookmarkStart w:id="1878" w:name="_Toc78450031"/>
      <w:r>
        <w:rPr>
          <w:rFonts w:hint="eastAsia" w:ascii="黑体" w:hAnsi="黑体" w:eastAsia="黑体"/>
          <w:b w:val="0"/>
          <w:color w:val="auto"/>
          <w:spacing w:val="6"/>
          <w:sz w:val="28"/>
          <w:szCs w:val="28"/>
          <w:highlight w:val="none"/>
        </w:rPr>
        <w:t>残疾人福利性单位声明函</w:t>
      </w:r>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p>
    <w:p w14:paraId="6B00D630">
      <w:pPr>
        <w:adjustRightInd w:val="0"/>
        <w:snapToGrid w:val="0"/>
        <w:spacing w:line="360" w:lineRule="auto"/>
        <w:jc w:val="center"/>
        <w:outlineLvl w:val="9"/>
        <w:rPr>
          <w:rFonts w:ascii="宋体" w:hAnsi="宋体"/>
          <w:b/>
          <w:color w:val="auto"/>
          <w:spacing w:val="6"/>
          <w:szCs w:val="21"/>
          <w:highlight w:val="none"/>
        </w:rPr>
      </w:pPr>
    </w:p>
    <w:p w14:paraId="5D650E4C">
      <w:pPr>
        <w:adjustRightInd w:val="0"/>
        <w:snapToGrid w:val="0"/>
        <w:spacing w:line="360" w:lineRule="auto"/>
        <w:ind w:firstLine="444" w:firstLineChars="200"/>
        <w:outlineLvl w:val="9"/>
        <w:rPr>
          <w:rFonts w:ascii="宋体" w:hAnsi="宋体"/>
          <w:color w:val="auto"/>
          <w:spacing w:val="6"/>
          <w:szCs w:val="21"/>
          <w:highlight w:val="none"/>
        </w:rPr>
      </w:pPr>
    </w:p>
    <w:p w14:paraId="4086084F">
      <w:pPr>
        <w:adjustRightInd w:val="0"/>
        <w:snapToGrid w:val="0"/>
        <w:spacing w:line="360" w:lineRule="auto"/>
        <w:ind w:firstLine="444" w:firstLineChars="200"/>
        <w:outlineLvl w:val="9"/>
        <w:rPr>
          <w:rFonts w:ascii="宋体" w:hAnsi="宋体"/>
          <w:color w:val="auto"/>
          <w:spacing w:val="6"/>
          <w:szCs w:val="21"/>
          <w:highlight w:val="none"/>
        </w:rPr>
      </w:pPr>
      <w:r>
        <w:rPr>
          <w:rFonts w:hint="eastAsia" w:ascii="宋体" w:hAnsi="宋体"/>
          <w:color w:val="auto"/>
          <w:spacing w:val="6"/>
          <w:szCs w:val="21"/>
          <w:highlight w:val="none"/>
        </w:rPr>
        <w:t>本单位郑重声明，根据《财政部民政部中国残疾人联合会关于促进残疾人就业政府采购政策的通知》（财库</w:t>
      </w:r>
      <w:r>
        <w:rPr>
          <w:rFonts w:hint="eastAsia" w:ascii="宋体" w:hAnsi="宋体"/>
          <w:color w:val="auto"/>
          <w:szCs w:val="21"/>
          <w:highlight w:val="none"/>
        </w:rPr>
        <w:t>〔2017〕141</w:t>
      </w:r>
      <w:r>
        <w:rPr>
          <w:rFonts w:hint="eastAsia" w:ascii="宋体" w:hAnsi="宋体"/>
          <w:color w:val="auto"/>
          <w:spacing w:val="6"/>
          <w:szCs w:val="21"/>
          <w:highlight w:val="none"/>
        </w:rPr>
        <w:t>号）的规定，本单位为符合条件的残疾人福利性单位，且本单位参加单位的项目采购活动提供本单位制造的货物（由本单位承担工程/提供服务），或者提供其他残疾人福利性单位制造的货物（不包括使用非残疾人福利性单位注册商标的货物）。</w:t>
      </w:r>
    </w:p>
    <w:p w14:paraId="7C515D5C">
      <w:pPr>
        <w:adjustRightInd w:val="0"/>
        <w:snapToGrid w:val="0"/>
        <w:spacing w:line="360" w:lineRule="auto"/>
        <w:ind w:firstLine="444" w:firstLineChars="200"/>
        <w:outlineLvl w:val="9"/>
        <w:rPr>
          <w:rFonts w:ascii="宋体" w:hAnsi="宋体"/>
          <w:color w:val="auto"/>
          <w:spacing w:val="6"/>
          <w:szCs w:val="21"/>
          <w:highlight w:val="none"/>
        </w:rPr>
      </w:pPr>
      <w:r>
        <w:rPr>
          <w:rFonts w:hint="eastAsia" w:ascii="宋体" w:hAnsi="宋体"/>
          <w:color w:val="auto"/>
          <w:spacing w:val="6"/>
          <w:szCs w:val="21"/>
          <w:highlight w:val="none"/>
        </w:rPr>
        <w:t>本单位对上述声明的真实性负责。如有虚假，将依法承担相应责任。</w:t>
      </w:r>
    </w:p>
    <w:p w14:paraId="007B8F90">
      <w:pPr>
        <w:adjustRightInd w:val="0"/>
        <w:snapToGrid w:val="0"/>
        <w:spacing w:line="360" w:lineRule="auto"/>
        <w:ind w:firstLine="444" w:firstLineChars="200"/>
        <w:outlineLvl w:val="9"/>
        <w:rPr>
          <w:rFonts w:ascii="宋体" w:hAnsi="宋体"/>
          <w:color w:val="auto"/>
          <w:spacing w:val="6"/>
          <w:szCs w:val="21"/>
          <w:highlight w:val="none"/>
        </w:rPr>
      </w:pPr>
    </w:p>
    <w:p w14:paraId="555B2657">
      <w:pPr>
        <w:adjustRightInd w:val="0"/>
        <w:snapToGrid w:val="0"/>
        <w:spacing w:line="360" w:lineRule="auto"/>
        <w:ind w:firstLine="444" w:firstLineChars="200"/>
        <w:outlineLvl w:val="9"/>
        <w:rPr>
          <w:rFonts w:ascii="宋体" w:hAnsi="宋体"/>
          <w:color w:val="auto"/>
          <w:spacing w:val="6"/>
          <w:szCs w:val="21"/>
          <w:highlight w:val="none"/>
        </w:rPr>
      </w:pPr>
    </w:p>
    <w:p w14:paraId="6937CAB7">
      <w:pPr>
        <w:tabs>
          <w:tab w:val="left" w:pos="4860"/>
        </w:tabs>
        <w:adjustRightInd w:val="0"/>
        <w:snapToGrid w:val="0"/>
        <w:spacing w:line="360" w:lineRule="auto"/>
        <w:ind w:right="1560" w:firstLine="444" w:firstLineChars="200"/>
        <w:jc w:val="center"/>
        <w:outlineLvl w:val="9"/>
        <w:rPr>
          <w:rFonts w:ascii="宋体" w:hAnsi="宋体"/>
          <w:color w:val="auto"/>
          <w:spacing w:val="6"/>
          <w:szCs w:val="21"/>
          <w:highlight w:val="none"/>
        </w:rPr>
      </w:pPr>
      <w:r>
        <w:rPr>
          <w:rFonts w:hint="eastAsia" w:ascii="宋体" w:hAnsi="宋体"/>
          <w:color w:val="auto"/>
          <w:spacing w:val="6"/>
          <w:szCs w:val="21"/>
          <w:highlight w:val="none"/>
        </w:rPr>
        <w:t xml:space="preserve">               单位名称（盖章）：</w:t>
      </w:r>
    </w:p>
    <w:p w14:paraId="20FFBA47">
      <w:pPr>
        <w:tabs>
          <w:tab w:val="left" w:pos="4860"/>
        </w:tabs>
        <w:adjustRightInd w:val="0"/>
        <w:snapToGrid w:val="0"/>
        <w:spacing w:line="360" w:lineRule="auto"/>
        <w:ind w:right="1560" w:firstLine="444" w:firstLineChars="200"/>
        <w:jc w:val="center"/>
        <w:outlineLvl w:val="9"/>
        <w:rPr>
          <w:rFonts w:ascii="宋体" w:hAnsi="宋体"/>
          <w:color w:val="auto"/>
          <w:spacing w:val="6"/>
          <w:szCs w:val="21"/>
          <w:highlight w:val="none"/>
        </w:rPr>
      </w:pPr>
      <w:r>
        <w:rPr>
          <w:rFonts w:hint="eastAsia" w:ascii="宋体" w:hAnsi="宋体"/>
          <w:color w:val="auto"/>
          <w:spacing w:val="6"/>
          <w:szCs w:val="21"/>
          <w:highlight w:val="none"/>
        </w:rPr>
        <w:t xml:space="preserve">       日  期：</w:t>
      </w:r>
    </w:p>
    <w:p w14:paraId="58FA3105">
      <w:pPr>
        <w:widowControl/>
        <w:adjustRightInd w:val="0"/>
        <w:snapToGrid w:val="0"/>
        <w:spacing w:line="360" w:lineRule="auto"/>
        <w:jc w:val="left"/>
        <w:outlineLvl w:val="9"/>
        <w:rPr>
          <w:rFonts w:ascii="宋体" w:hAnsi="宋体" w:cs="宋体"/>
          <w:color w:val="auto"/>
          <w:kern w:val="0"/>
          <w:szCs w:val="21"/>
          <w:highlight w:val="none"/>
        </w:rPr>
      </w:pPr>
    </w:p>
    <w:p w14:paraId="1E496258">
      <w:pPr>
        <w:widowControl/>
        <w:adjustRightInd w:val="0"/>
        <w:snapToGrid w:val="0"/>
        <w:spacing w:line="360" w:lineRule="auto"/>
        <w:outlineLvl w:val="9"/>
        <w:rPr>
          <w:rFonts w:ascii="黑体" w:hAnsi="宋体" w:eastAsia="黑体" w:cs="宋体"/>
          <w:color w:val="auto"/>
          <w:kern w:val="0"/>
          <w:szCs w:val="21"/>
          <w:highlight w:val="none"/>
        </w:rPr>
      </w:pPr>
    </w:p>
    <w:p w14:paraId="4E20FBD4">
      <w:pPr>
        <w:widowControl/>
        <w:adjustRightInd w:val="0"/>
        <w:snapToGrid w:val="0"/>
        <w:spacing w:line="360" w:lineRule="auto"/>
        <w:outlineLvl w:val="9"/>
        <w:rPr>
          <w:rFonts w:ascii="黑体" w:hAnsi="宋体" w:eastAsia="黑体" w:cs="宋体"/>
          <w:color w:val="auto"/>
          <w:kern w:val="0"/>
          <w:szCs w:val="21"/>
          <w:highlight w:val="none"/>
        </w:rPr>
      </w:pPr>
    </w:p>
    <w:p w14:paraId="0B3D168C">
      <w:pPr>
        <w:pStyle w:val="102"/>
        <w:ind w:firstLine="400"/>
        <w:outlineLvl w:val="9"/>
        <w:rPr>
          <w:color w:val="auto"/>
          <w:highlight w:val="none"/>
        </w:rPr>
      </w:pPr>
    </w:p>
    <w:p w14:paraId="7C76BE9C">
      <w:pPr>
        <w:widowControl/>
        <w:jc w:val="left"/>
        <w:outlineLvl w:val="9"/>
        <w:rPr>
          <w:rFonts w:ascii="黑体" w:hAnsi="宋体" w:eastAsia="黑体" w:cs="宋体"/>
          <w:bCs/>
          <w:color w:val="auto"/>
          <w:kern w:val="0"/>
          <w:szCs w:val="21"/>
          <w:highlight w:val="none"/>
        </w:rPr>
      </w:pPr>
      <w:bookmarkStart w:id="1879" w:name="_Toc15888554"/>
      <w:bookmarkStart w:id="1880" w:name="_Toc75289304"/>
      <w:r>
        <w:rPr>
          <w:rFonts w:ascii="黑体" w:hAnsi="宋体" w:cs="宋体"/>
          <w:b/>
          <w:color w:val="auto"/>
          <w:szCs w:val="21"/>
          <w:highlight w:val="none"/>
        </w:rPr>
        <w:br w:type="page"/>
      </w:r>
    </w:p>
    <w:p w14:paraId="3EFDCB0F">
      <w:pPr>
        <w:outlineLvl w:val="9"/>
        <w:rPr>
          <w:rFonts w:ascii="黑体" w:hAnsi="宋体"/>
          <w:b w:val="0"/>
          <w:color w:val="auto"/>
          <w:sz w:val="21"/>
          <w:szCs w:val="21"/>
          <w:highlight w:val="none"/>
        </w:rPr>
      </w:pPr>
      <w:r>
        <w:rPr>
          <w:rFonts w:hint="eastAsia" w:ascii="黑体" w:hAnsi="宋体" w:cs="宋体"/>
          <w:b w:val="0"/>
          <w:color w:val="auto"/>
          <w:sz w:val="21"/>
          <w:szCs w:val="21"/>
          <w:highlight w:val="none"/>
        </w:rPr>
        <w:t xml:space="preserve">附件10-3 </w:t>
      </w:r>
      <w:r>
        <w:rPr>
          <w:rFonts w:hint="eastAsia" w:ascii="黑体" w:hAnsi="宋体"/>
          <w:b w:val="0"/>
          <w:color w:val="auto"/>
          <w:sz w:val="21"/>
          <w:szCs w:val="21"/>
          <w:highlight w:val="none"/>
        </w:rPr>
        <w:t>监狱企业证明资料</w:t>
      </w:r>
      <w:bookmarkEnd w:id="1879"/>
      <w:bookmarkEnd w:id="1880"/>
    </w:p>
    <w:p w14:paraId="1D11D034">
      <w:pPr>
        <w:jc w:val="center"/>
        <w:outlineLvl w:val="9"/>
        <w:rPr>
          <w:rFonts w:hint="eastAsia" w:ascii="黑体" w:hAnsi="黑体" w:eastAsia="黑体"/>
          <w:b w:val="0"/>
          <w:color w:val="auto"/>
          <w:spacing w:val="6"/>
          <w:sz w:val="28"/>
          <w:szCs w:val="28"/>
          <w:highlight w:val="none"/>
        </w:rPr>
      </w:pPr>
      <w:bookmarkStart w:id="1881" w:name="_Toc192949670"/>
      <w:bookmarkStart w:id="1882" w:name="_Toc100670747"/>
      <w:bookmarkStart w:id="1883" w:name="_Toc112705013"/>
      <w:bookmarkStart w:id="1884" w:name="_Toc16888"/>
      <w:bookmarkStart w:id="1885" w:name="_Toc94367955"/>
      <w:bookmarkStart w:id="1886" w:name="_Toc19840"/>
      <w:bookmarkStart w:id="1887" w:name="_Toc114036784"/>
      <w:bookmarkStart w:id="1888" w:name="_Toc5206"/>
      <w:bookmarkStart w:id="1889" w:name="_Toc15939"/>
      <w:bookmarkStart w:id="1890" w:name="_Toc21290"/>
      <w:bookmarkStart w:id="1891" w:name="_Toc77676543"/>
      <w:bookmarkStart w:id="1892" w:name="_Toc171273739"/>
      <w:bookmarkStart w:id="1893" w:name="_Toc6536"/>
      <w:bookmarkStart w:id="1894" w:name="_Toc77199478"/>
      <w:bookmarkStart w:id="1895" w:name="_Toc108342014"/>
      <w:bookmarkStart w:id="1896" w:name="_Toc117192520"/>
      <w:bookmarkStart w:id="1897" w:name="_Toc78450032"/>
      <w:bookmarkStart w:id="1898" w:name="_Toc154428456"/>
      <w:bookmarkStart w:id="1899" w:name="_Toc21939"/>
      <w:bookmarkStart w:id="1900" w:name="_Toc95601440"/>
      <w:bookmarkStart w:id="1901" w:name="_Toc100670499"/>
      <w:bookmarkStart w:id="1902" w:name="_Toc192949769"/>
      <w:bookmarkStart w:id="1903" w:name="_Toc75289624"/>
      <w:bookmarkStart w:id="1904" w:name="_Toc793"/>
      <w:bookmarkStart w:id="1905" w:name="_Toc192951280"/>
      <w:bookmarkStart w:id="1906" w:name="_Toc78314339"/>
      <w:bookmarkStart w:id="1907" w:name="_Toc26892"/>
      <w:bookmarkStart w:id="1908" w:name="_Toc85973005"/>
      <w:r>
        <w:rPr>
          <w:rFonts w:hint="eastAsia" w:ascii="黑体" w:hAnsi="黑体" w:eastAsia="黑体"/>
          <w:b w:val="0"/>
          <w:color w:val="auto"/>
          <w:spacing w:val="6"/>
          <w:sz w:val="28"/>
          <w:szCs w:val="28"/>
          <w:highlight w:val="none"/>
        </w:rPr>
        <w:t>监狱企业证明资料</w:t>
      </w:r>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p>
    <w:p w14:paraId="5C9E6A4D">
      <w:pPr>
        <w:adjustRightInd w:val="0"/>
        <w:snapToGrid w:val="0"/>
        <w:spacing w:line="360" w:lineRule="auto"/>
        <w:jc w:val="center"/>
        <w:outlineLvl w:val="9"/>
        <w:rPr>
          <w:rFonts w:ascii="宋体" w:hAnsi="宋体"/>
          <w:b/>
          <w:color w:val="auto"/>
          <w:spacing w:val="6"/>
          <w:szCs w:val="21"/>
          <w:highlight w:val="none"/>
        </w:rPr>
      </w:pPr>
    </w:p>
    <w:p w14:paraId="7F74E98C">
      <w:pPr>
        <w:adjustRightInd w:val="0"/>
        <w:snapToGrid w:val="0"/>
        <w:spacing w:line="360" w:lineRule="auto"/>
        <w:outlineLvl w:val="9"/>
        <w:rPr>
          <w:rFonts w:ascii="宋体" w:hAnsi="宋体"/>
          <w:color w:val="auto"/>
          <w:szCs w:val="21"/>
          <w:highlight w:val="none"/>
        </w:rPr>
      </w:pPr>
    </w:p>
    <w:p w14:paraId="4521C0A9">
      <w:pPr>
        <w:adjustRightInd w:val="0"/>
        <w:snapToGrid w:val="0"/>
        <w:spacing w:line="360" w:lineRule="auto"/>
        <w:ind w:firstLine="420" w:firstLineChars="200"/>
        <w:outlineLvl w:val="9"/>
        <w:rPr>
          <w:rFonts w:ascii="宋体" w:hAnsi="宋体"/>
          <w:color w:val="auto"/>
          <w:szCs w:val="21"/>
          <w:highlight w:val="none"/>
        </w:rPr>
      </w:pPr>
      <w:r>
        <w:rPr>
          <w:rFonts w:hint="eastAsia" w:ascii="宋体" w:hAnsi="宋体"/>
          <w:bCs/>
          <w:color w:val="auto"/>
          <w:szCs w:val="21"/>
          <w:highlight w:val="none"/>
        </w:rPr>
        <w:t>注</w:t>
      </w:r>
      <w:r>
        <w:rPr>
          <w:rFonts w:hint="eastAsia" w:ascii="宋体" w:hAnsi="宋体" w:cs="宋体"/>
          <w:bCs/>
          <w:color w:val="auto"/>
          <w:spacing w:val="6"/>
          <w:kern w:val="0"/>
          <w:szCs w:val="21"/>
          <w:highlight w:val="none"/>
        </w:rPr>
        <w:t>：</w:t>
      </w:r>
      <w:r>
        <w:rPr>
          <w:rFonts w:hint="eastAsia" w:ascii="宋体" w:hAnsi="宋体"/>
          <w:color w:val="auto"/>
          <w:szCs w:val="21"/>
          <w:highlight w:val="none"/>
        </w:rPr>
        <w:t>按</w:t>
      </w:r>
      <w:r>
        <w:rPr>
          <w:rFonts w:hint="eastAsia" w:ascii="宋体" w:hAnsi="宋体"/>
          <w:color w:val="auto"/>
          <w:spacing w:val="6"/>
          <w:szCs w:val="21"/>
          <w:highlight w:val="none"/>
        </w:rPr>
        <w:t>《</w:t>
      </w:r>
      <w:r>
        <w:rPr>
          <w:rFonts w:hint="eastAsia" w:ascii="宋体" w:hAnsi="宋体"/>
          <w:color w:val="auto"/>
          <w:szCs w:val="21"/>
          <w:highlight w:val="none"/>
        </w:rPr>
        <w:t>财政部司法部关于政府采购支持监狱企业发展有关问题的通知</w:t>
      </w:r>
      <w:r>
        <w:rPr>
          <w:rFonts w:hint="eastAsia" w:ascii="宋体" w:hAnsi="宋体"/>
          <w:color w:val="auto"/>
          <w:spacing w:val="6"/>
          <w:szCs w:val="21"/>
          <w:highlight w:val="none"/>
        </w:rPr>
        <w:t>》</w:t>
      </w:r>
      <w:r>
        <w:rPr>
          <w:rFonts w:hint="eastAsia" w:ascii="宋体" w:hAnsi="宋体"/>
          <w:color w:val="auto"/>
          <w:szCs w:val="21"/>
          <w:highlight w:val="none"/>
        </w:rPr>
        <w:t>(财库〔2014〕68号)文件规定提供证明文件。</w:t>
      </w:r>
    </w:p>
    <w:p w14:paraId="4B23E6D1">
      <w:pPr>
        <w:adjustRightInd w:val="0"/>
        <w:snapToGrid w:val="0"/>
        <w:spacing w:line="360" w:lineRule="auto"/>
        <w:outlineLvl w:val="9"/>
        <w:rPr>
          <w:rFonts w:ascii="黑体" w:hAnsi="华文中宋" w:eastAsia="黑体" w:cs="宋体"/>
          <w:bCs/>
          <w:color w:val="auto"/>
          <w:spacing w:val="6"/>
          <w:kern w:val="0"/>
          <w:szCs w:val="21"/>
          <w:highlight w:val="none"/>
        </w:rPr>
      </w:pPr>
      <w:r>
        <w:rPr>
          <w:rFonts w:ascii="黑体" w:hAnsi="华文中宋" w:eastAsia="黑体" w:cs="宋体"/>
          <w:bCs/>
          <w:color w:val="auto"/>
          <w:spacing w:val="6"/>
          <w:kern w:val="0"/>
          <w:szCs w:val="21"/>
          <w:highlight w:val="none"/>
        </w:rPr>
        <w:br w:type="page"/>
      </w:r>
    </w:p>
    <w:p w14:paraId="1CB85870">
      <w:pPr>
        <w:spacing w:before="0" w:line="240" w:lineRule="auto"/>
        <w:outlineLvl w:val="9"/>
        <w:rPr>
          <w:rFonts w:ascii="黑体" w:hAnsi="宋体"/>
          <w:b w:val="0"/>
          <w:color w:val="auto"/>
          <w:sz w:val="21"/>
          <w:szCs w:val="21"/>
          <w:highlight w:val="none"/>
        </w:rPr>
      </w:pPr>
      <w:bookmarkStart w:id="1909" w:name="_Toc15888555"/>
      <w:bookmarkStart w:id="1910" w:name="_Toc75289305"/>
      <w:r>
        <w:rPr>
          <w:rFonts w:hint="eastAsia" w:ascii="黑体" w:hAnsi="华文中宋" w:cs="宋体"/>
          <w:b w:val="0"/>
          <w:bCs w:val="0"/>
          <w:color w:val="auto"/>
          <w:spacing w:val="6"/>
          <w:sz w:val="21"/>
          <w:szCs w:val="21"/>
          <w:highlight w:val="none"/>
        </w:rPr>
        <w:t>附件10-4</w:t>
      </w:r>
      <w:r>
        <w:rPr>
          <w:rFonts w:hint="eastAsia" w:ascii="黑体" w:hAnsi="宋体"/>
          <w:b w:val="0"/>
          <w:bCs w:val="0"/>
          <w:color w:val="auto"/>
          <w:sz w:val="21"/>
          <w:szCs w:val="21"/>
          <w:highlight w:val="none"/>
        </w:rPr>
        <w:t>强制采购或者优先采购产品的证明材料</w:t>
      </w:r>
      <w:bookmarkEnd w:id="1909"/>
      <w:bookmarkEnd w:id="1910"/>
    </w:p>
    <w:p w14:paraId="490E56BB">
      <w:pPr>
        <w:jc w:val="center"/>
        <w:outlineLvl w:val="9"/>
        <w:rPr>
          <w:rFonts w:ascii="黑体" w:hAnsi="黑体" w:eastAsia="黑体"/>
          <w:b w:val="0"/>
          <w:color w:val="auto"/>
          <w:sz w:val="28"/>
          <w:szCs w:val="28"/>
          <w:highlight w:val="none"/>
        </w:rPr>
      </w:pPr>
      <w:bookmarkStart w:id="1911" w:name="_Toc192949770"/>
      <w:bookmarkStart w:id="1912" w:name="_Toc100670748"/>
      <w:bookmarkStart w:id="1913" w:name="_Toc108342015"/>
      <w:bookmarkStart w:id="1914" w:name="_Toc77676544"/>
      <w:bookmarkStart w:id="1915" w:name="_Toc25418"/>
      <w:bookmarkStart w:id="1916" w:name="_Toc22255"/>
      <w:bookmarkStart w:id="1917" w:name="_Toc11794"/>
      <w:bookmarkStart w:id="1918" w:name="_Toc78450033"/>
      <w:bookmarkStart w:id="1919" w:name="_Toc28552"/>
      <w:bookmarkStart w:id="1920" w:name="_Toc154428457"/>
      <w:bookmarkStart w:id="1921" w:name="_Toc78314340"/>
      <w:bookmarkStart w:id="1922" w:name="_Toc114036785"/>
      <w:bookmarkStart w:id="1923" w:name="_Toc11397"/>
      <w:bookmarkStart w:id="1924" w:name="_Toc19750"/>
      <w:bookmarkStart w:id="1925" w:name="_Toc192949671"/>
      <w:bookmarkStart w:id="1926" w:name="_Toc192951281"/>
      <w:bookmarkStart w:id="1927" w:name="_Toc100670500"/>
      <w:bookmarkStart w:id="1928" w:name="_Toc94367956"/>
      <w:bookmarkStart w:id="1929" w:name="_Toc28241"/>
      <w:bookmarkStart w:id="1930" w:name="_Toc14682"/>
      <w:bookmarkStart w:id="1931" w:name="_Toc75289625"/>
      <w:bookmarkStart w:id="1932" w:name="_Toc77199479"/>
      <w:bookmarkStart w:id="1933" w:name="_Toc95601441"/>
      <w:bookmarkStart w:id="1934" w:name="_Toc85973006"/>
      <w:bookmarkStart w:id="1935" w:name="_Toc171273740"/>
      <w:bookmarkStart w:id="1936" w:name="_Toc10494"/>
      <w:bookmarkStart w:id="1937" w:name="_Toc117192521"/>
      <w:bookmarkStart w:id="1938" w:name="_Toc112705014"/>
      <w:r>
        <w:rPr>
          <w:rFonts w:hint="eastAsia" w:ascii="黑体" w:hAnsi="黑体" w:eastAsia="黑体"/>
          <w:b w:val="0"/>
          <w:color w:val="auto"/>
          <w:sz w:val="28"/>
          <w:szCs w:val="28"/>
          <w:highlight w:val="none"/>
        </w:rPr>
        <w:t>强制采购或者优先采购产品</w:t>
      </w:r>
      <w:r>
        <w:rPr>
          <w:rFonts w:hint="eastAsia" w:ascii="黑体" w:hAnsi="黑体" w:eastAsia="黑体"/>
          <w:b w:val="0"/>
          <w:bCs w:val="0"/>
          <w:color w:val="auto"/>
          <w:sz w:val="28"/>
          <w:szCs w:val="28"/>
          <w:highlight w:val="none"/>
        </w:rPr>
        <w:t>的</w:t>
      </w:r>
      <w:r>
        <w:rPr>
          <w:rFonts w:hint="eastAsia" w:ascii="黑体" w:hAnsi="黑体" w:eastAsia="黑体"/>
          <w:b w:val="0"/>
          <w:color w:val="auto"/>
          <w:sz w:val="28"/>
          <w:szCs w:val="28"/>
          <w:highlight w:val="none"/>
        </w:rPr>
        <w:t>证明材料</w:t>
      </w:r>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p>
    <w:p w14:paraId="5AE492E8">
      <w:pPr>
        <w:adjustRightInd w:val="0"/>
        <w:snapToGrid w:val="0"/>
        <w:spacing w:line="360" w:lineRule="auto"/>
        <w:jc w:val="center"/>
        <w:outlineLvl w:val="9"/>
        <w:rPr>
          <w:rFonts w:ascii="宋体" w:hAnsi="宋体"/>
          <w:b/>
          <w:color w:val="auto"/>
          <w:spacing w:val="6"/>
          <w:szCs w:val="21"/>
          <w:highlight w:val="none"/>
        </w:rPr>
      </w:pPr>
      <w:r>
        <w:rPr>
          <w:rFonts w:hint="eastAsia" w:ascii="宋体" w:hAnsi="宋体"/>
          <w:b/>
          <w:color w:val="auto"/>
          <w:spacing w:val="6"/>
          <w:szCs w:val="21"/>
          <w:highlight w:val="none"/>
        </w:rPr>
        <w:t>(不属于强制采购或者优先采购产品的无需提供)</w:t>
      </w:r>
    </w:p>
    <w:p w14:paraId="110DB4B2">
      <w:pPr>
        <w:adjustRightInd w:val="0"/>
        <w:snapToGrid w:val="0"/>
        <w:spacing w:line="360" w:lineRule="auto"/>
        <w:ind w:firstLine="420" w:firstLineChars="200"/>
        <w:jc w:val="left"/>
        <w:outlineLvl w:val="9"/>
        <w:rPr>
          <w:rFonts w:ascii="宋体" w:hAnsi="宋体"/>
          <w:color w:val="auto"/>
          <w:szCs w:val="21"/>
          <w:highlight w:val="none"/>
        </w:rPr>
      </w:pPr>
    </w:p>
    <w:p w14:paraId="0EAF5AE5">
      <w:pPr>
        <w:adjustRightInd w:val="0"/>
        <w:snapToGrid w:val="0"/>
        <w:spacing w:line="360" w:lineRule="auto"/>
        <w:ind w:firstLine="420" w:firstLineChars="200"/>
        <w:jc w:val="left"/>
        <w:outlineLvl w:val="9"/>
        <w:rPr>
          <w:rFonts w:ascii="宋体" w:hAnsi="宋体"/>
          <w:color w:val="auto"/>
          <w:szCs w:val="21"/>
          <w:highlight w:val="none"/>
        </w:rPr>
      </w:pPr>
      <w:r>
        <w:rPr>
          <w:rFonts w:hint="eastAsia" w:ascii="宋体" w:hAnsi="宋体"/>
          <w:color w:val="auto"/>
          <w:szCs w:val="21"/>
          <w:highlight w:val="none"/>
        </w:rPr>
        <w:t>注：投标人提供的产品</w:t>
      </w:r>
      <w:r>
        <w:rPr>
          <w:rFonts w:hint="eastAsia" w:ascii="宋体" w:hAnsi="宋体"/>
          <w:bCs/>
          <w:color w:val="auto"/>
          <w:szCs w:val="21"/>
          <w:highlight w:val="none"/>
        </w:rPr>
        <w:t>属于强制采购或者优先采购的</w:t>
      </w:r>
      <w:r>
        <w:rPr>
          <w:rFonts w:hint="eastAsia" w:ascii="宋体" w:hAnsi="宋体"/>
          <w:color w:val="auto"/>
          <w:szCs w:val="21"/>
          <w:highlight w:val="none"/>
        </w:rPr>
        <w:t>，应按第二章第33.6款规定提供证明材料和本章本节附页1“优先采购产品清单”，并加盖投标人单位章。</w:t>
      </w:r>
    </w:p>
    <w:p w14:paraId="134C1FFC">
      <w:pPr>
        <w:adjustRightInd w:val="0"/>
        <w:snapToGrid w:val="0"/>
        <w:spacing w:line="360" w:lineRule="auto"/>
        <w:ind w:firstLine="420" w:firstLineChars="200"/>
        <w:jc w:val="left"/>
        <w:outlineLvl w:val="9"/>
        <w:rPr>
          <w:rFonts w:ascii="宋体" w:hAnsi="宋体"/>
          <w:color w:val="auto"/>
          <w:szCs w:val="21"/>
          <w:highlight w:val="none"/>
        </w:rPr>
      </w:pPr>
    </w:p>
    <w:p w14:paraId="2C9B423C">
      <w:pPr>
        <w:widowControl/>
        <w:jc w:val="left"/>
        <w:rPr>
          <w:rFonts w:ascii="黑体" w:hAnsi="宋体" w:eastAsia="黑体"/>
          <w:bCs/>
          <w:color w:val="auto"/>
          <w:kern w:val="0"/>
          <w:sz w:val="28"/>
          <w:szCs w:val="28"/>
          <w:highlight w:val="none"/>
        </w:rPr>
      </w:pPr>
      <w:r>
        <w:rPr>
          <w:rFonts w:ascii="黑体" w:hAnsi="宋体"/>
          <w:b/>
          <w:color w:val="auto"/>
          <w:highlight w:val="none"/>
        </w:rPr>
        <w:br w:type="page"/>
      </w:r>
    </w:p>
    <w:p w14:paraId="14FBA6E9">
      <w:pPr>
        <w:spacing w:before="0"/>
        <w:jc w:val="left"/>
        <w:outlineLvl w:val="9"/>
        <w:rPr>
          <w:rFonts w:ascii="黑体" w:hAnsi="宋体"/>
          <w:b w:val="0"/>
          <w:color w:val="auto"/>
          <w:sz w:val="21"/>
          <w:szCs w:val="21"/>
          <w:highlight w:val="none"/>
        </w:rPr>
      </w:pPr>
      <w:bookmarkStart w:id="1939" w:name="_Toc32718"/>
      <w:r>
        <w:rPr>
          <w:rFonts w:hint="eastAsia" w:ascii="黑体" w:hAnsi="华文中宋" w:cs="宋体"/>
          <w:b w:val="0"/>
          <w:bCs w:val="0"/>
          <w:color w:val="auto"/>
          <w:spacing w:val="6"/>
          <w:sz w:val="21"/>
          <w:szCs w:val="21"/>
          <w:highlight w:val="none"/>
        </w:rPr>
        <w:t xml:space="preserve">附页 1 </w:t>
      </w:r>
      <w:r>
        <w:rPr>
          <w:rFonts w:hint="eastAsia" w:ascii="黑体" w:hAnsi="宋体"/>
          <w:b w:val="0"/>
          <w:color w:val="auto"/>
          <w:sz w:val="21"/>
          <w:szCs w:val="21"/>
          <w:highlight w:val="none"/>
        </w:rPr>
        <w:t>优先采购产品清单</w:t>
      </w:r>
      <w:bookmarkEnd w:id="1939"/>
    </w:p>
    <w:p w14:paraId="7DD76D66">
      <w:pPr>
        <w:adjustRightInd w:val="0"/>
        <w:snapToGrid w:val="0"/>
        <w:spacing w:line="360" w:lineRule="auto"/>
        <w:jc w:val="center"/>
        <w:outlineLvl w:val="9"/>
        <w:rPr>
          <w:rFonts w:ascii="宋体" w:hAnsi="宋体"/>
          <w:b/>
          <w:color w:val="auto"/>
          <w:spacing w:val="6"/>
          <w:szCs w:val="21"/>
          <w:highlight w:val="none"/>
        </w:rPr>
      </w:pPr>
      <w:r>
        <w:rPr>
          <w:rFonts w:hint="eastAsia" w:ascii="黑体" w:hAnsi="宋体" w:eastAsia="黑体"/>
          <w:b/>
          <w:color w:val="auto"/>
          <w:sz w:val="28"/>
          <w:szCs w:val="28"/>
          <w:highlight w:val="none"/>
        </w:rPr>
        <w:t>优先采购产品清单</w:t>
      </w:r>
    </w:p>
    <w:p w14:paraId="5BBA86AC">
      <w:pPr>
        <w:adjustRightInd w:val="0"/>
        <w:snapToGrid w:val="0"/>
        <w:spacing w:line="360" w:lineRule="auto"/>
        <w:outlineLvl w:val="9"/>
        <w:rPr>
          <w:rFonts w:ascii="宋体" w:hAnsi="宋体"/>
          <w:color w:val="auto"/>
          <w:szCs w:val="21"/>
          <w:highlight w:val="none"/>
        </w:rPr>
      </w:pPr>
      <w:r>
        <w:rPr>
          <w:rFonts w:hint="eastAsia" w:ascii="宋体" w:hAnsi="宋体"/>
          <w:color w:val="auto"/>
          <w:szCs w:val="21"/>
          <w:highlight w:val="none"/>
        </w:rPr>
        <w:t>政府采购计划编号：                         项目名称：</w:t>
      </w:r>
    </w:p>
    <w:p w14:paraId="6FF2B40F">
      <w:pPr>
        <w:adjustRightInd w:val="0"/>
        <w:snapToGrid w:val="0"/>
        <w:spacing w:line="360" w:lineRule="auto"/>
        <w:outlineLvl w:val="9"/>
        <w:rPr>
          <w:rFonts w:ascii="宋体" w:hAnsi="宋体"/>
          <w:color w:val="auto"/>
          <w:szCs w:val="21"/>
          <w:highlight w:val="none"/>
        </w:rPr>
      </w:pPr>
      <w:r>
        <w:rPr>
          <w:rFonts w:hint="eastAsia" w:ascii="宋体" w:hAnsi="宋体"/>
          <w:color w:val="auto"/>
          <w:szCs w:val="21"/>
          <w:highlight w:val="none"/>
        </w:rPr>
        <w:t>包       号：                              包名称：</w:t>
      </w:r>
    </w:p>
    <w:tbl>
      <w:tblPr>
        <w:tblStyle w:val="47"/>
        <w:tblW w:w="8740"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667"/>
        <w:gridCol w:w="1729"/>
        <w:gridCol w:w="1127"/>
        <w:gridCol w:w="1410"/>
        <w:gridCol w:w="1972"/>
        <w:gridCol w:w="1835"/>
      </w:tblGrid>
      <w:tr w14:paraId="3B20EE8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0" w:hRule="atLeast"/>
        </w:trPr>
        <w:tc>
          <w:tcPr>
            <w:tcW w:w="8740" w:type="dxa"/>
            <w:gridSpan w:val="6"/>
            <w:vAlign w:val="center"/>
          </w:tcPr>
          <w:p w14:paraId="76BE689D">
            <w:pPr>
              <w:widowControl/>
              <w:adjustRightInd w:val="0"/>
              <w:snapToGrid w:val="0"/>
              <w:spacing w:line="360" w:lineRule="auto"/>
              <w:ind w:firstLine="480" w:firstLineChars="200"/>
              <w:jc w:val="left"/>
              <w:outlineLvl w:val="9"/>
              <w:rPr>
                <w:rFonts w:ascii="黑体" w:hAnsi="黑体" w:eastAsia="黑体"/>
                <w:color w:val="auto"/>
                <w:kern w:val="0"/>
                <w:sz w:val="24"/>
                <w:highlight w:val="none"/>
              </w:rPr>
            </w:pPr>
            <w:r>
              <w:rPr>
                <w:rFonts w:hint="eastAsia" w:ascii="黑体" w:hAnsi="宋体" w:eastAsia="黑体"/>
                <w:color w:val="auto"/>
                <w:kern w:val="0"/>
                <w:sz w:val="24"/>
                <w:highlight w:val="none"/>
              </w:rPr>
              <w:t>以下为投标人提供的政府采购优先采购产品，投标人对本表的真实性负责。如有虚假，将依法承担相应责任。</w:t>
            </w:r>
          </w:p>
        </w:tc>
      </w:tr>
      <w:tr w14:paraId="5D1C877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27" w:hRule="atLeast"/>
        </w:trPr>
        <w:tc>
          <w:tcPr>
            <w:tcW w:w="667" w:type="dxa"/>
            <w:vAlign w:val="center"/>
          </w:tcPr>
          <w:p w14:paraId="1EAE608B">
            <w:pPr>
              <w:widowControl/>
              <w:adjustRightInd w:val="0"/>
              <w:snapToGrid w:val="0"/>
              <w:spacing w:line="360" w:lineRule="auto"/>
              <w:jc w:val="center"/>
              <w:outlineLvl w:val="9"/>
              <w:rPr>
                <w:rFonts w:ascii="宋体" w:hAnsi="宋体"/>
                <w:color w:val="auto"/>
                <w:kern w:val="0"/>
                <w:szCs w:val="21"/>
                <w:highlight w:val="none"/>
              </w:rPr>
            </w:pPr>
            <w:r>
              <w:rPr>
                <w:rFonts w:hint="eastAsia" w:ascii="宋体" w:hAnsi="宋体"/>
                <w:color w:val="auto"/>
                <w:kern w:val="0"/>
                <w:szCs w:val="21"/>
                <w:highlight w:val="none"/>
              </w:rPr>
              <w:t>1</w:t>
            </w:r>
          </w:p>
        </w:tc>
        <w:tc>
          <w:tcPr>
            <w:tcW w:w="1729" w:type="dxa"/>
            <w:vAlign w:val="center"/>
          </w:tcPr>
          <w:p w14:paraId="3A6C2BFC">
            <w:pPr>
              <w:widowControl/>
              <w:adjustRightInd w:val="0"/>
              <w:snapToGrid w:val="0"/>
              <w:spacing w:line="360" w:lineRule="auto"/>
              <w:jc w:val="center"/>
              <w:outlineLvl w:val="9"/>
              <w:rPr>
                <w:rFonts w:ascii="宋体" w:hAnsi="宋体"/>
                <w:color w:val="auto"/>
                <w:kern w:val="0"/>
                <w:szCs w:val="21"/>
                <w:highlight w:val="none"/>
              </w:rPr>
            </w:pPr>
            <w:r>
              <w:rPr>
                <w:rFonts w:hint="eastAsia" w:ascii="宋体" w:hAnsi="宋体"/>
                <w:color w:val="auto"/>
                <w:kern w:val="0"/>
                <w:szCs w:val="21"/>
                <w:highlight w:val="none"/>
              </w:rPr>
              <w:t>2</w:t>
            </w:r>
          </w:p>
        </w:tc>
        <w:tc>
          <w:tcPr>
            <w:tcW w:w="1127" w:type="dxa"/>
            <w:tcBorders>
              <w:right w:val="single" w:color="auto" w:sz="4" w:space="0"/>
            </w:tcBorders>
            <w:vAlign w:val="center"/>
          </w:tcPr>
          <w:p w14:paraId="20B2598C">
            <w:pPr>
              <w:adjustRightInd w:val="0"/>
              <w:snapToGrid w:val="0"/>
              <w:spacing w:line="360" w:lineRule="auto"/>
              <w:jc w:val="center"/>
              <w:outlineLvl w:val="9"/>
              <w:rPr>
                <w:rFonts w:ascii="宋体" w:hAnsi="宋体"/>
                <w:color w:val="auto"/>
                <w:kern w:val="0"/>
                <w:szCs w:val="21"/>
                <w:highlight w:val="none"/>
              </w:rPr>
            </w:pPr>
            <w:r>
              <w:rPr>
                <w:rFonts w:hint="eastAsia" w:ascii="宋体" w:hAnsi="宋体"/>
                <w:color w:val="auto"/>
                <w:kern w:val="0"/>
                <w:szCs w:val="21"/>
                <w:highlight w:val="none"/>
              </w:rPr>
              <w:t>3</w:t>
            </w:r>
          </w:p>
        </w:tc>
        <w:tc>
          <w:tcPr>
            <w:tcW w:w="1410" w:type="dxa"/>
            <w:tcBorders>
              <w:left w:val="single" w:color="auto" w:sz="4" w:space="0"/>
            </w:tcBorders>
            <w:vAlign w:val="center"/>
          </w:tcPr>
          <w:p w14:paraId="6261DA17">
            <w:pPr>
              <w:widowControl/>
              <w:adjustRightInd w:val="0"/>
              <w:snapToGrid w:val="0"/>
              <w:spacing w:line="360" w:lineRule="auto"/>
              <w:jc w:val="center"/>
              <w:outlineLvl w:val="9"/>
              <w:rPr>
                <w:rFonts w:ascii="宋体" w:hAnsi="宋体"/>
                <w:color w:val="auto"/>
                <w:kern w:val="0"/>
                <w:szCs w:val="21"/>
                <w:highlight w:val="none"/>
              </w:rPr>
            </w:pPr>
            <w:r>
              <w:rPr>
                <w:rFonts w:hint="eastAsia" w:ascii="宋体" w:hAnsi="宋体"/>
                <w:color w:val="auto"/>
                <w:kern w:val="0"/>
                <w:szCs w:val="21"/>
                <w:highlight w:val="none"/>
              </w:rPr>
              <w:t>4</w:t>
            </w:r>
          </w:p>
        </w:tc>
        <w:tc>
          <w:tcPr>
            <w:tcW w:w="1972" w:type="dxa"/>
            <w:vAlign w:val="center"/>
          </w:tcPr>
          <w:p w14:paraId="3B2574F5">
            <w:pPr>
              <w:widowControl/>
              <w:adjustRightInd w:val="0"/>
              <w:snapToGrid w:val="0"/>
              <w:spacing w:line="360" w:lineRule="auto"/>
              <w:jc w:val="center"/>
              <w:outlineLvl w:val="9"/>
              <w:rPr>
                <w:rFonts w:ascii="宋体" w:hAnsi="宋体"/>
                <w:color w:val="auto"/>
                <w:kern w:val="0"/>
                <w:szCs w:val="21"/>
                <w:highlight w:val="none"/>
              </w:rPr>
            </w:pPr>
            <w:r>
              <w:rPr>
                <w:rFonts w:hint="eastAsia" w:ascii="宋体" w:hAnsi="宋体"/>
                <w:color w:val="auto"/>
                <w:kern w:val="0"/>
                <w:szCs w:val="21"/>
                <w:highlight w:val="none"/>
              </w:rPr>
              <w:t>5</w:t>
            </w:r>
          </w:p>
        </w:tc>
        <w:tc>
          <w:tcPr>
            <w:tcW w:w="1835" w:type="dxa"/>
            <w:vAlign w:val="center"/>
          </w:tcPr>
          <w:p w14:paraId="693B7F7C">
            <w:pPr>
              <w:widowControl/>
              <w:adjustRightInd w:val="0"/>
              <w:snapToGrid w:val="0"/>
              <w:spacing w:line="360" w:lineRule="auto"/>
              <w:jc w:val="center"/>
              <w:outlineLvl w:val="9"/>
              <w:rPr>
                <w:rFonts w:ascii="宋体" w:hAnsi="宋体"/>
                <w:color w:val="auto"/>
                <w:kern w:val="0"/>
                <w:szCs w:val="21"/>
                <w:highlight w:val="none"/>
              </w:rPr>
            </w:pPr>
            <w:r>
              <w:rPr>
                <w:rFonts w:hint="eastAsia" w:ascii="宋体" w:hAnsi="宋体"/>
                <w:color w:val="auto"/>
                <w:kern w:val="0"/>
                <w:szCs w:val="21"/>
                <w:highlight w:val="none"/>
              </w:rPr>
              <w:t>6</w:t>
            </w:r>
          </w:p>
        </w:tc>
      </w:tr>
      <w:tr w14:paraId="7DBEDCC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2" w:hRule="atLeast"/>
        </w:trPr>
        <w:tc>
          <w:tcPr>
            <w:tcW w:w="667" w:type="dxa"/>
            <w:vAlign w:val="center"/>
          </w:tcPr>
          <w:p w14:paraId="6ADF6099">
            <w:pPr>
              <w:widowControl/>
              <w:adjustRightInd w:val="0"/>
              <w:snapToGrid w:val="0"/>
              <w:spacing w:line="360" w:lineRule="auto"/>
              <w:jc w:val="center"/>
              <w:outlineLvl w:val="9"/>
              <w:rPr>
                <w:rFonts w:ascii="宋体" w:hAnsi="宋体"/>
                <w:color w:val="auto"/>
                <w:kern w:val="0"/>
                <w:szCs w:val="21"/>
                <w:highlight w:val="none"/>
              </w:rPr>
            </w:pPr>
            <w:r>
              <w:rPr>
                <w:rFonts w:hint="eastAsia" w:ascii="宋体" w:hAnsi="宋体"/>
                <w:color w:val="auto"/>
                <w:kern w:val="0"/>
                <w:szCs w:val="21"/>
                <w:highlight w:val="none"/>
              </w:rPr>
              <w:t>序号</w:t>
            </w:r>
          </w:p>
        </w:tc>
        <w:tc>
          <w:tcPr>
            <w:tcW w:w="1729" w:type="dxa"/>
            <w:vAlign w:val="center"/>
          </w:tcPr>
          <w:p w14:paraId="1E7EBED9">
            <w:pPr>
              <w:widowControl/>
              <w:adjustRightInd w:val="0"/>
              <w:snapToGrid w:val="0"/>
              <w:spacing w:line="360" w:lineRule="auto"/>
              <w:jc w:val="center"/>
              <w:outlineLvl w:val="9"/>
              <w:rPr>
                <w:rFonts w:ascii="宋体" w:hAnsi="宋体"/>
                <w:color w:val="auto"/>
                <w:kern w:val="0"/>
                <w:szCs w:val="21"/>
                <w:highlight w:val="none"/>
              </w:rPr>
            </w:pPr>
            <w:r>
              <w:rPr>
                <w:rFonts w:hint="eastAsia" w:ascii="宋体" w:hAnsi="宋体"/>
                <w:color w:val="auto"/>
                <w:kern w:val="0"/>
                <w:szCs w:val="21"/>
                <w:highlight w:val="none"/>
              </w:rPr>
              <w:t>货物名称</w:t>
            </w:r>
          </w:p>
        </w:tc>
        <w:tc>
          <w:tcPr>
            <w:tcW w:w="1127" w:type="dxa"/>
            <w:tcBorders>
              <w:right w:val="single" w:color="auto" w:sz="4" w:space="0"/>
            </w:tcBorders>
            <w:vAlign w:val="center"/>
          </w:tcPr>
          <w:p w14:paraId="5AEF7ECC">
            <w:pPr>
              <w:widowControl/>
              <w:adjustRightInd w:val="0"/>
              <w:snapToGrid w:val="0"/>
              <w:spacing w:line="360" w:lineRule="auto"/>
              <w:jc w:val="center"/>
              <w:outlineLvl w:val="9"/>
              <w:rPr>
                <w:rFonts w:ascii="宋体" w:hAnsi="宋体"/>
                <w:color w:val="auto"/>
                <w:kern w:val="0"/>
                <w:szCs w:val="21"/>
                <w:highlight w:val="none"/>
              </w:rPr>
            </w:pPr>
            <w:r>
              <w:rPr>
                <w:rFonts w:hint="eastAsia" w:ascii="宋体" w:hAnsi="宋体"/>
                <w:color w:val="auto"/>
                <w:kern w:val="0"/>
                <w:szCs w:val="21"/>
                <w:highlight w:val="none"/>
              </w:rPr>
              <w:t>规格型号</w:t>
            </w:r>
          </w:p>
        </w:tc>
        <w:tc>
          <w:tcPr>
            <w:tcW w:w="1410" w:type="dxa"/>
            <w:tcBorders>
              <w:left w:val="single" w:color="auto" w:sz="4" w:space="0"/>
            </w:tcBorders>
            <w:vAlign w:val="center"/>
          </w:tcPr>
          <w:p w14:paraId="24E6CBF5">
            <w:pPr>
              <w:adjustRightInd w:val="0"/>
              <w:snapToGrid w:val="0"/>
              <w:spacing w:line="360" w:lineRule="auto"/>
              <w:jc w:val="center"/>
              <w:outlineLvl w:val="9"/>
              <w:rPr>
                <w:rFonts w:ascii="宋体" w:hAnsi="宋体"/>
                <w:color w:val="auto"/>
                <w:kern w:val="0"/>
                <w:szCs w:val="21"/>
                <w:highlight w:val="none"/>
              </w:rPr>
            </w:pPr>
            <w:r>
              <w:rPr>
                <w:rFonts w:hint="eastAsia" w:ascii="宋体" w:hAnsi="宋体"/>
                <w:color w:val="auto"/>
                <w:kern w:val="0"/>
                <w:szCs w:val="21"/>
                <w:highlight w:val="none"/>
              </w:rPr>
              <w:t>价格（元）</w:t>
            </w:r>
          </w:p>
        </w:tc>
        <w:tc>
          <w:tcPr>
            <w:tcW w:w="1972" w:type="dxa"/>
            <w:vAlign w:val="center"/>
          </w:tcPr>
          <w:p w14:paraId="42FCCC4D">
            <w:pPr>
              <w:widowControl/>
              <w:adjustRightInd w:val="0"/>
              <w:snapToGrid w:val="0"/>
              <w:spacing w:line="360" w:lineRule="auto"/>
              <w:jc w:val="center"/>
              <w:outlineLvl w:val="9"/>
              <w:rPr>
                <w:rFonts w:ascii="宋体" w:hAnsi="宋体"/>
                <w:color w:val="auto"/>
                <w:kern w:val="0"/>
                <w:szCs w:val="21"/>
                <w:highlight w:val="none"/>
              </w:rPr>
            </w:pPr>
            <w:r>
              <w:rPr>
                <w:rFonts w:hint="eastAsia" w:ascii="宋体" w:hAnsi="宋体"/>
                <w:color w:val="auto"/>
                <w:kern w:val="0"/>
                <w:szCs w:val="21"/>
                <w:highlight w:val="none"/>
              </w:rPr>
              <w:t>货物制造商名称</w:t>
            </w:r>
          </w:p>
        </w:tc>
        <w:tc>
          <w:tcPr>
            <w:tcW w:w="1835" w:type="dxa"/>
            <w:vAlign w:val="center"/>
          </w:tcPr>
          <w:p w14:paraId="7F2DACFE">
            <w:pPr>
              <w:widowControl/>
              <w:adjustRightInd w:val="0"/>
              <w:snapToGrid w:val="0"/>
              <w:spacing w:line="360" w:lineRule="auto"/>
              <w:jc w:val="center"/>
              <w:outlineLvl w:val="9"/>
              <w:rPr>
                <w:rFonts w:ascii="宋体" w:hAnsi="宋体"/>
                <w:color w:val="auto"/>
                <w:kern w:val="0"/>
                <w:szCs w:val="21"/>
                <w:highlight w:val="none"/>
              </w:rPr>
            </w:pPr>
            <w:r>
              <w:rPr>
                <w:rFonts w:hint="eastAsia" w:ascii="宋体" w:hAnsi="宋体"/>
                <w:color w:val="auto"/>
                <w:kern w:val="0"/>
                <w:szCs w:val="21"/>
                <w:highlight w:val="none"/>
              </w:rPr>
              <w:t>政策功能编码</w:t>
            </w:r>
          </w:p>
        </w:tc>
      </w:tr>
      <w:tr w14:paraId="395A421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66" w:hRule="atLeast"/>
        </w:trPr>
        <w:tc>
          <w:tcPr>
            <w:tcW w:w="8740" w:type="dxa"/>
            <w:gridSpan w:val="6"/>
            <w:vAlign w:val="center"/>
          </w:tcPr>
          <w:p w14:paraId="26A9233D">
            <w:pPr>
              <w:adjustRightInd w:val="0"/>
              <w:snapToGrid w:val="0"/>
              <w:spacing w:line="360" w:lineRule="auto"/>
              <w:jc w:val="left"/>
              <w:outlineLvl w:val="9"/>
              <w:rPr>
                <w:rFonts w:ascii="宋体" w:hAnsi="宋体"/>
                <w:b/>
                <w:color w:val="auto"/>
                <w:szCs w:val="21"/>
                <w:highlight w:val="none"/>
              </w:rPr>
            </w:pPr>
            <w:r>
              <w:rPr>
                <w:rFonts w:hint="eastAsia" w:ascii="宋体" w:hAnsi="宋体"/>
                <w:b/>
                <w:color w:val="auto"/>
                <w:szCs w:val="21"/>
                <w:highlight w:val="none"/>
              </w:rPr>
              <w:t>节能产品</w:t>
            </w:r>
          </w:p>
        </w:tc>
      </w:tr>
      <w:tr w14:paraId="2A1CBE1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66" w:hRule="atLeast"/>
        </w:trPr>
        <w:tc>
          <w:tcPr>
            <w:tcW w:w="667" w:type="dxa"/>
            <w:vAlign w:val="center"/>
          </w:tcPr>
          <w:p w14:paraId="0F09720C">
            <w:pPr>
              <w:adjustRightInd w:val="0"/>
              <w:snapToGrid w:val="0"/>
              <w:spacing w:line="360" w:lineRule="auto"/>
              <w:jc w:val="center"/>
              <w:outlineLvl w:val="9"/>
              <w:rPr>
                <w:rFonts w:ascii="宋体" w:hAnsi="宋体"/>
                <w:b/>
                <w:color w:val="auto"/>
                <w:szCs w:val="21"/>
                <w:highlight w:val="none"/>
              </w:rPr>
            </w:pPr>
          </w:p>
        </w:tc>
        <w:tc>
          <w:tcPr>
            <w:tcW w:w="1729" w:type="dxa"/>
            <w:vAlign w:val="center"/>
          </w:tcPr>
          <w:p w14:paraId="061AA849">
            <w:pPr>
              <w:adjustRightInd w:val="0"/>
              <w:snapToGrid w:val="0"/>
              <w:spacing w:line="360" w:lineRule="auto"/>
              <w:jc w:val="center"/>
              <w:outlineLvl w:val="9"/>
              <w:rPr>
                <w:rFonts w:ascii="宋体" w:hAnsi="宋体"/>
                <w:b/>
                <w:color w:val="auto"/>
                <w:szCs w:val="21"/>
                <w:highlight w:val="none"/>
              </w:rPr>
            </w:pPr>
          </w:p>
        </w:tc>
        <w:tc>
          <w:tcPr>
            <w:tcW w:w="1127" w:type="dxa"/>
            <w:tcBorders>
              <w:right w:val="single" w:color="auto" w:sz="4" w:space="0"/>
            </w:tcBorders>
            <w:vAlign w:val="center"/>
          </w:tcPr>
          <w:p w14:paraId="371A43E7">
            <w:pPr>
              <w:adjustRightInd w:val="0"/>
              <w:snapToGrid w:val="0"/>
              <w:spacing w:line="360" w:lineRule="auto"/>
              <w:jc w:val="left"/>
              <w:outlineLvl w:val="9"/>
              <w:rPr>
                <w:rFonts w:ascii="宋体" w:hAnsi="宋体"/>
                <w:b/>
                <w:color w:val="auto"/>
                <w:szCs w:val="21"/>
                <w:highlight w:val="none"/>
              </w:rPr>
            </w:pPr>
          </w:p>
        </w:tc>
        <w:tc>
          <w:tcPr>
            <w:tcW w:w="1410" w:type="dxa"/>
            <w:tcBorders>
              <w:left w:val="single" w:color="auto" w:sz="4" w:space="0"/>
            </w:tcBorders>
            <w:vAlign w:val="center"/>
          </w:tcPr>
          <w:p w14:paraId="1740FA7B">
            <w:pPr>
              <w:adjustRightInd w:val="0"/>
              <w:snapToGrid w:val="0"/>
              <w:spacing w:line="360" w:lineRule="auto"/>
              <w:jc w:val="left"/>
              <w:outlineLvl w:val="9"/>
              <w:rPr>
                <w:rFonts w:ascii="宋体" w:hAnsi="宋体"/>
                <w:b/>
                <w:color w:val="auto"/>
                <w:szCs w:val="21"/>
                <w:highlight w:val="none"/>
              </w:rPr>
            </w:pPr>
          </w:p>
        </w:tc>
        <w:tc>
          <w:tcPr>
            <w:tcW w:w="1972" w:type="dxa"/>
            <w:vAlign w:val="center"/>
          </w:tcPr>
          <w:p w14:paraId="61F6A5B3">
            <w:pPr>
              <w:adjustRightInd w:val="0"/>
              <w:snapToGrid w:val="0"/>
              <w:spacing w:line="360" w:lineRule="auto"/>
              <w:jc w:val="center"/>
              <w:outlineLvl w:val="9"/>
              <w:rPr>
                <w:rFonts w:ascii="宋体" w:hAnsi="宋体"/>
                <w:b/>
                <w:color w:val="auto"/>
                <w:szCs w:val="21"/>
                <w:highlight w:val="none"/>
              </w:rPr>
            </w:pPr>
          </w:p>
        </w:tc>
        <w:tc>
          <w:tcPr>
            <w:tcW w:w="1835" w:type="dxa"/>
          </w:tcPr>
          <w:p w14:paraId="2A84CA44">
            <w:pPr>
              <w:adjustRightInd w:val="0"/>
              <w:snapToGrid w:val="0"/>
              <w:spacing w:line="360" w:lineRule="auto"/>
              <w:jc w:val="center"/>
              <w:outlineLvl w:val="9"/>
              <w:rPr>
                <w:rFonts w:ascii="宋体" w:hAnsi="宋体"/>
                <w:b/>
                <w:color w:val="auto"/>
                <w:szCs w:val="21"/>
                <w:highlight w:val="none"/>
              </w:rPr>
            </w:pPr>
          </w:p>
        </w:tc>
      </w:tr>
      <w:tr w14:paraId="3A2CF13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66" w:hRule="atLeast"/>
        </w:trPr>
        <w:tc>
          <w:tcPr>
            <w:tcW w:w="667" w:type="dxa"/>
            <w:vAlign w:val="center"/>
          </w:tcPr>
          <w:p w14:paraId="79717C96">
            <w:pPr>
              <w:adjustRightInd w:val="0"/>
              <w:snapToGrid w:val="0"/>
              <w:spacing w:line="360" w:lineRule="auto"/>
              <w:jc w:val="center"/>
              <w:outlineLvl w:val="9"/>
              <w:rPr>
                <w:rFonts w:ascii="宋体" w:hAnsi="宋体"/>
                <w:color w:val="auto"/>
                <w:szCs w:val="21"/>
                <w:highlight w:val="none"/>
              </w:rPr>
            </w:pPr>
            <w:r>
              <w:rPr>
                <w:rFonts w:hint="eastAsia" w:ascii="宋体" w:hAnsi="宋体"/>
                <w:color w:val="auto"/>
                <w:szCs w:val="21"/>
                <w:highlight w:val="none"/>
              </w:rPr>
              <w:t>小计</w:t>
            </w:r>
          </w:p>
        </w:tc>
        <w:tc>
          <w:tcPr>
            <w:tcW w:w="1729" w:type="dxa"/>
            <w:vAlign w:val="center"/>
          </w:tcPr>
          <w:p w14:paraId="761E5FCF">
            <w:pPr>
              <w:adjustRightInd w:val="0"/>
              <w:snapToGrid w:val="0"/>
              <w:spacing w:line="360" w:lineRule="auto"/>
              <w:jc w:val="center"/>
              <w:outlineLvl w:val="9"/>
              <w:rPr>
                <w:rFonts w:ascii="宋体" w:hAnsi="宋体"/>
                <w:b/>
                <w:color w:val="auto"/>
                <w:szCs w:val="21"/>
                <w:highlight w:val="none"/>
              </w:rPr>
            </w:pPr>
          </w:p>
        </w:tc>
        <w:tc>
          <w:tcPr>
            <w:tcW w:w="1127" w:type="dxa"/>
            <w:tcBorders>
              <w:right w:val="single" w:color="auto" w:sz="4" w:space="0"/>
            </w:tcBorders>
            <w:vAlign w:val="center"/>
          </w:tcPr>
          <w:p w14:paraId="5D6AF92F">
            <w:pPr>
              <w:adjustRightInd w:val="0"/>
              <w:snapToGrid w:val="0"/>
              <w:spacing w:line="360" w:lineRule="auto"/>
              <w:jc w:val="left"/>
              <w:outlineLvl w:val="9"/>
              <w:rPr>
                <w:rFonts w:ascii="宋体" w:hAnsi="宋体"/>
                <w:b/>
                <w:color w:val="auto"/>
                <w:szCs w:val="21"/>
                <w:highlight w:val="none"/>
              </w:rPr>
            </w:pPr>
          </w:p>
        </w:tc>
        <w:tc>
          <w:tcPr>
            <w:tcW w:w="1410" w:type="dxa"/>
            <w:tcBorders>
              <w:left w:val="single" w:color="auto" w:sz="4" w:space="0"/>
            </w:tcBorders>
            <w:vAlign w:val="center"/>
          </w:tcPr>
          <w:p w14:paraId="4916887A">
            <w:pPr>
              <w:adjustRightInd w:val="0"/>
              <w:snapToGrid w:val="0"/>
              <w:spacing w:line="360" w:lineRule="auto"/>
              <w:jc w:val="left"/>
              <w:outlineLvl w:val="9"/>
              <w:rPr>
                <w:rFonts w:ascii="宋体" w:hAnsi="宋体"/>
                <w:b/>
                <w:color w:val="auto"/>
                <w:szCs w:val="21"/>
                <w:highlight w:val="none"/>
              </w:rPr>
            </w:pPr>
          </w:p>
        </w:tc>
        <w:tc>
          <w:tcPr>
            <w:tcW w:w="1972" w:type="dxa"/>
            <w:vAlign w:val="center"/>
          </w:tcPr>
          <w:p w14:paraId="7B913402">
            <w:pPr>
              <w:adjustRightInd w:val="0"/>
              <w:snapToGrid w:val="0"/>
              <w:spacing w:line="360" w:lineRule="auto"/>
              <w:jc w:val="center"/>
              <w:outlineLvl w:val="9"/>
              <w:rPr>
                <w:rFonts w:ascii="宋体" w:hAnsi="宋体"/>
                <w:b/>
                <w:color w:val="auto"/>
                <w:szCs w:val="21"/>
                <w:highlight w:val="none"/>
              </w:rPr>
            </w:pPr>
          </w:p>
        </w:tc>
        <w:tc>
          <w:tcPr>
            <w:tcW w:w="1835" w:type="dxa"/>
          </w:tcPr>
          <w:p w14:paraId="01B18991">
            <w:pPr>
              <w:adjustRightInd w:val="0"/>
              <w:snapToGrid w:val="0"/>
              <w:spacing w:line="360" w:lineRule="auto"/>
              <w:jc w:val="center"/>
              <w:outlineLvl w:val="9"/>
              <w:rPr>
                <w:rFonts w:ascii="宋体" w:hAnsi="宋体"/>
                <w:b/>
                <w:color w:val="auto"/>
                <w:szCs w:val="21"/>
                <w:highlight w:val="none"/>
              </w:rPr>
            </w:pPr>
          </w:p>
        </w:tc>
      </w:tr>
      <w:tr w14:paraId="0D913D7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66" w:hRule="atLeast"/>
        </w:trPr>
        <w:tc>
          <w:tcPr>
            <w:tcW w:w="8740" w:type="dxa"/>
            <w:gridSpan w:val="6"/>
            <w:vAlign w:val="center"/>
          </w:tcPr>
          <w:p w14:paraId="74D17252">
            <w:pPr>
              <w:adjustRightInd w:val="0"/>
              <w:snapToGrid w:val="0"/>
              <w:spacing w:line="360" w:lineRule="auto"/>
              <w:jc w:val="left"/>
              <w:outlineLvl w:val="9"/>
              <w:rPr>
                <w:rFonts w:ascii="宋体" w:hAnsi="宋体"/>
                <w:b/>
                <w:color w:val="auto"/>
                <w:szCs w:val="21"/>
                <w:highlight w:val="none"/>
              </w:rPr>
            </w:pPr>
            <w:r>
              <w:rPr>
                <w:rFonts w:hint="eastAsia" w:ascii="宋体" w:hAnsi="宋体"/>
                <w:b/>
                <w:color w:val="auto"/>
                <w:szCs w:val="21"/>
                <w:highlight w:val="none"/>
              </w:rPr>
              <w:t>环境标志产品</w:t>
            </w:r>
          </w:p>
        </w:tc>
      </w:tr>
      <w:tr w14:paraId="4E29EF8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66" w:hRule="atLeast"/>
        </w:trPr>
        <w:tc>
          <w:tcPr>
            <w:tcW w:w="667" w:type="dxa"/>
            <w:vAlign w:val="center"/>
          </w:tcPr>
          <w:p w14:paraId="7A8A167E">
            <w:pPr>
              <w:adjustRightInd w:val="0"/>
              <w:snapToGrid w:val="0"/>
              <w:spacing w:line="360" w:lineRule="auto"/>
              <w:jc w:val="center"/>
              <w:outlineLvl w:val="9"/>
              <w:rPr>
                <w:rFonts w:ascii="宋体" w:hAnsi="宋体"/>
                <w:b/>
                <w:color w:val="auto"/>
                <w:szCs w:val="21"/>
                <w:highlight w:val="none"/>
              </w:rPr>
            </w:pPr>
          </w:p>
        </w:tc>
        <w:tc>
          <w:tcPr>
            <w:tcW w:w="1729" w:type="dxa"/>
            <w:vAlign w:val="center"/>
          </w:tcPr>
          <w:p w14:paraId="455A22F1">
            <w:pPr>
              <w:adjustRightInd w:val="0"/>
              <w:snapToGrid w:val="0"/>
              <w:spacing w:line="360" w:lineRule="auto"/>
              <w:jc w:val="center"/>
              <w:outlineLvl w:val="9"/>
              <w:rPr>
                <w:rFonts w:ascii="宋体" w:hAnsi="宋体"/>
                <w:b/>
                <w:color w:val="auto"/>
                <w:szCs w:val="21"/>
                <w:highlight w:val="none"/>
              </w:rPr>
            </w:pPr>
          </w:p>
        </w:tc>
        <w:tc>
          <w:tcPr>
            <w:tcW w:w="1127" w:type="dxa"/>
            <w:tcBorders>
              <w:right w:val="single" w:color="auto" w:sz="4" w:space="0"/>
            </w:tcBorders>
            <w:vAlign w:val="center"/>
          </w:tcPr>
          <w:p w14:paraId="5BF192ED">
            <w:pPr>
              <w:adjustRightInd w:val="0"/>
              <w:snapToGrid w:val="0"/>
              <w:spacing w:line="360" w:lineRule="auto"/>
              <w:jc w:val="left"/>
              <w:outlineLvl w:val="9"/>
              <w:rPr>
                <w:rFonts w:ascii="宋体" w:hAnsi="宋体"/>
                <w:b/>
                <w:color w:val="auto"/>
                <w:szCs w:val="21"/>
                <w:highlight w:val="none"/>
              </w:rPr>
            </w:pPr>
          </w:p>
        </w:tc>
        <w:tc>
          <w:tcPr>
            <w:tcW w:w="1410" w:type="dxa"/>
            <w:tcBorders>
              <w:left w:val="single" w:color="auto" w:sz="4" w:space="0"/>
            </w:tcBorders>
            <w:vAlign w:val="center"/>
          </w:tcPr>
          <w:p w14:paraId="224ADF95">
            <w:pPr>
              <w:adjustRightInd w:val="0"/>
              <w:snapToGrid w:val="0"/>
              <w:spacing w:line="360" w:lineRule="auto"/>
              <w:jc w:val="left"/>
              <w:outlineLvl w:val="9"/>
              <w:rPr>
                <w:rFonts w:ascii="宋体" w:hAnsi="宋体"/>
                <w:b/>
                <w:color w:val="auto"/>
                <w:szCs w:val="21"/>
                <w:highlight w:val="none"/>
              </w:rPr>
            </w:pPr>
          </w:p>
        </w:tc>
        <w:tc>
          <w:tcPr>
            <w:tcW w:w="1972" w:type="dxa"/>
            <w:vAlign w:val="center"/>
          </w:tcPr>
          <w:p w14:paraId="63A02992">
            <w:pPr>
              <w:adjustRightInd w:val="0"/>
              <w:snapToGrid w:val="0"/>
              <w:spacing w:line="360" w:lineRule="auto"/>
              <w:jc w:val="center"/>
              <w:outlineLvl w:val="9"/>
              <w:rPr>
                <w:rFonts w:ascii="宋体" w:hAnsi="宋体"/>
                <w:b/>
                <w:color w:val="auto"/>
                <w:szCs w:val="21"/>
                <w:highlight w:val="none"/>
              </w:rPr>
            </w:pPr>
          </w:p>
        </w:tc>
        <w:tc>
          <w:tcPr>
            <w:tcW w:w="1835" w:type="dxa"/>
          </w:tcPr>
          <w:p w14:paraId="45C32AA4">
            <w:pPr>
              <w:adjustRightInd w:val="0"/>
              <w:snapToGrid w:val="0"/>
              <w:spacing w:line="360" w:lineRule="auto"/>
              <w:jc w:val="center"/>
              <w:outlineLvl w:val="9"/>
              <w:rPr>
                <w:rFonts w:ascii="宋体" w:hAnsi="宋体"/>
                <w:b/>
                <w:color w:val="auto"/>
                <w:szCs w:val="21"/>
                <w:highlight w:val="none"/>
              </w:rPr>
            </w:pPr>
          </w:p>
        </w:tc>
      </w:tr>
      <w:tr w14:paraId="031A3C8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66" w:hRule="atLeast"/>
        </w:trPr>
        <w:tc>
          <w:tcPr>
            <w:tcW w:w="667" w:type="dxa"/>
            <w:vAlign w:val="center"/>
          </w:tcPr>
          <w:p w14:paraId="7A3F6A9B">
            <w:pPr>
              <w:adjustRightInd w:val="0"/>
              <w:snapToGrid w:val="0"/>
              <w:spacing w:line="360" w:lineRule="auto"/>
              <w:jc w:val="center"/>
              <w:outlineLvl w:val="9"/>
              <w:rPr>
                <w:rFonts w:ascii="宋体" w:hAnsi="宋体"/>
                <w:color w:val="auto"/>
                <w:szCs w:val="21"/>
                <w:highlight w:val="none"/>
              </w:rPr>
            </w:pPr>
            <w:r>
              <w:rPr>
                <w:rFonts w:hint="eastAsia" w:ascii="宋体" w:hAnsi="宋体"/>
                <w:color w:val="auto"/>
                <w:szCs w:val="21"/>
                <w:highlight w:val="none"/>
              </w:rPr>
              <w:t>小计</w:t>
            </w:r>
          </w:p>
        </w:tc>
        <w:tc>
          <w:tcPr>
            <w:tcW w:w="1729" w:type="dxa"/>
            <w:vAlign w:val="center"/>
          </w:tcPr>
          <w:p w14:paraId="01BCF9B7">
            <w:pPr>
              <w:adjustRightInd w:val="0"/>
              <w:snapToGrid w:val="0"/>
              <w:spacing w:line="360" w:lineRule="auto"/>
              <w:jc w:val="center"/>
              <w:outlineLvl w:val="9"/>
              <w:rPr>
                <w:rFonts w:ascii="宋体" w:hAnsi="宋体"/>
                <w:b/>
                <w:color w:val="auto"/>
                <w:szCs w:val="21"/>
                <w:highlight w:val="none"/>
              </w:rPr>
            </w:pPr>
          </w:p>
        </w:tc>
        <w:tc>
          <w:tcPr>
            <w:tcW w:w="1127" w:type="dxa"/>
            <w:tcBorders>
              <w:right w:val="single" w:color="auto" w:sz="4" w:space="0"/>
            </w:tcBorders>
            <w:vAlign w:val="center"/>
          </w:tcPr>
          <w:p w14:paraId="1F2E8349">
            <w:pPr>
              <w:adjustRightInd w:val="0"/>
              <w:snapToGrid w:val="0"/>
              <w:spacing w:line="360" w:lineRule="auto"/>
              <w:jc w:val="left"/>
              <w:outlineLvl w:val="9"/>
              <w:rPr>
                <w:rFonts w:ascii="宋体" w:hAnsi="宋体"/>
                <w:b/>
                <w:color w:val="auto"/>
                <w:szCs w:val="21"/>
                <w:highlight w:val="none"/>
              </w:rPr>
            </w:pPr>
          </w:p>
        </w:tc>
        <w:tc>
          <w:tcPr>
            <w:tcW w:w="1410" w:type="dxa"/>
            <w:tcBorders>
              <w:left w:val="single" w:color="auto" w:sz="4" w:space="0"/>
            </w:tcBorders>
            <w:vAlign w:val="center"/>
          </w:tcPr>
          <w:p w14:paraId="0B7407BE">
            <w:pPr>
              <w:adjustRightInd w:val="0"/>
              <w:snapToGrid w:val="0"/>
              <w:spacing w:line="360" w:lineRule="auto"/>
              <w:jc w:val="left"/>
              <w:outlineLvl w:val="9"/>
              <w:rPr>
                <w:rFonts w:ascii="宋体" w:hAnsi="宋体"/>
                <w:b/>
                <w:color w:val="auto"/>
                <w:szCs w:val="21"/>
                <w:highlight w:val="none"/>
              </w:rPr>
            </w:pPr>
          </w:p>
        </w:tc>
        <w:tc>
          <w:tcPr>
            <w:tcW w:w="1972" w:type="dxa"/>
            <w:vAlign w:val="center"/>
          </w:tcPr>
          <w:p w14:paraId="28557660">
            <w:pPr>
              <w:adjustRightInd w:val="0"/>
              <w:snapToGrid w:val="0"/>
              <w:spacing w:line="360" w:lineRule="auto"/>
              <w:jc w:val="center"/>
              <w:outlineLvl w:val="9"/>
              <w:rPr>
                <w:rFonts w:ascii="宋体" w:hAnsi="宋体"/>
                <w:b/>
                <w:color w:val="auto"/>
                <w:szCs w:val="21"/>
                <w:highlight w:val="none"/>
              </w:rPr>
            </w:pPr>
          </w:p>
        </w:tc>
        <w:tc>
          <w:tcPr>
            <w:tcW w:w="1835" w:type="dxa"/>
          </w:tcPr>
          <w:p w14:paraId="265B2B41">
            <w:pPr>
              <w:adjustRightInd w:val="0"/>
              <w:snapToGrid w:val="0"/>
              <w:spacing w:line="360" w:lineRule="auto"/>
              <w:jc w:val="center"/>
              <w:outlineLvl w:val="9"/>
              <w:rPr>
                <w:rFonts w:ascii="宋体" w:hAnsi="宋体"/>
                <w:b/>
                <w:color w:val="auto"/>
                <w:szCs w:val="21"/>
                <w:highlight w:val="none"/>
              </w:rPr>
            </w:pPr>
          </w:p>
        </w:tc>
      </w:tr>
    </w:tbl>
    <w:p w14:paraId="6C3976E2">
      <w:pPr>
        <w:adjustRightInd w:val="0"/>
        <w:snapToGrid w:val="0"/>
        <w:spacing w:line="360" w:lineRule="auto"/>
        <w:jc w:val="left"/>
        <w:outlineLvl w:val="9"/>
        <w:rPr>
          <w:rFonts w:ascii="宋体" w:hAnsi="宋体"/>
          <w:color w:val="auto"/>
          <w:szCs w:val="21"/>
          <w:highlight w:val="none"/>
        </w:rPr>
      </w:pPr>
      <w:r>
        <w:rPr>
          <w:rFonts w:hint="eastAsia" w:ascii="宋体" w:hAnsi="宋体"/>
          <w:color w:val="auto"/>
          <w:szCs w:val="21"/>
          <w:highlight w:val="none"/>
        </w:rPr>
        <w:t>说明：</w:t>
      </w:r>
      <w:r>
        <w:rPr>
          <w:rFonts w:hint="eastAsia" w:ascii="宋体" w:hAnsi="宋体"/>
          <w:bCs/>
          <w:color w:val="auto"/>
          <w:szCs w:val="21"/>
          <w:highlight w:val="none"/>
        </w:rPr>
        <w:t>1.</w:t>
      </w:r>
      <w:r>
        <w:rPr>
          <w:rFonts w:hint="eastAsia" w:ascii="宋体" w:hAnsi="宋体"/>
          <w:color w:val="auto"/>
          <w:szCs w:val="21"/>
          <w:highlight w:val="none"/>
        </w:rPr>
        <w:t>本表用于计算政府采购优先采购产品（节能产品或环境标志产品）的政府采购政策加分或者价格扣除。</w:t>
      </w:r>
    </w:p>
    <w:p w14:paraId="36F0DEDE">
      <w:pPr>
        <w:adjustRightInd w:val="0"/>
        <w:snapToGrid w:val="0"/>
        <w:spacing w:line="360" w:lineRule="auto"/>
        <w:ind w:firstLine="630" w:firstLineChars="300"/>
        <w:jc w:val="left"/>
        <w:outlineLvl w:val="9"/>
        <w:rPr>
          <w:rFonts w:ascii="宋体" w:hAnsi="宋体"/>
          <w:color w:val="auto"/>
          <w:szCs w:val="21"/>
          <w:highlight w:val="none"/>
        </w:rPr>
      </w:pPr>
      <w:r>
        <w:rPr>
          <w:rFonts w:hint="eastAsia" w:ascii="宋体" w:hAnsi="宋体"/>
          <w:color w:val="auto"/>
          <w:szCs w:val="21"/>
          <w:highlight w:val="none"/>
        </w:rPr>
        <w:t>2.栏目4“价格”为综合单价，包含货物所有隐含的内容，如运输费、保险费、管理费和利润等。</w:t>
      </w:r>
    </w:p>
    <w:p w14:paraId="6CAA0B83">
      <w:pPr>
        <w:adjustRightInd w:val="0"/>
        <w:snapToGrid w:val="0"/>
        <w:spacing w:line="360" w:lineRule="auto"/>
        <w:ind w:firstLine="630" w:firstLineChars="300"/>
        <w:jc w:val="left"/>
        <w:outlineLvl w:val="9"/>
        <w:rPr>
          <w:rFonts w:ascii="宋体" w:hAnsi="宋体"/>
          <w:color w:val="auto"/>
          <w:szCs w:val="21"/>
          <w:highlight w:val="none"/>
        </w:rPr>
      </w:pPr>
      <w:r>
        <w:rPr>
          <w:rFonts w:hint="eastAsia" w:ascii="宋体" w:hAnsi="宋体"/>
          <w:color w:val="auto"/>
          <w:szCs w:val="21"/>
          <w:highlight w:val="none"/>
        </w:rPr>
        <w:t>3.栏目6“政策功能编码”是指货物的中国环境标志认证证书编号、中国节能标志认证证书号（货物同时属于节能产品、环境标志产品的，只须填写一种）。</w:t>
      </w:r>
    </w:p>
    <w:p w14:paraId="377380A6">
      <w:pPr>
        <w:adjustRightInd w:val="0"/>
        <w:snapToGrid w:val="0"/>
        <w:spacing w:line="360" w:lineRule="auto"/>
        <w:ind w:firstLine="630" w:firstLineChars="300"/>
        <w:outlineLvl w:val="9"/>
        <w:rPr>
          <w:rFonts w:ascii="宋体" w:hAnsi="宋体"/>
          <w:bCs/>
          <w:color w:val="auto"/>
          <w:szCs w:val="21"/>
          <w:highlight w:val="none"/>
        </w:rPr>
      </w:pPr>
      <w:r>
        <w:rPr>
          <w:rFonts w:hint="eastAsia" w:ascii="宋体" w:hAnsi="宋体"/>
          <w:bCs/>
          <w:color w:val="auto"/>
          <w:szCs w:val="21"/>
          <w:highlight w:val="none"/>
        </w:rPr>
        <w:t>4.投标人在投标截止时间前修改“开标一览表”中的投标报价的，应按第二章第13.7款规定修改本表相应内容。否则，评审时涉及本表所有优惠不予以考虑。</w:t>
      </w:r>
    </w:p>
    <w:p w14:paraId="28229B7B">
      <w:pPr>
        <w:adjustRightInd w:val="0"/>
        <w:snapToGrid w:val="0"/>
        <w:spacing w:line="360" w:lineRule="auto"/>
        <w:outlineLvl w:val="9"/>
        <w:rPr>
          <w:rFonts w:ascii="宋体" w:hAnsi="宋体"/>
          <w:color w:val="auto"/>
          <w:szCs w:val="21"/>
          <w:highlight w:val="none"/>
        </w:rPr>
      </w:pPr>
    </w:p>
    <w:p w14:paraId="6A653896">
      <w:pPr>
        <w:adjustRightInd w:val="0"/>
        <w:snapToGrid w:val="0"/>
        <w:spacing w:line="360" w:lineRule="auto"/>
        <w:outlineLvl w:val="9"/>
        <w:rPr>
          <w:rFonts w:ascii="宋体" w:hAnsi="宋体"/>
          <w:color w:val="auto"/>
          <w:szCs w:val="21"/>
          <w:highlight w:val="none"/>
        </w:rPr>
      </w:pPr>
      <w:r>
        <w:rPr>
          <w:rFonts w:hint="eastAsia" w:ascii="宋体" w:hAnsi="宋体"/>
          <w:color w:val="auto"/>
          <w:szCs w:val="21"/>
          <w:highlight w:val="none"/>
        </w:rPr>
        <w:t>投标人名称（盖单位章）：</w:t>
      </w:r>
    </w:p>
    <w:p w14:paraId="3EE0F1EF">
      <w:pPr>
        <w:adjustRightInd w:val="0"/>
        <w:snapToGrid w:val="0"/>
        <w:spacing w:line="360" w:lineRule="auto"/>
        <w:outlineLvl w:val="9"/>
        <w:rPr>
          <w:rFonts w:ascii="宋体" w:hAnsi="宋体"/>
          <w:color w:val="auto"/>
          <w:szCs w:val="21"/>
          <w:highlight w:val="none"/>
        </w:rPr>
      </w:pPr>
      <w:r>
        <w:rPr>
          <w:rFonts w:hint="eastAsia" w:ascii="宋体" w:hAnsi="宋体" w:cs="微软雅黑"/>
          <w:color w:val="auto"/>
          <w:spacing w:val="-2"/>
          <w:kern w:val="0"/>
          <w:szCs w:val="21"/>
          <w:highlight w:val="none"/>
        </w:rPr>
        <w:t>法</w:t>
      </w:r>
      <w:r>
        <w:rPr>
          <w:rFonts w:hint="eastAsia" w:ascii="宋体" w:hAnsi="宋体" w:cs="微软雅黑"/>
          <w:color w:val="auto"/>
          <w:kern w:val="0"/>
          <w:szCs w:val="21"/>
          <w:highlight w:val="none"/>
        </w:rPr>
        <w:t>定</w:t>
      </w:r>
      <w:r>
        <w:rPr>
          <w:rFonts w:hint="eastAsia" w:ascii="宋体" w:hAnsi="宋体" w:cs="微软雅黑"/>
          <w:color w:val="auto"/>
          <w:spacing w:val="-2"/>
          <w:kern w:val="0"/>
          <w:szCs w:val="21"/>
          <w:highlight w:val="none"/>
        </w:rPr>
        <w:t>代</w:t>
      </w:r>
      <w:r>
        <w:rPr>
          <w:rFonts w:hint="eastAsia" w:ascii="宋体" w:hAnsi="宋体" w:cs="微软雅黑"/>
          <w:color w:val="auto"/>
          <w:kern w:val="0"/>
          <w:szCs w:val="21"/>
          <w:highlight w:val="none"/>
        </w:rPr>
        <w:t>表</w:t>
      </w:r>
      <w:r>
        <w:rPr>
          <w:rFonts w:hint="eastAsia" w:ascii="宋体" w:hAnsi="宋体" w:cs="微软雅黑"/>
          <w:color w:val="auto"/>
          <w:spacing w:val="-2"/>
          <w:kern w:val="0"/>
          <w:szCs w:val="21"/>
          <w:highlight w:val="none"/>
        </w:rPr>
        <w:t>人</w:t>
      </w:r>
      <w:r>
        <w:rPr>
          <w:rFonts w:hint="eastAsia" w:ascii="宋体" w:hAnsi="宋体" w:cs="微软雅黑"/>
          <w:color w:val="auto"/>
          <w:kern w:val="0"/>
          <w:szCs w:val="21"/>
          <w:highlight w:val="none"/>
        </w:rPr>
        <w:t>（</w:t>
      </w:r>
      <w:r>
        <w:rPr>
          <w:rFonts w:hint="eastAsia" w:ascii="宋体" w:hAnsi="宋体" w:cs="微软雅黑"/>
          <w:color w:val="auto"/>
          <w:spacing w:val="-2"/>
          <w:kern w:val="0"/>
          <w:szCs w:val="21"/>
          <w:highlight w:val="none"/>
        </w:rPr>
        <w:t>单</w:t>
      </w:r>
      <w:r>
        <w:rPr>
          <w:rFonts w:hint="eastAsia" w:ascii="宋体" w:hAnsi="宋体" w:cs="微软雅黑"/>
          <w:color w:val="auto"/>
          <w:kern w:val="0"/>
          <w:szCs w:val="21"/>
          <w:highlight w:val="none"/>
        </w:rPr>
        <w:t>位</w:t>
      </w:r>
      <w:r>
        <w:rPr>
          <w:rFonts w:hint="eastAsia" w:ascii="宋体" w:hAnsi="宋体" w:cs="微软雅黑"/>
          <w:color w:val="auto"/>
          <w:spacing w:val="-2"/>
          <w:kern w:val="0"/>
          <w:szCs w:val="21"/>
          <w:highlight w:val="none"/>
        </w:rPr>
        <w:t>负</w:t>
      </w:r>
      <w:r>
        <w:rPr>
          <w:rFonts w:hint="eastAsia" w:ascii="宋体" w:hAnsi="宋体" w:cs="微软雅黑"/>
          <w:color w:val="auto"/>
          <w:kern w:val="0"/>
          <w:szCs w:val="21"/>
          <w:highlight w:val="none"/>
        </w:rPr>
        <w:t>责人</w:t>
      </w:r>
      <w:r>
        <w:rPr>
          <w:rFonts w:hint="eastAsia" w:ascii="宋体" w:hAnsi="宋体" w:cs="微软雅黑"/>
          <w:color w:val="auto"/>
          <w:spacing w:val="-2"/>
          <w:kern w:val="0"/>
          <w:szCs w:val="21"/>
          <w:highlight w:val="none"/>
        </w:rPr>
        <w:t>）</w:t>
      </w:r>
      <w:r>
        <w:rPr>
          <w:rFonts w:hint="eastAsia" w:ascii="宋体" w:hAnsi="宋体"/>
          <w:color w:val="auto"/>
          <w:szCs w:val="21"/>
          <w:highlight w:val="none"/>
        </w:rPr>
        <w:t>或其委托代理人（签字或印章）：</w:t>
      </w:r>
    </w:p>
    <w:p w14:paraId="505168BB">
      <w:pPr>
        <w:adjustRightInd w:val="0"/>
        <w:snapToGrid w:val="0"/>
        <w:spacing w:line="360" w:lineRule="auto"/>
        <w:outlineLvl w:val="9"/>
        <w:rPr>
          <w:color w:val="auto"/>
          <w:highlight w:val="none"/>
        </w:rPr>
      </w:pPr>
      <w:r>
        <w:rPr>
          <w:rFonts w:hint="eastAsia" w:ascii="宋体" w:hAnsi="宋体" w:cs="微软雅黑"/>
          <w:color w:val="auto"/>
          <w:spacing w:val="-2"/>
          <w:kern w:val="0"/>
          <w:szCs w:val="21"/>
          <w:highlight w:val="none"/>
        </w:rPr>
        <w:t>日期：        年    月   日</w:t>
      </w:r>
    </w:p>
    <w:p w14:paraId="0E2F44EF">
      <w:pPr>
        <w:spacing w:before="156" w:beforeLines="50" w:line="240" w:lineRule="auto"/>
        <w:jc w:val="left"/>
        <w:outlineLvl w:val="9"/>
        <w:rPr>
          <w:color w:val="auto"/>
          <w:highlight w:val="none"/>
        </w:rPr>
      </w:pPr>
      <w:r>
        <w:rPr>
          <w:rFonts w:ascii="黑体" w:hAnsi="宋体"/>
          <w:b w:val="0"/>
          <w:color w:val="auto"/>
          <w:highlight w:val="none"/>
        </w:rPr>
        <w:br w:type="page"/>
      </w:r>
    </w:p>
    <w:p w14:paraId="35E75C73">
      <w:pPr>
        <w:pStyle w:val="2"/>
        <w:jc w:val="center"/>
        <w:rPr>
          <w:rFonts w:ascii="黑体" w:hAnsi="宋体" w:eastAsia="黑体"/>
          <w:color w:val="auto"/>
          <w:sz w:val="28"/>
          <w:szCs w:val="28"/>
          <w:highlight w:val="none"/>
        </w:rPr>
      </w:pPr>
      <w:bookmarkStart w:id="1940" w:name="_Toc192951282"/>
      <w:bookmarkStart w:id="1941" w:name="_Toc171273741"/>
      <w:bookmarkStart w:id="1942" w:name="_Toc108342017"/>
      <w:bookmarkStart w:id="1943" w:name="_Toc9838"/>
      <w:bookmarkStart w:id="1944" w:name="_Toc11865"/>
      <w:bookmarkStart w:id="1945" w:name="_Toc94367958"/>
      <w:bookmarkStart w:id="1946" w:name="_Toc2007918518"/>
      <w:bookmarkStart w:id="1947" w:name="_Toc117192522"/>
      <w:bookmarkStart w:id="1948" w:name="_Toc77199481"/>
      <w:bookmarkStart w:id="1949" w:name="_Toc10416"/>
      <w:bookmarkStart w:id="1950" w:name="_Toc11677"/>
      <w:bookmarkStart w:id="1951" w:name="_Toc192949771"/>
      <w:bookmarkStart w:id="1952" w:name="_Toc114036786"/>
      <w:bookmarkStart w:id="1953" w:name="_Toc128"/>
      <w:bookmarkStart w:id="1954" w:name="_Toc100670502"/>
      <w:bookmarkStart w:id="1955" w:name="_Toc15074"/>
      <w:bookmarkStart w:id="1956" w:name="_Toc78450035"/>
      <w:bookmarkStart w:id="1957" w:name="_Toc95601443"/>
      <w:bookmarkStart w:id="1958" w:name="_Toc1622"/>
      <w:bookmarkStart w:id="1959" w:name="_Toc100670750"/>
      <w:bookmarkStart w:id="1960" w:name="_Toc1976"/>
      <w:bookmarkStart w:id="1961" w:name="_Toc154428458"/>
      <w:bookmarkStart w:id="1962" w:name="_Toc112705015"/>
      <w:bookmarkStart w:id="1963" w:name="_Toc75289627"/>
      <w:bookmarkStart w:id="1964" w:name="_Toc78314342"/>
      <w:bookmarkStart w:id="1965" w:name="_Toc75289307"/>
      <w:bookmarkStart w:id="1966" w:name="_Toc15888556"/>
      <w:bookmarkStart w:id="1967" w:name="_Toc85973008"/>
      <w:bookmarkStart w:id="1968" w:name="_Toc77676546"/>
      <w:bookmarkStart w:id="1969" w:name="_Toc192949672"/>
      <w:bookmarkStart w:id="1970" w:name="_Toc12053"/>
      <w:r>
        <w:rPr>
          <w:rFonts w:hint="eastAsia" w:ascii="黑体" w:hAnsi="宋体" w:eastAsia="黑体"/>
          <w:color w:val="auto"/>
          <w:sz w:val="28"/>
          <w:szCs w:val="28"/>
          <w:highlight w:val="none"/>
        </w:rPr>
        <w:t>十一、投标货物符合招标文件规定的证明文件</w:t>
      </w:r>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p>
    <w:p w14:paraId="4C83A2EA">
      <w:pPr>
        <w:adjustRightInd w:val="0"/>
        <w:snapToGrid w:val="0"/>
        <w:spacing w:line="360" w:lineRule="auto"/>
        <w:rPr>
          <w:rFonts w:ascii="宋体" w:hAnsi="宋体"/>
          <w:color w:val="auto"/>
          <w:szCs w:val="21"/>
          <w:highlight w:val="none"/>
        </w:rPr>
      </w:pPr>
    </w:p>
    <w:p w14:paraId="47480FBD">
      <w:pPr>
        <w:adjustRightInd w:val="0"/>
        <w:snapToGrid w:val="0"/>
        <w:spacing w:line="360" w:lineRule="auto"/>
        <w:rPr>
          <w:rFonts w:ascii="宋体" w:hAnsi="宋体"/>
          <w:color w:val="auto"/>
          <w:highlight w:val="none"/>
        </w:rPr>
      </w:pPr>
      <w:r>
        <w:rPr>
          <w:rFonts w:hint="eastAsia" w:ascii="宋体" w:hAnsi="宋体"/>
          <w:color w:val="auto"/>
          <w:szCs w:val="21"/>
          <w:highlight w:val="none"/>
        </w:rPr>
        <w:t>备注：提供第五章规定的证明材料复印件。</w:t>
      </w:r>
    </w:p>
    <w:p w14:paraId="54333D23">
      <w:pPr>
        <w:widowControl/>
        <w:jc w:val="left"/>
        <w:rPr>
          <w:rFonts w:ascii="黑体" w:eastAsia="黑体"/>
          <w:color w:val="auto"/>
          <w:szCs w:val="21"/>
          <w:highlight w:val="none"/>
        </w:rPr>
      </w:pPr>
      <w:r>
        <w:rPr>
          <w:rFonts w:ascii="黑体" w:eastAsia="黑体"/>
          <w:b/>
          <w:bCs/>
          <w:color w:val="auto"/>
          <w:sz w:val="28"/>
          <w:szCs w:val="28"/>
          <w:highlight w:val="none"/>
        </w:rPr>
        <w:br w:type="page"/>
      </w:r>
    </w:p>
    <w:p w14:paraId="6E764943">
      <w:pPr>
        <w:pStyle w:val="2"/>
        <w:jc w:val="center"/>
        <w:rPr>
          <w:rFonts w:ascii="黑体" w:hAnsi="宋体" w:eastAsia="黑体"/>
          <w:color w:val="auto"/>
          <w:sz w:val="28"/>
          <w:szCs w:val="28"/>
          <w:highlight w:val="none"/>
        </w:rPr>
      </w:pPr>
      <w:bookmarkStart w:id="1971" w:name="_Toc192949772"/>
      <w:bookmarkStart w:id="1972" w:name="_Toc117192523"/>
      <w:bookmarkStart w:id="1973" w:name="_Toc705010359"/>
      <w:bookmarkStart w:id="1974" w:name="_Toc192951283"/>
      <w:bookmarkStart w:id="1975" w:name="_Toc95601444"/>
      <w:bookmarkStart w:id="1976" w:name="_Toc7233"/>
      <w:bookmarkStart w:id="1977" w:name="_Toc78450036"/>
      <w:bookmarkStart w:id="1978" w:name="_Toc21693"/>
      <w:bookmarkStart w:id="1979" w:name="_Toc171273742"/>
      <w:bookmarkStart w:id="1980" w:name="_Toc11181"/>
      <w:bookmarkStart w:id="1981" w:name="_Toc13960"/>
      <w:bookmarkStart w:id="1982" w:name="_Toc114036787"/>
      <w:bookmarkStart w:id="1983" w:name="_Toc77676547"/>
      <w:bookmarkStart w:id="1984" w:name="_Toc100670751"/>
      <w:bookmarkStart w:id="1985" w:name="_Toc112705016"/>
      <w:bookmarkStart w:id="1986" w:name="_Toc78314343"/>
      <w:bookmarkStart w:id="1987" w:name="_Toc6574"/>
      <w:bookmarkStart w:id="1988" w:name="_Toc85973009"/>
      <w:bookmarkStart w:id="1989" w:name="_Toc75289308"/>
      <w:bookmarkStart w:id="1990" w:name="_Toc100670503"/>
      <w:bookmarkStart w:id="1991" w:name="_Toc1117"/>
      <w:bookmarkStart w:id="1992" w:name="_Toc15888557"/>
      <w:bookmarkStart w:id="1993" w:name="_Toc192949673"/>
      <w:bookmarkStart w:id="1994" w:name="_Toc154428459"/>
      <w:bookmarkStart w:id="1995" w:name="_Toc18817"/>
      <w:bookmarkStart w:id="1996" w:name="_Toc77199482"/>
      <w:bookmarkStart w:id="1997" w:name="_Toc94367959"/>
      <w:bookmarkStart w:id="1998" w:name="_Toc2207"/>
      <w:bookmarkStart w:id="1999" w:name="_Toc7"/>
      <w:bookmarkStart w:id="2000" w:name="_Toc108342018"/>
      <w:bookmarkStart w:id="2001" w:name="_Toc75289628"/>
      <w:r>
        <w:rPr>
          <w:rFonts w:hint="eastAsia" w:ascii="黑体" w:hAnsi="宋体" w:eastAsia="黑体"/>
          <w:color w:val="auto"/>
          <w:sz w:val="28"/>
          <w:szCs w:val="28"/>
          <w:highlight w:val="none"/>
        </w:rPr>
        <w:t>十二、投标人认为需提供的其他资料</w:t>
      </w:r>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p>
    <w:p w14:paraId="0CC9F95D">
      <w:pPr>
        <w:adjustRightInd w:val="0"/>
        <w:snapToGrid w:val="0"/>
        <w:spacing w:before="156" w:beforeLines="50" w:line="360" w:lineRule="auto"/>
        <w:rPr>
          <w:rFonts w:ascii="宋体" w:hAnsi="宋体"/>
          <w:color w:val="auto"/>
          <w:highlight w:val="none"/>
        </w:rPr>
      </w:pPr>
    </w:p>
    <w:p w14:paraId="73083E09">
      <w:pPr>
        <w:adjustRightInd w:val="0"/>
        <w:snapToGrid w:val="0"/>
        <w:spacing w:before="156" w:beforeLines="50" w:line="360" w:lineRule="auto"/>
        <w:rPr>
          <w:rFonts w:ascii="宋体" w:hAnsi="宋体"/>
          <w:color w:val="auto"/>
          <w:highlight w:val="none"/>
        </w:rPr>
      </w:pPr>
      <w:r>
        <w:rPr>
          <w:rFonts w:hint="eastAsia" w:ascii="宋体" w:hAnsi="宋体"/>
          <w:color w:val="auto"/>
          <w:highlight w:val="none"/>
        </w:rPr>
        <w:t>备注：投标人认为需提供的其他资料包括：</w:t>
      </w:r>
    </w:p>
    <w:p w14:paraId="2ECAAA4D">
      <w:pPr>
        <w:adjustRightInd w:val="0"/>
        <w:snapToGrid w:val="0"/>
        <w:spacing w:before="156" w:beforeLines="50" w:line="360" w:lineRule="auto"/>
        <w:ind w:firstLine="420" w:firstLineChars="200"/>
        <w:rPr>
          <w:rFonts w:ascii="宋体" w:hAnsi="宋体"/>
          <w:color w:val="auto"/>
          <w:highlight w:val="none"/>
        </w:rPr>
      </w:pPr>
      <w:r>
        <w:rPr>
          <w:rFonts w:hint="eastAsia" w:ascii="宋体" w:hAnsi="宋体"/>
          <w:color w:val="auto"/>
          <w:highlight w:val="none"/>
        </w:rPr>
        <w:t>1.招标文件第四章评标方法及标准要求的其他相关资料；</w:t>
      </w:r>
    </w:p>
    <w:p w14:paraId="1B6BD323">
      <w:pPr>
        <w:adjustRightInd w:val="0"/>
        <w:snapToGrid w:val="0"/>
        <w:spacing w:before="156" w:beforeLines="50" w:line="360" w:lineRule="auto"/>
        <w:ind w:firstLine="420" w:firstLineChars="200"/>
        <w:rPr>
          <w:rFonts w:ascii="宋体" w:hAnsi="宋体"/>
          <w:color w:val="auto"/>
          <w:highlight w:val="none"/>
        </w:rPr>
      </w:pPr>
      <w:r>
        <w:rPr>
          <w:rFonts w:hint="eastAsia" w:ascii="宋体" w:hAnsi="宋体"/>
          <w:color w:val="auto"/>
          <w:highlight w:val="none"/>
        </w:rPr>
        <w:t>2.招标文件第五章采购需求要求的其他资料。</w:t>
      </w:r>
    </w:p>
    <w:p w14:paraId="6226CE0F">
      <w:pPr>
        <w:adjustRightInd w:val="0"/>
        <w:snapToGrid w:val="0"/>
        <w:spacing w:before="156" w:beforeLines="50" w:line="360" w:lineRule="auto"/>
        <w:rPr>
          <w:rFonts w:ascii="宋体" w:hAnsi="宋体"/>
          <w:color w:val="auto"/>
          <w:highlight w:val="none"/>
        </w:rPr>
      </w:pPr>
    </w:p>
    <w:p w14:paraId="4570788D">
      <w:pPr>
        <w:rPr>
          <w:color w:val="auto"/>
          <w:highlight w:val="none"/>
        </w:rPr>
      </w:pPr>
    </w:p>
    <w:p w14:paraId="2CC1CAA2">
      <w:pPr>
        <w:widowControl/>
        <w:jc w:val="left"/>
        <w:rPr>
          <w:rFonts w:ascii="宋体" w:hAnsi="宋体"/>
          <w:color w:val="auto"/>
          <w:szCs w:val="21"/>
          <w:highlight w:val="none"/>
        </w:rPr>
      </w:pPr>
    </w:p>
    <w:sectPr>
      <w:pgSz w:w="11906" w:h="16838"/>
      <w:pgMar w:top="1474" w:right="1474" w:bottom="1474" w:left="1588"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微软雅黑 Light">
    <w:panose1 w:val="020B0502040204020203"/>
    <w:charset w:val="86"/>
    <w:family w:val="swiss"/>
    <w:pitch w:val="default"/>
    <w:sig w:usb0="80000287" w:usb1="2ACF0010" w:usb2="00000016" w:usb3="00000000" w:csb0="0004001F" w:csb1="00000000"/>
  </w:font>
  <w:font w:name="等线">
    <w:panose1 w:val="02010600030101010101"/>
    <w:charset w:val="86"/>
    <w:family w:val="auto"/>
    <w:pitch w:val="default"/>
    <w:sig w:usb0="A00002BF" w:usb1="38CF7CFA" w:usb2="00000016" w:usb3="00000000" w:csb0="0004000F" w:csb1="00000000"/>
  </w:font>
  <w:font w:name="TimesNewRomanPSMT">
    <w:altName w:val="Times New Roman"/>
    <w:panose1 w:val="00000000000000000000"/>
    <w:charset w:val="00"/>
    <w:family w:val="auto"/>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Arial Unicode MS">
    <w:panose1 w:val="020B0604020202020204"/>
    <w:charset w:val="86"/>
    <w:family w:val="swiss"/>
    <w:pitch w:val="default"/>
    <w:sig w:usb0="FFFFFFFF" w:usb1="E9FFFFFF" w:usb2="0000003F" w:usb3="00000000" w:csb0="603F01FF" w:csb1="FFFF0000"/>
  </w:font>
  <w:font w:name="Tahoma">
    <w:panose1 w:val="020B0604030504040204"/>
    <w:charset w:val="00"/>
    <w:family w:val="swiss"/>
    <w:pitch w:val="default"/>
    <w:sig w:usb0="E1002EFF" w:usb1="C000605B" w:usb2="00000029" w:usb3="00000000" w:csb0="200101FF" w:csb1="20280000"/>
  </w:font>
  <w:font w:name="幼圆">
    <w:panose1 w:val="02010509060101010101"/>
    <w:charset w:val="86"/>
    <w:family w:val="modern"/>
    <w:pitch w:val="default"/>
    <w:sig w:usb0="00000001" w:usb1="080E0000" w:usb2="00000000" w:usb3="00000000" w:csb0="00040000" w:csb1="00000000"/>
  </w:font>
  <w:font w:name="Malgun Gothic">
    <w:panose1 w:val="020B0503020000020004"/>
    <w:charset w:val="81"/>
    <w:family w:val="swiss"/>
    <w:pitch w:val="default"/>
    <w:sig w:usb0="9000002F" w:usb1="29D77CFB" w:usb2="00000012" w:usb3="00000000" w:csb0="00080001" w:csb1="00000000"/>
  </w:font>
  <w:font w:name="Arail">
    <w:altName w:val="华文仿宋"/>
    <w:panose1 w:val="00000000000000000000"/>
    <w:charset w:val="00"/>
    <w:family w:val="roman"/>
    <w:pitch w:val="default"/>
    <w:sig w:usb0="00000000" w:usb1="00000000" w:usb2="00000000" w:usb3="00000000" w:csb0="00040001" w:csb1="00000000"/>
  </w:font>
  <w:font w:name="华文仿宋">
    <w:panose1 w:val="02010600040101010101"/>
    <w:charset w:val="86"/>
    <w:family w:val="auto"/>
    <w:pitch w:val="default"/>
    <w:sig w:usb0="00000287" w:usb1="080F0000" w:usb2="00000000" w:usb3="00000000" w:csb0="0004009F" w:csb1="DFD70000"/>
  </w:font>
  <w:font w:name="MS Sans Serif">
    <w:altName w:val="Segoe Print"/>
    <w:panose1 w:val="00000000000000000000"/>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长城仿宋">
    <w:altName w:val="方正仿宋_GBK"/>
    <w:panose1 w:val="00000000000000000000"/>
    <w:charset w:val="86"/>
    <w:family w:val="roman"/>
    <w:pitch w:val="default"/>
    <w:sig w:usb0="00000000" w:usb1="00000000" w:usb2="00000010" w:usb3="00000000" w:csb0="00040000" w:csb1="00000000"/>
  </w:font>
  <w:font w:name="方正仿宋_GBK">
    <w:panose1 w:val="03000509000000000000"/>
    <w:charset w:val="86"/>
    <w:family w:val="auto"/>
    <w:pitch w:val="default"/>
    <w:sig w:usb0="00000001" w:usb1="080E0000" w:usb2="00000000" w:usb3="00000000" w:csb0="00040000" w:csb1="00000000"/>
  </w:font>
  <w:font w:name="全真中明體">
    <w:altName w:val="MingLiU-ExtB"/>
    <w:panose1 w:val="00000000000000000000"/>
    <w:charset w:val="88"/>
    <w:family w:val="auto"/>
    <w:pitch w:val="default"/>
    <w:sig w:usb0="00000000" w:usb1="00000000" w:usb2="00000010" w:usb3="00000000" w:csb0="00100000" w:csb1="00000000"/>
  </w:font>
  <w:font w:name="MingLiU-ExtB">
    <w:panose1 w:val="02020500000000000000"/>
    <w:charset w:val="88"/>
    <w:family w:val="auto"/>
    <w:pitch w:val="default"/>
    <w:sig w:usb0="8000002F" w:usb1="02000008" w:usb2="00000000" w:usb3="00000000" w:csb0="00100001" w:csb1="00000000"/>
  </w:font>
  <w:font w:name="&amp;#23435;&amp;#20307;">
    <w:altName w:val="Segoe Print"/>
    <w:panose1 w:val="00000000000000000000"/>
    <w:charset w:val="00"/>
    <w:family w:val="roman"/>
    <w:pitch w:val="default"/>
    <w:sig w:usb0="00000000" w:usb1="00000000" w:usb2="00000000" w:usb3="00000000" w:csb0="00000001" w:csb1="00000000"/>
  </w:font>
  <w:font w:name="华文中宋">
    <w:panose1 w:val="02010600040101010101"/>
    <w:charset w:val="86"/>
    <w:family w:val="auto"/>
    <w:pitch w:val="default"/>
    <w:sig w:usb0="00000287" w:usb1="080F0000" w:usb2="00000000" w:usb3="00000000" w:csb0="0004009F" w:csb1="DFD70000"/>
  </w:font>
  <w:font w:name="华文宋体">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8103D4">
    <w:pPr>
      <w:pStyle w:val="27"/>
      <w:ind w:right="960"/>
      <w:rPr>
        <w:rFonts w:eastAsia="楷体_GB2312"/>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68241017">
                          <w:pPr>
                            <w:pStyle w:val="27"/>
                          </w:pPr>
                          <w:r>
                            <w:fldChar w:fldCharType="begin"/>
                          </w:r>
                          <w:r>
                            <w:instrText xml:space="preserve"> PAGE  \* MERGEFORMAT </w:instrText>
                          </w:r>
                          <w:r>
                            <w:fldChar w:fldCharType="separate"/>
                          </w:r>
                          <w:r>
                            <w:t>56</w:t>
                          </w:r>
                          <w:r>
                            <w:fldChar w:fldCharType="end"/>
                          </w:r>
                        </w:p>
                      </w:txbxContent>
                    </wps:txbx>
                    <wps:bodyPr wrap="none" lIns="0" tIns="0" rIns="0" bIns="0" upright="1">
                      <a:spAutoFit/>
                    </wps:bodyPr>
                  </wps:wsp>
                </a:graphicData>
              </a:graphic>
            </wp:anchor>
          </w:drawing>
        </mc:Choice>
        <mc:Fallback>
          <w:pict>
            <v:shape id="文本框 19"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zql5uc8AAAAFAQAADwAAAAAAAAABACAAAAAiAAAAZHJzL2Rvd25y&#10;ZXYueG1sUEsBAhQAFAAAAAgAh07iQMrD2p/OAQAAqQMAAA4AAAAAAAAAAQAgAAAAHgEAAGRycy9l&#10;Mm9Eb2MueG1sUEsFBgAAAAAGAAYAWQEAAF4FAAAAAA==&#10;">
              <v:fill on="f" focussize="0,0"/>
              <v:stroke on="f"/>
              <v:imagedata o:title=""/>
              <o:lock v:ext="edit" aspectratio="f"/>
              <v:textbox inset="0mm,0mm,0mm,0mm" style="mso-fit-shape-to-text:t;">
                <w:txbxContent>
                  <w:p w14:paraId="68241017">
                    <w:pPr>
                      <w:pStyle w:val="27"/>
                    </w:pPr>
                    <w:r>
                      <w:fldChar w:fldCharType="begin"/>
                    </w:r>
                    <w:r>
                      <w:instrText xml:space="preserve"> PAGE  \* MERGEFORMAT </w:instrText>
                    </w:r>
                    <w:r>
                      <w:fldChar w:fldCharType="separate"/>
                    </w:r>
                    <w:r>
                      <w:t>56</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88656C">
    <w:pPr>
      <w:pStyle w:val="2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92CA0D">
    <w:pPr>
      <w:pStyle w:val="2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490AC1">
    <w:pPr>
      <w:pStyle w:val="2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2D7060"/>
    <w:multiLevelType w:val="singleLevel"/>
    <w:tmpl w:val="B62D7060"/>
    <w:lvl w:ilvl="0" w:tentative="0">
      <w:start w:val="1"/>
      <w:numFmt w:val="decimal"/>
      <w:suff w:val="nothing"/>
      <w:lvlText w:val="%1、"/>
      <w:lvlJc w:val="left"/>
    </w:lvl>
  </w:abstractNum>
  <w:abstractNum w:abstractNumId="1">
    <w:nsid w:val="F5967599"/>
    <w:multiLevelType w:val="singleLevel"/>
    <w:tmpl w:val="F5967599"/>
    <w:lvl w:ilvl="0" w:tentative="0">
      <w:start w:val="2"/>
      <w:numFmt w:val="chineseCounting"/>
      <w:suff w:val="nothing"/>
      <w:lvlText w:val="%1、"/>
      <w:lvlJc w:val="left"/>
      <w:rPr>
        <w:rFonts w:hint="eastAsia"/>
      </w:rPr>
    </w:lvl>
  </w:abstractNum>
  <w:abstractNum w:abstractNumId="2">
    <w:nsid w:val="00000001"/>
    <w:multiLevelType w:val="singleLevel"/>
    <w:tmpl w:val="00000001"/>
    <w:lvl w:ilvl="0" w:tentative="0">
      <w:start w:val="1"/>
      <w:numFmt w:val="decimal"/>
      <w:suff w:val="nothing"/>
      <w:lvlText w:val="%1、"/>
      <w:lvlJc w:val="left"/>
    </w:lvl>
  </w:abstractNum>
  <w:abstractNum w:abstractNumId="3">
    <w:nsid w:val="00000004"/>
    <w:multiLevelType w:val="multilevel"/>
    <w:tmpl w:val="00000004"/>
    <w:lvl w:ilvl="0" w:tentative="0">
      <w:start w:val="1"/>
      <w:numFmt w:val="japaneseCounting"/>
      <w:lvlText w:val="%1、"/>
      <w:lvlJc w:val="left"/>
      <w:pPr>
        <w:ind w:left="450" w:hanging="450"/>
      </w:pPr>
      <w:rPr>
        <w:rFonts w:hint="default"/>
      </w:rPr>
    </w:lvl>
    <w:lvl w:ilvl="1" w:tentative="0">
      <w:start w:val="1"/>
      <w:numFmt w:val="lowerLetter"/>
      <w:lvlRestart w:val="0"/>
      <w:lvlText w:val="%2)"/>
      <w:lvlJc w:val="left"/>
      <w:pPr>
        <w:ind w:left="840" w:hanging="420"/>
      </w:pPr>
    </w:lvl>
    <w:lvl w:ilvl="2" w:tentative="0">
      <w:start w:val="1"/>
      <w:numFmt w:val="lowerRoman"/>
      <w:lvlRestart w:val="0"/>
      <w:lvlText w:val="%3."/>
      <w:lvlJc w:val="right"/>
      <w:pPr>
        <w:ind w:left="1260" w:hanging="420"/>
      </w:pPr>
    </w:lvl>
    <w:lvl w:ilvl="3" w:tentative="0">
      <w:start w:val="1"/>
      <w:numFmt w:val="decimal"/>
      <w:lvlRestart w:val="0"/>
      <w:lvlText w:val="%4."/>
      <w:lvlJc w:val="left"/>
      <w:pPr>
        <w:ind w:left="1680" w:hanging="420"/>
      </w:pPr>
    </w:lvl>
    <w:lvl w:ilvl="4" w:tentative="0">
      <w:start w:val="1"/>
      <w:numFmt w:val="lowerLetter"/>
      <w:lvlRestart w:val="0"/>
      <w:pStyle w:val="472"/>
      <w:lvlText w:val="%5)"/>
      <w:lvlJc w:val="left"/>
      <w:pPr>
        <w:ind w:left="2100" w:hanging="420"/>
      </w:pPr>
    </w:lvl>
    <w:lvl w:ilvl="5" w:tentative="0">
      <w:start w:val="1"/>
      <w:numFmt w:val="lowerRoman"/>
      <w:lvlRestart w:val="0"/>
      <w:lvlText w:val="%6."/>
      <w:lvlJc w:val="right"/>
      <w:pPr>
        <w:ind w:left="2520" w:hanging="420"/>
      </w:pPr>
    </w:lvl>
    <w:lvl w:ilvl="6" w:tentative="0">
      <w:start w:val="1"/>
      <w:numFmt w:val="decimal"/>
      <w:lvlRestart w:val="0"/>
      <w:lvlText w:val="%7."/>
      <w:lvlJc w:val="left"/>
      <w:pPr>
        <w:ind w:left="2940" w:hanging="420"/>
      </w:pPr>
    </w:lvl>
    <w:lvl w:ilvl="7" w:tentative="0">
      <w:start w:val="1"/>
      <w:numFmt w:val="lowerLetter"/>
      <w:lvlRestart w:val="0"/>
      <w:lvlText w:val="%8)"/>
      <w:lvlJc w:val="left"/>
      <w:pPr>
        <w:ind w:left="3360" w:hanging="420"/>
      </w:pPr>
    </w:lvl>
    <w:lvl w:ilvl="8" w:tentative="0">
      <w:start w:val="1"/>
      <w:numFmt w:val="lowerRoman"/>
      <w:lvlRestart w:val="0"/>
      <w:lvlText w:val="%9."/>
      <w:lvlJc w:val="right"/>
      <w:pPr>
        <w:ind w:left="3780" w:hanging="420"/>
      </w:pPr>
    </w:lvl>
  </w:abstractNum>
  <w:abstractNum w:abstractNumId="4">
    <w:nsid w:val="016778AF"/>
    <w:multiLevelType w:val="singleLevel"/>
    <w:tmpl w:val="016778AF"/>
    <w:lvl w:ilvl="0" w:tentative="0">
      <w:start w:val="1"/>
      <w:numFmt w:val="chineseCounting"/>
      <w:suff w:val="space"/>
      <w:lvlText w:val="第%1章"/>
      <w:lvlJc w:val="left"/>
      <w:rPr>
        <w:rFonts w:hint="eastAsia"/>
      </w:rPr>
    </w:lvl>
  </w:abstractNum>
  <w:abstractNum w:abstractNumId="5">
    <w:nsid w:val="0B2D5EF3"/>
    <w:multiLevelType w:val="singleLevel"/>
    <w:tmpl w:val="0B2D5EF3"/>
    <w:lvl w:ilvl="0" w:tentative="0">
      <w:start w:val="2"/>
      <w:numFmt w:val="decimal"/>
      <w:suff w:val="nothing"/>
      <w:lvlText w:val="（%1）"/>
      <w:lvlJc w:val="left"/>
    </w:lvl>
  </w:abstractNum>
  <w:abstractNum w:abstractNumId="6">
    <w:nsid w:val="0D2C25D3"/>
    <w:multiLevelType w:val="singleLevel"/>
    <w:tmpl w:val="0D2C25D3"/>
    <w:lvl w:ilvl="0" w:tentative="0">
      <w:start w:val="1"/>
      <w:numFmt w:val="decimal"/>
      <w:suff w:val="nothing"/>
      <w:lvlText w:val="（%1）"/>
      <w:lvlJc w:val="left"/>
    </w:lvl>
  </w:abstractNum>
  <w:abstractNum w:abstractNumId="7">
    <w:nsid w:val="19C665A2"/>
    <w:multiLevelType w:val="multilevel"/>
    <w:tmpl w:val="19C665A2"/>
    <w:lvl w:ilvl="0" w:tentative="0">
      <w:start w:val="1"/>
      <w:numFmt w:val="decimal"/>
      <w:lvlText w:val="%1."/>
      <w:lvlJc w:val="left"/>
      <w:pPr>
        <w:ind w:left="1560" w:hanging="425"/>
      </w:pPr>
      <w:rPr>
        <w:rFonts w:hint="eastAsia"/>
      </w:rPr>
    </w:lvl>
    <w:lvl w:ilvl="1" w:tentative="0">
      <w:start w:val="1"/>
      <w:numFmt w:val="decimal"/>
      <w:suff w:val="nothing"/>
      <w:lvlText w:val="%1.%2"/>
      <w:lvlJc w:val="left"/>
      <w:pPr>
        <w:ind w:left="875" w:hanging="449"/>
      </w:pPr>
      <w:rPr>
        <w:rFonts w:hint="eastAsia"/>
      </w:rPr>
    </w:lvl>
    <w:lvl w:ilvl="2" w:tentative="0">
      <w:start w:val="1"/>
      <w:numFmt w:val="decimal"/>
      <w:suff w:val="nothing"/>
      <w:lvlText w:val="%1.%2.%3."/>
      <w:lvlJc w:val="left"/>
      <w:pPr>
        <w:ind w:left="1561" w:hanging="709"/>
      </w:pPr>
      <w:rPr>
        <w:rFonts w:hint="eastAsia"/>
      </w:rPr>
    </w:lvl>
    <w:lvl w:ilvl="3" w:tentative="0">
      <w:start w:val="1"/>
      <w:numFmt w:val="decimal"/>
      <w:lvlText w:val="%1.%2.%3.%4."/>
      <w:lvlJc w:val="left"/>
      <w:pPr>
        <w:ind w:left="851" w:hanging="851"/>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8">
    <w:nsid w:val="28335834"/>
    <w:multiLevelType w:val="multilevel"/>
    <w:tmpl w:val="28335834"/>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9">
    <w:nsid w:val="3BF5662A"/>
    <w:multiLevelType w:val="multilevel"/>
    <w:tmpl w:val="3BF5662A"/>
    <w:lvl w:ilvl="0" w:tentative="0">
      <w:start w:val="1"/>
      <w:numFmt w:val="decimal"/>
      <w:lvlText w:val="%1"/>
      <w:lvlJc w:val="left"/>
      <w:pPr>
        <w:ind w:left="425" w:hanging="425"/>
      </w:pPr>
    </w:lvl>
    <w:lvl w:ilvl="1" w:tentative="0">
      <w:start w:val="1"/>
      <w:numFmt w:val="decimal"/>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10">
    <w:nsid w:val="404A0AE8"/>
    <w:multiLevelType w:val="multilevel"/>
    <w:tmpl w:val="404A0AE8"/>
    <w:lvl w:ilvl="0" w:tentative="0">
      <w:start w:val="1"/>
      <w:numFmt w:val="decimal"/>
      <w:lvlText w:val="%1"/>
      <w:lvlJc w:val="left"/>
      <w:pPr>
        <w:ind w:left="425" w:hanging="425"/>
      </w:pPr>
    </w:lvl>
    <w:lvl w:ilvl="1" w:tentative="0">
      <w:start w:val="1"/>
      <w:numFmt w:val="decimal"/>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11">
    <w:nsid w:val="6D385A95"/>
    <w:multiLevelType w:val="singleLevel"/>
    <w:tmpl w:val="6D385A95"/>
    <w:lvl w:ilvl="0" w:tentative="0">
      <w:start w:val="1"/>
      <w:numFmt w:val="decimal"/>
      <w:suff w:val="nothing"/>
      <w:lvlText w:val="%1、"/>
      <w:lvlJc w:val="left"/>
    </w:lvl>
  </w:abstractNum>
  <w:num w:numId="1">
    <w:abstractNumId w:val="3"/>
  </w:num>
  <w:num w:numId="2">
    <w:abstractNumId w:val="4"/>
  </w:num>
  <w:num w:numId="3">
    <w:abstractNumId w:val="1"/>
  </w:num>
  <w:num w:numId="4">
    <w:abstractNumId w:val="5"/>
  </w:num>
  <w:num w:numId="5">
    <w:abstractNumId w:val="6"/>
  </w:num>
  <w:num w:numId="6">
    <w:abstractNumId w:val="0"/>
  </w:num>
  <w:num w:numId="7">
    <w:abstractNumId w:val="11"/>
  </w:num>
  <w:num w:numId="8">
    <w:abstractNumId w:val="10"/>
  </w:num>
  <w:num w:numId="9">
    <w:abstractNumId w:val="7"/>
  </w:num>
  <w:num w:numId="10">
    <w:abstractNumId w:val="8"/>
  </w:num>
  <w:num w:numId="11">
    <w:abstractNumId w:val="9"/>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VmMDY2ZDg2YTg3ZjY2NDBlOTg3NDM2MDgxMWIxMWYifQ=="/>
    <w:docVar w:name="KSO_WPS_MARK_KEY" w:val="85912dfa-7903-46f0-a442-d2e34314cc49"/>
  </w:docVars>
  <w:rsids>
    <w:rsidRoot w:val="00B84A4B"/>
    <w:rsid w:val="0000000C"/>
    <w:rsid w:val="00003F39"/>
    <w:rsid w:val="000055A7"/>
    <w:rsid w:val="000061A3"/>
    <w:rsid w:val="00006CD3"/>
    <w:rsid w:val="000101D0"/>
    <w:rsid w:val="00010957"/>
    <w:rsid w:val="0001324C"/>
    <w:rsid w:val="00013BB7"/>
    <w:rsid w:val="000168D1"/>
    <w:rsid w:val="00021227"/>
    <w:rsid w:val="00025234"/>
    <w:rsid w:val="00026705"/>
    <w:rsid w:val="00034116"/>
    <w:rsid w:val="000341C8"/>
    <w:rsid w:val="00035711"/>
    <w:rsid w:val="00037D8C"/>
    <w:rsid w:val="00040811"/>
    <w:rsid w:val="000418A2"/>
    <w:rsid w:val="00041DC7"/>
    <w:rsid w:val="00050EEC"/>
    <w:rsid w:val="00051DDB"/>
    <w:rsid w:val="00052B23"/>
    <w:rsid w:val="00057222"/>
    <w:rsid w:val="00060545"/>
    <w:rsid w:val="00060DD9"/>
    <w:rsid w:val="00061DC6"/>
    <w:rsid w:val="00064C52"/>
    <w:rsid w:val="00066565"/>
    <w:rsid w:val="00070A36"/>
    <w:rsid w:val="0007306B"/>
    <w:rsid w:val="000731BE"/>
    <w:rsid w:val="000745EB"/>
    <w:rsid w:val="00076DFF"/>
    <w:rsid w:val="00076EE6"/>
    <w:rsid w:val="000842B8"/>
    <w:rsid w:val="00085B1B"/>
    <w:rsid w:val="000872D2"/>
    <w:rsid w:val="00087601"/>
    <w:rsid w:val="000903D1"/>
    <w:rsid w:val="000928FD"/>
    <w:rsid w:val="00092F02"/>
    <w:rsid w:val="00094B65"/>
    <w:rsid w:val="00095667"/>
    <w:rsid w:val="00096117"/>
    <w:rsid w:val="00096EAD"/>
    <w:rsid w:val="00097089"/>
    <w:rsid w:val="000A01EA"/>
    <w:rsid w:val="000A071C"/>
    <w:rsid w:val="000A3DFA"/>
    <w:rsid w:val="000B0060"/>
    <w:rsid w:val="000B29BD"/>
    <w:rsid w:val="000B3634"/>
    <w:rsid w:val="000B4414"/>
    <w:rsid w:val="000B484B"/>
    <w:rsid w:val="000C2D53"/>
    <w:rsid w:val="000C5B62"/>
    <w:rsid w:val="000C709E"/>
    <w:rsid w:val="000D0D6B"/>
    <w:rsid w:val="000D38A7"/>
    <w:rsid w:val="000D4459"/>
    <w:rsid w:val="000D49E9"/>
    <w:rsid w:val="000D5742"/>
    <w:rsid w:val="000D6C22"/>
    <w:rsid w:val="000E0FEF"/>
    <w:rsid w:val="000E328F"/>
    <w:rsid w:val="000E41E9"/>
    <w:rsid w:val="000E595B"/>
    <w:rsid w:val="000E5D80"/>
    <w:rsid w:val="000F3140"/>
    <w:rsid w:val="000F469A"/>
    <w:rsid w:val="000F50C9"/>
    <w:rsid w:val="001025FE"/>
    <w:rsid w:val="00107187"/>
    <w:rsid w:val="0010745E"/>
    <w:rsid w:val="00107574"/>
    <w:rsid w:val="00112BB6"/>
    <w:rsid w:val="00112D35"/>
    <w:rsid w:val="00115978"/>
    <w:rsid w:val="00117679"/>
    <w:rsid w:val="00122417"/>
    <w:rsid w:val="001231BA"/>
    <w:rsid w:val="00123EEF"/>
    <w:rsid w:val="00125070"/>
    <w:rsid w:val="00125EF3"/>
    <w:rsid w:val="0014090C"/>
    <w:rsid w:val="00144667"/>
    <w:rsid w:val="001544DE"/>
    <w:rsid w:val="0015519B"/>
    <w:rsid w:val="00155A3D"/>
    <w:rsid w:val="00161561"/>
    <w:rsid w:val="0016283A"/>
    <w:rsid w:val="00163844"/>
    <w:rsid w:val="00164C5A"/>
    <w:rsid w:val="00170ECC"/>
    <w:rsid w:val="00171AE6"/>
    <w:rsid w:val="001753B5"/>
    <w:rsid w:val="001756BC"/>
    <w:rsid w:val="00187838"/>
    <w:rsid w:val="0019624A"/>
    <w:rsid w:val="001A1F40"/>
    <w:rsid w:val="001A46F9"/>
    <w:rsid w:val="001A5707"/>
    <w:rsid w:val="001A65FE"/>
    <w:rsid w:val="001A67D2"/>
    <w:rsid w:val="001A773F"/>
    <w:rsid w:val="001B0D45"/>
    <w:rsid w:val="001B33C5"/>
    <w:rsid w:val="001B7960"/>
    <w:rsid w:val="001C1977"/>
    <w:rsid w:val="001C3ADD"/>
    <w:rsid w:val="001C4B73"/>
    <w:rsid w:val="001C6FF6"/>
    <w:rsid w:val="001C7543"/>
    <w:rsid w:val="001D0B14"/>
    <w:rsid w:val="001D2332"/>
    <w:rsid w:val="001D2904"/>
    <w:rsid w:val="001D3334"/>
    <w:rsid w:val="001D6064"/>
    <w:rsid w:val="001E04BA"/>
    <w:rsid w:val="001E1631"/>
    <w:rsid w:val="001E1CCD"/>
    <w:rsid w:val="001E1D6C"/>
    <w:rsid w:val="001E21A0"/>
    <w:rsid w:val="001E359C"/>
    <w:rsid w:val="001E5904"/>
    <w:rsid w:val="001E6075"/>
    <w:rsid w:val="001E68DA"/>
    <w:rsid w:val="001E72CB"/>
    <w:rsid w:val="001F296B"/>
    <w:rsid w:val="00205189"/>
    <w:rsid w:val="0020613E"/>
    <w:rsid w:val="00206BDA"/>
    <w:rsid w:val="00212E28"/>
    <w:rsid w:val="00214444"/>
    <w:rsid w:val="002205F8"/>
    <w:rsid w:val="0022080D"/>
    <w:rsid w:val="00221992"/>
    <w:rsid w:val="00222271"/>
    <w:rsid w:val="00222E97"/>
    <w:rsid w:val="00224928"/>
    <w:rsid w:val="0023433B"/>
    <w:rsid w:val="00234B80"/>
    <w:rsid w:val="00235609"/>
    <w:rsid w:val="00235AA7"/>
    <w:rsid w:val="00242889"/>
    <w:rsid w:val="00245EF9"/>
    <w:rsid w:val="002502C0"/>
    <w:rsid w:val="002514A5"/>
    <w:rsid w:val="00254103"/>
    <w:rsid w:val="0025600F"/>
    <w:rsid w:val="002560BB"/>
    <w:rsid w:val="0025793C"/>
    <w:rsid w:val="002609C3"/>
    <w:rsid w:val="00261C03"/>
    <w:rsid w:val="002621C3"/>
    <w:rsid w:val="0026270C"/>
    <w:rsid w:val="002640C4"/>
    <w:rsid w:val="00264494"/>
    <w:rsid w:val="00264AF4"/>
    <w:rsid w:val="00267BA8"/>
    <w:rsid w:val="00270F8F"/>
    <w:rsid w:val="00272B0D"/>
    <w:rsid w:val="00280BF8"/>
    <w:rsid w:val="00282D23"/>
    <w:rsid w:val="0028541C"/>
    <w:rsid w:val="00287077"/>
    <w:rsid w:val="0029674C"/>
    <w:rsid w:val="00297589"/>
    <w:rsid w:val="002A66C8"/>
    <w:rsid w:val="002A768F"/>
    <w:rsid w:val="002B2372"/>
    <w:rsid w:val="002B2916"/>
    <w:rsid w:val="002B2981"/>
    <w:rsid w:val="002B3635"/>
    <w:rsid w:val="002B5F26"/>
    <w:rsid w:val="002C04DF"/>
    <w:rsid w:val="002C2E26"/>
    <w:rsid w:val="002C4CB2"/>
    <w:rsid w:val="002C68F3"/>
    <w:rsid w:val="002C7FFE"/>
    <w:rsid w:val="002D02D8"/>
    <w:rsid w:val="002D1560"/>
    <w:rsid w:val="002D4999"/>
    <w:rsid w:val="002D54EF"/>
    <w:rsid w:val="002D57BA"/>
    <w:rsid w:val="002D68B1"/>
    <w:rsid w:val="002E0363"/>
    <w:rsid w:val="002E1829"/>
    <w:rsid w:val="002E33A0"/>
    <w:rsid w:val="002E5927"/>
    <w:rsid w:val="002E6A68"/>
    <w:rsid w:val="002F07F2"/>
    <w:rsid w:val="002F1320"/>
    <w:rsid w:val="002F195A"/>
    <w:rsid w:val="002F2295"/>
    <w:rsid w:val="002F4930"/>
    <w:rsid w:val="002F51C2"/>
    <w:rsid w:val="002F5C99"/>
    <w:rsid w:val="002F6150"/>
    <w:rsid w:val="002F6FC0"/>
    <w:rsid w:val="00303064"/>
    <w:rsid w:val="00304D98"/>
    <w:rsid w:val="003053F3"/>
    <w:rsid w:val="003105FC"/>
    <w:rsid w:val="00310DC8"/>
    <w:rsid w:val="00312EE6"/>
    <w:rsid w:val="00321AA9"/>
    <w:rsid w:val="003226FC"/>
    <w:rsid w:val="00322CBF"/>
    <w:rsid w:val="00326626"/>
    <w:rsid w:val="00331647"/>
    <w:rsid w:val="00331EAB"/>
    <w:rsid w:val="00332610"/>
    <w:rsid w:val="003334ED"/>
    <w:rsid w:val="00335023"/>
    <w:rsid w:val="003355E6"/>
    <w:rsid w:val="00335773"/>
    <w:rsid w:val="00336804"/>
    <w:rsid w:val="00337745"/>
    <w:rsid w:val="0033775A"/>
    <w:rsid w:val="00337BD7"/>
    <w:rsid w:val="00341094"/>
    <w:rsid w:val="0035138A"/>
    <w:rsid w:val="00351820"/>
    <w:rsid w:val="00354E35"/>
    <w:rsid w:val="003551D0"/>
    <w:rsid w:val="0035568C"/>
    <w:rsid w:val="003560DF"/>
    <w:rsid w:val="00356C2A"/>
    <w:rsid w:val="003625BF"/>
    <w:rsid w:val="00362C04"/>
    <w:rsid w:val="00364662"/>
    <w:rsid w:val="00370683"/>
    <w:rsid w:val="00371D3A"/>
    <w:rsid w:val="00375C68"/>
    <w:rsid w:val="003809BB"/>
    <w:rsid w:val="00380F84"/>
    <w:rsid w:val="00382EC7"/>
    <w:rsid w:val="00383722"/>
    <w:rsid w:val="00387DA5"/>
    <w:rsid w:val="003912BA"/>
    <w:rsid w:val="00393C82"/>
    <w:rsid w:val="00396797"/>
    <w:rsid w:val="00396840"/>
    <w:rsid w:val="003A3CE2"/>
    <w:rsid w:val="003B0AED"/>
    <w:rsid w:val="003B2981"/>
    <w:rsid w:val="003B35FF"/>
    <w:rsid w:val="003B7A94"/>
    <w:rsid w:val="003B7BAF"/>
    <w:rsid w:val="003C40C2"/>
    <w:rsid w:val="003C6106"/>
    <w:rsid w:val="003C6E53"/>
    <w:rsid w:val="003C7C40"/>
    <w:rsid w:val="003D1620"/>
    <w:rsid w:val="003D37EC"/>
    <w:rsid w:val="003D6D07"/>
    <w:rsid w:val="003D6E10"/>
    <w:rsid w:val="003E0C3D"/>
    <w:rsid w:val="003E1DF5"/>
    <w:rsid w:val="003E2B97"/>
    <w:rsid w:val="003E3912"/>
    <w:rsid w:val="003E5B7E"/>
    <w:rsid w:val="003E716B"/>
    <w:rsid w:val="003E7B0A"/>
    <w:rsid w:val="003E7DFD"/>
    <w:rsid w:val="003F072D"/>
    <w:rsid w:val="00400331"/>
    <w:rsid w:val="004005A1"/>
    <w:rsid w:val="004037CA"/>
    <w:rsid w:val="004065A8"/>
    <w:rsid w:val="00407332"/>
    <w:rsid w:val="004073EC"/>
    <w:rsid w:val="00414B1D"/>
    <w:rsid w:val="0041607F"/>
    <w:rsid w:val="00420A99"/>
    <w:rsid w:val="00421E73"/>
    <w:rsid w:val="00425C72"/>
    <w:rsid w:val="00426035"/>
    <w:rsid w:val="00427E06"/>
    <w:rsid w:val="004305AD"/>
    <w:rsid w:val="00431DB8"/>
    <w:rsid w:val="00434B34"/>
    <w:rsid w:val="00434E15"/>
    <w:rsid w:val="004352EE"/>
    <w:rsid w:val="00437E96"/>
    <w:rsid w:val="00441FA2"/>
    <w:rsid w:val="00444E1E"/>
    <w:rsid w:val="00447D08"/>
    <w:rsid w:val="00450910"/>
    <w:rsid w:val="00454851"/>
    <w:rsid w:val="00455B07"/>
    <w:rsid w:val="00456D8B"/>
    <w:rsid w:val="0045746B"/>
    <w:rsid w:val="00463287"/>
    <w:rsid w:val="00463690"/>
    <w:rsid w:val="004700BB"/>
    <w:rsid w:val="0047092E"/>
    <w:rsid w:val="00471598"/>
    <w:rsid w:val="0047263B"/>
    <w:rsid w:val="00477D63"/>
    <w:rsid w:val="00480A55"/>
    <w:rsid w:val="00481C86"/>
    <w:rsid w:val="004831A1"/>
    <w:rsid w:val="0048333D"/>
    <w:rsid w:val="00485598"/>
    <w:rsid w:val="00485F05"/>
    <w:rsid w:val="004915A0"/>
    <w:rsid w:val="00491BDE"/>
    <w:rsid w:val="00495963"/>
    <w:rsid w:val="004A3C9F"/>
    <w:rsid w:val="004A5264"/>
    <w:rsid w:val="004A5295"/>
    <w:rsid w:val="004A7824"/>
    <w:rsid w:val="004A7BB6"/>
    <w:rsid w:val="004B1729"/>
    <w:rsid w:val="004B1E6A"/>
    <w:rsid w:val="004B39EB"/>
    <w:rsid w:val="004B50B3"/>
    <w:rsid w:val="004C1014"/>
    <w:rsid w:val="004C61EF"/>
    <w:rsid w:val="004C683F"/>
    <w:rsid w:val="004C6C21"/>
    <w:rsid w:val="004C6DD6"/>
    <w:rsid w:val="004C6FAE"/>
    <w:rsid w:val="004C77DE"/>
    <w:rsid w:val="004D2938"/>
    <w:rsid w:val="004D3E12"/>
    <w:rsid w:val="004D4AEB"/>
    <w:rsid w:val="004D5B53"/>
    <w:rsid w:val="004D6DF8"/>
    <w:rsid w:val="004E3AAC"/>
    <w:rsid w:val="004E583F"/>
    <w:rsid w:val="004E6BBE"/>
    <w:rsid w:val="004F4DD8"/>
    <w:rsid w:val="004F5D90"/>
    <w:rsid w:val="004F6527"/>
    <w:rsid w:val="00501457"/>
    <w:rsid w:val="0050153F"/>
    <w:rsid w:val="005020E2"/>
    <w:rsid w:val="00503064"/>
    <w:rsid w:val="00503114"/>
    <w:rsid w:val="00503A4E"/>
    <w:rsid w:val="00505528"/>
    <w:rsid w:val="0050570F"/>
    <w:rsid w:val="005062A7"/>
    <w:rsid w:val="00506394"/>
    <w:rsid w:val="00506D59"/>
    <w:rsid w:val="0050713E"/>
    <w:rsid w:val="0051520B"/>
    <w:rsid w:val="00515B3C"/>
    <w:rsid w:val="00517EE3"/>
    <w:rsid w:val="005313F6"/>
    <w:rsid w:val="005324F4"/>
    <w:rsid w:val="00533BE4"/>
    <w:rsid w:val="00534570"/>
    <w:rsid w:val="005347CC"/>
    <w:rsid w:val="00537D1A"/>
    <w:rsid w:val="005405F9"/>
    <w:rsid w:val="005460A2"/>
    <w:rsid w:val="005479A7"/>
    <w:rsid w:val="00551DEA"/>
    <w:rsid w:val="00552420"/>
    <w:rsid w:val="00552B00"/>
    <w:rsid w:val="0055381C"/>
    <w:rsid w:val="005557AC"/>
    <w:rsid w:val="00556020"/>
    <w:rsid w:val="005637F9"/>
    <w:rsid w:val="00565714"/>
    <w:rsid w:val="00570418"/>
    <w:rsid w:val="0057173D"/>
    <w:rsid w:val="00572E23"/>
    <w:rsid w:val="00577E0E"/>
    <w:rsid w:val="00580D0A"/>
    <w:rsid w:val="0058237A"/>
    <w:rsid w:val="00584752"/>
    <w:rsid w:val="00584DB0"/>
    <w:rsid w:val="00586881"/>
    <w:rsid w:val="005904C1"/>
    <w:rsid w:val="00590BA0"/>
    <w:rsid w:val="0059475A"/>
    <w:rsid w:val="005A2E80"/>
    <w:rsid w:val="005A38CB"/>
    <w:rsid w:val="005A4373"/>
    <w:rsid w:val="005A5EEA"/>
    <w:rsid w:val="005A638B"/>
    <w:rsid w:val="005A68BE"/>
    <w:rsid w:val="005B48A5"/>
    <w:rsid w:val="005C0DB0"/>
    <w:rsid w:val="005C1B93"/>
    <w:rsid w:val="005C615D"/>
    <w:rsid w:val="005D3597"/>
    <w:rsid w:val="005D6125"/>
    <w:rsid w:val="005D6845"/>
    <w:rsid w:val="005D6D3F"/>
    <w:rsid w:val="005E0900"/>
    <w:rsid w:val="005E0D35"/>
    <w:rsid w:val="005E3E7E"/>
    <w:rsid w:val="005E718D"/>
    <w:rsid w:val="005E7BAC"/>
    <w:rsid w:val="005F30CF"/>
    <w:rsid w:val="005F3E3E"/>
    <w:rsid w:val="005F4DE6"/>
    <w:rsid w:val="005F53E9"/>
    <w:rsid w:val="005F5641"/>
    <w:rsid w:val="005F727A"/>
    <w:rsid w:val="00601CBA"/>
    <w:rsid w:val="00607390"/>
    <w:rsid w:val="00611294"/>
    <w:rsid w:val="006118F9"/>
    <w:rsid w:val="00614E4A"/>
    <w:rsid w:val="006160E6"/>
    <w:rsid w:val="006178FC"/>
    <w:rsid w:val="00622D2B"/>
    <w:rsid w:val="006257ED"/>
    <w:rsid w:val="00633EED"/>
    <w:rsid w:val="00634D82"/>
    <w:rsid w:val="006402A0"/>
    <w:rsid w:val="00642A95"/>
    <w:rsid w:val="0064395F"/>
    <w:rsid w:val="00645271"/>
    <w:rsid w:val="00645C0A"/>
    <w:rsid w:val="00645DEE"/>
    <w:rsid w:val="006518AB"/>
    <w:rsid w:val="00652E37"/>
    <w:rsid w:val="00652E9C"/>
    <w:rsid w:val="00653188"/>
    <w:rsid w:val="00654413"/>
    <w:rsid w:val="006613F3"/>
    <w:rsid w:val="00661A8F"/>
    <w:rsid w:val="0066349B"/>
    <w:rsid w:val="00663760"/>
    <w:rsid w:val="006637C3"/>
    <w:rsid w:val="00664BC9"/>
    <w:rsid w:val="00666E3A"/>
    <w:rsid w:val="00671DF7"/>
    <w:rsid w:val="00671FE9"/>
    <w:rsid w:val="00681169"/>
    <w:rsid w:val="00682392"/>
    <w:rsid w:val="0068361E"/>
    <w:rsid w:val="00683BCE"/>
    <w:rsid w:val="00684C44"/>
    <w:rsid w:val="00684F46"/>
    <w:rsid w:val="00685292"/>
    <w:rsid w:val="006875D3"/>
    <w:rsid w:val="00691EC2"/>
    <w:rsid w:val="006A0A3E"/>
    <w:rsid w:val="006A0E26"/>
    <w:rsid w:val="006A3547"/>
    <w:rsid w:val="006A748C"/>
    <w:rsid w:val="006B1DBD"/>
    <w:rsid w:val="006B2254"/>
    <w:rsid w:val="006B2691"/>
    <w:rsid w:val="006B3E32"/>
    <w:rsid w:val="006B4872"/>
    <w:rsid w:val="006B4C01"/>
    <w:rsid w:val="006C21C2"/>
    <w:rsid w:val="006C2BD9"/>
    <w:rsid w:val="006C3E4A"/>
    <w:rsid w:val="006C4946"/>
    <w:rsid w:val="006D2862"/>
    <w:rsid w:val="006D2F2D"/>
    <w:rsid w:val="006D3A8F"/>
    <w:rsid w:val="006E1617"/>
    <w:rsid w:val="006E2812"/>
    <w:rsid w:val="006E3091"/>
    <w:rsid w:val="006E5349"/>
    <w:rsid w:val="006E76F6"/>
    <w:rsid w:val="006F2707"/>
    <w:rsid w:val="006F2FA3"/>
    <w:rsid w:val="006F31A0"/>
    <w:rsid w:val="006F7E45"/>
    <w:rsid w:val="007004EE"/>
    <w:rsid w:val="00700A41"/>
    <w:rsid w:val="00700B0E"/>
    <w:rsid w:val="0070101C"/>
    <w:rsid w:val="007057FE"/>
    <w:rsid w:val="00713796"/>
    <w:rsid w:val="007148B4"/>
    <w:rsid w:val="007201D9"/>
    <w:rsid w:val="00720AF7"/>
    <w:rsid w:val="00721A59"/>
    <w:rsid w:val="007238F0"/>
    <w:rsid w:val="00731EBE"/>
    <w:rsid w:val="00736ADE"/>
    <w:rsid w:val="0074231A"/>
    <w:rsid w:val="00743683"/>
    <w:rsid w:val="00744281"/>
    <w:rsid w:val="00746075"/>
    <w:rsid w:val="00750624"/>
    <w:rsid w:val="0075641A"/>
    <w:rsid w:val="007606CB"/>
    <w:rsid w:val="00760C9B"/>
    <w:rsid w:val="00761B52"/>
    <w:rsid w:val="00762352"/>
    <w:rsid w:val="00762981"/>
    <w:rsid w:val="00763145"/>
    <w:rsid w:val="0076328B"/>
    <w:rsid w:val="007635C9"/>
    <w:rsid w:val="007640DA"/>
    <w:rsid w:val="00765855"/>
    <w:rsid w:val="00766147"/>
    <w:rsid w:val="00767B42"/>
    <w:rsid w:val="00767CFD"/>
    <w:rsid w:val="00770B94"/>
    <w:rsid w:val="007719B0"/>
    <w:rsid w:val="00774329"/>
    <w:rsid w:val="00775CA1"/>
    <w:rsid w:val="00777800"/>
    <w:rsid w:val="00780E5A"/>
    <w:rsid w:val="00781A22"/>
    <w:rsid w:val="007864B4"/>
    <w:rsid w:val="007879A0"/>
    <w:rsid w:val="00791E27"/>
    <w:rsid w:val="00792C79"/>
    <w:rsid w:val="00794504"/>
    <w:rsid w:val="00795BC7"/>
    <w:rsid w:val="00797426"/>
    <w:rsid w:val="007A12EC"/>
    <w:rsid w:val="007A1EF5"/>
    <w:rsid w:val="007A20BF"/>
    <w:rsid w:val="007A3F7D"/>
    <w:rsid w:val="007A557B"/>
    <w:rsid w:val="007A6A07"/>
    <w:rsid w:val="007B1A4F"/>
    <w:rsid w:val="007B26B4"/>
    <w:rsid w:val="007B66F4"/>
    <w:rsid w:val="007C2E06"/>
    <w:rsid w:val="007C321C"/>
    <w:rsid w:val="007C6A5B"/>
    <w:rsid w:val="007C6E5E"/>
    <w:rsid w:val="007C7051"/>
    <w:rsid w:val="007C76C2"/>
    <w:rsid w:val="007C77A9"/>
    <w:rsid w:val="007C7C64"/>
    <w:rsid w:val="007D092C"/>
    <w:rsid w:val="007D13D3"/>
    <w:rsid w:val="007D41BF"/>
    <w:rsid w:val="007D450D"/>
    <w:rsid w:val="007E1517"/>
    <w:rsid w:val="007E4CE2"/>
    <w:rsid w:val="007E5915"/>
    <w:rsid w:val="007F365A"/>
    <w:rsid w:val="007F3FB9"/>
    <w:rsid w:val="007F5E18"/>
    <w:rsid w:val="008006B8"/>
    <w:rsid w:val="0080168D"/>
    <w:rsid w:val="008016FC"/>
    <w:rsid w:val="008028C2"/>
    <w:rsid w:val="00806525"/>
    <w:rsid w:val="008123E7"/>
    <w:rsid w:val="00813D3A"/>
    <w:rsid w:val="008151D5"/>
    <w:rsid w:val="00815CB9"/>
    <w:rsid w:val="00816AA9"/>
    <w:rsid w:val="008252C7"/>
    <w:rsid w:val="00825520"/>
    <w:rsid w:val="00826B8A"/>
    <w:rsid w:val="00831D84"/>
    <w:rsid w:val="00831F29"/>
    <w:rsid w:val="008321D7"/>
    <w:rsid w:val="008334EF"/>
    <w:rsid w:val="00833DB0"/>
    <w:rsid w:val="008358F2"/>
    <w:rsid w:val="0083685D"/>
    <w:rsid w:val="00836F69"/>
    <w:rsid w:val="00845A9B"/>
    <w:rsid w:val="00847541"/>
    <w:rsid w:val="008529EC"/>
    <w:rsid w:val="008544A2"/>
    <w:rsid w:val="008544AB"/>
    <w:rsid w:val="00860CA6"/>
    <w:rsid w:val="00861526"/>
    <w:rsid w:val="0086204A"/>
    <w:rsid w:val="00863450"/>
    <w:rsid w:val="008636C7"/>
    <w:rsid w:val="00864EDA"/>
    <w:rsid w:val="00870BFA"/>
    <w:rsid w:val="008710BD"/>
    <w:rsid w:val="00874528"/>
    <w:rsid w:val="008755BD"/>
    <w:rsid w:val="00876059"/>
    <w:rsid w:val="00876E1F"/>
    <w:rsid w:val="00877674"/>
    <w:rsid w:val="0088318B"/>
    <w:rsid w:val="008848D7"/>
    <w:rsid w:val="00885874"/>
    <w:rsid w:val="00887192"/>
    <w:rsid w:val="0088794D"/>
    <w:rsid w:val="00887BB9"/>
    <w:rsid w:val="0089170D"/>
    <w:rsid w:val="00891EF5"/>
    <w:rsid w:val="00892267"/>
    <w:rsid w:val="008940C8"/>
    <w:rsid w:val="00896923"/>
    <w:rsid w:val="008A0115"/>
    <w:rsid w:val="008B0361"/>
    <w:rsid w:val="008B0A2B"/>
    <w:rsid w:val="008B3FCB"/>
    <w:rsid w:val="008C1F83"/>
    <w:rsid w:val="008C206D"/>
    <w:rsid w:val="008C557E"/>
    <w:rsid w:val="008D0746"/>
    <w:rsid w:val="008D104E"/>
    <w:rsid w:val="008D2D2E"/>
    <w:rsid w:val="008D302C"/>
    <w:rsid w:val="008E321A"/>
    <w:rsid w:val="008E6280"/>
    <w:rsid w:val="008F02DF"/>
    <w:rsid w:val="008F2538"/>
    <w:rsid w:val="008F65AB"/>
    <w:rsid w:val="00905F37"/>
    <w:rsid w:val="00907208"/>
    <w:rsid w:val="0090745E"/>
    <w:rsid w:val="009122F6"/>
    <w:rsid w:val="00915BC1"/>
    <w:rsid w:val="009169A6"/>
    <w:rsid w:val="00925CF3"/>
    <w:rsid w:val="009275BE"/>
    <w:rsid w:val="00927F55"/>
    <w:rsid w:val="00931449"/>
    <w:rsid w:val="00932A62"/>
    <w:rsid w:val="00936737"/>
    <w:rsid w:val="00937ED9"/>
    <w:rsid w:val="00943FE6"/>
    <w:rsid w:val="00946D8A"/>
    <w:rsid w:val="009536BD"/>
    <w:rsid w:val="00957D13"/>
    <w:rsid w:val="0096236A"/>
    <w:rsid w:val="00962A70"/>
    <w:rsid w:val="009641B1"/>
    <w:rsid w:val="009654D8"/>
    <w:rsid w:val="00967A73"/>
    <w:rsid w:val="00975BDE"/>
    <w:rsid w:val="0097638A"/>
    <w:rsid w:val="00983FFD"/>
    <w:rsid w:val="00985449"/>
    <w:rsid w:val="009869D2"/>
    <w:rsid w:val="00994AC0"/>
    <w:rsid w:val="00996EDA"/>
    <w:rsid w:val="00997CD7"/>
    <w:rsid w:val="009A15D0"/>
    <w:rsid w:val="009A343C"/>
    <w:rsid w:val="009B1144"/>
    <w:rsid w:val="009B261F"/>
    <w:rsid w:val="009B30AD"/>
    <w:rsid w:val="009B3513"/>
    <w:rsid w:val="009B6FBE"/>
    <w:rsid w:val="009C35AE"/>
    <w:rsid w:val="009C458D"/>
    <w:rsid w:val="009C4B8C"/>
    <w:rsid w:val="009C61DD"/>
    <w:rsid w:val="009D0595"/>
    <w:rsid w:val="009D0DD5"/>
    <w:rsid w:val="009D1105"/>
    <w:rsid w:val="009D1E71"/>
    <w:rsid w:val="009E2FCC"/>
    <w:rsid w:val="009E460F"/>
    <w:rsid w:val="009E4E20"/>
    <w:rsid w:val="009F0F99"/>
    <w:rsid w:val="009F39B9"/>
    <w:rsid w:val="009F48B8"/>
    <w:rsid w:val="009F640F"/>
    <w:rsid w:val="009F7CF3"/>
    <w:rsid w:val="00A00061"/>
    <w:rsid w:val="00A01463"/>
    <w:rsid w:val="00A020BC"/>
    <w:rsid w:val="00A03239"/>
    <w:rsid w:val="00A03D69"/>
    <w:rsid w:val="00A06C7D"/>
    <w:rsid w:val="00A1451D"/>
    <w:rsid w:val="00A171A5"/>
    <w:rsid w:val="00A1725D"/>
    <w:rsid w:val="00A20F84"/>
    <w:rsid w:val="00A21390"/>
    <w:rsid w:val="00A23E2E"/>
    <w:rsid w:val="00A26381"/>
    <w:rsid w:val="00A313FA"/>
    <w:rsid w:val="00A32770"/>
    <w:rsid w:val="00A34412"/>
    <w:rsid w:val="00A35787"/>
    <w:rsid w:val="00A41A61"/>
    <w:rsid w:val="00A42294"/>
    <w:rsid w:val="00A439E2"/>
    <w:rsid w:val="00A4562A"/>
    <w:rsid w:val="00A55487"/>
    <w:rsid w:val="00A57BA6"/>
    <w:rsid w:val="00A57D97"/>
    <w:rsid w:val="00A57ED8"/>
    <w:rsid w:val="00A60505"/>
    <w:rsid w:val="00A61A9C"/>
    <w:rsid w:val="00A64A15"/>
    <w:rsid w:val="00A72602"/>
    <w:rsid w:val="00A73664"/>
    <w:rsid w:val="00A73F85"/>
    <w:rsid w:val="00A7624D"/>
    <w:rsid w:val="00A8022F"/>
    <w:rsid w:val="00A8751A"/>
    <w:rsid w:val="00A9021E"/>
    <w:rsid w:val="00A92F04"/>
    <w:rsid w:val="00A96E27"/>
    <w:rsid w:val="00A978B3"/>
    <w:rsid w:val="00AA1A7D"/>
    <w:rsid w:val="00AA5D2A"/>
    <w:rsid w:val="00AA7A21"/>
    <w:rsid w:val="00AB33D0"/>
    <w:rsid w:val="00AB3E1B"/>
    <w:rsid w:val="00AB4604"/>
    <w:rsid w:val="00AB46E8"/>
    <w:rsid w:val="00AB7729"/>
    <w:rsid w:val="00AC27CC"/>
    <w:rsid w:val="00AC4DCF"/>
    <w:rsid w:val="00AC7036"/>
    <w:rsid w:val="00AD1922"/>
    <w:rsid w:val="00AD2A29"/>
    <w:rsid w:val="00AE0F9F"/>
    <w:rsid w:val="00AE29E4"/>
    <w:rsid w:val="00AE4B89"/>
    <w:rsid w:val="00AE766B"/>
    <w:rsid w:val="00AE7B50"/>
    <w:rsid w:val="00AF14B0"/>
    <w:rsid w:val="00AF23C8"/>
    <w:rsid w:val="00AF2870"/>
    <w:rsid w:val="00B0403A"/>
    <w:rsid w:val="00B054B4"/>
    <w:rsid w:val="00B123AA"/>
    <w:rsid w:val="00B1317F"/>
    <w:rsid w:val="00B1330E"/>
    <w:rsid w:val="00B14667"/>
    <w:rsid w:val="00B20685"/>
    <w:rsid w:val="00B21A97"/>
    <w:rsid w:val="00B25B71"/>
    <w:rsid w:val="00B25CA2"/>
    <w:rsid w:val="00B31EC6"/>
    <w:rsid w:val="00B32BE0"/>
    <w:rsid w:val="00B3473A"/>
    <w:rsid w:val="00B35AAB"/>
    <w:rsid w:val="00B415CB"/>
    <w:rsid w:val="00B41820"/>
    <w:rsid w:val="00B449FD"/>
    <w:rsid w:val="00B5159B"/>
    <w:rsid w:val="00B56201"/>
    <w:rsid w:val="00B56F53"/>
    <w:rsid w:val="00B61C30"/>
    <w:rsid w:val="00B627BB"/>
    <w:rsid w:val="00B637B6"/>
    <w:rsid w:val="00B67BF8"/>
    <w:rsid w:val="00B71896"/>
    <w:rsid w:val="00B72399"/>
    <w:rsid w:val="00B72604"/>
    <w:rsid w:val="00B752D3"/>
    <w:rsid w:val="00B759FD"/>
    <w:rsid w:val="00B81B6A"/>
    <w:rsid w:val="00B837C0"/>
    <w:rsid w:val="00B84A4B"/>
    <w:rsid w:val="00B86764"/>
    <w:rsid w:val="00B937F5"/>
    <w:rsid w:val="00B942BE"/>
    <w:rsid w:val="00B94794"/>
    <w:rsid w:val="00B95D3C"/>
    <w:rsid w:val="00B97A2E"/>
    <w:rsid w:val="00BA0565"/>
    <w:rsid w:val="00BB11A3"/>
    <w:rsid w:val="00BB213A"/>
    <w:rsid w:val="00BB35BE"/>
    <w:rsid w:val="00BB41F5"/>
    <w:rsid w:val="00BB4B09"/>
    <w:rsid w:val="00BB6A99"/>
    <w:rsid w:val="00BC09FF"/>
    <w:rsid w:val="00BC1207"/>
    <w:rsid w:val="00BC184D"/>
    <w:rsid w:val="00BC2819"/>
    <w:rsid w:val="00BD3328"/>
    <w:rsid w:val="00BD3409"/>
    <w:rsid w:val="00BD347A"/>
    <w:rsid w:val="00BD4068"/>
    <w:rsid w:val="00BE056D"/>
    <w:rsid w:val="00BE0C09"/>
    <w:rsid w:val="00BE1729"/>
    <w:rsid w:val="00BE31A7"/>
    <w:rsid w:val="00BE770C"/>
    <w:rsid w:val="00BF378C"/>
    <w:rsid w:val="00BF4267"/>
    <w:rsid w:val="00BF4BB7"/>
    <w:rsid w:val="00BF5357"/>
    <w:rsid w:val="00BF78CA"/>
    <w:rsid w:val="00BF7B5C"/>
    <w:rsid w:val="00C01382"/>
    <w:rsid w:val="00C01F60"/>
    <w:rsid w:val="00C026CB"/>
    <w:rsid w:val="00C02AAA"/>
    <w:rsid w:val="00C04D04"/>
    <w:rsid w:val="00C07435"/>
    <w:rsid w:val="00C10019"/>
    <w:rsid w:val="00C1017F"/>
    <w:rsid w:val="00C11EED"/>
    <w:rsid w:val="00C1355C"/>
    <w:rsid w:val="00C13DF7"/>
    <w:rsid w:val="00C21EBD"/>
    <w:rsid w:val="00C25DBA"/>
    <w:rsid w:val="00C31E4D"/>
    <w:rsid w:val="00C3307A"/>
    <w:rsid w:val="00C3353A"/>
    <w:rsid w:val="00C34732"/>
    <w:rsid w:val="00C40E24"/>
    <w:rsid w:val="00C43B5E"/>
    <w:rsid w:val="00C4487A"/>
    <w:rsid w:val="00C451F1"/>
    <w:rsid w:val="00C47176"/>
    <w:rsid w:val="00C50D29"/>
    <w:rsid w:val="00C51EC4"/>
    <w:rsid w:val="00C55672"/>
    <w:rsid w:val="00C5579B"/>
    <w:rsid w:val="00C663D8"/>
    <w:rsid w:val="00C676D6"/>
    <w:rsid w:val="00C72BE9"/>
    <w:rsid w:val="00C75532"/>
    <w:rsid w:val="00C77EB4"/>
    <w:rsid w:val="00C81AE4"/>
    <w:rsid w:val="00C820C7"/>
    <w:rsid w:val="00C84725"/>
    <w:rsid w:val="00C84F54"/>
    <w:rsid w:val="00C87567"/>
    <w:rsid w:val="00C87F57"/>
    <w:rsid w:val="00C905E6"/>
    <w:rsid w:val="00C93E28"/>
    <w:rsid w:val="00C96474"/>
    <w:rsid w:val="00CA0229"/>
    <w:rsid w:val="00CA10BF"/>
    <w:rsid w:val="00CA10C4"/>
    <w:rsid w:val="00CA37EF"/>
    <w:rsid w:val="00CA42D4"/>
    <w:rsid w:val="00CA627F"/>
    <w:rsid w:val="00CB0143"/>
    <w:rsid w:val="00CB2494"/>
    <w:rsid w:val="00CB354D"/>
    <w:rsid w:val="00CB4506"/>
    <w:rsid w:val="00CB46A6"/>
    <w:rsid w:val="00CB4ECA"/>
    <w:rsid w:val="00CC0907"/>
    <w:rsid w:val="00CC134E"/>
    <w:rsid w:val="00CC1FD2"/>
    <w:rsid w:val="00CC4476"/>
    <w:rsid w:val="00CC6600"/>
    <w:rsid w:val="00CD14DE"/>
    <w:rsid w:val="00CD150C"/>
    <w:rsid w:val="00CD2D72"/>
    <w:rsid w:val="00CD44D7"/>
    <w:rsid w:val="00CD62ED"/>
    <w:rsid w:val="00CD6913"/>
    <w:rsid w:val="00CD73F6"/>
    <w:rsid w:val="00CD7707"/>
    <w:rsid w:val="00CE07FB"/>
    <w:rsid w:val="00CE22C4"/>
    <w:rsid w:val="00CE27FE"/>
    <w:rsid w:val="00CE5BD8"/>
    <w:rsid w:val="00CE78E3"/>
    <w:rsid w:val="00CF306F"/>
    <w:rsid w:val="00CF5EC4"/>
    <w:rsid w:val="00CF6BEA"/>
    <w:rsid w:val="00CF7C85"/>
    <w:rsid w:val="00D02174"/>
    <w:rsid w:val="00D0560E"/>
    <w:rsid w:val="00D1088B"/>
    <w:rsid w:val="00D126E8"/>
    <w:rsid w:val="00D129BA"/>
    <w:rsid w:val="00D15DD5"/>
    <w:rsid w:val="00D16B49"/>
    <w:rsid w:val="00D16E97"/>
    <w:rsid w:val="00D201EF"/>
    <w:rsid w:val="00D20FC9"/>
    <w:rsid w:val="00D21D3D"/>
    <w:rsid w:val="00D3578F"/>
    <w:rsid w:val="00D44D67"/>
    <w:rsid w:val="00D45C44"/>
    <w:rsid w:val="00D5023C"/>
    <w:rsid w:val="00D52A6D"/>
    <w:rsid w:val="00D54F0F"/>
    <w:rsid w:val="00D67484"/>
    <w:rsid w:val="00D716B1"/>
    <w:rsid w:val="00D71AD9"/>
    <w:rsid w:val="00D71EFA"/>
    <w:rsid w:val="00D742A6"/>
    <w:rsid w:val="00D75EDE"/>
    <w:rsid w:val="00D84F16"/>
    <w:rsid w:val="00D901D5"/>
    <w:rsid w:val="00D905A3"/>
    <w:rsid w:val="00D9245B"/>
    <w:rsid w:val="00D95A57"/>
    <w:rsid w:val="00DA25E5"/>
    <w:rsid w:val="00DA68BB"/>
    <w:rsid w:val="00DB077C"/>
    <w:rsid w:val="00DB30DF"/>
    <w:rsid w:val="00DB65F5"/>
    <w:rsid w:val="00DB77B8"/>
    <w:rsid w:val="00DC17E5"/>
    <w:rsid w:val="00DC341C"/>
    <w:rsid w:val="00DC430F"/>
    <w:rsid w:val="00DC4DA4"/>
    <w:rsid w:val="00DD0965"/>
    <w:rsid w:val="00DD316D"/>
    <w:rsid w:val="00DD3895"/>
    <w:rsid w:val="00DD5153"/>
    <w:rsid w:val="00DD6CCF"/>
    <w:rsid w:val="00DD7F49"/>
    <w:rsid w:val="00DF0250"/>
    <w:rsid w:val="00DF1D75"/>
    <w:rsid w:val="00DF2549"/>
    <w:rsid w:val="00E00D67"/>
    <w:rsid w:val="00E03D1C"/>
    <w:rsid w:val="00E06657"/>
    <w:rsid w:val="00E0674C"/>
    <w:rsid w:val="00E12223"/>
    <w:rsid w:val="00E12EA6"/>
    <w:rsid w:val="00E14E72"/>
    <w:rsid w:val="00E15E1D"/>
    <w:rsid w:val="00E16FC8"/>
    <w:rsid w:val="00E17994"/>
    <w:rsid w:val="00E17AF4"/>
    <w:rsid w:val="00E209E2"/>
    <w:rsid w:val="00E22CAF"/>
    <w:rsid w:val="00E22E07"/>
    <w:rsid w:val="00E23FF7"/>
    <w:rsid w:val="00E26E7B"/>
    <w:rsid w:val="00E30312"/>
    <w:rsid w:val="00E30FAC"/>
    <w:rsid w:val="00E31CAC"/>
    <w:rsid w:val="00E32041"/>
    <w:rsid w:val="00E322C4"/>
    <w:rsid w:val="00E331FD"/>
    <w:rsid w:val="00E33F44"/>
    <w:rsid w:val="00E34374"/>
    <w:rsid w:val="00E36DA2"/>
    <w:rsid w:val="00E40D56"/>
    <w:rsid w:val="00E44668"/>
    <w:rsid w:val="00E50075"/>
    <w:rsid w:val="00E50335"/>
    <w:rsid w:val="00E521FD"/>
    <w:rsid w:val="00E52392"/>
    <w:rsid w:val="00E5263C"/>
    <w:rsid w:val="00E570D4"/>
    <w:rsid w:val="00E60B43"/>
    <w:rsid w:val="00E672E6"/>
    <w:rsid w:val="00E679C9"/>
    <w:rsid w:val="00E710A5"/>
    <w:rsid w:val="00E74DEE"/>
    <w:rsid w:val="00E8085E"/>
    <w:rsid w:val="00E834E9"/>
    <w:rsid w:val="00E84512"/>
    <w:rsid w:val="00E91DFA"/>
    <w:rsid w:val="00E92694"/>
    <w:rsid w:val="00E927AA"/>
    <w:rsid w:val="00E932FF"/>
    <w:rsid w:val="00E94A1E"/>
    <w:rsid w:val="00EA1C5B"/>
    <w:rsid w:val="00EB5EE4"/>
    <w:rsid w:val="00EB6794"/>
    <w:rsid w:val="00EB67DA"/>
    <w:rsid w:val="00EC038C"/>
    <w:rsid w:val="00EC2641"/>
    <w:rsid w:val="00EC2A74"/>
    <w:rsid w:val="00EC34D2"/>
    <w:rsid w:val="00EC766D"/>
    <w:rsid w:val="00EC7FA4"/>
    <w:rsid w:val="00ED0ABD"/>
    <w:rsid w:val="00ED0DA0"/>
    <w:rsid w:val="00ED4CE5"/>
    <w:rsid w:val="00EE130E"/>
    <w:rsid w:val="00EE214E"/>
    <w:rsid w:val="00EE6273"/>
    <w:rsid w:val="00EE762C"/>
    <w:rsid w:val="00EF2053"/>
    <w:rsid w:val="00EF4D3D"/>
    <w:rsid w:val="00F0037C"/>
    <w:rsid w:val="00F00674"/>
    <w:rsid w:val="00F0077B"/>
    <w:rsid w:val="00F01958"/>
    <w:rsid w:val="00F0251B"/>
    <w:rsid w:val="00F05EA3"/>
    <w:rsid w:val="00F060DC"/>
    <w:rsid w:val="00F067A9"/>
    <w:rsid w:val="00F13B8E"/>
    <w:rsid w:val="00F14E3C"/>
    <w:rsid w:val="00F1538C"/>
    <w:rsid w:val="00F24AC2"/>
    <w:rsid w:val="00F259DE"/>
    <w:rsid w:val="00F25CE3"/>
    <w:rsid w:val="00F27738"/>
    <w:rsid w:val="00F30793"/>
    <w:rsid w:val="00F32F9F"/>
    <w:rsid w:val="00F341FB"/>
    <w:rsid w:val="00F358F8"/>
    <w:rsid w:val="00F410B1"/>
    <w:rsid w:val="00F449C9"/>
    <w:rsid w:val="00F454B7"/>
    <w:rsid w:val="00F47D52"/>
    <w:rsid w:val="00F5486B"/>
    <w:rsid w:val="00F605D0"/>
    <w:rsid w:val="00F62D7C"/>
    <w:rsid w:val="00F634C1"/>
    <w:rsid w:val="00F645EE"/>
    <w:rsid w:val="00F66F22"/>
    <w:rsid w:val="00F70B17"/>
    <w:rsid w:val="00F71262"/>
    <w:rsid w:val="00F714C5"/>
    <w:rsid w:val="00F72BE4"/>
    <w:rsid w:val="00F737DF"/>
    <w:rsid w:val="00F766C4"/>
    <w:rsid w:val="00F770EB"/>
    <w:rsid w:val="00F775F1"/>
    <w:rsid w:val="00F77614"/>
    <w:rsid w:val="00F8219D"/>
    <w:rsid w:val="00F8272C"/>
    <w:rsid w:val="00F82F15"/>
    <w:rsid w:val="00F845FE"/>
    <w:rsid w:val="00F86B52"/>
    <w:rsid w:val="00F87268"/>
    <w:rsid w:val="00F87E3A"/>
    <w:rsid w:val="00F933D4"/>
    <w:rsid w:val="00F93707"/>
    <w:rsid w:val="00FB1977"/>
    <w:rsid w:val="00FB23A8"/>
    <w:rsid w:val="00FC0C8A"/>
    <w:rsid w:val="00FC38C3"/>
    <w:rsid w:val="00FC4CAB"/>
    <w:rsid w:val="00FC73EB"/>
    <w:rsid w:val="00FD070D"/>
    <w:rsid w:val="00FD1B92"/>
    <w:rsid w:val="00FD3858"/>
    <w:rsid w:val="00FD7305"/>
    <w:rsid w:val="00FE313E"/>
    <w:rsid w:val="00FE3329"/>
    <w:rsid w:val="00FE4610"/>
    <w:rsid w:val="00FE5502"/>
    <w:rsid w:val="00FE5F7F"/>
    <w:rsid w:val="00FF07D8"/>
    <w:rsid w:val="00FF3545"/>
    <w:rsid w:val="00FF460F"/>
    <w:rsid w:val="0138356B"/>
    <w:rsid w:val="01610122"/>
    <w:rsid w:val="01695955"/>
    <w:rsid w:val="01763BCE"/>
    <w:rsid w:val="019F4E64"/>
    <w:rsid w:val="01A33CFB"/>
    <w:rsid w:val="01A34EDB"/>
    <w:rsid w:val="01C04E49"/>
    <w:rsid w:val="021666D0"/>
    <w:rsid w:val="024B15E3"/>
    <w:rsid w:val="02540C1C"/>
    <w:rsid w:val="02692CFA"/>
    <w:rsid w:val="028C4F96"/>
    <w:rsid w:val="02924A37"/>
    <w:rsid w:val="02F254D6"/>
    <w:rsid w:val="03105F4A"/>
    <w:rsid w:val="03226FBF"/>
    <w:rsid w:val="03345AEF"/>
    <w:rsid w:val="03DC27E0"/>
    <w:rsid w:val="044D771D"/>
    <w:rsid w:val="04A942BA"/>
    <w:rsid w:val="04F01EE9"/>
    <w:rsid w:val="053E2528"/>
    <w:rsid w:val="055E085F"/>
    <w:rsid w:val="05CB083A"/>
    <w:rsid w:val="05D20B0D"/>
    <w:rsid w:val="07372051"/>
    <w:rsid w:val="0759347C"/>
    <w:rsid w:val="07970191"/>
    <w:rsid w:val="07D93108"/>
    <w:rsid w:val="07F97307"/>
    <w:rsid w:val="08194503"/>
    <w:rsid w:val="0833790B"/>
    <w:rsid w:val="08842C00"/>
    <w:rsid w:val="0891753F"/>
    <w:rsid w:val="08AB4DA1"/>
    <w:rsid w:val="08C06877"/>
    <w:rsid w:val="092A0EA6"/>
    <w:rsid w:val="094129DB"/>
    <w:rsid w:val="09644C54"/>
    <w:rsid w:val="09750C0F"/>
    <w:rsid w:val="0989763E"/>
    <w:rsid w:val="09BA441D"/>
    <w:rsid w:val="09E50C48"/>
    <w:rsid w:val="0A234C64"/>
    <w:rsid w:val="0A256191"/>
    <w:rsid w:val="0A622F41"/>
    <w:rsid w:val="0A7D0D66"/>
    <w:rsid w:val="0AAB7465"/>
    <w:rsid w:val="0AC96FD5"/>
    <w:rsid w:val="0AD11E75"/>
    <w:rsid w:val="0AEC3153"/>
    <w:rsid w:val="0AFF4C34"/>
    <w:rsid w:val="0B07397F"/>
    <w:rsid w:val="0B1D7A4B"/>
    <w:rsid w:val="0B221DFE"/>
    <w:rsid w:val="0B321860"/>
    <w:rsid w:val="0B3F3F93"/>
    <w:rsid w:val="0B505490"/>
    <w:rsid w:val="0B723658"/>
    <w:rsid w:val="0B8165D9"/>
    <w:rsid w:val="0B9E1E32"/>
    <w:rsid w:val="0BAD4690"/>
    <w:rsid w:val="0BB53545"/>
    <w:rsid w:val="0BD10F98"/>
    <w:rsid w:val="0BD22349"/>
    <w:rsid w:val="0C14470F"/>
    <w:rsid w:val="0C250B81"/>
    <w:rsid w:val="0C6255C1"/>
    <w:rsid w:val="0C6E4113"/>
    <w:rsid w:val="0CA84E57"/>
    <w:rsid w:val="0CAC0DEC"/>
    <w:rsid w:val="0CAC1BD2"/>
    <w:rsid w:val="0CCA337B"/>
    <w:rsid w:val="0CDA001F"/>
    <w:rsid w:val="0D2210AE"/>
    <w:rsid w:val="0D31309F"/>
    <w:rsid w:val="0D622FDE"/>
    <w:rsid w:val="0E0B1B42"/>
    <w:rsid w:val="0E122ED0"/>
    <w:rsid w:val="0E303427"/>
    <w:rsid w:val="0E6104E3"/>
    <w:rsid w:val="0E85644A"/>
    <w:rsid w:val="0E923B98"/>
    <w:rsid w:val="0EB8244E"/>
    <w:rsid w:val="0EC046DA"/>
    <w:rsid w:val="0EC23466"/>
    <w:rsid w:val="0ECD6DF7"/>
    <w:rsid w:val="0EEC73D0"/>
    <w:rsid w:val="0EF1339F"/>
    <w:rsid w:val="0F1A68C7"/>
    <w:rsid w:val="0F66158F"/>
    <w:rsid w:val="0F704352"/>
    <w:rsid w:val="0F825E34"/>
    <w:rsid w:val="0F8570EB"/>
    <w:rsid w:val="0F8C0EA5"/>
    <w:rsid w:val="0F8D5DBD"/>
    <w:rsid w:val="0FA15118"/>
    <w:rsid w:val="0FA936A7"/>
    <w:rsid w:val="0FCF6786"/>
    <w:rsid w:val="0FD03043"/>
    <w:rsid w:val="101C1DE4"/>
    <w:rsid w:val="10526AC2"/>
    <w:rsid w:val="10675755"/>
    <w:rsid w:val="111D4066"/>
    <w:rsid w:val="112C42A9"/>
    <w:rsid w:val="115D2A1F"/>
    <w:rsid w:val="1172733A"/>
    <w:rsid w:val="11A97279"/>
    <w:rsid w:val="11B46F25"/>
    <w:rsid w:val="11B95929"/>
    <w:rsid w:val="11BD15AF"/>
    <w:rsid w:val="124826EE"/>
    <w:rsid w:val="12B04A66"/>
    <w:rsid w:val="12CA751C"/>
    <w:rsid w:val="12FE11BE"/>
    <w:rsid w:val="1317065E"/>
    <w:rsid w:val="13255D62"/>
    <w:rsid w:val="137837D5"/>
    <w:rsid w:val="138C0572"/>
    <w:rsid w:val="13AE711E"/>
    <w:rsid w:val="13DA7FEC"/>
    <w:rsid w:val="13EF2615"/>
    <w:rsid w:val="14E8498B"/>
    <w:rsid w:val="15023C9F"/>
    <w:rsid w:val="15175E1D"/>
    <w:rsid w:val="15733D04"/>
    <w:rsid w:val="157955E3"/>
    <w:rsid w:val="1595304F"/>
    <w:rsid w:val="15DE18EA"/>
    <w:rsid w:val="16353C00"/>
    <w:rsid w:val="163F682C"/>
    <w:rsid w:val="165D1EF2"/>
    <w:rsid w:val="16603E21"/>
    <w:rsid w:val="166149F5"/>
    <w:rsid w:val="16DC407B"/>
    <w:rsid w:val="16FFE4EB"/>
    <w:rsid w:val="174A5AB7"/>
    <w:rsid w:val="175001A3"/>
    <w:rsid w:val="175341AF"/>
    <w:rsid w:val="1796663B"/>
    <w:rsid w:val="17CD65D1"/>
    <w:rsid w:val="180769B7"/>
    <w:rsid w:val="18475E6C"/>
    <w:rsid w:val="186935AD"/>
    <w:rsid w:val="187D69DA"/>
    <w:rsid w:val="188D051C"/>
    <w:rsid w:val="18A1732B"/>
    <w:rsid w:val="18B828C6"/>
    <w:rsid w:val="18D36C20"/>
    <w:rsid w:val="18D45FD9"/>
    <w:rsid w:val="18E0389C"/>
    <w:rsid w:val="18E37943"/>
    <w:rsid w:val="19297189"/>
    <w:rsid w:val="19415643"/>
    <w:rsid w:val="19506595"/>
    <w:rsid w:val="195E346D"/>
    <w:rsid w:val="1997072D"/>
    <w:rsid w:val="19B233B5"/>
    <w:rsid w:val="19BB090C"/>
    <w:rsid w:val="19CF7EC7"/>
    <w:rsid w:val="1A47331B"/>
    <w:rsid w:val="1AA50F4D"/>
    <w:rsid w:val="1AA650CC"/>
    <w:rsid w:val="1AEB2ADF"/>
    <w:rsid w:val="1B1F7FFD"/>
    <w:rsid w:val="1B2129A5"/>
    <w:rsid w:val="1B225C27"/>
    <w:rsid w:val="1B5508A0"/>
    <w:rsid w:val="1B550F91"/>
    <w:rsid w:val="1B656D35"/>
    <w:rsid w:val="1B721452"/>
    <w:rsid w:val="1B947E23"/>
    <w:rsid w:val="1BBF7A07"/>
    <w:rsid w:val="1BD9502D"/>
    <w:rsid w:val="1BF15DCA"/>
    <w:rsid w:val="1BFE6842"/>
    <w:rsid w:val="1BFF7D06"/>
    <w:rsid w:val="1C073948"/>
    <w:rsid w:val="1C076CBA"/>
    <w:rsid w:val="1C0A168B"/>
    <w:rsid w:val="1C1B5646"/>
    <w:rsid w:val="1C1F18E4"/>
    <w:rsid w:val="1C2A36DF"/>
    <w:rsid w:val="1C365FDC"/>
    <w:rsid w:val="1C474D02"/>
    <w:rsid w:val="1C704EA8"/>
    <w:rsid w:val="1C8E5E18"/>
    <w:rsid w:val="1CB3587E"/>
    <w:rsid w:val="1CCF2BB9"/>
    <w:rsid w:val="1D335585"/>
    <w:rsid w:val="1D392227"/>
    <w:rsid w:val="1D527CA1"/>
    <w:rsid w:val="1D784489"/>
    <w:rsid w:val="1D851A51"/>
    <w:rsid w:val="1DB55626"/>
    <w:rsid w:val="1DDA204F"/>
    <w:rsid w:val="1DE101C9"/>
    <w:rsid w:val="1E454BFC"/>
    <w:rsid w:val="1E57048B"/>
    <w:rsid w:val="1E950D72"/>
    <w:rsid w:val="1EA51DEC"/>
    <w:rsid w:val="1EC27FFB"/>
    <w:rsid w:val="1EDD3086"/>
    <w:rsid w:val="1EDF7443"/>
    <w:rsid w:val="1F1F489E"/>
    <w:rsid w:val="1F51312D"/>
    <w:rsid w:val="1F8800D3"/>
    <w:rsid w:val="1F9572C5"/>
    <w:rsid w:val="1FB94DC1"/>
    <w:rsid w:val="1FBA3072"/>
    <w:rsid w:val="1FC21ED8"/>
    <w:rsid w:val="2035745A"/>
    <w:rsid w:val="203E7B55"/>
    <w:rsid w:val="20547378"/>
    <w:rsid w:val="206E19E8"/>
    <w:rsid w:val="209D6898"/>
    <w:rsid w:val="20BD316F"/>
    <w:rsid w:val="20EB1A8B"/>
    <w:rsid w:val="20FB50A8"/>
    <w:rsid w:val="214A4765"/>
    <w:rsid w:val="21515666"/>
    <w:rsid w:val="216B0B49"/>
    <w:rsid w:val="21732245"/>
    <w:rsid w:val="21791BC0"/>
    <w:rsid w:val="21E11B9C"/>
    <w:rsid w:val="2208666C"/>
    <w:rsid w:val="223918D0"/>
    <w:rsid w:val="224F1BA5"/>
    <w:rsid w:val="226759B8"/>
    <w:rsid w:val="229B50A3"/>
    <w:rsid w:val="22E70030"/>
    <w:rsid w:val="231921B3"/>
    <w:rsid w:val="233D2346"/>
    <w:rsid w:val="237815D0"/>
    <w:rsid w:val="239857CE"/>
    <w:rsid w:val="23D12DB3"/>
    <w:rsid w:val="23FA5EFD"/>
    <w:rsid w:val="2412694B"/>
    <w:rsid w:val="24507E57"/>
    <w:rsid w:val="24567D0F"/>
    <w:rsid w:val="248779BF"/>
    <w:rsid w:val="248956DD"/>
    <w:rsid w:val="24A817F7"/>
    <w:rsid w:val="24A85EE5"/>
    <w:rsid w:val="24B32866"/>
    <w:rsid w:val="24CD36A1"/>
    <w:rsid w:val="253D662D"/>
    <w:rsid w:val="254B2DFF"/>
    <w:rsid w:val="255F2A47"/>
    <w:rsid w:val="260A64C8"/>
    <w:rsid w:val="262F6DAA"/>
    <w:rsid w:val="26335984"/>
    <w:rsid w:val="265D00EF"/>
    <w:rsid w:val="265D1C69"/>
    <w:rsid w:val="267918E7"/>
    <w:rsid w:val="2694079E"/>
    <w:rsid w:val="26DC3C24"/>
    <w:rsid w:val="26FD2BB9"/>
    <w:rsid w:val="2748288A"/>
    <w:rsid w:val="274F0899"/>
    <w:rsid w:val="27A21FBD"/>
    <w:rsid w:val="27B6489B"/>
    <w:rsid w:val="27CB6172"/>
    <w:rsid w:val="27E234BC"/>
    <w:rsid w:val="28292E99"/>
    <w:rsid w:val="282A745F"/>
    <w:rsid w:val="28551EE0"/>
    <w:rsid w:val="285C4CC5"/>
    <w:rsid w:val="286B31B0"/>
    <w:rsid w:val="288A1B89"/>
    <w:rsid w:val="29104BDF"/>
    <w:rsid w:val="2956295F"/>
    <w:rsid w:val="29622E63"/>
    <w:rsid w:val="29746395"/>
    <w:rsid w:val="297B5976"/>
    <w:rsid w:val="299C3779"/>
    <w:rsid w:val="29AA1DB7"/>
    <w:rsid w:val="29E928DF"/>
    <w:rsid w:val="2A1D6E39"/>
    <w:rsid w:val="2A270CF5"/>
    <w:rsid w:val="2A3F341C"/>
    <w:rsid w:val="2A9C2048"/>
    <w:rsid w:val="2AF7434D"/>
    <w:rsid w:val="2B30392A"/>
    <w:rsid w:val="2B400C25"/>
    <w:rsid w:val="2B4A3640"/>
    <w:rsid w:val="2B4D3342"/>
    <w:rsid w:val="2B986339"/>
    <w:rsid w:val="2BD20249"/>
    <w:rsid w:val="2BD5451A"/>
    <w:rsid w:val="2BE94E19"/>
    <w:rsid w:val="2C0B6365"/>
    <w:rsid w:val="2C3C2E7B"/>
    <w:rsid w:val="2C4E5528"/>
    <w:rsid w:val="2C6B208A"/>
    <w:rsid w:val="2C6C77F8"/>
    <w:rsid w:val="2C732BFC"/>
    <w:rsid w:val="2C843991"/>
    <w:rsid w:val="2C8D1CCD"/>
    <w:rsid w:val="2C9D4EB9"/>
    <w:rsid w:val="2CA41C97"/>
    <w:rsid w:val="2CA66EAB"/>
    <w:rsid w:val="2CB855D9"/>
    <w:rsid w:val="2CCB451E"/>
    <w:rsid w:val="2D4D257A"/>
    <w:rsid w:val="2D4F6EFD"/>
    <w:rsid w:val="2D770DA6"/>
    <w:rsid w:val="2DC773DC"/>
    <w:rsid w:val="2E0F48DF"/>
    <w:rsid w:val="2E180D02"/>
    <w:rsid w:val="2E3BD23D"/>
    <w:rsid w:val="2E905A1F"/>
    <w:rsid w:val="2EA92A1B"/>
    <w:rsid w:val="2ED27DE6"/>
    <w:rsid w:val="2EED18C2"/>
    <w:rsid w:val="2F01466F"/>
    <w:rsid w:val="2F0A023A"/>
    <w:rsid w:val="2F2A7C22"/>
    <w:rsid w:val="2F4B2594"/>
    <w:rsid w:val="2F5044AF"/>
    <w:rsid w:val="2F9741D0"/>
    <w:rsid w:val="2FC242FE"/>
    <w:rsid w:val="2FCF1FF0"/>
    <w:rsid w:val="2FFF3575"/>
    <w:rsid w:val="30143D58"/>
    <w:rsid w:val="30153DA9"/>
    <w:rsid w:val="304271ED"/>
    <w:rsid w:val="30515682"/>
    <w:rsid w:val="30795FA6"/>
    <w:rsid w:val="30870369"/>
    <w:rsid w:val="308D0B9D"/>
    <w:rsid w:val="309537C1"/>
    <w:rsid w:val="30AE5029"/>
    <w:rsid w:val="30D965F3"/>
    <w:rsid w:val="31350C4C"/>
    <w:rsid w:val="317E51FD"/>
    <w:rsid w:val="31F82F20"/>
    <w:rsid w:val="320A5AE9"/>
    <w:rsid w:val="3210328B"/>
    <w:rsid w:val="321D7EF1"/>
    <w:rsid w:val="325C06B6"/>
    <w:rsid w:val="325E57DA"/>
    <w:rsid w:val="32672F3B"/>
    <w:rsid w:val="326E42CA"/>
    <w:rsid w:val="327577E0"/>
    <w:rsid w:val="32D4660A"/>
    <w:rsid w:val="32D9699F"/>
    <w:rsid w:val="32DD4AEB"/>
    <w:rsid w:val="331F7372"/>
    <w:rsid w:val="333077D1"/>
    <w:rsid w:val="335039CF"/>
    <w:rsid w:val="33952539"/>
    <w:rsid w:val="33DD12FF"/>
    <w:rsid w:val="34256C0A"/>
    <w:rsid w:val="344E07A6"/>
    <w:rsid w:val="34580D8D"/>
    <w:rsid w:val="34983880"/>
    <w:rsid w:val="34A90091"/>
    <w:rsid w:val="34CF116C"/>
    <w:rsid w:val="34D00132"/>
    <w:rsid w:val="34FF1487"/>
    <w:rsid w:val="351C625F"/>
    <w:rsid w:val="352246B9"/>
    <w:rsid w:val="35AA386B"/>
    <w:rsid w:val="35B13DBF"/>
    <w:rsid w:val="35BA7826"/>
    <w:rsid w:val="35C96066"/>
    <w:rsid w:val="35D04C16"/>
    <w:rsid w:val="36203B2D"/>
    <w:rsid w:val="369A0B25"/>
    <w:rsid w:val="36AD1C42"/>
    <w:rsid w:val="36D466C5"/>
    <w:rsid w:val="36DD0DAD"/>
    <w:rsid w:val="36E25286"/>
    <w:rsid w:val="36EB69DC"/>
    <w:rsid w:val="371701C2"/>
    <w:rsid w:val="372431A9"/>
    <w:rsid w:val="37294C63"/>
    <w:rsid w:val="372D43B1"/>
    <w:rsid w:val="37382E00"/>
    <w:rsid w:val="376B576E"/>
    <w:rsid w:val="378C0630"/>
    <w:rsid w:val="37BF2F48"/>
    <w:rsid w:val="37C7002F"/>
    <w:rsid w:val="37E70A68"/>
    <w:rsid w:val="38073496"/>
    <w:rsid w:val="381256F7"/>
    <w:rsid w:val="382A7EB4"/>
    <w:rsid w:val="38624742"/>
    <w:rsid w:val="386A52F9"/>
    <w:rsid w:val="3881462B"/>
    <w:rsid w:val="38885481"/>
    <w:rsid w:val="389558DB"/>
    <w:rsid w:val="38997BC6"/>
    <w:rsid w:val="38BF6A16"/>
    <w:rsid w:val="38E2156D"/>
    <w:rsid w:val="395A7356"/>
    <w:rsid w:val="398A226F"/>
    <w:rsid w:val="399F120C"/>
    <w:rsid w:val="39B051C8"/>
    <w:rsid w:val="39C46EC5"/>
    <w:rsid w:val="3A103EB8"/>
    <w:rsid w:val="3A53648D"/>
    <w:rsid w:val="3A637A19"/>
    <w:rsid w:val="3AAD5BAB"/>
    <w:rsid w:val="3ABB0A73"/>
    <w:rsid w:val="3AF27EBD"/>
    <w:rsid w:val="3B003F2D"/>
    <w:rsid w:val="3B082DE1"/>
    <w:rsid w:val="3B366832"/>
    <w:rsid w:val="3B3C51D5"/>
    <w:rsid w:val="3B77232F"/>
    <w:rsid w:val="3BA0301A"/>
    <w:rsid w:val="3BAB26B5"/>
    <w:rsid w:val="3C50507C"/>
    <w:rsid w:val="3C54700A"/>
    <w:rsid w:val="3C7939C7"/>
    <w:rsid w:val="3C7C27AF"/>
    <w:rsid w:val="3CA64660"/>
    <w:rsid w:val="3CF4186F"/>
    <w:rsid w:val="3D292E50"/>
    <w:rsid w:val="3D567C30"/>
    <w:rsid w:val="3D600441"/>
    <w:rsid w:val="3D972887"/>
    <w:rsid w:val="3DCC76AE"/>
    <w:rsid w:val="3E04533D"/>
    <w:rsid w:val="3E307D17"/>
    <w:rsid w:val="3E497999"/>
    <w:rsid w:val="3E530817"/>
    <w:rsid w:val="3E854F1E"/>
    <w:rsid w:val="3EFE683B"/>
    <w:rsid w:val="3FB86B84"/>
    <w:rsid w:val="3FC02657"/>
    <w:rsid w:val="3FC574F3"/>
    <w:rsid w:val="3FD6381B"/>
    <w:rsid w:val="3FDA11F0"/>
    <w:rsid w:val="3FDA4D4C"/>
    <w:rsid w:val="3FDFA2F6"/>
    <w:rsid w:val="4050004D"/>
    <w:rsid w:val="40896772"/>
    <w:rsid w:val="40985D57"/>
    <w:rsid w:val="40D668C2"/>
    <w:rsid w:val="40DD6B84"/>
    <w:rsid w:val="410858E9"/>
    <w:rsid w:val="4131552A"/>
    <w:rsid w:val="414669E9"/>
    <w:rsid w:val="41742F7F"/>
    <w:rsid w:val="41875057"/>
    <w:rsid w:val="4190632B"/>
    <w:rsid w:val="41994F69"/>
    <w:rsid w:val="41F06AA9"/>
    <w:rsid w:val="420C1409"/>
    <w:rsid w:val="42500C48"/>
    <w:rsid w:val="425F59DD"/>
    <w:rsid w:val="426B7A9B"/>
    <w:rsid w:val="426D634C"/>
    <w:rsid w:val="428E4C38"/>
    <w:rsid w:val="42AE1F45"/>
    <w:rsid w:val="42B24483"/>
    <w:rsid w:val="42F11657"/>
    <w:rsid w:val="43284021"/>
    <w:rsid w:val="433B58B4"/>
    <w:rsid w:val="43650CAE"/>
    <w:rsid w:val="43730A39"/>
    <w:rsid w:val="43811983"/>
    <w:rsid w:val="43A46EA7"/>
    <w:rsid w:val="43A7763B"/>
    <w:rsid w:val="43CD683F"/>
    <w:rsid w:val="43D43910"/>
    <w:rsid w:val="44054362"/>
    <w:rsid w:val="44103433"/>
    <w:rsid w:val="4413593C"/>
    <w:rsid w:val="442742D8"/>
    <w:rsid w:val="44337121"/>
    <w:rsid w:val="44791985"/>
    <w:rsid w:val="4484172B"/>
    <w:rsid w:val="448E0016"/>
    <w:rsid w:val="449C6A74"/>
    <w:rsid w:val="44B16840"/>
    <w:rsid w:val="44C74F04"/>
    <w:rsid w:val="44E4666D"/>
    <w:rsid w:val="44FF6E2D"/>
    <w:rsid w:val="4505163C"/>
    <w:rsid w:val="451471C4"/>
    <w:rsid w:val="45293313"/>
    <w:rsid w:val="453B0C21"/>
    <w:rsid w:val="454D01C7"/>
    <w:rsid w:val="45660170"/>
    <w:rsid w:val="457B0D80"/>
    <w:rsid w:val="457C68A6"/>
    <w:rsid w:val="458D1019"/>
    <w:rsid w:val="45BB5319"/>
    <w:rsid w:val="45C85647"/>
    <w:rsid w:val="45CC50E5"/>
    <w:rsid w:val="45EF0E26"/>
    <w:rsid w:val="45F57003"/>
    <w:rsid w:val="46146ADE"/>
    <w:rsid w:val="4669058F"/>
    <w:rsid w:val="46B71412"/>
    <w:rsid w:val="47044DA5"/>
    <w:rsid w:val="4711620B"/>
    <w:rsid w:val="472B2331"/>
    <w:rsid w:val="47503703"/>
    <w:rsid w:val="478B1022"/>
    <w:rsid w:val="47916927"/>
    <w:rsid w:val="479E777A"/>
    <w:rsid w:val="47F7EDB5"/>
    <w:rsid w:val="48111527"/>
    <w:rsid w:val="482C4AD6"/>
    <w:rsid w:val="48A028AB"/>
    <w:rsid w:val="48B80905"/>
    <w:rsid w:val="48BD345D"/>
    <w:rsid w:val="48C26B67"/>
    <w:rsid w:val="48C91E02"/>
    <w:rsid w:val="49115557"/>
    <w:rsid w:val="493F5642"/>
    <w:rsid w:val="497955D6"/>
    <w:rsid w:val="497A30FC"/>
    <w:rsid w:val="499D2DFA"/>
    <w:rsid w:val="49EA3854"/>
    <w:rsid w:val="4A095EDA"/>
    <w:rsid w:val="4A360338"/>
    <w:rsid w:val="4A4A2ACF"/>
    <w:rsid w:val="4A7A4163"/>
    <w:rsid w:val="4A802994"/>
    <w:rsid w:val="4AB9210C"/>
    <w:rsid w:val="4AE22169"/>
    <w:rsid w:val="4AF3760A"/>
    <w:rsid w:val="4AFF7D5D"/>
    <w:rsid w:val="4B180E1F"/>
    <w:rsid w:val="4B24370F"/>
    <w:rsid w:val="4B495268"/>
    <w:rsid w:val="4B6C4491"/>
    <w:rsid w:val="4BFF6538"/>
    <w:rsid w:val="4C211DA3"/>
    <w:rsid w:val="4C2A117B"/>
    <w:rsid w:val="4C2C28CD"/>
    <w:rsid w:val="4C3F7EC3"/>
    <w:rsid w:val="4C61166C"/>
    <w:rsid w:val="4C6205A3"/>
    <w:rsid w:val="4C995F8F"/>
    <w:rsid w:val="4CE40135"/>
    <w:rsid w:val="4D3A5CC6"/>
    <w:rsid w:val="4D477799"/>
    <w:rsid w:val="4D7F4C70"/>
    <w:rsid w:val="4D7F6F33"/>
    <w:rsid w:val="4DB72AB2"/>
    <w:rsid w:val="4DEF779D"/>
    <w:rsid w:val="4E0836C1"/>
    <w:rsid w:val="4E274CAC"/>
    <w:rsid w:val="4E3D5AFD"/>
    <w:rsid w:val="4E487C6D"/>
    <w:rsid w:val="4E7A0566"/>
    <w:rsid w:val="4EAA6232"/>
    <w:rsid w:val="4EE334F2"/>
    <w:rsid w:val="4EF851EF"/>
    <w:rsid w:val="4EFF7109"/>
    <w:rsid w:val="4F0A4F22"/>
    <w:rsid w:val="4F3855EC"/>
    <w:rsid w:val="4F5A1A06"/>
    <w:rsid w:val="4F7C5E20"/>
    <w:rsid w:val="4F822D0B"/>
    <w:rsid w:val="4F9B4257"/>
    <w:rsid w:val="4FCA3490"/>
    <w:rsid w:val="4FED4628"/>
    <w:rsid w:val="5097222A"/>
    <w:rsid w:val="50A849F3"/>
    <w:rsid w:val="50D41344"/>
    <w:rsid w:val="50EF5064"/>
    <w:rsid w:val="51330760"/>
    <w:rsid w:val="513A2EB8"/>
    <w:rsid w:val="514A2DB1"/>
    <w:rsid w:val="518F1BC3"/>
    <w:rsid w:val="51BD15F2"/>
    <w:rsid w:val="51D610EC"/>
    <w:rsid w:val="521F2A93"/>
    <w:rsid w:val="52343943"/>
    <w:rsid w:val="525B59DA"/>
    <w:rsid w:val="52794597"/>
    <w:rsid w:val="528F7C18"/>
    <w:rsid w:val="52903990"/>
    <w:rsid w:val="52A80CDA"/>
    <w:rsid w:val="52AD4542"/>
    <w:rsid w:val="52C27FEE"/>
    <w:rsid w:val="52DB12DC"/>
    <w:rsid w:val="52E90DE5"/>
    <w:rsid w:val="52FFD856"/>
    <w:rsid w:val="53133ECC"/>
    <w:rsid w:val="531F7280"/>
    <w:rsid w:val="53733096"/>
    <w:rsid w:val="53CE651E"/>
    <w:rsid w:val="53E066E3"/>
    <w:rsid w:val="541F4FCC"/>
    <w:rsid w:val="54977258"/>
    <w:rsid w:val="54A61249"/>
    <w:rsid w:val="54E31282"/>
    <w:rsid w:val="550C4A8A"/>
    <w:rsid w:val="552B3724"/>
    <w:rsid w:val="552C5397"/>
    <w:rsid w:val="556E11F4"/>
    <w:rsid w:val="55766E6E"/>
    <w:rsid w:val="55D10548"/>
    <w:rsid w:val="55E21A94"/>
    <w:rsid w:val="55E37BFC"/>
    <w:rsid w:val="5637484F"/>
    <w:rsid w:val="563C4653"/>
    <w:rsid w:val="56552F27"/>
    <w:rsid w:val="567E2422"/>
    <w:rsid w:val="568455BA"/>
    <w:rsid w:val="569644F9"/>
    <w:rsid w:val="56FA4531"/>
    <w:rsid w:val="573A3ECB"/>
    <w:rsid w:val="574B60D8"/>
    <w:rsid w:val="577613A7"/>
    <w:rsid w:val="5778511F"/>
    <w:rsid w:val="57AC162E"/>
    <w:rsid w:val="57B5CB94"/>
    <w:rsid w:val="57E32964"/>
    <w:rsid w:val="57E427B4"/>
    <w:rsid w:val="57FB1233"/>
    <w:rsid w:val="582E113A"/>
    <w:rsid w:val="58607A17"/>
    <w:rsid w:val="588E406F"/>
    <w:rsid w:val="596661E1"/>
    <w:rsid w:val="59926240"/>
    <w:rsid w:val="59A26483"/>
    <w:rsid w:val="59D210EF"/>
    <w:rsid w:val="59E56370"/>
    <w:rsid w:val="59E75F0D"/>
    <w:rsid w:val="5A132EDD"/>
    <w:rsid w:val="5A447A54"/>
    <w:rsid w:val="5A760F76"/>
    <w:rsid w:val="5A7B71DC"/>
    <w:rsid w:val="5A844DA5"/>
    <w:rsid w:val="5AA303C0"/>
    <w:rsid w:val="5AEF0F9B"/>
    <w:rsid w:val="5AF54CD9"/>
    <w:rsid w:val="5B413A7A"/>
    <w:rsid w:val="5B4377F2"/>
    <w:rsid w:val="5B7E082A"/>
    <w:rsid w:val="5B924203"/>
    <w:rsid w:val="5BCA1CC1"/>
    <w:rsid w:val="5BF74B81"/>
    <w:rsid w:val="5BFE5E0F"/>
    <w:rsid w:val="5C0276AD"/>
    <w:rsid w:val="5C67751E"/>
    <w:rsid w:val="5C761E49"/>
    <w:rsid w:val="5C86208C"/>
    <w:rsid w:val="5CB07652"/>
    <w:rsid w:val="5CBD1826"/>
    <w:rsid w:val="5CE70651"/>
    <w:rsid w:val="5D8448DF"/>
    <w:rsid w:val="5DB21DDA"/>
    <w:rsid w:val="5DE51034"/>
    <w:rsid w:val="5E300B4A"/>
    <w:rsid w:val="5E435D5B"/>
    <w:rsid w:val="5E763F5F"/>
    <w:rsid w:val="5EAA09BD"/>
    <w:rsid w:val="5EEB267A"/>
    <w:rsid w:val="5EF7455B"/>
    <w:rsid w:val="5F27007C"/>
    <w:rsid w:val="5F2A6140"/>
    <w:rsid w:val="5F3758C0"/>
    <w:rsid w:val="5F4D5334"/>
    <w:rsid w:val="5F78749F"/>
    <w:rsid w:val="5F9E0305"/>
    <w:rsid w:val="5FA40241"/>
    <w:rsid w:val="5FC03B07"/>
    <w:rsid w:val="5FD501C7"/>
    <w:rsid w:val="5FDA624B"/>
    <w:rsid w:val="5FEB0458"/>
    <w:rsid w:val="5FFFDA91"/>
    <w:rsid w:val="60002155"/>
    <w:rsid w:val="601620D0"/>
    <w:rsid w:val="60194FC5"/>
    <w:rsid w:val="60545FFD"/>
    <w:rsid w:val="608A0908"/>
    <w:rsid w:val="60A15F5C"/>
    <w:rsid w:val="60B60A66"/>
    <w:rsid w:val="60B66CB8"/>
    <w:rsid w:val="60BD1DF5"/>
    <w:rsid w:val="60E07891"/>
    <w:rsid w:val="611F2AAF"/>
    <w:rsid w:val="612C6607"/>
    <w:rsid w:val="61365ED6"/>
    <w:rsid w:val="6147071A"/>
    <w:rsid w:val="61864F5A"/>
    <w:rsid w:val="61A84853"/>
    <w:rsid w:val="61B56F70"/>
    <w:rsid w:val="61EF4230"/>
    <w:rsid w:val="62013F63"/>
    <w:rsid w:val="62144416"/>
    <w:rsid w:val="621C0D9D"/>
    <w:rsid w:val="622740D7"/>
    <w:rsid w:val="62AC3ECF"/>
    <w:rsid w:val="62AD7C47"/>
    <w:rsid w:val="62B41814"/>
    <w:rsid w:val="62BC2C1F"/>
    <w:rsid w:val="62BD2580"/>
    <w:rsid w:val="62E66D8E"/>
    <w:rsid w:val="63212B0F"/>
    <w:rsid w:val="63A41AA0"/>
    <w:rsid w:val="63C27722"/>
    <w:rsid w:val="63E022EB"/>
    <w:rsid w:val="63E91153"/>
    <w:rsid w:val="644B1A3D"/>
    <w:rsid w:val="64662892"/>
    <w:rsid w:val="64B041A2"/>
    <w:rsid w:val="64BC415B"/>
    <w:rsid w:val="64D2621B"/>
    <w:rsid w:val="64E35BA2"/>
    <w:rsid w:val="650049A6"/>
    <w:rsid w:val="652061F2"/>
    <w:rsid w:val="6522226D"/>
    <w:rsid w:val="653463FD"/>
    <w:rsid w:val="654B3E73"/>
    <w:rsid w:val="65876E75"/>
    <w:rsid w:val="658C7FE7"/>
    <w:rsid w:val="65982E30"/>
    <w:rsid w:val="65DF6369"/>
    <w:rsid w:val="65E004F4"/>
    <w:rsid w:val="65F1460F"/>
    <w:rsid w:val="660C09A3"/>
    <w:rsid w:val="666F3B91"/>
    <w:rsid w:val="667116AD"/>
    <w:rsid w:val="66834ABD"/>
    <w:rsid w:val="66AB0F78"/>
    <w:rsid w:val="66E27CB9"/>
    <w:rsid w:val="66FFA7CD"/>
    <w:rsid w:val="67077658"/>
    <w:rsid w:val="671036F5"/>
    <w:rsid w:val="67987117"/>
    <w:rsid w:val="67D16185"/>
    <w:rsid w:val="67E45EB9"/>
    <w:rsid w:val="67FA0C0D"/>
    <w:rsid w:val="67FF7F8C"/>
    <w:rsid w:val="680B5B3B"/>
    <w:rsid w:val="6813679E"/>
    <w:rsid w:val="686C635E"/>
    <w:rsid w:val="68865AC2"/>
    <w:rsid w:val="68C229BD"/>
    <w:rsid w:val="68CA631D"/>
    <w:rsid w:val="68DC4DE2"/>
    <w:rsid w:val="68F23988"/>
    <w:rsid w:val="69315D63"/>
    <w:rsid w:val="69562DE6"/>
    <w:rsid w:val="697B001E"/>
    <w:rsid w:val="6992777B"/>
    <w:rsid w:val="69E74DD5"/>
    <w:rsid w:val="69F10D61"/>
    <w:rsid w:val="69F57C49"/>
    <w:rsid w:val="6A095303"/>
    <w:rsid w:val="6A1062E6"/>
    <w:rsid w:val="6A112F94"/>
    <w:rsid w:val="6A1556F6"/>
    <w:rsid w:val="6A1B552D"/>
    <w:rsid w:val="6A707ED8"/>
    <w:rsid w:val="6A930946"/>
    <w:rsid w:val="6AA81420"/>
    <w:rsid w:val="6AB605B8"/>
    <w:rsid w:val="6AC64C7F"/>
    <w:rsid w:val="6AEF704E"/>
    <w:rsid w:val="6B0420A3"/>
    <w:rsid w:val="6B0D15D1"/>
    <w:rsid w:val="6B2325B6"/>
    <w:rsid w:val="6B872F64"/>
    <w:rsid w:val="6B96396E"/>
    <w:rsid w:val="6BC52A21"/>
    <w:rsid w:val="6BF97B85"/>
    <w:rsid w:val="6BFA52E3"/>
    <w:rsid w:val="6C28293C"/>
    <w:rsid w:val="6C3A254B"/>
    <w:rsid w:val="6C4B29AA"/>
    <w:rsid w:val="6C7A3290"/>
    <w:rsid w:val="6CC07F24"/>
    <w:rsid w:val="6CCE7137"/>
    <w:rsid w:val="6CDD7661"/>
    <w:rsid w:val="6D2F5E28"/>
    <w:rsid w:val="6D4C69DA"/>
    <w:rsid w:val="6D9EA1CE"/>
    <w:rsid w:val="6DA2484C"/>
    <w:rsid w:val="6DCC3677"/>
    <w:rsid w:val="6DFE3E48"/>
    <w:rsid w:val="6E2C05BA"/>
    <w:rsid w:val="6E5C00B5"/>
    <w:rsid w:val="6E7B0C62"/>
    <w:rsid w:val="6E7FE7DF"/>
    <w:rsid w:val="6E8A0956"/>
    <w:rsid w:val="6E8A32BB"/>
    <w:rsid w:val="6EC94AA0"/>
    <w:rsid w:val="6EEA575B"/>
    <w:rsid w:val="6F165AE8"/>
    <w:rsid w:val="6F2179F2"/>
    <w:rsid w:val="6F2D4584"/>
    <w:rsid w:val="6F4162E7"/>
    <w:rsid w:val="6F4734F9"/>
    <w:rsid w:val="6F83705A"/>
    <w:rsid w:val="6FF158FA"/>
    <w:rsid w:val="6FFC50AD"/>
    <w:rsid w:val="700417EE"/>
    <w:rsid w:val="701D6144"/>
    <w:rsid w:val="705A6236"/>
    <w:rsid w:val="70756248"/>
    <w:rsid w:val="707C0E23"/>
    <w:rsid w:val="709F5073"/>
    <w:rsid w:val="70B14DA6"/>
    <w:rsid w:val="7129406D"/>
    <w:rsid w:val="71A6584B"/>
    <w:rsid w:val="71A66CA6"/>
    <w:rsid w:val="71DD33A6"/>
    <w:rsid w:val="725F1977"/>
    <w:rsid w:val="729B1591"/>
    <w:rsid w:val="729D55E2"/>
    <w:rsid w:val="72B00952"/>
    <w:rsid w:val="72CD3655"/>
    <w:rsid w:val="730B0F8E"/>
    <w:rsid w:val="731630B8"/>
    <w:rsid w:val="731955B0"/>
    <w:rsid w:val="73392CF5"/>
    <w:rsid w:val="73435273"/>
    <w:rsid w:val="7358369C"/>
    <w:rsid w:val="73634A7D"/>
    <w:rsid w:val="73724CC1"/>
    <w:rsid w:val="73B02970"/>
    <w:rsid w:val="73B250BD"/>
    <w:rsid w:val="73B84764"/>
    <w:rsid w:val="73EC4A73"/>
    <w:rsid w:val="73FD2CEE"/>
    <w:rsid w:val="742064CB"/>
    <w:rsid w:val="746A3BEA"/>
    <w:rsid w:val="746F081C"/>
    <w:rsid w:val="74850A24"/>
    <w:rsid w:val="74B80DF9"/>
    <w:rsid w:val="75A849CA"/>
    <w:rsid w:val="75B63260"/>
    <w:rsid w:val="75DD99FD"/>
    <w:rsid w:val="75E63744"/>
    <w:rsid w:val="763D7808"/>
    <w:rsid w:val="766266B2"/>
    <w:rsid w:val="766314F3"/>
    <w:rsid w:val="76AE4262"/>
    <w:rsid w:val="76D35A76"/>
    <w:rsid w:val="76DE822F"/>
    <w:rsid w:val="76F679B7"/>
    <w:rsid w:val="7721472A"/>
    <w:rsid w:val="77400C32"/>
    <w:rsid w:val="77456248"/>
    <w:rsid w:val="774F3D26"/>
    <w:rsid w:val="77510E81"/>
    <w:rsid w:val="779F97A8"/>
    <w:rsid w:val="77BB9413"/>
    <w:rsid w:val="77BD2282"/>
    <w:rsid w:val="77F40F3E"/>
    <w:rsid w:val="77FBCEE5"/>
    <w:rsid w:val="77FC0FFD"/>
    <w:rsid w:val="77FF3421"/>
    <w:rsid w:val="78395DAD"/>
    <w:rsid w:val="7869554C"/>
    <w:rsid w:val="78B11DE7"/>
    <w:rsid w:val="78B673FD"/>
    <w:rsid w:val="78DA3E8D"/>
    <w:rsid w:val="79271C0A"/>
    <w:rsid w:val="79420C91"/>
    <w:rsid w:val="7980087A"/>
    <w:rsid w:val="79A73866"/>
    <w:rsid w:val="79B15C6C"/>
    <w:rsid w:val="79D668E4"/>
    <w:rsid w:val="7A0D74F1"/>
    <w:rsid w:val="7A1A1C0E"/>
    <w:rsid w:val="7A2F5ABA"/>
    <w:rsid w:val="7A770B57"/>
    <w:rsid w:val="7A804167"/>
    <w:rsid w:val="7AA11EDF"/>
    <w:rsid w:val="7AB20098"/>
    <w:rsid w:val="7ABBFDAB"/>
    <w:rsid w:val="7AED2458"/>
    <w:rsid w:val="7AF278DD"/>
    <w:rsid w:val="7B1007E7"/>
    <w:rsid w:val="7B226FCC"/>
    <w:rsid w:val="7B3F2EDE"/>
    <w:rsid w:val="7B6273C9"/>
    <w:rsid w:val="7B683207"/>
    <w:rsid w:val="7B690757"/>
    <w:rsid w:val="7B753025"/>
    <w:rsid w:val="7BC55A1B"/>
    <w:rsid w:val="7BCC0CE6"/>
    <w:rsid w:val="7BCE7BD3"/>
    <w:rsid w:val="7BFEBD4E"/>
    <w:rsid w:val="7C120F4C"/>
    <w:rsid w:val="7CB9359B"/>
    <w:rsid w:val="7CE9F3E7"/>
    <w:rsid w:val="7D6E474B"/>
    <w:rsid w:val="7D7C3B6C"/>
    <w:rsid w:val="7D8555F0"/>
    <w:rsid w:val="7DA39FCF"/>
    <w:rsid w:val="7DA77C5D"/>
    <w:rsid w:val="7DE62533"/>
    <w:rsid w:val="7DF033B2"/>
    <w:rsid w:val="7DF46806"/>
    <w:rsid w:val="7E355268"/>
    <w:rsid w:val="7E3A63DB"/>
    <w:rsid w:val="7EB73ECF"/>
    <w:rsid w:val="7EC16AFC"/>
    <w:rsid w:val="7ED75AA9"/>
    <w:rsid w:val="7EDC1B88"/>
    <w:rsid w:val="7EE051D4"/>
    <w:rsid w:val="7EFC7B34"/>
    <w:rsid w:val="7F014147"/>
    <w:rsid w:val="7F111FE3"/>
    <w:rsid w:val="7F213F67"/>
    <w:rsid w:val="7F2C0419"/>
    <w:rsid w:val="7F3B065C"/>
    <w:rsid w:val="7F6EA638"/>
    <w:rsid w:val="7F7FE1D3"/>
    <w:rsid w:val="7FB28D25"/>
    <w:rsid w:val="7FC40652"/>
    <w:rsid w:val="7FDF28C6"/>
    <w:rsid w:val="7FE600BC"/>
    <w:rsid w:val="A91A12D9"/>
    <w:rsid w:val="ABFAC708"/>
    <w:rsid w:val="ADBF54B8"/>
    <w:rsid w:val="B3F73CD7"/>
    <w:rsid w:val="CABD9370"/>
    <w:rsid w:val="DFF3FFAB"/>
    <w:rsid w:val="E7FB3EE9"/>
    <w:rsid w:val="EA7DC9B3"/>
    <w:rsid w:val="ECDF5FCA"/>
    <w:rsid w:val="F1F7E443"/>
    <w:rsid w:val="F37DFA70"/>
    <w:rsid w:val="F77DB632"/>
    <w:rsid w:val="F9FF24EE"/>
    <w:rsid w:val="FBBB8D91"/>
    <w:rsid w:val="FDBF7E81"/>
    <w:rsid w:val="FDFD96F0"/>
    <w:rsid w:val="FF39DC69"/>
    <w:rsid w:val="FF7DD85D"/>
    <w:rsid w:val="FFCFD206"/>
    <w:rsid w:val="FFFF86D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nhideWhenUsed="0" w:uiPriority="39" w:semiHidden="0" w:name="toc 6"/>
    <w:lsdException w:qFormat="1" w:uiPriority="39" w:semiHidden="0" w:name="toc 7"/>
    <w:lsdException w:qFormat="1" w:uiPriority="39" w:semiHidden="0" w:name="toc 8"/>
    <w:lsdException w:qFormat="1" w:uiPriority="39" w:semiHidden="0" w:name="toc 9"/>
    <w:lsdException w:qFormat="1" w:unhideWhenUsed="0" w:uiPriority="99" w:semiHidden="0" w:name="Normal Indent"/>
    <w:lsdException w:qFormat="1" w:unhideWhenUsed="0"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35" w:name="caption"/>
    <w:lsdException w:uiPriority="0" w:name="table of figures"/>
    <w:lsdException w:uiPriority="0" w:name="envelope address"/>
    <w:lsdException w:qFormat="1" w:unhideWhenUsed="0" w:uiPriority="0" w:semiHidden="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qFormat="1" w:uiPriority="99" w:semiHidden="0" w:name="Message Header"/>
    <w:lsdException w:qFormat="1" w:unhideWhenUsed="0" w:uiPriority="11" w:semiHidden="0" w:name="Subtitle"/>
    <w:lsdException w:qFormat="1" w:unhideWhenUsed="0" w:uiPriority="0" w:semiHidden="0" w:name="Salutation"/>
    <w:lsdException w:qFormat="1" w:unhideWhenUsed="0" w:uiPriority="0" w:semiHidden="0" w:name="Date"/>
    <w:lsdException w:qFormat="1" w:uiPriority="99"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99" w:name="Document Map"/>
    <w:lsdException w:qFormat="1" w:unhideWhenUsed="0" w:uiPriority="0"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58"/>
    <w:qFormat/>
    <w:uiPriority w:val="9"/>
    <w:pPr>
      <w:keepNext/>
      <w:jc w:val="center"/>
      <w:outlineLvl w:val="0"/>
    </w:pPr>
    <w:rPr>
      <w:b/>
      <w:bCs/>
      <w:kern w:val="0"/>
      <w:sz w:val="24"/>
      <w:szCs w:val="20"/>
    </w:rPr>
  </w:style>
  <w:style w:type="paragraph" w:styleId="2">
    <w:name w:val="heading 2"/>
    <w:basedOn w:val="1"/>
    <w:next w:val="1"/>
    <w:link w:val="57"/>
    <w:qFormat/>
    <w:uiPriority w:val="9"/>
    <w:pPr>
      <w:keepNext/>
      <w:keepLines/>
      <w:spacing w:line="360" w:lineRule="auto"/>
      <w:outlineLvl w:val="1"/>
    </w:pPr>
    <w:rPr>
      <w:rFonts w:ascii="Arial" w:hAnsi="Arial"/>
      <w:b/>
      <w:bCs/>
      <w:kern w:val="0"/>
      <w:sz w:val="24"/>
      <w:szCs w:val="32"/>
    </w:rPr>
  </w:style>
  <w:style w:type="paragraph" w:styleId="4">
    <w:name w:val="heading 3"/>
    <w:basedOn w:val="1"/>
    <w:next w:val="1"/>
    <w:link w:val="64"/>
    <w:qFormat/>
    <w:uiPriority w:val="9"/>
    <w:pPr>
      <w:keepNext/>
      <w:keepLines/>
      <w:spacing w:before="260" w:after="260" w:line="416" w:lineRule="auto"/>
      <w:outlineLvl w:val="2"/>
    </w:pPr>
    <w:rPr>
      <w:b/>
      <w:bCs/>
      <w:kern w:val="0"/>
      <w:sz w:val="32"/>
      <w:szCs w:val="32"/>
    </w:rPr>
  </w:style>
  <w:style w:type="paragraph" w:styleId="5">
    <w:name w:val="heading 4"/>
    <w:basedOn w:val="1"/>
    <w:next w:val="1"/>
    <w:link w:val="59"/>
    <w:qFormat/>
    <w:uiPriority w:val="0"/>
    <w:pPr>
      <w:keepNext/>
      <w:keepLines/>
      <w:spacing w:before="280" w:after="290" w:line="376" w:lineRule="auto"/>
      <w:outlineLvl w:val="3"/>
    </w:pPr>
    <w:rPr>
      <w:rFonts w:ascii="Arial" w:hAnsi="Arial" w:eastAsia="黑体"/>
      <w:b/>
      <w:bCs/>
      <w:kern w:val="0"/>
      <w:sz w:val="28"/>
      <w:szCs w:val="28"/>
    </w:rPr>
  </w:style>
  <w:style w:type="paragraph" w:styleId="6">
    <w:name w:val="heading 5"/>
    <w:basedOn w:val="1"/>
    <w:next w:val="1"/>
    <w:link w:val="65"/>
    <w:qFormat/>
    <w:uiPriority w:val="0"/>
    <w:pPr>
      <w:keepNext/>
      <w:keepLines/>
      <w:adjustRightInd w:val="0"/>
      <w:spacing w:before="280" w:after="290" w:line="376" w:lineRule="atLeast"/>
      <w:jc w:val="left"/>
      <w:textAlignment w:val="baseline"/>
      <w:outlineLvl w:val="4"/>
    </w:pPr>
    <w:rPr>
      <w:b/>
      <w:bCs/>
      <w:kern w:val="0"/>
      <w:sz w:val="28"/>
      <w:szCs w:val="28"/>
    </w:rPr>
  </w:style>
  <w:style w:type="paragraph" w:styleId="7">
    <w:name w:val="heading 6"/>
    <w:basedOn w:val="1"/>
    <w:next w:val="1"/>
    <w:link w:val="66"/>
    <w:qFormat/>
    <w:uiPriority w:val="0"/>
    <w:pPr>
      <w:keepNext/>
      <w:keepLines/>
      <w:adjustRightInd w:val="0"/>
      <w:spacing w:before="240" w:after="64" w:line="320" w:lineRule="atLeast"/>
      <w:jc w:val="left"/>
      <w:textAlignment w:val="baseline"/>
      <w:outlineLvl w:val="5"/>
    </w:pPr>
    <w:rPr>
      <w:rFonts w:ascii="Arial" w:hAnsi="Arial" w:eastAsia="黑体"/>
      <w:b/>
      <w:bCs/>
      <w:kern w:val="0"/>
      <w:sz w:val="24"/>
    </w:rPr>
  </w:style>
  <w:style w:type="paragraph" w:styleId="8">
    <w:name w:val="heading 7"/>
    <w:basedOn w:val="1"/>
    <w:next w:val="1"/>
    <w:link w:val="67"/>
    <w:qFormat/>
    <w:uiPriority w:val="0"/>
    <w:pPr>
      <w:keepNext/>
      <w:keepLines/>
      <w:adjustRightInd w:val="0"/>
      <w:spacing w:before="240" w:after="64" w:line="320" w:lineRule="atLeast"/>
      <w:jc w:val="left"/>
      <w:textAlignment w:val="baseline"/>
      <w:outlineLvl w:val="6"/>
    </w:pPr>
    <w:rPr>
      <w:b/>
      <w:bCs/>
      <w:kern w:val="0"/>
      <w:sz w:val="24"/>
    </w:rPr>
  </w:style>
  <w:style w:type="paragraph" w:styleId="9">
    <w:name w:val="heading 8"/>
    <w:basedOn w:val="1"/>
    <w:next w:val="1"/>
    <w:link w:val="68"/>
    <w:qFormat/>
    <w:uiPriority w:val="0"/>
    <w:pPr>
      <w:keepNext/>
      <w:keepLines/>
      <w:adjustRightInd w:val="0"/>
      <w:spacing w:before="240" w:after="64" w:line="320" w:lineRule="atLeast"/>
      <w:jc w:val="left"/>
      <w:textAlignment w:val="baseline"/>
      <w:outlineLvl w:val="7"/>
    </w:pPr>
    <w:rPr>
      <w:rFonts w:ascii="Arial" w:hAnsi="Arial" w:eastAsia="黑体"/>
      <w:kern w:val="0"/>
      <w:sz w:val="24"/>
    </w:rPr>
  </w:style>
  <w:style w:type="paragraph" w:styleId="10">
    <w:name w:val="heading 9"/>
    <w:basedOn w:val="1"/>
    <w:next w:val="1"/>
    <w:link w:val="69"/>
    <w:qFormat/>
    <w:uiPriority w:val="0"/>
    <w:pPr>
      <w:keepNext/>
      <w:keepLines/>
      <w:adjustRightInd w:val="0"/>
      <w:spacing w:before="240" w:after="64" w:line="320" w:lineRule="atLeast"/>
      <w:jc w:val="left"/>
      <w:textAlignment w:val="baseline"/>
      <w:outlineLvl w:val="8"/>
    </w:pPr>
    <w:rPr>
      <w:rFonts w:ascii="Arial" w:hAnsi="Arial" w:eastAsia="黑体"/>
      <w:kern w:val="0"/>
      <w:sz w:val="20"/>
      <w:szCs w:val="21"/>
    </w:r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ind w:left="2520" w:leftChars="1200"/>
    </w:pPr>
    <w:rPr>
      <w:rFonts w:ascii="Calibri" w:hAnsi="Calibri" w:cs="黑体"/>
      <w:szCs w:val="22"/>
    </w:rPr>
  </w:style>
  <w:style w:type="paragraph" w:styleId="12">
    <w:name w:val="Normal Indent"/>
    <w:basedOn w:val="1"/>
    <w:qFormat/>
    <w:uiPriority w:val="99"/>
    <w:pPr>
      <w:widowControl/>
      <w:ind w:firstLine="420"/>
      <w:jc w:val="left"/>
    </w:pPr>
    <w:rPr>
      <w:kern w:val="0"/>
      <w:sz w:val="20"/>
      <w:szCs w:val="20"/>
    </w:rPr>
  </w:style>
  <w:style w:type="paragraph" w:styleId="13">
    <w:name w:val="Document Map"/>
    <w:basedOn w:val="1"/>
    <w:link w:val="70"/>
    <w:semiHidden/>
    <w:qFormat/>
    <w:uiPriority w:val="99"/>
    <w:pPr>
      <w:shd w:val="clear" w:color="auto" w:fill="000080"/>
    </w:pPr>
    <w:rPr>
      <w:kern w:val="0"/>
      <w:sz w:val="20"/>
    </w:rPr>
  </w:style>
  <w:style w:type="paragraph" w:styleId="14">
    <w:name w:val="annotation text"/>
    <w:basedOn w:val="1"/>
    <w:link w:val="71"/>
    <w:qFormat/>
    <w:uiPriority w:val="0"/>
    <w:pPr>
      <w:jc w:val="left"/>
    </w:pPr>
    <w:rPr>
      <w:kern w:val="0"/>
      <w:sz w:val="20"/>
    </w:rPr>
  </w:style>
  <w:style w:type="paragraph" w:styleId="15">
    <w:name w:val="Salutation"/>
    <w:basedOn w:val="1"/>
    <w:next w:val="1"/>
    <w:link w:val="72"/>
    <w:qFormat/>
    <w:uiPriority w:val="0"/>
    <w:rPr>
      <w:rFonts w:ascii="仿宋_GB2312" w:eastAsia="仿宋_GB2312"/>
      <w:kern w:val="0"/>
      <w:sz w:val="24"/>
    </w:rPr>
  </w:style>
  <w:style w:type="paragraph" w:styleId="16">
    <w:name w:val="Body Text 3"/>
    <w:basedOn w:val="1"/>
    <w:link w:val="73"/>
    <w:qFormat/>
    <w:uiPriority w:val="0"/>
    <w:pPr>
      <w:spacing w:after="120"/>
    </w:pPr>
    <w:rPr>
      <w:sz w:val="16"/>
      <w:szCs w:val="16"/>
    </w:rPr>
  </w:style>
  <w:style w:type="paragraph" w:styleId="17">
    <w:name w:val="Body Text"/>
    <w:basedOn w:val="1"/>
    <w:next w:val="1"/>
    <w:link w:val="75"/>
    <w:qFormat/>
    <w:uiPriority w:val="0"/>
    <w:pPr>
      <w:spacing w:after="120"/>
    </w:pPr>
    <w:rPr>
      <w:kern w:val="0"/>
      <w:sz w:val="20"/>
    </w:rPr>
  </w:style>
  <w:style w:type="paragraph" w:styleId="18">
    <w:name w:val="Body Text Indent"/>
    <w:basedOn w:val="1"/>
    <w:next w:val="1"/>
    <w:link w:val="74"/>
    <w:qFormat/>
    <w:uiPriority w:val="99"/>
    <w:pPr>
      <w:spacing w:after="120"/>
      <w:ind w:left="420" w:leftChars="200"/>
    </w:pPr>
    <w:rPr>
      <w:kern w:val="0"/>
      <w:sz w:val="20"/>
    </w:rPr>
  </w:style>
  <w:style w:type="paragraph" w:styleId="19">
    <w:name w:val="Block Text"/>
    <w:basedOn w:val="1"/>
    <w:qFormat/>
    <w:uiPriority w:val="0"/>
    <w:pPr>
      <w:ind w:left="1171" w:right="91" w:hanging="1080"/>
    </w:pPr>
    <w:rPr>
      <w:rFonts w:eastAsia="楷体_GB2312"/>
      <w:szCs w:val="20"/>
    </w:rPr>
  </w:style>
  <w:style w:type="paragraph" w:styleId="20">
    <w:name w:val="toc 5"/>
    <w:basedOn w:val="1"/>
    <w:next w:val="1"/>
    <w:unhideWhenUsed/>
    <w:qFormat/>
    <w:uiPriority w:val="39"/>
    <w:pPr>
      <w:ind w:left="1680" w:leftChars="800"/>
    </w:pPr>
    <w:rPr>
      <w:rFonts w:ascii="Calibri" w:hAnsi="Calibri" w:cs="黑体"/>
      <w:szCs w:val="22"/>
    </w:rPr>
  </w:style>
  <w:style w:type="paragraph" w:styleId="21">
    <w:name w:val="toc 3"/>
    <w:basedOn w:val="1"/>
    <w:next w:val="1"/>
    <w:unhideWhenUsed/>
    <w:qFormat/>
    <w:uiPriority w:val="39"/>
    <w:pPr>
      <w:adjustRightInd w:val="0"/>
      <w:snapToGrid w:val="0"/>
      <w:spacing w:line="360" w:lineRule="auto"/>
      <w:ind w:left="400" w:leftChars="400"/>
    </w:pPr>
    <w:rPr>
      <w:b/>
    </w:rPr>
  </w:style>
  <w:style w:type="paragraph" w:styleId="22">
    <w:name w:val="Plain Text"/>
    <w:basedOn w:val="1"/>
    <w:link w:val="76"/>
    <w:qFormat/>
    <w:uiPriority w:val="0"/>
    <w:rPr>
      <w:rFonts w:ascii="宋体" w:hAnsi="Courier New"/>
      <w:kern w:val="0"/>
      <w:sz w:val="20"/>
      <w:szCs w:val="21"/>
    </w:rPr>
  </w:style>
  <w:style w:type="paragraph" w:styleId="23">
    <w:name w:val="toc 8"/>
    <w:basedOn w:val="1"/>
    <w:next w:val="1"/>
    <w:unhideWhenUsed/>
    <w:qFormat/>
    <w:uiPriority w:val="39"/>
    <w:pPr>
      <w:ind w:left="2940" w:leftChars="1400"/>
    </w:pPr>
    <w:rPr>
      <w:rFonts w:ascii="Calibri" w:hAnsi="Calibri" w:cs="黑体"/>
      <w:szCs w:val="22"/>
    </w:rPr>
  </w:style>
  <w:style w:type="paragraph" w:styleId="24">
    <w:name w:val="Date"/>
    <w:basedOn w:val="1"/>
    <w:next w:val="1"/>
    <w:link w:val="77"/>
    <w:qFormat/>
    <w:uiPriority w:val="0"/>
    <w:rPr>
      <w:kern w:val="0"/>
      <w:sz w:val="24"/>
      <w:szCs w:val="20"/>
    </w:rPr>
  </w:style>
  <w:style w:type="paragraph" w:styleId="25">
    <w:name w:val="Body Text Indent 2"/>
    <w:basedOn w:val="1"/>
    <w:link w:val="78"/>
    <w:qFormat/>
    <w:uiPriority w:val="0"/>
    <w:pPr>
      <w:spacing w:after="120" w:line="480" w:lineRule="auto"/>
      <w:ind w:left="420" w:leftChars="200"/>
    </w:pPr>
    <w:rPr>
      <w:kern w:val="0"/>
      <w:sz w:val="20"/>
    </w:rPr>
  </w:style>
  <w:style w:type="paragraph" w:styleId="26">
    <w:name w:val="Balloon Text"/>
    <w:basedOn w:val="1"/>
    <w:link w:val="79"/>
    <w:qFormat/>
    <w:uiPriority w:val="0"/>
    <w:rPr>
      <w:kern w:val="0"/>
      <w:sz w:val="18"/>
      <w:szCs w:val="18"/>
    </w:rPr>
  </w:style>
  <w:style w:type="paragraph" w:styleId="27">
    <w:name w:val="footer"/>
    <w:basedOn w:val="1"/>
    <w:link w:val="80"/>
    <w:qFormat/>
    <w:uiPriority w:val="0"/>
    <w:pPr>
      <w:tabs>
        <w:tab w:val="center" w:pos="4153"/>
        <w:tab w:val="right" w:pos="8306"/>
      </w:tabs>
      <w:snapToGrid w:val="0"/>
      <w:jc w:val="left"/>
    </w:pPr>
    <w:rPr>
      <w:kern w:val="0"/>
      <w:sz w:val="18"/>
      <w:szCs w:val="18"/>
    </w:rPr>
  </w:style>
  <w:style w:type="paragraph" w:styleId="28">
    <w:name w:val="envelope return"/>
    <w:basedOn w:val="1"/>
    <w:qFormat/>
    <w:uiPriority w:val="0"/>
    <w:pPr>
      <w:widowControl/>
      <w:snapToGrid w:val="0"/>
      <w:textAlignment w:val="baseline"/>
    </w:pPr>
    <w:rPr>
      <w:rFonts w:ascii="Arial" w:hAnsi="Arial"/>
    </w:rPr>
  </w:style>
  <w:style w:type="paragraph" w:styleId="29">
    <w:name w:val="header"/>
    <w:basedOn w:val="1"/>
    <w:link w:val="81"/>
    <w:qFormat/>
    <w:uiPriority w:val="0"/>
    <w:pPr>
      <w:pBdr>
        <w:bottom w:val="single" w:color="auto" w:sz="6" w:space="1"/>
      </w:pBdr>
      <w:tabs>
        <w:tab w:val="center" w:pos="4153"/>
        <w:tab w:val="right" w:pos="8306"/>
      </w:tabs>
      <w:snapToGrid w:val="0"/>
      <w:jc w:val="center"/>
    </w:pPr>
    <w:rPr>
      <w:kern w:val="0"/>
      <w:sz w:val="18"/>
      <w:szCs w:val="18"/>
    </w:rPr>
  </w:style>
  <w:style w:type="paragraph" w:styleId="30">
    <w:name w:val="toc 1"/>
    <w:basedOn w:val="1"/>
    <w:next w:val="1"/>
    <w:qFormat/>
    <w:uiPriority w:val="39"/>
    <w:pPr>
      <w:tabs>
        <w:tab w:val="left" w:pos="1680"/>
        <w:tab w:val="right" w:leader="dot" w:pos="8834"/>
      </w:tabs>
      <w:spacing w:line="360" w:lineRule="auto"/>
    </w:pPr>
    <w:rPr>
      <w:rFonts w:ascii="宋体" w:hAnsi="宋体"/>
      <w:b/>
      <w:sz w:val="24"/>
      <w:szCs w:val="21"/>
    </w:rPr>
  </w:style>
  <w:style w:type="paragraph" w:styleId="31">
    <w:name w:val="toc 4"/>
    <w:basedOn w:val="1"/>
    <w:next w:val="1"/>
    <w:unhideWhenUsed/>
    <w:qFormat/>
    <w:uiPriority w:val="39"/>
    <w:pPr>
      <w:adjustRightInd w:val="0"/>
      <w:snapToGrid w:val="0"/>
      <w:spacing w:line="360" w:lineRule="auto"/>
      <w:ind w:left="600" w:leftChars="600"/>
    </w:pPr>
    <w:rPr>
      <w:rFonts w:ascii="Calibri" w:hAnsi="Calibri" w:cs="黑体"/>
      <w:b/>
      <w:szCs w:val="22"/>
    </w:rPr>
  </w:style>
  <w:style w:type="paragraph" w:styleId="32">
    <w:name w:val="Subtitle"/>
    <w:basedOn w:val="1"/>
    <w:next w:val="1"/>
    <w:qFormat/>
    <w:uiPriority w:val="11"/>
    <w:pPr>
      <w:spacing w:before="240" w:after="60" w:line="312" w:lineRule="auto"/>
      <w:jc w:val="center"/>
      <w:outlineLvl w:val="1"/>
    </w:pPr>
    <w:rPr>
      <w:rFonts w:ascii="Cambria" w:hAnsi="Cambria"/>
      <w:b/>
      <w:bCs/>
      <w:kern w:val="28"/>
      <w:sz w:val="32"/>
      <w:szCs w:val="32"/>
    </w:rPr>
  </w:style>
  <w:style w:type="paragraph" w:styleId="33">
    <w:name w:val="footnote text"/>
    <w:basedOn w:val="1"/>
    <w:link w:val="82"/>
    <w:semiHidden/>
    <w:qFormat/>
    <w:uiPriority w:val="99"/>
    <w:pPr>
      <w:snapToGrid w:val="0"/>
      <w:jc w:val="left"/>
    </w:pPr>
    <w:rPr>
      <w:sz w:val="18"/>
      <w:szCs w:val="18"/>
    </w:rPr>
  </w:style>
  <w:style w:type="paragraph" w:styleId="34">
    <w:name w:val="toc 6"/>
    <w:basedOn w:val="1"/>
    <w:next w:val="1"/>
    <w:qFormat/>
    <w:uiPriority w:val="39"/>
    <w:pPr>
      <w:ind w:left="2100"/>
    </w:pPr>
    <w:rPr>
      <w:szCs w:val="20"/>
    </w:rPr>
  </w:style>
  <w:style w:type="paragraph" w:styleId="35">
    <w:name w:val="Body Text Indent 3"/>
    <w:basedOn w:val="1"/>
    <w:link w:val="83"/>
    <w:qFormat/>
    <w:uiPriority w:val="0"/>
    <w:pPr>
      <w:spacing w:after="120"/>
      <w:ind w:left="420" w:leftChars="200"/>
    </w:pPr>
    <w:rPr>
      <w:kern w:val="0"/>
      <w:sz w:val="16"/>
      <w:szCs w:val="16"/>
    </w:rPr>
  </w:style>
  <w:style w:type="paragraph" w:styleId="36">
    <w:name w:val="toc 2"/>
    <w:basedOn w:val="1"/>
    <w:next w:val="1"/>
    <w:unhideWhenUsed/>
    <w:qFormat/>
    <w:uiPriority w:val="39"/>
    <w:pPr>
      <w:spacing w:line="360" w:lineRule="auto"/>
      <w:ind w:left="200" w:leftChars="200"/>
    </w:pPr>
    <w:rPr>
      <w:b/>
    </w:rPr>
  </w:style>
  <w:style w:type="paragraph" w:styleId="37">
    <w:name w:val="toc 9"/>
    <w:basedOn w:val="1"/>
    <w:next w:val="1"/>
    <w:unhideWhenUsed/>
    <w:qFormat/>
    <w:uiPriority w:val="39"/>
    <w:pPr>
      <w:ind w:left="3360" w:leftChars="1600"/>
    </w:pPr>
    <w:rPr>
      <w:rFonts w:ascii="Calibri" w:hAnsi="Calibri" w:cs="黑体"/>
      <w:szCs w:val="22"/>
    </w:rPr>
  </w:style>
  <w:style w:type="paragraph" w:styleId="38">
    <w:name w:val="Body Text 2"/>
    <w:basedOn w:val="1"/>
    <w:link w:val="84"/>
    <w:qFormat/>
    <w:uiPriority w:val="0"/>
    <w:pPr>
      <w:spacing w:after="120" w:line="480" w:lineRule="auto"/>
    </w:pPr>
    <w:rPr>
      <w:kern w:val="0"/>
      <w:sz w:val="20"/>
    </w:rPr>
  </w:style>
  <w:style w:type="paragraph" w:styleId="39">
    <w:name w:val="Message Header"/>
    <w:basedOn w:val="1"/>
    <w:link w:val="85"/>
    <w:unhideWhenUsed/>
    <w:qFormat/>
    <w:uiPriority w:val="99"/>
    <w:pPr>
      <w:pBdr>
        <w:top w:val="single" w:color="auto" w:sz="6" w:space="1"/>
        <w:left w:val="single" w:color="auto" w:sz="6" w:space="1"/>
        <w:bottom w:val="single" w:color="auto" w:sz="6" w:space="1"/>
        <w:right w:val="single" w:color="auto" w:sz="6" w:space="1"/>
      </w:pBdr>
      <w:shd w:val="pct20" w:color="auto" w:fill="auto"/>
      <w:ind w:left="500" w:leftChars="500" w:hanging="1080" w:hangingChars="500"/>
    </w:pPr>
    <w:rPr>
      <w:rFonts w:ascii="Arial" w:hAnsi="Arial"/>
      <w:sz w:val="24"/>
    </w:rPr>
  </w:style>
  <w:style w:type="paragraph" w:styleId="40">
    <w:name w:val="HTML Preformatted"/>
    <w:basedOn w:val="1"/>
    <w:link w:val="86"/>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kern w:val="0"/>
      <w:sz w:val="24"/>
    </w:rPr>
  </w:style>
  <w:style w:type="paragraph" w:styleId="41">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42">
    <w:name w:val="index 1"/>
    <w:basedOn w:val="1"/>
    <w:next w:val="1"/>
    <w:qFormat/>
    <w:uiPriority w:val="0"/>
    <w:pPr>
      <w:spacing w:line="220" w:lineRule="exact"/>
      <w:jc w:val="center"/>
    </w:pPr>
    <w:rPr>
      <w:rFonts w:ascii="仿宋_GB2312" w:eastAsia="仿宋_GB2312"/>
      <w:szCs w:val="20"/>
    </w:rPr>
  </w:style>
  <w:style w:type="paragraph" w:styleId="43">
    <w:name w:val="Title"/>
    <w:basedOn w:val="1"/>
    <w:link w:val="87"/>
    <w:qFormat/>
    <w:uiPriority w:val="0"/>
    <w:pPr>
      <w:jc w:val="center"/>
      <w:outlineLvl w:val="0"/>
    </w:pPr>
    <w:rPr>
      <w:b/>
      <w:kern w:val="0"/>
      <w:sz w:val="32"/>
      <w:szCs w:val="20"/>
    </w:rPr>
  </w:style>
  <w:style w:type="paragraph" w:styleId="44">
    <w:name w:val="annotation subject"/>
    <w:basedOn w:val="14"/>
    <w:next w:val="14"/>
    <w:link w:val="88"/>
    <w:qFormat/>
    <w:uiPriority w:val="0"/>
    <w:rPr>
      <w:b/>
      <w:bCs/>
    </w:rPr>
  </w:style>
  <w:style w:type="paragraph" w:styleId="45">
    <w:name w:val="Body Text First Indent"/>
    <w:unhideWhenUsed/>
    <w:qFormat/>
    <w:uiPriority w:val="99"/>
    <w:pPr>
      <w:kinsoku w:val="0"/>
      <w:autoSpaceDE w:val="0"/>
      <w:autoSpaceDN w:val="0"/>
      <w:adjustRightInd w:val="0"/>
      <w:snapToGrid w:val="0"/>
      <w:spacing w:line="240" w:lineRule="auto"/>
      <w:ind w:firstLine="420" w:firstLineChars="100"/>
      <w:jc w:val="left"/>
      <w:textAlignment w:val="baseline"/>
    </w:pPr>
    <w:rPr>
      <w:rFonts w:ascii="Arial" w:hAnsi="Arial" w:eastAsia="Arial" w:cs="Arial"/>
      <w:snapToGrid w:val="0"/>
      <w:color w:val="000000"/>
      <w:kern w:val="0"/>
      <w:sz w:val="21"/>
      <w:szCs w:val="21"/>
      <w:lang w:val="en-US" w:eastAsia="en-US" w:bidi="ar-SA"/>
    </w:rPr>
  </w:style>
  <w:style w:type="paragraph" w:styleId="46">
    <w:name w:val="Body Text First Indent 2"/>
    <w:basedOn w:val="18"/>
    <w:link w:val="89"/>
    <w:qFormat/>
    <w:uiPriority w:val="0"/>
    <w:pPr>
      <w:ind w:firstLine="420" w:firstLineChars="200"/>
    </w:pPr>
  </w:style>
  <w:style w:type="table" w:styleId="48">
    <w:name w:val="Table Grid"/>
    <w:basedOn w:val="4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Strong"/>
    <w:qFormat/>
    <w:uiPriority w:val="0"/>
    <w:rPr>
      <w:b/>
      <w:bCs/>
    </w:rPr>
  </w:style>
  <w:style w:type="character" w:styleId="51">
    <w:name w:val="page number"/>
    <w:qFormat/>
    <w:uiPriority w:val="0"/>
  </w:style>
  <w:style w:type="character" w:styleId="52">
    <w:name w:val="FollowedHyperlink"/>
    <w:qFormat/>
    <w:uiPriority w:val="99"/>
    <w:rPr>
      <w:color w:val="800080"/>
      <w:u w:val="single"/>
    </w:rPr>
  </w:style>
  <w:style w:type="character" w:styleId="53">
    <w:name w:val="Emphasis"/>
    <w:qFormat/>
    <w:uiPriority w:val="0"/>
  </w:style>
  <w:style w:type="character" w:styleId="54">
    <w:name w:val="Hyperlink"/>
    <w:qFormat/>
    <w:uiPriority w:val="99"/>
    <w:rPr>
      <w:color w:val="136EC2"/>
      <w:u w:val="single"/>
    </w:rPr>
  </w:style>
  <w:style w:type="character" w:styleId="55">
    <w:name w:val="annotation reference"/>
    <w:qFormat/>
    <w:uiPriority w:val="0"/>
    <w:rPr>
      <w:sz w:val="21"/>
      <w:szCs w:val="21"/>
    </w:rPr>
  </w:style>
  <w:style w:type="paragraph" w:customStyle="1" w:styleId="56">
    <w:name w:val="首行缩进"/>
    <w:next w:val="31"/>
    <w:qFormat/>
    <w:uiPriority w:val="0"/>
    <w:pPr>
      <w:widowControl w:val="0"/>
      <w:ind w:firstLine="480" w:firstLineChars="200"/>
      <w:jc w:val="both"/>
    </w:pPr>
    <w:rPr>
      <w:rFonts w:ascii="Times New Roman" w:hAnsi="Times New Roman" w:eastAsia="宋体" w:cs="Times New Roman"/>
      <w:kern w:val="0"/>
      <w:sz w:val="21"/>
      <w:szCs w:val="20"/>
      <w:lang w:val="zh-CN" w:eastAsia="zh-CN" w:bidi="ar-SA"/>
    </w:rPr>
  </w:style>
  <w:style w:type="character" w:customStyle="1" w:styleId="57">
    <w:name w:val="标题 2 字符"/>
    <w:link w:val="2"/>
    <w:qFormat/>
    <w:uiPriority w:val="9"/>
    <w:rPr>
      <w:rFonts w:ascii="Arial" w:hAnsi="Arial" w:eastAsia="宋体" w:cs="Times New Roman"/>
      <w:b/>
      <w:bCs/>
      <w:sz w:val="24"/>
      <w:szCs w:val="32"/>
    </w:rPr>
  </w:style>
  <w:style w:type="character" w:customStyle="1" w:styleId="58">
    <w:name w:val="标题 1 字符"/>
    <w:link w:val="3"/>
    <w:qFormat/>
    <w:uiPriority w:val="9"/>
    <w:rPr>
      <w:rFonts w:ascii="Times New Roman" w:hAnsi="Times New Roman" w:eastAsia="宋体" w:cs="Times New Roman"/>
      <w:b/>
      <w:bCs/>
      <w:sz w:val="24"/>
      <w:szCs w:val="20"/>
    </w:rPr>
  </w:style>
  <w:style w:type="character" w:customStyle="1" w:styleId="59">
    <w:name w:val="标题 4 字符"/>
    <w:link w:val="5"/>
    <w:qFormat/>
    <w:uiPriority w:val="0"/>
    <w:rPr>
      <w:rFonts w:ascii="Arial" w:hAnsi="Arial" w:eastAsia="黑体" w:cs="Times New Roman"/>
      <w:b/>
      <w:bCs/>
      <w:sz w:val="28"/>
      <w:szCs w:val="28"/>
    </w:rPr>
  </w:style>
  <w:style w:type="paragraph" w:customStyle="1" w:styleId="60">
    <w:name w:val="1"/>
    <w:basedOn w:val="61"/>
    <w:next w:val="18"/>
    <w:qFormat/>
    <w:uiPriority w:val="0"/>
    <w:pPr>
      <w:spacing w:afterLines="50" w:line="360" w:lineRule="auto"/>
    </w:pPr>
    <w:rPr>
      <w:rFonts w:ascii="宋体" w:hAnsi="宋体"/>
      <w:b/>
      <w:sz w:val="30"/>
      <w:szCs w:val="21"/>
    </w:rPr>
  </w:style>
  <w:style w:type="paragraph" w:customStyle="1" w:styleId="6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62">
    <w:name w:val="Default"/>
    <w:qFormat/>
    <w:uiPriority w:val="0"/>
    <w:pPr>
      <w:widowControl w:val="0"/>
      <w:autoSpaceDE w:val="0"/>
      <w:autoSpaceDN w:val="0"/>
      <w:adjustRightInd w:val="0"/>
    </w:pPr>
    <w:rPr>
      <w:rFonts w:ascii="黑体" w:hAnsi="Times New Roman" w:eastAsia="黑体" w:cs="Times New Roman"/>
      <w:lang w:val="en-US" w:eastAsia="zh-CN" w:bidi="ar-SA"/>
    </w:rPr>
  </w:style>
  <w:style w:type="paragraph" w:customStyle="1" w:styleId="63">
    <w:name w:val="font5"/>
    <w:basedOn w:val="1"/>
    <w:qFormat/>
    <w:uiPriority w:val="0"/>
    <w:pPr>
      <w:widowControl/>
      <w:spacing w:before="100" w:beforeAutospacing="1" w:after="100" w:afterAutospacing="1"/>
      <w:jc w:val="left"/>
    </w:pPr>
    <w:rPr>
      <w:rFonts w:ascii="宋体" w:hAnsi="宋体" w:cs="宋体"/>
      <w:kern w:val="0"/>
      <w:sz w:val="20"/>
      <w:szCs w:val="20"/>
    </w:rPr>
  </w:style>
  <w:style w:type="character" w:customStyle="1" w:styleId="64">
    <w:name w:val="标题 3 字符"/>
    <w:link w:val="4"/>
    <w:qFormat/>
    <w:uiPriority w:val="9"/>
    <w:rPr>
      <w:rFonts w:ascii="Times New Roman" w:hAnsi="Times New Roman" w:eastAsia="宋体" w:cs="Times New Roman"/>
      <w:b/>
      <w:bCs/>
      <w:sz w:val="32"/>
      <w:szCs w:val="32"/>
    </w:rPr>
  </w:style>
  <w:style w:type="character" w:customStyle="1" w:styleId="65">
    <w:name w:val="标题 5 字符"/>
    <w:link w:val="6"/>
    <w:qFormat/>
    <w:uiPriority w:val="0"/>
    <w:rPr>
      <w:rFonts w:ascii="Times New Roman" w:hAnsi="Times New Roman" w:eastAsia="宋体" w:cs="Times New Roman"/>
      <w:b/>
      <w:bCs/>
      <w:kern w:val="0"/>
      <w:sz w:val="28"/>
      <w:szCs w:val="28"/>
    </w:rPr>
  </w:style>
  <w:style w:type="character" w:customStyle="1" w:styleId="66">
    <w:name w:val="标题 6 字符"/>
    <w:link w:val="7"/>
    <w:qFormat/>
    <w:uiPriority w:val="0"/>
    <w:rPr>
      <w:rFonts w:ascii="Arial" w:hAnsi="Arial" w:eastAsia="黑体" w:cs="Times New Roman"/>
      <w:b/>
      <w:bCs/>
      <w:kern w:val="0"/>
      <w:sz w:val="24"/>
      <w:szCs w:val="24"/>
    </w:rPr>
  </w:style>
  <w:style w:type="character" w:customStyle="1" w:styleId="67">
    <w:name w:val="标题 7 字符"/>
    <w:link w:val="8"/>
    <w:qFormat/>
    <w:uiPriority w:val="0"/>
    <w:rPr>
      <w:rFonts w:ascii="Times New Roman" w:hAnsi="Times New Roman" w:eastAsia="宋体" w:cs="Times New Roman"/>
      <w:b/>
      <w:bCs/>
      <w:kern w:val="0"/>
      <w:sz w:val="24"/>
      <w:szCs w:val="24"/>
    </w:rPr>
  </w:style>
  <w:style w:type="character" w:customStyle="1" w:styleId="68">
    <w:name w:val="标题 8 字符"/>
    <w:link w:val="9"/>
    <w:qFormat/>
    <w:uiPriority w:val="0"/>
    <w:rPr>
      <w:rFonts w:ascii="Arial" w:hAnsi="Arial" w:eastAsia="黑体" w:cs="Times New Roman"/>
      <w:kern w:val="0"/>
      <w:sz w:val="24"/>
      <w:szCs w:val="24"/>
    </w:rPr>
  </w:style>
  <w:style w:type="character" w:customStyle="1" w:styleId="69">
    <w:name w:val="标题 9 字符"/>
    <w:link w:val="10"/>
    <w:qFormat/>
    <w:uiPriority w:val="0"/>
    <w:rPr>
      <w:rFonts w:ascii="Arial" w:hAnsi="Arial" w:eastAsia="黑体" w:cs="Times New Roman"/>
      <w:kern w:val="0"/>
      <w:szCs w:val="21"/>
    </w:rPr>
  </w:style>
  <w:style w:type="character" w:customStyle="1" w:styleId="70">
    <w:name w:val="文档结构图 字符"/>
    <w:link w:val="13"/>
    <w:semiHidden/>
    <w:qFormat/>
    <w:uiPriority w:val="99"/>
    <w:rPr>
      <w:rFonts w:ascii="Times New Roman" w:hAnsi="Times New Roman" w:eastAsia="宋体" w:cs="Times New Roman"/>
      <w:szCs w:val="24"/>
      <w:shd w:val="clear" w:color="auto" w:fill="000080"/>
    </w:rPr>
  </w:style>
  <w:style w:type="character" w:customStyle="1" w:styleId="71">
    <w:name w:val="批注文字 字符"/>
    <w:link w:val="14"/>
    <w:semiHidden/>
    <w:qFormat/>
    <w:uiPriority w:val="0"/>
    <w:rPr>
      <w:rFonts w:ascii="Times New Roman" w:hAnsi="Times New Roman" w:eastAsia="宋体" w:cs="Times New Roman"/>
      <w:szCs w:val="24"/>
    </w:rPr>
  </w:style>
  <w:style w:type="character" w:customStyle="1" w:styleId="72">
    <w:name w:val="称呼 字符"/>
    <w:link w:val="15"/>
    <w:qFormat/>
    <w:uiPriority w:val="0"/>
    <w:rPr>
      <w:rFonts w:ascii="仿宋_GB2312" w:hAnsi="Times New Roman" w:eastAsia="仿宋_GB2312" w:cs="Times New Roman"/>
      <w:sz w:val="24"/>
      <w:szCs w:val="24"/>
    </w:rPr>
  </w:style>
  <w:style w:type="character" w:customStyle="1" w:styleId="73">
    <w:name w:val="正文文本 3 字符"/>
    <w:basedOn w:val="49"/>
    <w:link w:val="16"/>
    <w:qFormat/>
    <w:uiPriority w:val="0"/>
    <w:rPr>
      <w:kern w:val="2"/>
      <w:sz w:val="16"/>
      <w:szCs w:val="16"/>
    </w:rPr>
  </w:style>
  <w:style w:type="character" w:customStyle="1" w:styleId="74">
    <w:name w:val="正文文本缩进 字符"/>
    <w:link w:val="18"/>
    <w:qFormat/>
    <w:uiPriority w:val="99"/>
    <w:rPr>
      <w:rFonts w:ascii="Times New Roman" w:hAnsi="Times New Roman" w:eastAsia="宋体" w:cs="Times New Roman"/>
      <w:szCs w:val="24"/>
    </w:rPr>
  </w:style>
  <w:style w:type="character" w:customStyle="1" w:styleId="75">
    <w:name w:val="正文文本 字符"/>
    <w:link w:val="17"/>
    <w:qFormat/>
    <w:uiPriority w:val="99"/>
    <w:rPr>
      <w:rFonts w:ascii="Times New Roman" w:hAnsi="Times New Roman" w:eastAsia="宋体" w:cs="Times New Roman"/>
      <w:szCs w:val="24"/>
    </w:rPr>
  </w:style>
  <w:style w:type="character" w:customStyle="1" w:styleId="76">
    <w:name w:val="纯文本 字符"/>
    <w:link w:val="22"/>
    <w:qFormat/>
    <w:uiPriority w:val="0"/>
    <w:rPr>
      <w:rFonts w:ascii="宋体" w:hAnsi="Courier New" w:eastAsia="宋体" w:cs="Courier New"/>
      <w:szCs w:val="21"/>
    </w:rPr>
  </w:style>
  <w:style w:type="character" w:customStyle="1" w:styleId="77">
    <w:name w:val="日期 字符"/>
    <w:link w:val="24"/>
    <w:qFormat/>
    <w:uiPriority w:val="0"/>
    <w:rPr>
      <w:rFonts w:ascii="Times New Roman" w:hAnsi="Times New Roman" w:eastAsia="宋体" w:cs="Times New Roman"/>
      <w:sz w:val="24"/>
      <w:szCs w:val="20"/>
    </w:rPr>
  </w:style>
  <w:style w:type="character" w:customStyle="1" w:styleId="78">
    <w:name w:val="正文文本缩进 2 字符"/>
    <w:link w:val="25"/>
    <w:qFormat/>
    <w:uiPriority w:val="0"/>
    <w:rPr>
      <w:rFonts w:ascii="Times New Roman" w:hAnsi="Times New Roman" w:eastAsia="宋体" w:cs="Times New Roman"/>
      <w:szCs w:val="24"/>
    </w:rPr>
  </w:style>
  <w:style w:type="character" w:customStyle="1" w:styleId="79">
    <w:name w:val="批注框文本 字符"/>
    <w:link w:val="26"/>
    <w:qFormat/>
    <w:uiPriority w:val="0"/>
    <w:rPr>
      <w:rFonts w:ascii="Times New Roman" w:hAnsi="Times New Roman" w:eastAsia="宋体" w:cs="Times New Roman"/>
      <w:sz w:val="18"/>
      <w:szCs w:val="18"/>
    </w:rPr>
  </w:style>
  <w:style w:type="character" w:customStyle="1" w:styleId="80">
    <w:name w:val="页脚 字符1"/>
    <w:link w:val="27"/>
    <w:qFormat/>
    <w:uiPriority w:val="0"/>
    <w:rPr>
      <w:rFonts w:ascii="Times New Roman" w:hAnsi="Times New Roman" w:eastAsia="宋体" w:cs="Times New Roman"/>
      <w:sz w:val="18"/>
      <w:szCs w:val="18"/>
    </w:rPr>
  </w:style>
  <w:style w:type="character" w:customStyle="1" w:styleId="81">
    <w:name w:val="页眉 字符"/>
    <w:link w:val="29"/>
    <w:qFormat/>
    <w:uiPriority w:val="0"/>
    <w:rPr>
      <w:rFonts w:ascii="Times New Roman" w:hAnsi="Times New Roman" w:eastAsia="宋体" w:cs="Times New Roman"/>
      <w:sz w:val="18"/>
      <w:szCs w:val="18"/>
    </w:rPr>
  </w:style>
  <w:style w:type="character" w:customStyle="1" w:styleId="82">
    <w:name w:val="脚注文本 字符"/>
    <w:link w:val="33"/>
    <w:semiHidden/>
    <w:qFormat/>
    <w:uiPriority w:val="99"/>
    <w:rPr>
      <w:kern w:val="2"/>
      <w:sz w:val="18"/>
      <w:szCs w:val="18"/>
    </w:rPr>
  </w:style>
  <w:style w:type="character" w:customStyle="1" w:styleId="83">
    <w:name w:val="正文文本缩进 3 字符"/>
    <w:link w:val="35"/>
    <w:qFormat/>
    <w:uiPriority w:val="0"/>
    <w:rPr>
      <w:rFonts w:ascii="Times New Roman" w:hAnsi="Times New Roman" w:eastAsia="宋体" w:cs="Times New Roman"/>
      <w:sz w:val="16"/>
      <w:szCs w:val="16"/>
    </w:rPr>
  </w:style>
  <w:style w:type="character" w:customStyle="1" w:styleId="84">
    <w:name w:val="正文文本 2 字符"/>
    <w:link w:val="38"/>
    <w:qFormat/>
    <w:uiPriority w:val="0"/>
    <w:rPr>
      <w:rFonts w:ascii="Times New Roman" w:hAnsi="Times New Roman" w:eastAsia="宋体" w:cs="Times New Roman"/>
      <w:szCs w:val="24"/>
    </w:rPr>
  </w:style>
  <w:style w:type="character" w:customStyle="1" w:styleId="85">
    <w:name w:val="信息标题 字符"/>
    <w:link w:val="39"/>
    <w:qFormat/>
    <w:uiPriority w:val="99"/>
    <w:rPr>
      <w:rFonts w:ascii="Arial" w:hAnsi="Arial"/>
      <w:kern w:val="2"/>
      <w:sz w:val="24"/>
      <w:szCs w:val="24"/>
      <w:shd w:val="pct20" w:color="auto" w:fill="auto"/>
    </w:rPr>
  </w:style>
  <w:style w:type="character" w:customStyle="1" w:styleId="86">
    <w:name w:val="HTML 预设格式 字符"/>
    <w:link w:val="40"/>
    <w:qFormat/>
    <w:uiPriority w:val="0"/>
    <w:rPr>
      <w:rFonts w:ascii="Arial" w:hAnsi="Arial" w:eastAsia="宋体" w:cs="Arial"/>
      <w:kern w:val="0"/>
      <w:sz w:val="24"/>
      <w:szCs w:val="24"/>
    </w:rPr>
  </w:style>
  <w:style w:type="character" w:customStyle="1" w:styleId="87">
    <w:name w:val="标题 字符"/>
    <w:link w:val="43"/>
    <w:qFormat/>
    <w:uiPriority w:val="0"/>
    <w:rPr>
      <w:b/>
      <w:sz w:val="32"/>
    </w:rPr>
  </w:style>
  <w:style w:type="character" w:customStyle="1" w:styleId="88">
    <w:name w:val="批注主题 字符"/>
    <w:link w:val="44"/>
    <w:qFormat/>
    <w:uiPriority w:val="0"/>
    <w:rPr>
      <w:rFonts w:ascii="Times New Roman" w:hAnsi="Times New Roman" w:eastAsia="宋体" w:cs="Times New Roman"/>
      <w:b/>
      <w:bCs/>
      <w:szCs w:val="24"/>
    </w:rPr>
  </w:style>
  <w:style w:type="character" w:customStyle="1" w:styleId="89">
    <w:name w:val="正文首行缩进 2 字符"/>
    <w:basedOn w:val="74"/>
    <w:link w:val="46"/>
    <w:qFormat/>
    <w:uiPriority w:val="0"/>
    <w:rPr>
      <w:rFonts w:ascii="Times New Roman" w:hAnsi="Times New Roman" w:eastAsia="宋体" w:cs="Times New Roman"/>
      <w:szCs w:val="24"/>
    </w:rPr>
  </w:style>
  <w:style w:type="character" w:customStyle="1" w:styleId="90">
    <w:name w:val="font01"/>
    <w:qFormat/>
    <w:uiPriority w:val="0"/>
    <w:rPr>
      <w:rFonts w:hint="eastAsia" w:ascii="宋体" w:hAnsi="宋体" w:eastAsia="宋体" w:cs="宋体"/>
      <w:color w:val="auto"/>
      <w:sz w:val="24"/>
      <w:szCs w:val="24"/>
      <w:u w:val="none"/>
    </w:rPr>
  </w:style>
  <w:style w:type="character" w:customStyle="1" w:styleId="91">
    <w:name w:val="fontstyle31"/>
    <w:qFormat/>
    <w:uiPriority w:val="0"/>
    <w:rPr>
      <w:rFonts w:hint="default" w:ascii="Arial" w:hAnsi="Arial" w:cs="Arial"/>
      <w:color w:val="993300"/>
      <w:sz w:val="24"/>
      <w:szCs w:val="24"/>
    </w:rPr>
  </w:style>
  <w:style w:type="character" w:customStyle="1" w:styleId="92">
    <w:name w:val="font131"/>
    <w:basedOn w:val="49"/>
    <w:qFormat/>
    <w:uiPriority w:val="0"/>
    <w:rPr>
      <w:rFonts w:hint="eastAsia" w:ascii="宋体" w:hAnsi="宋体" w:eastAsia="宋体" w:cs="宋体"/>
      <w:b/>
      <w:color w:val="000000"/>
      <w:sz w:val="24"/>
      <w:szCs w:val="24"/>
      <w:u w:val="none"/>
    </w:rPr>
  </w:style>
  <w:style w:type="character" w:customStyle="1" w:styleId="93">
    <w:name w:val="font81"/>
    <w:qFormat/>
    <w:uiPriority w:val="0"/>
    <w:rPr>
      <w:rFonts w:hint="eastAsia" w:ascii="微软雅黑" w:hAnsi="微软雅黑" w:eastAsia="微软雅黑" w:cs="微软雅黑"/>
      <w:color w:val="000000"/>
      <w:sz w:val="22"/>
      <w:szCs w:val="22"/>
      <w:u w:val="none"/>
    </w:rPr>
  </w:style>
  <w:style w:type="character" w:customStyle="1" w:styleId="94">
    <w:name w:val="font91"/>
    <w:qFormat/>
    <w:uiPriority w:val="0"/>
    <w:rPr>
      <w:rFonts w:hint="default" w:ascii="微软雅黑 Light" w:hAnsi="微软雅黑 Light" w:eastAsia="微软雅黑 Light" w:cs="微软雅黑 Light"/>
      <w:b/>
      <w:color w:val="000000"/>
      <w:sz w:val="22"/>
      <w:szCs w:val="22"/>
      <w:u w:val="none"/>
    </w:rPr>
  </w:style>
  <w:style w:type="character" w:customStyle="1" w:styleId="95">
    <w:name w:val="样式1 Char Char"/>
    <w:link w:val="96"/>
    <w:qFormat/>
    <w:uiPriority w:val="0"/>
    <w:rPr>
      <w:rFonts w:ascii="宋体" w:hAnsi="宋体" w:eastAsia="宋体" w:cs="Times New Roman"/>
      <w:kern w:val="0"/>
      <w:szCs w:val="21"/>
    </w:rPr>
  </w:style>
  <w:style w:type="paragraph" w:customStyle="1" w:styleId="96">
    <w:name w:val="样式1"/>
    <w:basedOn w:val="1"/>
    <w:link w:val="95"/>
    <w:qFormat/>
    <w:uiPriority w:val="0"/>
    <w:pPr>
      <w:tabs>
        <w:tab w:val="left" w:pos="360"/>
      </w:tabs>
      <w:adjustRightInd w:val="0"/>
      <w:ind w:left="360" w:hanging="360"/>
      <w:textAlignment w:val="baseline"/>
    </w:pPr>
    <w:rPr>
      <w:rFonts w:ascii="宋体" w:hAnsi="宋体"/>
      <w:kern w:val="0"/>
      <w:sz w:val="20"/>
      <w:szCs w:val="21"/>
    </w:rPr>
  </w:style>
  <w:style w:type="character" w:customStyle="1" w:styleId="97">
    <w:name w:val="font51"/>
    <w:basedOn w:val="49"/>
    <w:qFormat/>
    <w:uiPriority w:val="0"/>
    <w:rPr>
      <w:rFonts w:hint="default" w:ascii="微软雅黑 Light" w:hAnsi="微软雅黑 Light" w:eastAsia="微软雅黑 Light" w:cs="微软雅黑 Light"/>
      <w:b/>
      <w:color w:val="000000"/>
      <w:sz w:val="22"/>
      <w:szCs w:val="22"/>
      <w:u w:val="none"/>
    </w:rPr>
  </w:style>
  <w:style w:type="character" w:customStyle="1" w:styleId="98">
    <w:name w:val="font121"/>
    <w:qFormat/>
    <w:uiPriority w:val="0"/>
    <w:rPr>
      <w:rFonts w:hint="eastAsia" w:ascii="等线" w:hAnsi="等线" w:eastAsia="等线" w:cs="等线"/>
      <w:b/>
      <w:color w:val="000000"/>
      <w:sz w:val="24"/>
      <w:szCs w:val="24"/>
      <w:u w:val="none"/>
    </w:rPr>
  </w:style>
  <w:style w:type="character" w:customStyle="1" w:styleId="99">
    <w:name w:val="fontstyle21"/>
    <w:qFormat/>
    <w:uiPriority w:val="0"/>
    <w:rPr>
      <w:rFonts w:hint="eastAsia" w:ascii="宋体" w:hAnsi="宋体" w:eastAsia="宋体"/>
      <w:color w:val="993300"/>
      <w:sz w:val="24"/>
      <w:szCs w:val="24"/>
    </w:rPr>
  </w:style>
  <w:style w:type="character" w:customStyle="1" w:styleId="100">
    <w:name w:val="font21"/>
    <w:basedOn w:val="49"/>
    <w:qFormat/>
    <w:uiPriority w:val="0"/>
    <w:rPr>
      <w:rFonts w:hint="eastAsia" w:ascii="宋体" w:hAnsi="宋体" w:eastAsia="宋体" w:cs="宋体"/>
      <w:color w:val="000000"/>
      <w:sz w:val="22"/>
      <w:szCs w:val="22"/>
      <w:u w:val="none"/>
    </w:rPr>
  </w:style>
  <w:style w:type="character" w:customStyle="1" w:styleId="101">
    <w:name w:val="列出段落 Char"/>
    <w:link w:val="102"/>
    <w:qFormat/>
    <w:uiPriority w:val="0"/>
    <w:rPr>
      <w:rFonts w:ascii="Times New Roman" w:hAnsi="Times New Roman" w:eastAsia="宋体" w:cs="Times New Roman"/>
      <w:szCs w:val="24"/>
    </w:rPr>
  </w:style>
  <w:style w:type="paragraph" w:customStyle="1" w:styleId="102">
    <w:name w:val="列出段落1"/>
    <w:basedOn w:val="103"/>
    <w:link w:val="101"/>
    <w:qFormat/>
    <w:uiPriority w:val="34"/>
    <w:pPr>
      <w:ind w:firstLine="420" w:firstLineChars="200"/>
    </w:pPr>
    <w:rPr>
      <w:kern w:val="0"/>
      <w:sz w:val="20"/>
    </w:rPr>
  </w:style>
  <w:style w:type="paragraph" w:customStyle="1" w:styleId="103">
    <w:name w:val="正文_4"/>
    <w:next w:val="104"/>
    <w:qFormat/>
    <w:uiPriority w:val="0"/>
    <w:pPr>
      <w:widowControl w:val="0"/>
      <w:jc w:val="both"/>
    </w:pPr>
    <w:rPr>
      <w:rFonts w:ascii="Calibri" w:hAnsi="Calibri" w:eastAsia="宋体" w:cs="Times New Roman"/>
      <w:kern w:val="2"/>
      <w:sz w:val="21"/>
      <w:szCs w:val="22"/>
      <w:lang w:val="en-US" w:eastAsia="zh-CN" w:bidi="ar-SA"/>
    </w:rPr>
  </w:style>
  <w:style w:type="paragraph" w:customStyle="1" w:styleId="104">
    <w:name w:val="正文文本_4"/>
    <w:basedOn w:val="103"/>
    <w:qFormat/>
    <w:uiPriority w:val="0"/>
    <w:pPr>
      <w:spacing w:after="120"/>
    </w:pPr>
  </w:style>
  <w:style w:type="paragraph" w:customStyle="1" w:styleId="105">
    <w:name w:val="正文1"/>
    <w:next w:val="106"/>
    <w:qFormat/>
    <w:uiPriority w:val="0"/>
    <w:pPr>
      <w:widowControl w:val="0"/>
      <w:jc w:val="both"/>
    </w:pPr>
    <w:rPr>
      <w:rFonts w:hint="default" w:ascii="Times New Roman" w:hAnsi="Times New Roman" w:eastAsia="宋体" w:cs="Times New Roman"/>
      <w:sz w:val="21"/>
      <w:szCs w:val="24"/>
      <w:lang w:val="en-US" w:eastAsia="zh-CN" w:bidi="ar-SA"/>
    </w:rPr>
  </w:style>
  <w:style w:type="paragraph" w:customStyle="1" w:styleId="106">
    <w:name w:val="脚注文本1"/>
    <w:basedOn w:val="105"/>
    <w:next w:val="107"/>
    <w:qFormat/>
    <w:uiPriority w:val="0"/>
    <w:pPr>
      <w:jc w:val="left"/>
    </w:pPr>
    <w:rPr>
      <w:rFonts w:ascii="宋体" w:eastAsia="Times New Roman"/>
      <w:sz w:val="18"/>
      <w:szCs w:val="18"/>
    </w:rPr>
  </w:style>
  <w:style w:type="paragraph" w:customStyle="1" w:styleId="107">
    <w:name w:val="索引 51"/>
    <w:basedOn w:val="105"/>
    <w:next w:val="105"/>
    <w:qFormat/>
    <w:uiPriority w:val="0"/>
    <w:pPr>
      <w:ind w:left="798"/>
      <w:jc w:val="left"/>
    </w:pPr>
    <w:rPr>
      <w:rFonts w:ascii="Calibri" w:hAnsi="Calibri"/>
    </w:rPr>
  </w:style>
  <w:style w:type="character" w:customStyle="1" w:styleId="108">
    <w:name w:val="font61"/>
    <w:qFormat/>
    <w:uiPriority w:val="0"/>
    <w:rPr>
      <w:rFonts w:hint="default" w:ascii="Times New Roman" w:hAnsi="Times New Roman" w:cs="Times New Roman"/>
      <w:color w:val="auto"/>
      <w:sz w:val="24"/>
      <w:szCs w:val="24"/>
      <w:u w:val="none"/>
    </w:rPr>
  </w:style>
  <w:style w:type="character" w:customStyle="1" w:styleId="109">
    <w:name w:val="DMT-正文样式1 字符"/>
    <w:link w:val="110"/>
    <w:qFormat/>
    <w:uiPriority w:val="0"/>
    <w:rPr>
      <w:sz w:val="28"/>
    </w:rPr>
  </w:style>
  <w:style w:type="paragraph" w:customStyle="1" w:styleId="110">
    <w:name w:val="DMT-正文样式1"/>
    <w:basedOn w:val="1"/>
    <w:link w:val="109"/>
    <w:qFormat/>
    <w:uiPriority w:val="0"/>
    <w:pPr>
      <w:spacing w:beforeLines="50" w:afterLines="50" w:line="360" w:lineRule="auto"/>
      <w:ind w:firstLine="200" w:firstLineChars="200"/>
    </w:pPr>
    <w:rPr>
      <w:kern w:val="0"/>
      <w:sz w:val="28"/>
      <w:szCs w:val="20"/>
    </w:rPr>
  </w:style>
  <w:style w:type="character" w:customStyle="1" w:styleId="111">
    <w:name w:val="font41"/>
    <w:qFormat/>
    <w:uiPriority w:val="0"/>
    <w:rPr>
      <w:rFonts w:hint="eastAsia" w:ascii="宋体" w:hAnsi="宋体" w:eastAsia="宋体" w:cs="宋体"/>
      <w:color w:val="000000"/>
      <w:sz w:val="24"/>
      <w:szCs w:val="24"/>
      <w:u w:val="none"/>
    </w:rPr>
  </w:style>
  <w:style w:type="character" w:customStyle="1" w:styleId="112">
    <w:name w:val="NormalCharacter"/>
    <w:qFormat/>
    <w:uiPriority w:val="0"/>
  </w:style>
  <w:style w:type="character" w:customStyle="1" w:styleId="113">
    <w:name w:val="fontstyle01"/>
    <w:qFormat/>
    <w:uiPriority w:val="0"/>
    <w:rPr>
      <w:rFonts w:hint="eastAsia" w:ascii="宋体" w:hAnsi="宋体" w:eastAsia="宋体"/>
      <w:color w:val="000000"/>
      <w:sz w:val="24"/>
      <w:szCs w:val="24"/>
    </w:rPr>
  </w:style>
  <w:style w:type="character" w:customStyle="1" w:styleId="114">
    <w:name w:val="p0 Char"/>
    <w:link w:val="115"/>
    <w:qFormat/>
    <w:uiPriority w:val="0"/>
    <w:rPr>
      <w:rFonts w:eastAsia="宋体"/>
      <w:szCs w:val="21"/>
    </w:rPr>
  </w:style>
  <w:style w:type="paragraph" w:customStyle="1" w:styleId="115">
    <w:name w:val="p0"/>
    <w:basedOn w:val="1"/>
    <w:link w:val="114"/>
    <w:qFormat/>
    <w:uiPriority w:val="0"/>
    <w:pPr>
      <w:widowControl/>
    </w:pPr>
    <w:rPr>
      <w:kern w:val="0"/>
      <w:sz w:val="20"/>
      <w:szCs w:val="21"/>
    </w:rPr>
  </w:style>
  <w:style w:type="character" w:customStyle="1" w:styleId="116">
    <w:name w:val="font71"/>
    <w:qFormat/>
    <w:uiPriority w:val="0"/>
    <w:rPr>
      <w:rFonts w:hint="eastAsia" w:ascii="宋体" w:hAnsi="宋体" w:eastAsia="宋体" w:cs="宋体"/>
      <w:color w:val="auto"/>
      <w:sz w:val="24"/>
      <w:szCs w:val="24"/>
      <w:u w:val="none"/>
    </w:rPr>
  </w:style>
  <w:style w:type="character" w:customStyle="1" w:styleId="117">
    <w:name w:val="页脚 字符"/>
    <w:qFormat/>
    <w:uiPriority w:val="99"/>
  </w:style>
  <w:style w:type="character" w:customStyle="1" w:styleId="118">
    <w:name w:val="标题 Char1"/>
    <w:qFormat/>
    <w:uiPriority w:val="10"/>
    <w:rPr>
      <w:rFonts w:ascii="Cambria" w:hAnsi="Cambria" w:eastAsia="宋体" w:cs="黑体"/>
      <w:b/>
      <w:bCs/>
      <w:sz w:val="32"/>
      <w:szCs w:val="32"/>
    </w:rPr>
  </w:style>
  <w:style w:type="character" w:customStyle="1" w:styleId="119">
    <w:name w:val="font161"/>
    <w:qFormat/>
    <w:uiPriority w:val="0"/>
    <w:rPr>
      <w:rFonts w:hint="eastAsia" w:ascii="等线" w:hAnsi="等线" w:eastAsia="等线" w:cs="等线"/>
      <w:color w:val="000000"/>
      <w:sz w:val="24"/>
      <w:szCs w:val="24"/>
      <w:u w:val="none"/>
    </w:rPr>
  </w:style>
  <w:style w:type="character" w:customStyle="1" w:styleId="120">
    <w:name w:val="fontstyle11"/>
    <w:qFormat/>
    <w:uiPriority w:val="0"/>
    <w:rPr>
      <w:rFonts w:hint="default" w:ascii="TimesNewRomanPSMT" w:hAnsi="TimesNewRomanPSMT"/>
      <w:color w:val="000000"/>
      <w:sz w:val="24"/>
      <w:szCs w:val="24"/>
    </w:rPr>
  </w:style>
  <w:style w:type="character" w:customStyle="1" w:styleId="121">
    <w:name w:val="font151"/>
    <w:qFormat/>
    <w:uiPriority w:val="0"/>
    <w:rPr>
      <w:rFonts w:hint="default" w:ascii="Times New Roman" w:hAnsi="Times New Roman" w:cs="Times New Roman"/>
      <w:color w:val="000000"/>
      <w:sz w:val="14"/>
      <w:szCs w:val="14"/>
      <w:u w:val="none"/>
    </w:rPr>
  </w:style>
  <w:style w:type="character" w:customStyle="1" w:styleId="122">
    <w:name w:val="批注文字 Char"/>
    <w:qFormat/>
    <w:uiPriority w:val="0"/>
    <w:rPr>
      <w:rFonts w:ascii="Times New Roman" w:hAnsi="Times New Roman" w:eastAsia="宋体" w:cs="Times New Roman"/>
      <w:szCs w:val="24"/>
    </w:rPr>
  </w:style>
  <w:style w:type="paragraph" w:customStyle="1" w:styleId="123">
    <w:name w:val="Char11"/>
    <w:basedOn w:val="1"/>
    <w:qFormat/>
    <w:uiPriority w:val="0"/>
    <w:pPr>
      <w:widowControl/>
      <w:spacing w:after="160" w:line="240" w:lineRule="exact"/>
      <w:jc w:val="left"/>
    </w:pPr>
    <w:rPr>
      <w:rFonts w:ascii="Verdana" w:hAnsi="Verdana"/>
      <w:kern w:val="0"/>
      <w:sz w:val="20"/>
      <w:szCs w:val="20"/>
      <w:lang w:eastAsia="en-US"/>
    </w:rPr>
  </w:style>
  <w:style w:type="paragraph" w:customStyle="1" w:styleId="124">
    <w:name w:val="xl87"/>
    <w:basedOn w:val="1"/>
    <w:qFormat/>
    <w:uiPriority w:val="0"/>
    <w:pPr>
      <w:widowControl/>
      <w:pBdr>
        <w:bottom w:val="single" w:color="000000" w:sz="4" w:space="0"/>
        <w:right w:val="single" w:color="000000" w:sz="4" w:space="0"/>
      </w:pBdr>
      <w:spacing w:before="100" w:beforeAutospacing="1" w:after="100" w:afterAutospacing="1"/>
      <w:jc w:val="center"/>
    </w:pPr>
    <w:rPr>
      <w:rFonts w:ascii="黑体" w:hAnsi="黑体" w:eastAsia="黑体" w:cs="宋体"/>
      <w:b/>
      <w:bCs/>
      <w:color w:val="000000"/>
      <w:kern w:val="0"/>
      <w:sz w:val="20"/>
      <w:szCs w:val="20"/>
    </w:rPr>
  </w:style>
  <w:style w:type="paragraph" w:customStyle="1" w:styleId="125">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126">
    <w:name w:val="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27">
    <w:name w:val="Normal_1"/>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8">
    <w:name w:val="xl91"/>
    <w:basedOn w:val="1"/>
    <w:qFormat/>
    <w:uiPriority w:val="0"/>
    <w:pPr>
      <w:widowControl/>
      <w:pBdr>
        <w:top w:val="single" w:color="000000" w:sz="4" w:space="0"/>
        <w:bottom w:val="single" w:color="000000" w:sz="4" w:space="0"/>
        <w:right w:val="single" w:color="000000" w:sz="4" w:space="0"/>
      </w:pBdr>
      <w:spacing w:before="100" w:beforeAutospacing="1" w:after="100" w:afterAutospacing="1"/>
    </w:pPr>
    <w:rPr>
      <w:rFonts w:ascii="宋体" w:hAnsi="宋体" w:cs="宋体"/>
      <w:color w:val="000000"/>
      <w:kern w:val="0"/>
      <w:sz w:val="20"/>
      <w:szCs w:val="20"/>
    </w:rPr>
  </w:style>
  <w:style w:type="paragraph" w:customStyle="1" w:styleId="129">
    <w:name w:val="样式 标题 2 + Times New Roman 四号 非加粗 段前: 5 磅 段后: 0 磅 行距: 固定值 20..."/>
    <w:basedOn w:val="2"/>
    <w:qFormat/>
    <w:uiPriority w:val="0"/>
    <w:pPr>
      <w:spacing w:before="100" w:line="400" w:lineRule="exact"/>
    </w:pPr>
    <w:rPr>
      <w:rFonts w:ascii="Times New Roman" w:hAnsi="Times New Roman" w:eastAsia="黑体"/>
      <w:b w:val="0"/>
      <w:bCs w:val="0"/>
      <w:sz w:val="28"/>
      <w:szCs w:val="20"/>
    </w:rPr>
  </w:style>
  <w:style w:type="paragraph" w:customStyle="1" w:styleId="130">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0"/>
      <w:szCs w:val="20"/>
    </w:rPr>
  </w:style>
  <w:style w:type="paragraph" w:customStyle="1" w:styleId="131">
    <w:name w:val="xl25"/>
    <w:basedOn w:val="1"/>
    <w:qFormat/>
    <w:uiPriority w:val="0"/>
    <w:pPr>
      <w:widowControl/>
      <w:pBdr>
        <w:left w:val="single" w:color="auto" w:sz="4" w:space="0"/>
        <w:bottom w:val="single" w:color="auto" w:sz="4" w:space="0"/>
        <w:right w:val="double" w:color="auto" w:sz="6"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132">
    <w:name w:val="xl90"/>
    <w:basedOn w:val="1"/>
    <w:qFormat/>
    <w:uiPriority w:val="0"/>
    <w:pPr>
      <w:widowControl/>
      <w:pBdr>
        <w:bottom w:val="single" w:color="000000" w:sz="4" w:space="0"/>
        <w:right w:val="single" w:color="000000" w:sz="4" w:space="0"/>
      </w:pBdr>
      <w:spacing w:before="100" w:beforeAutospacing="1" w:after="100" w:afterAutospacing="1"/>
      <w:jc w:val="center"/>
    </w:pPr>
    <w:rPr>
      <w:rFonts w:ascii="黑体" w:hAnsi="黑体" w:eastAsia="黑体" w:cs="宋体"/>
      <w:color w:val="000000"/>
      <w:kern w:val="0"/>
      <w:sz w:val="20"/>
      <w:szCs w:val="20"/>
    </w:rPr>
  </w:style>
  <w:style w:type="paragraph" w:customStyle="1" w:styleId="133">
    <w:name w:val="样式 样式 样式 样式 标题 2 + 宋体 五号 非加粗 黑色 + 段前: 6 磅 段后: 0 磅 行距: 单倍行距 + 段前:..."/>
    <w:basedOn w:val="1"/>
    <w:qFormat/>
    <w:uiPriority w:val="0"/>
    <w:pPr>
      <w:keepNext/>
      <w:keepLines/>
      <w:tabs>
        <w:tab w:val="left" w:pos="840"/>
      </w:tabs>
      <w:adjustRightInd w:val="0"/>
      <w:spacing w:before="240"/>
      <w:ind w:left="840" w:hanging="420"/>
      <w:jc w:val="left"/>
      <w:textAlignment w:val="baseline"/>
      <w:outlineLvl w:val="1"/>
    </w:pPr>
    <w:rPr>
      <w:rFonts w:ascii="宋体" w:hAnsi="宋体"/>
      <w:b/>
      <w:bCs/>
      <w:color w:val="000000"/>
      <w:kern w:val="0"/>
      <w:szCs w:val="20"/>
    </w:rPr>
  </w:style>
  <w:style w:type="paragraph" w:customStyle="1" w:styleId="134">
    <w:name w:val="xl86"/>
    <w:basedOn w:val="1"/>
    <w:qFormat/>
    <w:uiPriority w:val="0"/>
    <w:pPr>
      <w:widowControl/>
      <w:pBdr>
        <w:bottom w:val="single" w:color="000000" w:sz="4" w:space="0"/>
        <w:right w:val="single" w:color="000000" w:sz="4" w:space="0"/>
      </w:pBdr>
      <w:spacing w:before="100" w:beforeAutospacing="1" w:after="100" w:afterAutospacing="1"/>
    </w:pPr>
    <w:rPr>
      <w:rFonts w:ascii="宋体" w:hAnsi="宋体" w:cs="宋体"/>
      <w:color w:val="000000"/>
      <w:kern w:val="0"/>
      <w:sz w:val="20"/>
      <w:szCs w:val="20"/>
    </w:rPr>
  </w:style>
  <w:style w:type="paragraph" w:customStyle="1" w:styleId="135">
    <w:name w:val="Char Char1 Char Char Char Char Char1 Char Char Char Char"/>
    <w:basedOn w:val="13"/>
    <w:qFormat/>
    <w:uiPriority w:val="0"/>
    <w:rPr>
      <w:rFonts w:ascii="Tahoma" w:hAnsi="Tahoma"/>
    </w:rPr>
  </w:style>
  <w:style w:type="paragraph" w:customStyle="1" w:styleId="136">
    <w:name w:val="_Style 113"/>
    <w:basedOn w:val="1"/>
    <w:next w:val="137"/>
    <w:qFormat/>
    <w:uiPriority w:val="34"/>
    <w:pPr>
      <w:spacing w:line="360" w:lineRule="auto"/>
      <w:ind w:firstLine="200" w:firstLineChars="200"/>
    </w:pPr>
  </w:style>
  <w:style w:type="paragraph" w:styleId="137">
    <w:name w:val="List Paragraph"/>
    <w:basedOn w:val="1"/>
    <w:qFormat/>
    <w:uiPriority w:val="99"/>
    <w:pPr>
      <w:ind w:firstLine="420" w:firstLineChars="200"/>
    </w:pPr>
    <w:rPr>
      <w:rFonts w:ascii="Arial" w:hAnsi="Arial" w:eastAsia="微软雅黑"/>
      <w:szCs w:val="22"/>
    </w:rPr>
  </w:style>
  <w:style w:type="paragraph" w:customStyle="1" w:styleId="138">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20"/>
      <w:szCs w:val="20"/>
    </w:rPr>
  </w:style>
  <w:style w:type="paragraph" w:customStyle="1" w:styleId="139">
    <w:name w:val="Normal_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0">
    <w:name w:val="p15"/>
    <w:basedOn w:val="1"/>
    <w:qFormat/>
    <w:uiPriority w:val="0"/>
    <w:pPr>
      <w:widowControl/>
      <w:spacing w:line="220" w:lineRule="atLeast"/>
      <w:jc w:val="center"/>
    </w:pPr>
    <w:rPr>
      <w:rFonts w:ascii="仿宋_GB2312" w:hAnsi="宋体" w:eastAsia="仿宋_GB2312" w:cs="宋体"/>
      <w:kern w:val="0"/>
      <w:szCs w:val="21"/>
    </w:rPr>
  </w:style>
  <w:style w:type="paragraph" w:customStyle="1" w:styleId="141">
    <w:name w:val="xl93"/>
    <w:basedOn w:val="1"/>
    <w:qFormat/>
    <w:uiPriority w:val="0"/>
    <w:pPr>
      <w:widowControl/>
      <w:pBdr>
        <w:bottom w:val="single" w:color="auto" w:sz="4" w:space="0"/>
      </w:pBdr>
      <w:spacing w:before="100" w:beforeAutospacing="1" w:after="100" w:afterAutospacing="1"/>
      <w:jc w:val="center"/>
    </w:pPr>
    <w:rPr>
      <w:rFonts w:ascii="宋体" w:hAnsi="宋体" w:cs="宋体"/>
      <w:b/>
      <w:bCs/>
      <w:kern w:val="0"/>
      <w:sz w:val="28"/>
      <w:szCs w:val="28"/>
    </w:rPr>
  </w:style>
  <w:style w:type="paragraph" w:customStyle="1" w:styleId="142">
    <w:name w:val="xl85"/>
    <w:basedOn w:val="1"/>
    <w:qFormat/>
    <w:uiPriority w:val="0"/>
    <w:pPr>
      <w:widowControl/>
      <w:pBdr>
        <w:bottom w:val="single" w:color="000000" w:sz="4" w:space="0"/>
        <w:right w:val="single" w:color="000000" w:sz="4" w:space="0"/>
      </w:pBdr>
      <w:spacing w:before="100" w:beforeAutospacing="1" w:after="100" w:afterAutospacing="1"/>
    </w:pPr>
    <w:rPr>
      <w:rFonts w:ascii="宋体" w:hAnsi="宋体" w:cs="宋体"/>
      <w:color w:val="000000"/>
      <w:kern w:val="0"/>
      <w:sz w:val="18"/>
      <w:szCs w:val="18"/>
    </w:rPr>
  </w:style>
  <w:style w:type="paragraph" w:customStyle="1" w:styleId="143">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144">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45">
    <w:name w:val="Char"/>
    <w:basedOn w:val="1"/>
    <w:qFormat/>
    <w:uiPriority w:val="0"/>
    <w:pPr>
      <w:tabs>
        <w:tab w:val="left" w:pos="360"/>
      </w:tabs>
      <w:ind w:left="360" w:hanging="360" w:hangingChars="200"/>
    </w:pPr>
    <w:rPr>
      <w:sz w:val="24"/>
    </w:rPr>
  </w:style>
  <w:style w:type="paragraph" w:customStyle="1" w:styleId="146">
    <w:name w:val="xl67"/>
    <w:basedOn w:val="1"/>
    <w:qFormat/>
    <w:uiPriority w:val="0"/>
    <w:pPr>
      <w:widowControl/>
      <w:pBdr>
        <w:top w:val="single" w:color="000000" w:sz="4" w:space="0"/>
        <w:left w:val="single" w:color="000000" w:sz="4" w:space="0"/>
        <w:right w:val="single" w:color="000000" w:sz="4" w:space="0"/>
      </w:pBdr>
      <w:shd w:val="clear" w:color="000000" w:fill="FFFFFF"/>
      <w:spacing w:before="100" w:beforeAutospacing="1" w:after="100" w:afterAutospacing="1"/>
      <w:jc w:val="center"/>
    </w:pPr>
    <w:rPr>
      <w:rFonts w:ascii="宋体" w:hAnsi="宋体" w:cs="宋体"/>
      <w:kern w:val="0"/>
      <w:sz w:val="20"/>
      <w:szCs w:val="20"/>
    </w:rPr>
  </w:style>
  <w:style w:type="paragraph" w:customStyle="1" w:styleId="147">
    <w:name w:val="Normal_8"/>
    <w:qFormat/>
    <w:uiPriority w:val="0"/>
    <w:rPr>
      <w:rFonts w:ascii="Times New Roman" w:hAnsi="Times New Roman" w:eastAsia="Times New Roman" w:cs="Times New Roman"/>
      <w:sz w:val="24"/>
      <w:szCs w:val="24"/>
      <w:lang w:val="en-US" w:eastAsia="zh-CN" w:bidi="ar-SA"/>
    </w:rPr>
  </w:style>
  <w:style w:type="paragraph" w:customStyle="1" w:styleId="148">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149">
    <w:name w:val="font8"/>
    <w:basedOn w:val="1"/>
    <w:qFormat/>
    <w:uiPriority w:val="0"/>
    <w:pPr>
      <w:widowControl/>
      <w:spacing w:before="100" w:beforeAutospacing="1" w:after="100" w:afterAutospacing="1"/>
      <w:jc w:val="left"/>
    </w:pPr>
    <w:rPr>
      <w:color w:val="000000"/>
      <w:kern w:val="0"/>
      <w:sz w:val="20"/>
      <w:szCs w:val="20"/>
    </w:rPr>
  </w:style>
  <w:style w:type="paragraph" w:customStyle="1" w:styleId="150">
    <w:name w:val="xl7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51">
    <w:name w:val="Char Char Char1 Char"/>
    <w:basedOn w:val="1"/>
    <w:qFormat/>
    <w:uiPriority w:val="0"/>
    <w:pPr>
      <w:tabs>
        <w:tab w:val="left" w:pos="360"/>
      </w:tabs>
      <w:snapToGrid w:val="0"/>
      <w:spacing w:line="360" w:lineRule="auto"/>
    </w:pPr>
    <w:rPr>
      <w:rFonts w:eastAsia="仿宋_GB2312" w:cs="宋体"/>
      <w:sz w:val="24"/>
    </w:rPr>
  </w:style>
  <w:style w:type="paragraph" w:customStyle="1" w:styleId="152">
    <w:name w:val="xl89"/>
    <w:basedOn w:val="1"/>
    <w:qFormat/>
    <w:uiPriority w:val="0"/>
    <w:pPr>
      <w:widowControl/>
      <w:pBdr>
        <w:left w:val="single" w:color="000000" w:sz="4" w:space="0"/>
        <w:bottom w:val="single" w:color="000000" w:sz="4" w:space="0"/>
        <w:right w:val="single" w:color="000000" w:sz="4" w:space="0"/>
      </w:pBdr>
      <w:spacing w:before="100" w:beforeAutospacing="1" w:after="100" w:afterAutospacing="1"/>
      <w:jc w:val="center"/>
    </w:pPr>
    <w:rPr>
      <w:rFonts w:ascii="黑体" w:hAnsi="黑体" w:eastAsia="黑体" w:cs="宋体"/>
      <w:color w:val="000000"/>
      <w:kern w:val="0"/>
      <w:sz w:val="20"/>
      <w:szCs w:val="20"/>
    </w:rPr>
  </w:style>
  <w:style w:type="paragraph" w:customStyle="1" w:styleId="153">
    <w:name w:val="font7"/>
    <w:basedOn w:val="1"/>
    <w:qFormat/>
    <w:uiPriority w:val="0"/>
    <w:pPr>
      <w:widowControl/>
      <w:spacing w:before="100" w:beforeAutospacing="1" w:after="100" w:afterAutospacing="1"/>
      <w:jc w:val="left"/>
    </w:pPr>
    <w:rPr>
      <w:kern w:val="0"/>
      <w:sz w:val="20"/>
      <w:szCs w:val="20"/>
    </w:rPr>
  </w:style>
  <w:style w:type="paragraph" w:customStyle="1" w:styleId="154">
    <w:name w:val="xl84"/>
    <w:basedOn w:val="1"/>
    <w:qFormat/>
    <w:uiPriority w:val="0"/>
    <w:pPr>
      <w:widowControl/>
      <w:pBdr>
        <w:bottom w:val="single" w:color="auto" w:sz="4" w:space="0"/>
      </w:pBdr>
      <w:spacing w:before="100" w:beforeAutospacing="1" w:after="100" w:afterAutospacing="1"/>
      <w:jc w:val="center"/>
    </w:pPr>
    <w:rPr>
      <w:rFonts w:ascii="宋体" w:hAnsi="宋体" w:cs="宋体"/>
      <w:b/>
      <w:bCs/>
      <w:kern w:val="0"/>
      <w:sz w:val="28"/>
      <w:szCs w:val="28"/>
    </w:rPr>
  </w:style>
  <w:style w:type="paragraph" w:customStyle="1" w:styleId="155">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20"/>
      <w:szCs w:val="20"/>
    </w:rPr>
  </w:style>
  <w:style w:type="paragraph" w:customStyle="1" w:styleId="156">
    <w:name w:val="Char Char1 Char Char Char Char Char Char Char Char Char Char Char Char Char Char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157">
    <w:name w:val="样式 标题 2 + 宋体 五号 行距: 单倍行距"/>
    <w:basedOn w:val="2"/>
    <w:qFormat/>
    <w:uiPriority w:val="0"/>
    <w:pPr>
      <w:tabs>
        <w:tab w:val="left" w:pos="2175"/>
      </w:tabs>
      <w:adjustRightInd w:val="0"/>
      <w:spacing w:before="260" w:after="260" w:line="240" w:lineRule="auto"/>
      <w:ind w:left="2175" w:hanging="1275"/>
      <w:jc w:val="left"/>
      <w:textAlignment w:val="baseline"/>
    </w:pPr>
    <w:rPr>
      <w:rFonts w:ascii="宋体" w:hAnsi="宋体"/>
      <w:sz w:val="21"/>
      <w:szCs w:val="20"/>
    </w:rPr>
  </w:style>
  <w:style w:type="paragraph" w:customStyle="1" w:styleId="158">
    <w:name w:val="样式 标题 1正文一级标题H1L1 Heading 1h11st levelh111st level1headi..."/>
    <w:basedOn w:val="3"/>
    <w:qFormat/>
    <w:uiPriority w:val="0"/>
    <w:pPr>
      <w:keepLines/>
      <w:spacing w:before="340" w:after="330" w:line="360" w:lineRule="auto"/>
      <w:jc w:val="both"/>
    </w:pPr>
    <w:rPr>
      <w:rFonts w:eastAsia="黑体" w:cs="宋体"/>
      <w:kern w:val="44"/>
      <w:sz w:val="44"/>
    </w:rPr>
  </w:style>
  <w:style w:type="paragraph" w:customStyle="1" w:styleId="159">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60">
    <w:name w:val="Normal_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61">
    <w:name w:val="p16"/>
    <w:basedOn w:val="1"/>
    <w:qFormat/>
    <w:uiPriority w:val="0"/>
    <w:pPr>
      <w:widowControl/>
      <w:jc w:val="left"/>
    </w:pPr>
    <w:rPr>
      <w:kern w:val="0"/>
      <w:szCs w:val="21"/>
    </w:rPr>
  </w:style>
  <w:style w:type="paragraph" w:styleId="162">
    <w:name w:val="No Spacing"/>
    <w:qFormat/>
    <w:uiPriority w:val="1"/>
    <w:pPr>
      <w:widowControl w:val="0"/>
      <w:jc w:val="both"/>
    </w:pPr>
    <w:rPr>
      <w:rFonts w:ascii="Times New Roman" w:hAnsi="Times New Roman" w:eastAsia="宋体" w:cs="Times New Roman"/>
      <w:kern w:val="2"/>
      <w:sz w:val="24"/>
      <w:szCs w:val="24"/>
      <w:lang w:val="en-US" w:eastAsia="zh-CN" w:bidi="ar-SA"/>
    </w:rPr>
  </w:style>
  <w:style w:type="paragraph" w:customStyle="1" w:styleId="163">
    <w:name w:val="font9"/>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64">
    <w:name w:val="font11"/>
    <w:basedOn w:val="1"/>
    <w:qFormat/>
    <w:uiPriority w:val="0"/>
    <w:pPr>
      <w:widowControl/>
      <w:spacing w:before="100" w:beforeAutospacing="1" w:after="100" w:afterAutospacing="1"/>
      <w:jc w:val="left"/>
    </w:pPr>
    <w:rPr>
      <w:rFonts w:ascii="Arial" w:hAnsi="Arial" w:cs="Arial"/>
      <w:color w:val="000000"/>
      <w:kern w:val="0"/>
      <w:sz w:val="20"/>
      <w:szCs w:val="20"/>
    </w:rPr>
  </w:style>
  <w:style w:type="paragraph" w:customStyle="1" w:styleId="165">
    <w:name w:val="Char1 Char Char Char 字元 Char Char 字元 Char 字元 Char1 Char Char Char"/>
    <w:basedOn w:val="1"/>
    <w:qFormat/>
    <w:uiPriority w:val="0"/>
    <w:rPr>
      <w:szCs w:val="20"/>
    </w:rPr>
  </w:style>
  <w:style w:type="paragraph" w:customStyle="1" w:styleId="166">
    <w:name w:val="TOC 标题1"/>
    <w:basedOn w:val="3"/>
    <w:next w:val="1"/>
    <w:unhideWhenUsed/>
    <w:qFormat/>
    <w:uiPriority w:val="39"/>
    <w:pPr>
      <w:keepLines/>
      <w:widowControl/>
      <w:spacing w:before="480" w:line="276" w:lineRule="auto"/>
      <w:jc w:val="left"/>
      <w:outlineLvl w:val="9"/>
    </w:pPr>
    <w:rPr>
      <w:rFonts w:ascii="Cambria" w:hAnsi="Cambria" w:cs="黑体"/>
      <w:color w:val="365F90"/>
      <w:sz w:val="28"/>
      <w:szCs w:val="28"/>
    </w:rPr>
  </w:style>
  <w:style w:type="paragraph" w:customStyle="1" w:styleId="167">
    <w:name w:val="Char1"/>
    <w:basedOn w:val="1"/>
    <w:qFormat/>
    <w:uiPriority w:val="0"/>
    <w:pPr>
      <w:widowControl/>
      <w:spacing w:after="160" w:line="240" w:lineRule="exact"/>
      <w:jc w:val="left"/>
    </w:pPr>
    <w:rPr>
      <w:rFonts w:ascii="Verdana" w:hAnsi="Verdana"/>
      <w:kern w:val="0"/>
      <w:sz w:val="20"/>
      <w:szCs w:val="20"/>
      <w:lang w:eastAsia="en-US"/>
    </w:rPr>
  </w:style>
  <w:style w:type="paragraph" w:customStyle="1" w:styleId="168">
    <w:name w:val="Char Char Char"/>
    <w:basedOn w:val="1"/>
    <w:qFormat/>
    <w:uiPriority w:val="0"/>
    <w:rPr>
      <w:rFonts w:ascii="宋体" w:hAnsi="宋体"/>
      <w:b/>
      <w:sz w:val="28"/>
      <w:szCs w:val="28"/>
    </w:rPr>
  </w:style>
  <w:style w:type="paragraph" w:customStyle="1" w:styleId="169">
    <w:name w:val="Char Char Char Char Char Char Char1"/>
    <w:basedOn w:val="1"/>
    <w:qFormat/>
    <w:uiPriority w:val="0"/>
    <w:pPr>
      <w:snapToGrid w:val="0"/>
      <w:spacing w:line="360" w:lineRule="auto"/>
      <w:ind w:firstLine="200" w:firstLineChars="200"/>
    </w:pPr>
    <w:rPr>
      <w:rFonts w:eastAsia="仿宋_GB2312"/>
      <w:sz w:val="24"/>
    </w:rPr>
  </w:style>
  <w:style w:type="paragraph" w:customStyle="1" w:styleId="170">
    <w:name w:val="font6"/>
    <w:basedOn w:val="1"/>
    <w:qFormat/>
    <w:uiPriority w:val="0"/>
    <w:pPr>
      <w:widowControl/>
      <w:spacing w:before="100" w:beforeAutospacing="1" w:after="100" w:afterAutospacing="1"/>
      <w:jc w:val="left"/>
    </w:pPr>
    <w:rPr>
      <w:rFonts w:ascii="宋体" w:hAnsi="宋体" w:cs="宋体"/>
      <w:b/>
      <w:bCs/>
      <w:kern w:val="0"/>
      <w:sz w:val="20"/>
      <w:szCs w:val="20"/>
    </w:rPr>
  </w:style>
  <w:style w:type="paragraph" w:customStyle="1" w:styleId="171">
    <w:name w:val="Plain Text1"/>
    <w:qFormat/>
    <w:uiPriority w:val="99"/>
    <w:rPr>
      <w:rFonts w:ascii="宋体" w:hAnsi="Courier New" w:eastAsia="宋体" w:cs="Times New Roman"/>
      <w:sz w:val="21"/>
      <w:lang w:val="en-US" w:eastAsia="zh-CN" w:bidi="ar-SA"/>
    </w:rPr>
  </w:style>
  <w:style w:type="paragraph" w:customStyle="1" w:styleId="172">
    <w:name w:val="Normal_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73">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74">
    <w:name w:val="表格内容"/>
    <w:basedOn w:val="17"/>
    <w:qFormat/>
    <w:uiPriority w:val="0"/>
    <w:pPr>
      <w:suppressLineNumbers/>
      <w:suppressAutoHyphens/>
      <w:jc w:val="left"/>
    </w:pPr>
    <w:rPr>
      <w:rFonts w:cs="Tahoma"/>
      <w:sz w:val="24"/>
    </w:rPr>
  </w:style>
  <w:style w:type="paragraph" w:customStyle="1" w:styleId="175">
    <w:name w:val="xl88"/>
    <w:basedOn w:val="1"/>
    <w:qFormat/>
    <w:uiPriority w:val="0"/>
    <w:pPr>
      <w:widowControl/>
      <w:pBdr>
        <w:left w:val="single" w:color="000000" w:sz="4" w:space="0"/>
        <w:bottom w:val="single" w:color="000000" w:sz="4" w:space="0"/>
        <w:right w:val="single" w:color="000000" w:sz="4" w:space="0"/>
      </w:pBdr>
      <w:spacing w:before="100" w:beforeAutospacing="1" w:after="100" w:afterAutospacing="1"/>
      <w:jc w:val="center"/>
    </w:pPr>
    <w:rPr>
      <w:rFonts w:ascii="黑体" w:hAnsi="黑体" w:eastAsia="黑体" w:cs="宋体"/>
      <w:b/>
      <w:bCs/>
      <w:color w:val="000000"/>
      <w:kern w:val="0"/>
      <w:sz w:val="20"/>
      <w:szCs w:val="20"/>
    </w:rPr>
  </w:style>
  <w:style w:type="paragraph" w:customStyle="1" w:styleId="176">
    <w:name w:val="xl68"/>
    <w:basedOn w:val="1"/>
    <w:qFormat/>
    <w:uiPriority w:val="0"/>
    <w:pPr>
      <w:widowControl/>
      <w:spacing w:before="100" w:beforeAutospacing="1" w:after="100" w:afterAutospacing="1"/>
      <w:jc w:val="left"/>
      <w:textAlignment w:val="bottom"/>
    </w:pPr>
    <w:rPr>
      <w:rFonts w:ascii="宋体" w:hAnsi="宋体" w:cs="宋体"/>
      <w:kern w:val="0"/>
      <w:sz w:val="24"/>
    </w:rPr>
  </w:style>
  <w:style w:type="paragraph" w:customStyle="1" w:styleId="177">
    <w:name w:val="xl83"/>
    <w:basedOn w:val="1"/>
    <w:qFormat/>
    <w:uiPriority w:val="0"/>
    <w:pPr>
      <w:widowControl/>
      <w:pBdr>
        <w:bottom w:val="single" w:color="auto" w:sz="4" w:space="0"/>
      </w:pBdr>
      <w:spacing w:before="100" w:beforeAutospacing="1" w:after="100" w:afterAutospacing="1"/>
      <w:jc w:val="center"/>
    </w:pPr>
    <w:rPr>
      <w:rFonts w:ascii="宋体" w:hAnsi="宋体" w:cs="宋体"/>
      <w:b/>
      <w:bCs/>
      <w:kern w:val="0"/>
      <w:sz w:val="28"/>
      <w:szCs w:val="28"/>
    </w:rPr>
  </w:style>
  <w:style w:type="paragraph" w:customStyle="1" w:styleId="178">
    <w:name w:val="xl31"/>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179">
    <w:name w:val="xl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黑体" w:hAnsi="黑体" w:eastAsia="黑体" w:cs="宋体"/>
      <w:kern w:val="0"/>
      <w:sz w:val="20"/>
      <w:szCs w:val="20"/>
    </w:rPr>
  </w:style>
  <w:style w:type="paragraph" w:customStyle="1" w:styleId="180">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81">
    <w:name w:val="xl94"/>
    <w:basedOn w:val="1"/>
    <w:qFormat/>
    <w:uiPriority w:val="0"/>
    <w:pPr>
      <w:widowControl/>
      <w:pBdr>
        <w:bottom w:val="single" w:color="auto" w:sz="4" w:space="0"/>
      </w:pBdr>
      <w:spacing w:before="100" w:beforeAutospacing="1" w:after="100" w:afterAutospacing="1"/>
      <w:jc w:val="center"/>
    </w:pPr>
    <w:rPr>
      <w:rFonts w:ascii="宋体" w:hAnsi="宋体" w:cs="宋体"/>
      <w:b/>
      <w:bCs/>
      <w:kern w:val="0"/>
      <w:sz w:val="28"/>
      <w:szCs w:val="28"/>
    </w:rPr>
  </w:style>
  <w:style w:type="paragraph" w:customStyle="1" w:styleId="182">
    <w:name w:val="Char Char Char Char Char Char Char"/>
    <w:basedOn w:val="1"/>
    <w:qFormat/>
    <w:uiPriority w:val="0"/>
    <w:pPr>
      <w:snapToGrid w:val="0"/>
      <w:spacing w:line="360" w:lineRule="auto"/>
      <w:ind w:firstLine="200" w:firstLineChars="200"/>
    </w:pPr>
    <w:rPr>
      <w:rFonts w:eastAsia="仿宋_GB2312"/>
      <w:sz w:val="24"/>
    </w:rPr>
  </w:style>
  <w:style w:type="paragraph" w:customStyle="1" w:styleId="183">
    <w:name w:val="xl66"/>
    <w:basedOn w:val="1"/>
    <w:qFormat/>
    <w:uiPriority w:val="0"/>
    <w:pPr>
      <w:widowControl/>
      <w:spacing w:before="100" w:beforeAutospacing="1" w:after="100" w:afterAutospacing="1"/>
      <w:jc w:val="left"/>
      <w:textAlignment w:val="bottom"/>
    </w:pPr>
    <w:rPr>
      <w:rFonts w:ascii="宋体" w:hAnsi="宋体" w:cs="宋体"/>
      <w:kern w:val="0"/>
      <w:sz w:val="24"/>
    </w:rPr>
  </w:style>
  <w:style w:type="paragraph" w:customStyle="1" w:styleId="184">
    <w:name w:val="font10"/>
    <w:basedOn w:val="1"/>
    <w:qFormat/>
    <w:uiPriority w:val="0"/>
    <w:pPr>
      <w:widowControl/>
      <w:spacing w:before="100" w:beforeAutospacing="1" w:after="100" w:afterAutospacing="1"/>
      <w:jc w:val="left"/>
    </w:pPr>
    <w:rPr>
      <w:rFonts w:ascii="Arial" w:hAnsi="Arial" w:cs="Arial"/>
      <w:color w:val="000000"/>
      <w:kern w:val="0"/>
      <w:sz w:val="18"/>
      <w:szCs w:val="18"/>
    </w:rPr>
  </w:style>
  <w:style w:type="paragraph" w:customStyle="1" w:styleId="185">
    <w:name w:val="标题 1 +"/>
    <w:basedOn w:val="3"/>
    <w:next w:val="1"/>
    <w:qFormat/>
    <w:uiPriority w:val="0"/>
    <w:pPr>
      <w:keepLines/>
      <w:spacing w:line="600" w:lineRule="auto"/>
    </w:pPr>
    <w:rPr>
      <w:rFonts w:eastAsia="黑体"/>
      <w:sz w:val="32"/>
      <w:szCs w:val="32"/>
    </w:rPr>
  </w:style>
  <w:style w:type="paragraph" w:customStyle="1" w:styleId="186">
    <w:name w:val="xl92"/>
    <w:basedOn w:val="1"/>
    <w:qFormat/>
    <w:uiPriority w:val="0"/>
    <w:pPr>
      <w:widowControl/>
      <w:pBdr>
        <w:top w:val="single" w:color="000000" w:sz="4" w:space="0"/>
        <w:bottom w:val="single" w:color="000000" w:sz="4" w:space="0"/>
        <w:right w:val="single" w:color="000000" w:sz="4" w:space="0"/>
      </w:pBdr>
      <w:spacing w:before="100" w:beforeAutospacing="1" w:after="100" w:afterAutospacing="1"/>
      <w:jc w:val="center"/>
    </w:pPr>
    <w:rPr>
      <w:rFonts w:ascii="宋体" w:hAnsi="宋体" w:cs="宋体"/>
      <w:color w:val="000000"/>
      <w:kern w:val="0"/>
      <w:sz w:val="20"/>
      <w:szCs w:val="20"/>
    </w:rPr>
  </w:style>
  <w:style w:type="paragraph" w:customStyle="1" w:styleId="187">
    <w:name w:val="xl69"/>
    <w:basedOn w:val="1"/>
    <w:qFormat/>
    <w:uiPriority w:val="0"/>
    <w:pPr>
      <w:widowControl/>
      <w:spacing w:before="100" w:beforeAutospacing="1" w:after="100" w:afterAutospacing="1"/>
      <w:jc w:val="left"/>
      <w:textAlignment w:val="bottom"/>
    </w:pPr>
    <w:rPr>
      <w:rFonts w:ascii="宋体" w:hAnsi="宋体" w:cs="宋体"/>
      <w:kern w:val="0"/>
      <w:sz w:val="24"/>
    </w:rPr>
  </w:style>
  <w:style w:type="paragraph" w:customStyle="1" w:styleId="188">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kern w:val="0"/>
      <w:sz w:val="20"/>
      <w:szCs w:val="20"/>
    </w:rPr>
  </w:style>
  <w:style w:type="paragraph" w:customStyle="1" w:styleId="189">
    <w:name w:val="xl8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0">
    <w:name w:val="无间隔1"/>
    <w:basedOn w:val="1"/>
    <w:qFormat/>
    <w:uiPriority w:val="1"/>
    <w:pPr>
      <w:spacing w:line="400" w:lineRule="exact"/>
    </w:pPr>
    <w:rPr>
      <w:sz w:val="24"/>
    </w:rPr>
  </w:style>
  <w:style w:type="paragraph" w:customStyle="1" w:styleId="191">
    <w:name w:val="正文_0"/>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92">
    <w:name w:val="正文_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93">
    <w:name w:val="Normal_36"/>
    <w:qFormat/>
    <w:uiPriority w:val="0"/>
    <w:rPr>
      <w:rFonts w:ascii="Times New Roman" w:hAnsi="Times New Roman" w:eastAsia="Times New Roman" w:cs="Times New Roman"/>
      <w:sz w:val="24"/>
      <w:szCs w:val="24"/>
      <w:lang w:val="en-US" w:eastAsia="zh-CN" w:bidi="ar-SA"/>
    </w:rPr>
  </w:style>
  <w:style w:type="paragraph" w:customStyle="1" w:styleId="194">
    <w:name w:val="正文_0_0"/>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95">
    <w:name w:val="正文_6"/>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96">
    <w:name w:val="正文_16"/>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97">
    <w:name w:val="正文_19"/>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98">
    <w:name w:val="正文_23"/>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99">
    <w:name w:val="正文_28"/>
    <w:qFormat/>
    <w:uiPriority w:val="0"/>
    <w:pPr>
      <w:widowControl w:val="0"/>
      <w:jc w:val="both"/>
    </w:pPr>
    <w:rPr>
      <w:rFonts w:ascii="Times New Roman" w:hAnsi="Times New Roman" w:eastAsia="宋体" w:cs="Times New Roman"/>
      <w:kern w:val="2"/>
      <w:sz w:val="21"/>
      <w:szCs w:val="22"/>
      <w:lang w:val="en-US" w:eastAsia="zh-CN" w:bidi="ar-SA"/>
    </w:rPr>
  </w:style>
  <w:style w:type="character" w:customStyle="1" w:styleId="200">
    <w:name w:val="font101"/>
    <w:qFormat/>
    <w:uiPriority w:val="0"/>
    <w:rPr>
      <w:rFonts w:hint="default" w:ascii="Times New Roman" w:hAnsi="Times New Roman" w:cs="Times New Roman"/>
      <w:color w:val="000000"/>
      <w:sz w:val="18"/>
      <w:szCs w:val="18"/>
      <w:u w:val="none"/>
    </w:rPr>
  </w:style>
  <w:style w:type="character" w:customStyle="1" w:styleId="201">
    <w:name w:val="font112"/>
    <w:qFormat/>
    <w:uiPriority w:val="0"/>
    <w:rPr>
      <w:rFonts w:hint="eastAsia" w:ascii="宋体" w:hAnsi="宋体" w:eastAsia="宋体" w:cs="宋体"/>
      <w:color w:val="000000"/>
      <w:sz w:val="20"/>
      <w:szCs w:val="20"/>
      <w:u w:val="none"/>
    </w:rPr>
  </w:style>
  <w:style w:type="character" w:customStyle="1" w:styleId="202">
    <w:name w:val="l-btn-icon-right"/>
    <w:qFormat/>
    <w:uiPriority w:val="0"/>
  </w:style>
  <w:style w:type="character" w:customStyle="1" w:styleId="203">
    <w:name w:val="l-btn-left"/>
    <w:qFormat/>
    <w:uiPriority w:val="0"/>
  </w:style>
  <w:style w:type="character" w:customStyle="1" w:styleId="204">
    <w:name w:val="l-btn-left1"/>
    <w:qFormat/>
    <w:uiPriority w:val="0"/>
  </w:style>
  <w:style w:type="character" w:customStyle="1" w:styleId="205">
    <w:name w:val="l-btn-left2"/>
    <w:qFormat/>
    <w:uiPriority w:val="0"/>
  </w:style>
  <w:style w:type="character" w:customStyle="1" w:styleId="206">
    <w:name w:val="l-btn-left3"/>
    <w:qFormat/>
    <w:uiPriority w:val="0"/>
  </w:style>
  <w:style w:type="character" w:customStyle="1" w:styleId="207">
    <w:name w:val="l-btn-text"/>
    <w:qFormat/>
    <w:uiPriority w:val="0"/>
    <w:rPr>
      <w:sz w:val="18"/>
      <w:szCs w:val="18"/>
      <w:vertAlign w:val="baseline"/>
    </w:rPr>
  </w:style>
  <w:style w:type="character" w:customStyle="1" w:styleId="208">
    <w:name w:val="l-btn-icon-left"/>
    <w:qFormat/>
    <w:uiPriority w:val="0"/>
  </w:style>
  <w:style w:type="character" w:customStyle="1" w:styleId="209">
    <w:name w:val="l-btn-empty"/>
    <w:qFormat/>
    <w:uiPriority w:val="0"/>
  </w:style>
  <w:style w:type="character" w:customStyle="1" w:styleId="210">
    <w:name w:val="l-btn-left4"/>
    <w:qFormat/>
    <w:uiPriority w:val="0"/>
  </w:style>
  <w:style w:type="character" w:customStyle="1" w:styleId="211">
    <w:name w:val="l-btn-left5"/>
    <w:qFormat/>
    <w:uiPriority w:val="0"/>
  </w:style>
  <w:style w:type="character" w:customStyle="1" w:styleId="212">
    <w:name w:val="UserStyle_2"/>
    <w:qFormat/>
    <w:uiPriority w:val="0"/>
    <w:rPr>
      <w:rFonts w:ascii="宋体" w:hAnsi="宋体" w:eastAsia="宋体"/>
      <w:color w:val="000000"/>
      <w:sz w:val="22"/>
      <w:szCs w:val="22"/>
    </w:rPr>
  </w:style>
  <w:style w:type="character" w:customStyle="1" w:styleId="213">
    <w:name w:val="UserStyle_3"/>
    <w:qFormat/>
    <w:uiPriority w:val="0"/>
    <w:rPr>
      <w:rFonts w:ascii="宋体" w:hAnsi="宋体" w:eastAsia="宋体"/>
      <w:color w:val="FF0000"/>
      <w:sz w:val="22"/>
      <w:szCs w:val="22"/>
    </w:rPr>
  </w:style>
  <w:style w:type="paragraph" w:customStyle="1" w:styleId="214">
    <w:name w:val="CZG正文"/>
    <w:basedOn w:val="1"/>
    <w:qFormat/>
    <w:uiPriority w:val="0"/>
    <w:pPr>
      <w:spacing w:line="440" w:lineRule="exact"/>
    </w:pPr>
    <w:rPr>
      <w:rFonts w:ascii="幼圆" w:eastAsia="幼圆"/>
      <w:sz w:val="24"/>
    </w:rPr>
  </w:style>
  <w:style w:type="paragraph" w:customStyle="1" w:styleId="215">
    <w:name w:val="Table Paragraph"/>
    <w:basedOn w:val="1"/>
    <w:qFormat/>
    <w:uiPriority w:val="1"/>
    <w:rPr>
      <w:rFonts w:ascii="宋体" w:hAnsi="宋体" w:cs="宋体"/>
      <w:lang w:val="zh-CN" w:bidi="zh-CN"/>
    </w:rPr>
  </w:style>
  <w:style w:type="character" w:customStyle="1" w:styleId="216">
    <w:name w:val="font31"/>
    <w:qFormat/>
    <w:uiPriority w:val="0"/>
    <w:rPr>
      <w:rFonts w:ascii="Malgun Gothic" w:hAnsi="Malgun Gothic" w:eastAsia="Malgun Gothic" w:cs="Malgun Gothic"/>
      <w:color w:val="000000"/>
      <w:sz w:val="22"/>
      <w:szCs w:val="22"/>
      <w:u w:val="none"/>
    </w:rPr>
  </w:style>
  <w:style w:type="character" w:customStyle="1" w:styleId="217">
    <w:name w:val="layui-this2"/>
    <w:qFormat/>
    <w:uiPriority w:val="0"/>
    <w:rPr>
      <w:bdr w:val="single" w:color="EEEEEE" w:sz="4" w:space="0"/>
      <w:shd w:val="clear" w:color="auto" w:fill="FFFFFF"/>
    </w:rPr>
  </w:style>
  <w:style w:type="character" w:customStyle="1" w:styleId="218">
    <w:name w:val="layui-laypage-curr"/>
    <w:qFormat/>
    <w:uiPriority w:val="0"/>
  </w:style>
  <w:style w:type="character" w:customStyle="1" w:styleId="219">
    <w:name w:val="first-child"/>
    <w:qFormat/>
    <w:uiPriority w:val="0"/>
  </w:style>
  <w:style w:type="paragraph" w:customStyle="1" w:styleId="220">
    <w:name w:val="正文[858D7CFB-ED40-4347-BF05-701D383B685F][858D7CFB-ED40-4347-BF05-701D383B685F]"/>
    <w:basedOn w:val="62"/>
    <w:next w:val="62"/>
    <w:qFormat/>
    <w:uiPriority w:val="0"/>
    <w:pPr>
      <w:adjustRightInd/>
    </w:pPr>
    <w:rPr>
      <w:rFonts w:hint="eastAsia" w:hAnsi="黑体"/>
      <w:color w:val="000000"/>
      <w:sz w:val="24"/>
    </w:rPr>
  </w:style>
  <w:style w:type="paragraph" w:customStyle="1" w:styleId="221">
    <w:name w:val="PlainText"/>
    <w:basedOn w:val="1"/>
    <w:link w:val="222"/>
    <w:qFormat/>
    <w:uiPriority w:val="0"/>
    <w:pPr>
      <w:textAlignment w:val="baseline"/>
    </w:pPr>
    <w:rPr>
      <w:rFonts w:ascii="宋体" w:hAnsi="Courier New"/>
    </w:rPr>
  </w:style>
  <w:style w:type="character" w:customStyle="1" w:styleId="222">
    <w:name w:val="UserStyle_81"/>
    <w:link w:val="221"/>
    <w:qFormat/>
    <w:locked/>
    <w:uiPriority w:val="0"/>
    <w:rPr>
      <w:rFonts w:ascii="宋体" w:hAnsi="Courier New" w:cs="Times New Roman"/>
      <w:kern w:val="2"/>
      <w:sz w:val="21"/>
      <w:szCs w:val="24"/>
    </w:rPr>
  </w:style>
  <w:style w:type="paragraph" w:customStyle="1" w:styleId="223">
    <w:name w:val="Heading1"/>
    <w:basedOn w:val="1"/>
    <w:next w:val="1"/>
    <w:link w:val="224"/>
    <w:qFormat/>
    <w:uiPriority w:val="0"/>
    <w:pPr>
      <w:keepNext/>
      <w:widowControl/>
      <w:jc w:val="center"/>
      <w:textAlignment w:val="baseline"/>
    </w:pPr>
    <w:rPr>
      <w:rFonts w:ascii="Calibri" w:hAnsi="Calibri"/>
      <w:b/>
      <w:bCs/>
      <w:sz w:val="24"/>
      <w:szCs w:val="20"/>
    </w:rPr>
  </w:style>
  <w:style w:type="character" w:customStyle="1" w:styleId="224">
    <w:name w:val="UserStyle_88"/>
    <w:link w:val="223"/>
    <w:qFormat/>
    <w:locked/>
    <w:uiPriority w:val="0"/>
    <w:rPr>
      <w:rFonts w:ascii="Calibri" w:hAnsi="Calibri"/>
      <w:b/>
      <w:bCs/>
      <w:kern w:val="2"/>
      <w:sz w:val="24"/>
    </w:rPr>
  </w:style>
  <w:style w:type="paragraph" w:customStyle="1" w:styleId="225">
    <w:name w:val="Heading2"/>
    <w:basedOn w:val="1"/>
    <w:next w:val="1"/>
    <w:link w:val="226"/>
    <w:qFormat/>
    <w:uiPriority w:val="0"/>
    <w:pPr>
      <w:keepNext/>
      <w:keepLines/>
      <w:widowControl/>
      <w:spacing w:line="360" w:lineRule="auto"/>
      <w:textAlignment w:val="baseline"/>
    </w:pPr>
    <w:rPr>
      <w:rFonts w:ascii="Arial" w:hAnsi="Arial"/>
      <w:b/>
      <w:bCs/>
      <w:sz w:val="24"/>
      <w:szCs w:val="32"/>
    </w:rPr>
  </w:style>
  <w:style w:type="character" w:customStyle="1" w:styleId="226">
    <w:name w:val="UserStyle_41"/>
    <w:link w:val="225"/>
    <w:qFormat/>
    <w:locked/>
    <w:uiPriority w:val="0"/>
    <w:rPr>
      <w:rFonts w:ascii="Arial" w:hAnsi="Arial"/>
      <w:b/>
      <w:bCs/>
      <w:kern w:val="2"/>
      <w:sz w:val="24"/>
      <w:szCs w:val="32"/>
    </w:rPr>
  </w:style>
  <w:style w:type="paragraph" w:customStyle="1" w:styleId="227">
    <w:name w:val="Heading3"/>
    <w:basedOn w:val="1"/>
    <w:next w:val="1"/>
    <w:link w:val="228"/>
    <w:qFormat/>
    <w:uiPriority w:val="0"/>
    <w:pPr>
      <w:keepNext/>
      <w:keepLines/>
      <w:widowControl/>
      <w:spacing w:before="260" w:after="260" w:line="415" w:lineRule="auto"/>
      <w:textAlignment w:val="baseline"/>
    </w:pPr>
    <w:rPr>
      <w:rFonts w:ascii="Calibri" w:hAnsi="Calibri"/>
      <w:b/>
      <w:bCs/>
      <w:sz w:val="32"/>
      <w:szCs w:val="32"/>
    </w:rPr>
  </w:style>
  <w:style w:type="character" w:customStyle="1" w:styleId="228">
    <w:name w:val="UserStyle_38"/>
    <w:link w:val="227"/>
    <w:qFormat/>
    <w:locked/>
    <w:uiPriority w:val="0"/>
    <w:rPr>
      <w:rFonts w:ascii="Calibri" w:hAnsi="Calibri"/>
      <w:b/>
      <w:bCs/>
      <w:kern w:val="2"/>
      <w:sz w:val="32"/>
      <w:szCs w:val="32"/>
    </w:rPr>
  </w:style>
  <w:style w:type="paragraph" w:customStyle="1" w:styleId="229">
    <w:name w:val="Heading4"/>
    <w:basedOn w:val="1"/>
    <w:next w:val="1"/>
    <w:link w:val="230"/>
    <w:qFormat/>
    <w:uiPriority w:val="0"/>
    <w:pPr>
      <w:keepNext/>
      <w:keepLines/>
      <w:widowControl/>
      <w:spacing w:before="280" w:after="290" w:line="374" w:lineRule="auto"/>
      <w:textAlignment w:val="baseline"/>
    </w:pPr>
    <w:rPr>
      <w:rFonts w:ascii="Arial" w:hAnsi="Arial" w:eastAsia="黑体"/>
      <w:b/>
      <w:bCs/>
      <w:sz w:val="28"/>
      <w:szCs w:val="28"/>
    </w:rPr>
  </w:style>
  <w:style w:type="character" w:customStyle="1" w:styleId="230">
    <w:name w:val="UserStyle_28"/>
    <w:link w:val="229"/>
    <w:qFormat/>
    <w:locked/>
    <w:uiPriority w:val="0"/>
    <w:rPr>
      <w:rFonts w:ascii="Arial" w:hAnsi="Arial" w:eastAsia="黑体"/>
      <w:b/>
      <w:bCs/>
      <w:kern w:val="2"/>
      <w:sz w:val="28"/>
      <w:szCs w:val="28"/>
    </w:rPr>
  </w:style>
  <w:style w:type="paragraph" w:customStyle="1" w:styleId="231">
    <w:name w:val="Heading5"/>
    <w:basedOn w:val="1"/>
    <w:next w:val="1"/>
    <w:link w:val="232"/>
    <w:qFormat/>
    <w:uiPriority w:val="0"/>
    <w:pPr>
      <w:keepNext/>
      <w:keepLines/>
      <w:widowControl/>
      <w:spacing w:before="280" w:after="290" w:line="376" w:lineRule="atLeast"/>
      <w:jc w:val="left"/>
      <w:textAlignment w:val="baseline"/>
    </w:pPr>
    <w:rPr>
      <w:rFonts w:ascii="Calibri" w:hAnsi="Calibri"/>
      <w:b/>
      <w:bCs/>
      <w:kern w:val="0"/>
      <w:sz w:val="28"/>
      <w:szCs w:val="28"/>
    </w:rPr>
  </w:style>
  <w:style w:type="character" w:customStyle="1" w:styleId="232">
    <w:name w:val="UserStyle_78"/>
    <w:link w:val="231"/>
    <w:qFormat/>
    <w:locked/>
    <w:uiPriority w:val="0"/>
    <w:rPr>
      <w:rFonts w:ascii="Calibri" w:hAnsi="Calibri"/>
      <w:b/>
      <w:bCs/>
      <w:sz w:val="28"/>
      <w:szCs w:val="28"/>
    </w:rPr>
  </w:style>
  <w:style w:type="paragraph" w:customStyle="1" w:styleId="233">
    <w:name w:val="Heading6"/>
    <w:basedOn w:val="1"/>
    <w:next w:val="1"/>
    <w:link w:val="234"/>
    <w:qFormat/>
    <w:uiPriority w:val="0"/>
    <w:pPr>
      <w:keepNext/>
      <w:keepLines/>
      <w:widowControl/>
      <w:spacing w:before="240" w:after="64" w:line="320" w:lineRule="atLeast"/>
      <w:jc w:val="left"/>
      <w:textAlignment w:val="baseline"/>
    </w:pPr>
    <w:rPr>
      <w:rFonts w:ascii="Arial" w:hAnsi="Arial" w:eastAsia="黑体"/>
      <w:b/>
      <w:bCs/>
      <w:kern w:val="0"/>
      <w:sz w:val="24"/>
    </w:rPr>
  </w:style>
  <w:style w:type="character" w:customStyle="1" w:styleId="234">
    <w:name w:val="UserStyle_76"/>
    <w:link w:val="233"/>
    <w:qFormat/>
    <w:locked/>
    <w:uiPriority w:val="0"/>
    <w:rPr>
      <w:rFonts w:ascii="Arial" w:hAnsi="Arial" w:eastAsia="黑体"/>
      <w:b/>
      <w:bCs/>
      <w:sz w:val="24"/>
      <w:szCs w:val="24"/>
    </w:rPr>
  </w:style>
  <w:style w:type="paragraph" w:customStyle="1" w:styleId="235">
    <w:name w:val="Heading7"/>
    <w:basedOn w:val="1"/>
    <w:next w:val="1"/>
    <w:link w:val="236"/>
    <w:qFormat/>
    <w:uiPriority w:val="0"/>
    <w:pPr>
      <w:keepNext/>
      <w:keepLines/>
      <w:widowControl/>
      <w:spacing w:before="240" w:after="64" w:line="320" w:lineRule="atLeast"/>
      <w:jc w:val="left"/>
      <w:textAlignment w:val="baseline"/>
    </w:pPr>
    <w:rPr>
      <w:rFonts w:ascii="Calibri" w:hAnsi="Calibri"/>
      <w:b/>
      <w:bCs/>
      <w:kern w:val="0"/>
      <w:sz w:val="24"/>
    </w:rPr>
  </w:style>
  <w:style w:type="character" w:customStyle="1" w:styleId="236">
    <w:name w:val="UserStyle_84"/>
    <w:link w:val="235"/>
    <w:qFormat/>
    <w:locked/>
    <w:uiPriority w:val="0"/>
    <w:rPr>
      <w:rFonts w:ascii="Calibri" w:hAnsi="Calibri"/>
      <w:b/>
      <w:bCs/>
      <w:sz w:val="24"/>
      <w:szCs w:val="24"/>
    </w:rPr>
  </w:style>
  <w:style w:type="paragraph" w:customStyle="1" w:styleId="237">
    <w:name w:val="Heading8"/>
    <w:basedOn w:val="1"/>
    <w:next w:val="1"/>
    <w:link w:val="238"/>
    <w:qFormat/>
    <w:uiPriority w:val="0"/>
    <w:pPr>
      <w:keepNext/>
      <w:keepLines/>
      <w:widowControl/>
      <w:spacing w:before="240" w:after="64" w:line="320" w:lineRule="atLeast"/>
      <w:jc w:val="left"/>
      <w:textAlignment w:val="baseline"/>
    </w:pPr>
    <w:rPr>
      <w:rFonts w:ascii="Arial" w:hAnsi="Arial" w:eastAsia="黑体"/>
      <w:kern w:val="0"/>
      <w:sz w:val="24"/>
    </w:rPr>
  </w:style>
  <w:style w:type="character" w:customStyle="1" w:styleId="238">
    <w:name w:val="UserStyle_65"/>
    <w:link w:val="237"/>
    <w:qFormat/>
    <w:locked/>
    <w:uiPriority w:val="0"/>
    <w:rPr>
      <w:rFonts w:ascii="Arial" w:hAnsi="Arial" w:eastAsia="黑体"/>
      <w:sz w:val="24"/>
      <w:szCs w:val="24"/>
    </w:rPr>
  </w:style>
  <w:style w:type="paragraph" w:customStyle="1" w:styleId="239">
    <w:name w:val="Heading9"/>
    <w:basedOn w:val="1"/>
    <w:next w:val="1"/>
    <w:link w:val="240"/>
    <w:qFormat/>
    <w:uiPriority w:val="0"/>
    <w:pPr>
      <w:keepNext/>
      <w:keepLines/>
      <w:widowControl/>
      <w:spacing w:before="240" w:after="64" w:line="320" w:lineRule="atLeast"/>
      <w:jc w:val="left"/>
      <w:textAlignment w:val="baseline"/>
    </w:pPr>
    <w:rPr>
      <w:rFonts w:ascii="Arial" w:hAnsi="Arial" w:eastAsia="黑体"/>
      <w:kern w:val="0"/>
      <w:szCs w:val="21"/>
    </w:rPr>
  </w:style>
  <w:style w:type="character" w:customStyle="1" w:styleId="240">
    <w:name w:val="UserStyle_14"/>
    <w:link w:val="239"/>
    <w:qFormat/>
    <w:locked/>
    <w:uiPriority w:val="0"/>
    <w:rPr>
      <w:rFonts w:ascii="Arial" w:hAnsi="Arial" w:eastAsia="黑体"/>
      <w:sz w:val="21"/>
      <w:szCs w:val="21"/>
    </w:rPr>
  </w:style>
  <w:style w:type="character" w:customStyle="1" w:styleId="241">
    <w:name w:val="HtmlCode"/>
    <w:qFormat/>
    <w:uiPriority w:val="0"/>
    <w:rPr>
      <w:rFonts w:ascii="Courier New" w:hAnsi="Courier New" w:eastAsia="Courier New"/>
      <w:sz w:val="24"/>
      <w:szCs w:val="24"/>
    </w:rPr>
  </w:style>
  <w:style w:type="character" w:customStyle="1" w:styleId="242">
    <w:name w:val="AnnotationReference"/>
    <w:qFormat/>
    <w:uiPriority w:val="0"/>
    <w:rPr>
      <w:sz w:val="21"/>
      <w:szCs w:val="21"/>
    </w:rPr>
  </w:style>
  <w:style w:type="character" w:customStyle="1" w:styleId="243">
    <w:name w:val="HtmlVar"/>
    <w:qFormat/>
    <w:uiPriority w:val="0"/>
    <w:rPr>
      <w:rFonts w:ascii="Times New Roman" w:hAnsi="Times New Roman" w:eastAsia="宋体"/>
    </w:rPr>
  </w:style>
  <w:style w:type="character" w:customStyle="1" w:styleId="244">
    <w:name w:val="HtmlKbd"/>
    <w:qFormat/>
    <w:uiPriority w:val="0"/>
    <w:rPr>
      <w:rFonts w:ascii="Courier New" w:hAnsi="Courier New" w:eastAsia="Courier New"/>
      <w:sz w:val="24"/>
      <w:szCs w:val="24"/>
    </w:rPr>
  </w:style>
  <w:style w:type="character" w:customStyle="1" w:styleId="245">
    <w:name w:val="PageNumber"/>
    <w:basedOn w:val="112"/>
    <w:qFormat/>
    <w:uiPriority w:val="0"/>
  </w:style>
  <w:style w:type="character" w:customStyle="1" w:styleId="246">
    <w:name w:val="HtmlCite"/>
    <w:qFormat/>
    <w:uiPriority w:val="0"/>
    <w:rPr>
      <w:rFonts w:ascii="Times New Roman" w:hAnsi="Times New Roman" w:eastAsia="宋体"/>
    </w:rPr>
  </w:style>
  <w:style w:type="character" w:customStyle="1" w:styleId="247">
    <w:name w:val="htmlSamp"/>
    <w:qFormat/>
    <w:uiPriority w:val="0"/>
    <w:rPr>
      <w:rFonts w:ascii="Courier New" w:hAnsi="Courier New" w:eastAsia="Courier New"/>
    </w:rPr>
  </w:style>
  <w:style w:type="character" w:customStyle="1" w:styleId="248">
    <w:name w:val="HtmlDfn"/>
    <w:qFormat/>
    <w:uiPriority w:val="0"/>
    <w:rPr>
      <w:rFonts w:ascii="Times New Roman" w:hAnsi="Times New Roman" w:eastAsia="宋体"/>
    </w:rPr>
  </w:style>
  <w:style w:type="character" w:customStyle="1" w:styleId="249">
    <w:name w:val="UserStyle_0"/>
    <w:link w:val="250"/>
    <w:qFormat/>
    <w:uiPriority w:val="0"/>
    <w:rPr>
      <w:kern w:val="2"/>
      <w:sz w:val="21"/>
      <w:szCs w:val="24"/>
    </w:rPr>
  </w:style>
  <w:style w:type="paragraph" w:customStyle="1" w:styleId="250">
    <w:name w:val="BodyText"/>
    <w:basedOn w:val="1"/>
    <w:link w:val="249"/>
    <w:autoRedefine/>
    <w:qFormat/>
    <w:uiPriority w:val="0"/>
    <w:pPr>
      <w:widowControl/>
      <w:spacing w:after="120"/>
      <w:textAlignment w:val="baseline"/>
    </w:pPr>
  </w:style>
  <w:style w:type="character" w:customStyle="1" w:styleId="251">
    <w:name w:val="UserStyle_1"/>
    <w:qFormat/>
    <w:uiPriority w:val="0"/>
    <w:rPr>
      <w:rFonts w:ascii="宋体" w:hAnsi="宋体" w:eastAsia="宋体"/>
      <w:b/>
      <w:spacing w:val="-30"/>
      <w:sz w:val="28"/>
    </w:rPr>
  </w:style>
  <w:style w:type="character" w:customStyle="1" w:styleId="252">
    <w:name w:val="UserStyle_4"/>
    <w:basedOn w:val="112"/>
    <w:qFormat/>
    <w:uiPriority w:val="0"/>
  </w:style>
  <w:style w:type="character" w:customStyle="1" w:styleId="253">
    <w:name w:val="UserStyle_5"/>
    <w:qFormat/>
    <w:uiPriority w:val="0"/>
    <w:rPr>
      <w:rFonts w:ascii="Arial" w:hAnsi="Arial" w:eastAsia="黑体"/>
      <w:sz w:val="24"/>
      <w:szCs w:val="24"/>
      <w:lang w:val="en-US" w:eastAsia="zh-CN" w:bidi="ar-SA"/>
    </w:rPr>
  </w:style>
  <w:style w:type="character" w:customStyle="1" w:styleId="254">
    <w:name w:val="UserStyle_6"/>
    <w:qFormat/>
    <w:uiPriority w:val="0"/>
    <w:rPr>
      <w:rFonts w:ascii="Times New Roman" w:hAnsi="Times New Roman" w:eastAsia="宋体"/>
    </w:rPr>
  </w:style>
  <w:style w:type="character" w:customStyle="1" w:styleId="255">
    <w:name w:val="UserStyle_7"/>
    <w:qFormat/>
    <w:uiPriority w:val="0"/>
    <w:rPr>
      <w:rFonts w:ascii="Times New Roman" w:hAnsi="Times New Roman" w:eastAsia="宋体"/>
    </w:rPr>
  </w:style>
  <w:style w:type="character" w:customStyle="1" w:styleId="256">
    <w:name w:val="UserStyle_8"/>
    <w:qFormat/>
    <w:uiPriority w:val="0"/>
    <w:rPr>
      <w:rFonts w:ascii="宋体" w:hAnsi="宋体" w:eastAsia="宋体"/>
      <w:sz w:val="24"/>
    </w:rPr>
  </w:style>
  <w:style w:type="character" w:customStyle="1" w:styleId="257">
    <w:name w:val="UserStyle_9"/>
    <w:qFormat/>
    <w:uiPriority w:val="0"/>
    <w:rPr>
      <w:kern w:val="2"/>
      <w:sz w:val="21"/>
      <w:szCs w:val="24"/>
      <w:lang w:bidi="ar-SA"/>
    </w:rPr>
  </w:style>
  <w:style w:type="character" w:customStyle="1" w:styleId="258">
    <w:name w:val="UserStyle_10"/>
    <w:qFormat/>
    <w:uiPriority w:val="0"/>
    <w:rPr>
      <w:rFonts w:ascii="宋体" w:hAnsi="Courier New" w:eastAsia="宋体"/>
      <w:kern w:val="2"/>
      <w:sz w:val="21"/>
      <w:szCs w:val="21"/>
      <w:lang w:val="en-US" w:eastAsia="zh-CN" w:bidi="ar-SA"/>
    </w:rPr>
  </w:style>
  <w:style w:type="character" w:customStyle="1" w:styleId="259">
    <w:name w:val="UserStyle_11"/>
    <w:qFormat/>
    <w:uiPriority w:val="0"/>
    <w:rPr>
      <w:rFonts w:ascii="Arial" w:hAnsi="Arial" w:eastAsia="宋体" w:cs="Times New Roman"/>
      <w:b/>
      <w:bCs/>
      <w:szCs w:val="28"/>
    </w:rPr>
  </w:style>
  <w:style w:type="character" w:customStyle="1" w:styleId="260">
    <w:name w:val="UserStyle_12"/>
    <w:qFormat/>
    <w:uiPriority w:val="0"/>
    <w:rPr>
      <w:rFonts w:ascii="宋体" w:hAnsi="宋体" w:eastAsia="宋体"/>
      <w:spacing w:val="30"/>
      <w:sz w:val="24"/>
    </w:rPr>
  </w:style>
  <w:style w:type="character" w:customStyle="1" w:styleId="261">
    <w:name w:val="UserStyle_13"/>
    <w:qFormat/>
    <w:uiPriority w:val="0"/>
    <w:rPr>
      <w:rFonts w:ascii="Times New Roman" w:hAnsi="Times New Roman" w:eastAsia="Times New Roman"/>
      <w:sz w:val="16"/>
    </w:rPr>
  </w:style>
  <w:style w:type="character" w:customStyle="1" w:styleId="262">
    <w:name w:val="UserStyle_15"/>
    <w:qFormat/>
    <w:uiPriority w:val="0"/>
    <w:rPr>
      <w:rFonts w:ascii="宋体" w:hAnsi="宋体" w:eastAsia="宋体"/>
      <w:spacing w:val="-20"/>
      <w:sz w:val="24"/>
    </w:rPr>
  </w:style>
  <w:style w:type="character" w:customStyle="1" w:styleId="263">
    <w:name w:val="UserStyle_17"/>
    <w:qFormat/>
    <w:uiPriority w:val="0"/>
    <w:rPr>
      <w:rFonts w:ascii="Times New Roman" w:hAnsi="Times New Roman" w:eastAsia="宋体"/>
    </w:rPr>
  </w:style>
  <w:style w:type="character" w:customStyle="1" w:styleId="264">
    <w:name w:val="UserStyle_18"/>
    <w:link w:val="265"/>
    <w:qFormat/>
    <w:locked/>
    <w:uiPriority w:val="0"/>
    <w:rPr>
      <w:rFonts w:ascii="宋体" w:hAnsi="宋体"/>
      <w:b/>
      <w:bCs/>
      <w:kern w:val="2"/>
      <w:sz w:val="21"/>
      <w:szCs w:val="24"/>
    </w:rPr>
  </w:style>
  <w:style w:type="paragraph" w:customStyle="1" w:styleId="265">
    <w:name w:val="AnnotationSubject"/>
    <w:basedOn w:val="266"/>
    <w:next w:val="266"/>
    <w:link w:val="264"/>
    <w:qFormat/>
    <w:uiPriority w:val="0"/>
    <w:rPr>
      <w:b/>
      <w:bCs/>
    </w:rPr>
  </w:style>
  <w:style w:type="paragraph" w:customStyle="1" w:styleId="266">
    <w:name w:val="AnnotationText"/>
    <w:basedOn w:val="1"/>
    <w:link w:val="267"/>
    <w:semiHidden/>
    <w:qFormat/>
    <w:uiPriority w:val="0"/>
    <w:pPr>
      <w:widowControl/>
      <w:jc w:val="left"/>
      <w:textAlignment w:val="baseline"/>
    </w:pPr>
    <w:rPr>
      <w:rFonts w:ascii="宋体" w:hAnsi="宋体"/>
    </w:rPr>
  </w:style>
  <w:style w:type="character" w:customStyle="1" w:styleId="267">
    <w:name w:val="UserStyle_53"/>
    <w:link w:val="266"/>
    <w:semiHidden/>
    <w:qFormat/>
    <w:locked/>
    <w:uiPriority w:val="0"/>
    <w:rPr>
      <w:rFonts w:ascii="宋体" w:hAnsi="宋体"/>
      <w:kern w:val="2"/>
      <w:sz w:val="21"/>
      <w:szCs w:val="24"/>
    </w:rPr>
  </w:style>
  <w:style w:type="character" w:customStyle="1" w:styleId="268">
    <w:name w:val="UserStyle_19"/>
    <w:link w:val="269"/>
    <w:qFormat/>
    <w:locked/>
    <w:uiPriority w:val="0"/>
    <w:rPr>
      <w:rFonts w:ascii="Calibri" w:hAnsi="Calibri"/>
      <w:kern w:val="2"/>
      <w:sz w:val="18"/>
      <w:szCs w:val="18"/>
    </w:rPr>
  </w:style>
  <w:style w:type="paragraph" w:customStyle="1" w:styleId="269">
    <w:name w:val="Acetate"/>
    <w:basedOn w:val="1"/>
    <w:link w:val="268"/>
    <w:qFormat/>
    <w:uiPriority w:val="0"/>
    <w:pPr>
      <w:widowControl/>
      <w:textAlignment w:val="baseline"/>
    </w:pPr>
    <w:rPr>
      <w:rFonts w:ascii="Calibri" w:hAnsi="Calibri"/>
      <w:sz w:val="18"/>
      <w:szCs w:val="18"/>
    </w:rPr>
  </w:style>
  <w:style w:type="character" w:customStyle="1" w:styleId="270">
    <w:name w:val="UserStyle_20"/>
    <w:qFormat/>
    <w:uiPriority w:val="0"/>
    <w:rPr>
      <w:rFonts w:ascii="Times New Roman" w:hAnsi="Times New Roman" w:eastAsia="宋体"/>
      <w:color w:val="FFFFFF"/>
    </w:rPr>
  </w:style>
  <w:style w:type="character" w:customStyle="1" w:styleId="271">
    <w:name w:val="UserStyle_21"/>
    <w:qFormat/>
    <w:uiPriority w:val="0"/>
    <w:rPr>
      <w:kern w:val="2"/>
      <w:sz w:val="21"/>
      <w:szCs w:val="24"/>
    </w:rPr>
  </w:style>
  <w:style w:type="character" w:customStyle="1" w:styleId="272">
    <w:name w:val="UserStyle_22"/>
    <w:qFormat/>
    <w:uiPriority w:val="0"/>
    <w:rPr>
      <w:rFonts w:eastAsia="宋体"/>
      <w:kern w:val="2"/>
      <w:sz w:val="21"/>
      <w:szCs w:val="24"/>
      <w:lang w:val="en-US" w:eastAsia="zh-CN" w:bidi="ar-SA"/>
    </w:rPr>
  </w:style>
  <w:style w:type="character" w:customStyle="1" w:styleId="273">
    <w:name w:val="UserStyle_23"/>
    <w:qFormat/>
    <w:uiPriority w:val="0"/>
    <w:rPr>
      <w:rFonts w:cs="Times New Roman"/>
      <w:b/>
      <w:bCs/>
      <w:kern w:val="2"/>
      <w:sz w:val="28"/>
      <w:szCs w:val="28"/>
    </w:rPr>
  </w:style>
  <w:style w:type="character" w:customStyle="1" w:styleId="274">
    <w:name w:val="UserStyle_24"/>
    <w:qFormat/>
    <w:uiPriority w:val="0"/>
    <w:rPr>
      <w:rFonts w:ascii="Cambria" w:hAnsi="Cambria" w:eastAsia="宋体" w:cs="Times New Roman"/>
      <w:b/>
      <w:bCs/>
      <w:sz w:val="32"/>
      <w:szCs w:val="32"/>
    </w:rPr>
  </w:style>
  <w:style w:type="character" w:customStyle="1" w:styleId="275">
    <w:name w:val="UserStyle_25"/>
    <w:qFormat/>
    <w:uiPriority w:val="0"/>
    <w:rPr>
      <w:rFonts w:cs="Times New Roman"/>
      <w:b/>
      <w:bCs/>
      <w:sz w:val="24"/>
      <w:szCs w:val="24"/>
    </w:rPr>
  </w:style>
  <w:style w:type="character" w:customStyle="1" w:styleId="276">
    <w:name w:val="UserStyle_26"/>
    <w:qFormat/>
    <w:uiPriority w:val="0"/>
    <w:rPr>
      <w:rFonts w:ascii="宋体" w:hAnsi="宋体" w:eastAsia="宋体"/>
      <w:kern w:val="2"/>
      <w:sz w:val="21"/>
      <w:szCs w:val="21"/>
      <w:lang w:val="en-US" w:eastAsia="zh-CN" w:bidi="ar-SA"/>
    </w:rPr>
  </w:style>
  <w:style w:type="character" w:customStyle="1" w:styleId="277">
    <w:name w:val="UserStyle_27"/>
    <w:qFormat/>
    <w:uiPriority w:val="0"/>
    <w:rPr>
      <w:rFonts w:ascii="Arial" w:hAnsi="Arial" w:eastAsia="黑体"/>
      <w:sz w:val="24"/>
      <w:szCs w:val="24"/>
    </w:rPr>
  </w:style>
  <w:style w:type="character" w:customStyle="1" w:styleId="278">
    <w:name w:val="UserStyle_29"/>
    <w:qFormat/>
    <w:uiPriority w:val="0"/>
    <w:rPr>
      <w:rFonts w:ascii="宋体" w:hAnsi="宋体" w:eastAsia="宋体"/>
      <w:spacing w:val="-10"/>
      <w:sz w:val="30"/>
    </w:rPr>
  </w:style>
  <w:style w:type="character" w:customStyle="1" w:styleId="279">
    <w:name w:val="UserStyle_30"/>
    <w:qFormat/>
    <w:uiPriority w:val="0"/>
    <w:rPr>
      <w:rFonts w:ascii="宋体" w:hAnsi="宋体" w:eastAsia="宋体"/>
      <w:b/>
      <w:spacing w:val="-20"/>
      <w:sz w:val="40"/>
    </w:rPr>
  </w:style>
  <w:style w:type="character" w:customStyle="1" w:styleId="280">
    <w:name w:val="UserStyle_31"/>
    <w:qFormat/>
    <w:uiPriority w:val="0"/>
    <w:rPr>
      <w:kern w:val="2"/>
      <w:sz w:val="18"/>
      <w:szCs w:val="18"/>
    </w:rPr>
  </w:style>
  <w:style w:type="character" w:customStyle="1" w:styleId="281">
    <w:name w:val="UserStyle_32"/>
    <w:qFormat/>
    <w:uiPriority w:val="0"/>
    <w:rPr>
      <w:rFonts w:ascii="Times New Roman" w:hAnsi="Times New Roman" w:eastAsia="宋体"/>
    </w:rPr>
  </w:style>
  <w:style w:type="character" w:customStyle="1" w:styleId="282">
    <w:name w:val="UserStyle_33"/>
    <w:qFormat/>
    <w:uiPriority w:val="0"/>
    <w:rPr>
      <w:rFonts w:ascii="Times New Roman" w:hAnsi="Times New Roman" w:eastAsia="宋体"/>
    </w:rPr>
  </w:style>
  <w:style w:type="character" w:customStyle="1" w:styleId="283">
    <w:name w:val="UserStyle_34"/>
    <w:qFormat/>
    <w:uiPriority w:val="0"/>
    <w:rPr>
      <w:kern w:val="2"/>
      <w:sz w:val="21"/>
      <w:szCs w:val="24"/>
    </w:rPr>
  </w:style>
  <w:style w:type="character" w:customStyle="1" w:styleId="284">
    <w:name w:val="UserStyle_35"/>
    <w:link w:val="285"/>
    <w:qFormat/>
    <w:locked/>
    <w:uiPriority w:val="0"/>
    <w:rPr>
      <w:rFonts w:ascii="宋体" w:hAnsi="宋体"/>
      <w:kern w:val="2"/>
      <w:sz w:val="18"/>
      <w:szCs w:val="18"/>
    </w:rPr>
  </w:style>
  <w:style w:type="paragraph" w:customStyle="1" w:styleId="285">
    <w:name w:val="页眉1"/>
    <w:basedOn w:val="1"/>
    <w:link w:val="284"/>
    <w:qFormat/>
    <w:uiPriority w:val="0"/>
    <w:pPr>
      <w:widowControl/>
      <w:pBdr>
        <w:bottom w:val="single" w:color="000000" w:sz="6" w:space="1"/>
      </w:pBdr>
      <w:tabs>
        <w:tab w:val="center" w:pos="4153"/>
        <w:tab w:val="right" w:pos="8306"/>
      </w:tabs>
      <w:snapToGrid w:val="0"/>
      <w:jc w:val="center"/>
      <w:textAlignment w:val="baseline"/>
    </w:pPr>
    <w:rPr>
      <w:rFonts w:ascii="宋体" w:hAnsi="宋体"/>
      <w:sz w:val="18"/>
      <w:szCs w:val="18"/>
    </w:rPr>
  </w:style>
  <w:style w:type="character" w:customStyle="1" w:styleId="286">
    <w:name w:val="UserStyle_36"/>
    <w:qFormat/>
    <w:uiPriority w:val="0"/>
    <w:rPr>
      <w:rFonts w:ascii="宋体" w:hAnsi="宋体" w:eastAsia="宋体"/>
      <w:spacing w:val="20"/>
      <w:sz w:val="24"/>
    </w:rPr>
  </w:style>
  <w:style w:type="character" w:customStyle="1" w:styleId="287">
    <w:name w:val="UserStyle_37"/>
    <w:qFormat/>
    <w:uiPriority w:val="0"/>
    <w:rPr>
      <w:rFonts w:ascii="Times New Roman" w:hAnsi="Times New Roman" w:eastAsia="宋体"/>
    </w:rPr>
  </w:style>
  <w:style w:type="character" w:customStyle="1" w:styleId="288">
    <w:name w:val="UserStyle_39"/>
    <w:qFormat/>
    <w:uiPriority w:val="0"/>
    <w:rPr>
      <w:rFonts w:ascii="Cambria" w:hAnsi="Cambria" w:eastAsia="宋体" w:cs="Times New Roman"/>
      <w:b/>
      <w:bCs/>
      <w:kern w:val="2"/>
      <w:sz w:val="32"/>
      <w:szCs w:val="32"/>
    </w:rPr>
  </w:style>
  <w:style w:type="character" w:customStyle="1" w:styleId="289">
    <w:name w:val="UserStyle_40"/>
    <w:qFormat/>
    <w:uiPriority w:val="0"/>
    <w:rPr>
      <w:rFonts w:cs="Times New Roman"/>
      <w:b/>
      <w:bCs/>
      <w:sz w:val="24"/>
      <w:szCs w:val="24"/>
    </w:rPr>
  </w:style>
  <w:style w:type="character" w:customStyle="1" w:styleId="290">
    <w:name w:val="UserStyle_42"/>
    <w:qFormat/>
    <w:uiPriority w:val="0"/>
    <w:rPr>
      <w:rFonts w:ascii="Times New Roman" w:hAnsi="Times New Roman" w:eastAsia="Times New Roman"/>
      <w:sz w:val="18"/>
    </w:rPr>
  </w:style>
  <w:style w:type="character" w:customStyle="1" w:styleId="291">
    <w:name w:val="UserStyle_43"/>
    <w:qFormat/>
    <w:uiPriority w:val="0"/>
    <w:rPr>
      <w:rFonts w:ascii="Arial" w:hAnsi="Arial" w:eastAsia="宋体"/>
      <w:b/>
      <w:color w:val="999999"/>
      <w:sz w:val="21"/>
      <w:szCs w:val="21"/>
    </w:rPr>
  </w:style>
  <w:style w:type="character" w:customStyle="1" w:styleId="292">
    <w:name w:val="UserStyle_44"/>
    <w:qFormat/>
    <w:uiPriority w:val="0"/>
    <w:rPr>
      <w:rFonts w:ascii="Arial" w:hAnsi="Arial" w:eastAsia="黑体" w:cs="Arial"/>
      <w:b/>
      <w:bCs/>
      <w:sz w:val="28"/>
      <w:szCs w:val="28"/>
      <w:lang w:val="en-US" w:eastAsia="zh-CN" w:bidi="ar-SA"/>
    </w:rPr>
  </w:style>
  <w:style w:type="character" w:customStyle="1" w:styleId="293">
    <w:name w:val="UserStyle_45"/>
    <w:qFormat/>
    <w:uiPriority w:val="0"/>
    <w:rPr>
      <w:rFonts w:ascii="Times New Roman" w:hAnsi="Times New Roman" w:eastAsia="宋体"/>
      <w:color w:val="FF6666"/>
      <w:sz w:val="18"/>
      <w:szCs w:val="18"/>
    </w:rPr>
  </w:style>
  <w:style w:type="character" w:customStyle="1" w:styleId="294">
    <w:name w:val="UserStyle_46"/>
    <w:qFormat/>
    <w:uiPriority w:val="0"/>
    <w:rPr>
      <w:rFonts w:ascii="Arial" w:hAnsi="Arial" w:eastAsia="宋体" w:cs="Arial"/>
      <w:b/>
      <w:bCs/>
      <w:kern w:val="2"/>
      <w:sz w:val="21"/>
      <w:szCs w:val="28"/>
      <w:lang w:val="en-US" w:eastAsia="zh-CN" w:bidi="ar-SA"/>
    </w:rPr>
  </w:style>
  <w:style w:type="character" w:customStyle="1" w:styleId="295">
    <w:name w:val="UserStyle_47"/>
    <w:qFormat/>
    <w:uiPriority w:val="0"/>
    <w:rPr>
      <w:rFonts w:ascii="Cambria" w:hAnsi="Cambria" w:cs="Times New Roman"/>
      <w:b/>
      <w:bCs/>
      <w:kern w:val="32"/>
      <w:sz w:val="32"/>
      <w:szCs w:val="32"/>
    </w:rPr>
  </w:style>
  <w:style w:type="character" w:customStyle="1" w:styleId="296">
    <w:name w:val="UserStyle_48"/>
    <w:qFormat/>
    <w:uiPriority w:val="0"/>
    <w:rPr>
      <w:rFonts w:ascii="Times New Roman" w:hAnsi="Times New Roman" w:eastAsia="Times New Roman"/>
      <w:sz w:val="28"/>
    </w:rPr>
  </w:style>
  <w:style w:type="character" w:customStyle="1" w:styleId="297">
    <w:name w:val="UserStyle_49"/>
    <w:qFormat/>
    <w:uiPriority w:val="0"/>
    <w:rPr>
      <w:rFonts w:ascii="宋体" w:hAnsi="宋体" w:eastAsia="宋体"/>
      <w:b/>
      <w:sz w:val="26"/>
    </w:rPr>
  </w:style>
  <w:style w:type="character" w:customStyle="1" w:styleId="298">
    <w:name w:val="UserStyle_50"/>
    <w:qFormat/>
    <w:uiPriority w:val="0"/>
    <w:rPr>
      <w:rFonts w:ascii="宋体" w:hAnsi="宋体" w:eastAsia="宋体"/>
      <w:spacing w:val="20"/>
      <w:sz w:val="24"/>
    </w:rPr>
  </w:style>
  <w:style w:type="character" w:customStyle="1" w:styleId="299">
    <w:name w:val="UserStyle_51"/>
    <w:link w:val="300"/>
    <w:qFormat/>
    <w:locked/>
    <w:uiPriority w:val="0"/>
    <w:rPr>
      <w:rFonts w:ascii="宋体" w:hAnsi="宋体"/>
      <w:kern w:val="2"/>
      <w:sz w:val="21"/>
      <w:szCs w:val="24"/>
    </w:rPr>
  </w:style>
  <w:style w:type="paragraph" w:customStyle="1" w:styleId="300">
    <w:name w:val="BodyTextIndent"/>
    <w:basedOn w:val="1"/>
    <w:next w:val="1"/>
    <w:link w:val="299"/>
    <w:qFormat/>
    <w:uiPriority w:val="0"/>
    <w:pPr>
      <w:widowControl/>
      <w:spacing w:after="120"/>
      <w:ind w:left="420" w:leftChars="200"/>
      <w:textAlignment w:val="baseline"/>
    </w:pPr>
    <w:rPr>
      <w:rFonts w:ascii="宋体" w:hAnsi="宋体"/>
    </w:rPr>
  </w:style>
  <w:style w:type="character" w:customStyle="1" w:styleId="301">
    <w:name w:val="UserStyle_52"/>
    <w:qFormat/>
    <w:uiPriority w:val="0"/>
    <w:rPr>
      <w:kern w:val="2"/>
      <w:sz w:val="18"/>
      <w:szCs w:val="18"/>
    </w:rPr>
  </w:style>
  <w:style w:type="character" w:customStyle="1" w:styleId="302">
    <w:name w:val="UserStyle_54"/>
    <w:qFormat/>
    <w:uiPriority w:val="0"/>
    <w:rPr>
      <w:rFonts w:ascii="宋体" w:hAnsi="宋体" w:eastAsia="宋体"/>
      <w:kern w:val="2"/>
      <w:sz w:val="24"/>
      <w:lang w:val="en-US" w:eastAsia="zh-CN" w:bidi="ar-SA"/>
    </w:rPr>
  </w:style>
  <w:style w:type="character" w:customStyle="1" w:styleId="303">
    <w:name w:val="UserStyle_55"/>
    <w:link w:val="304"/>
    <w:qFormat/>
    <w:locked/>
    <w:uiPriority w:val="0"/>
    <w:rPr>
      <w:rFonts w:ascii="宋体" w:hAnsi="宋体"/>
      <w:kern w:val="2"/>
      <w:sz w:val="16"/>
      <w:szCs w:val="16"/>
    </w:rPr>
  </w:style>
  <w:style w:type="paragraph" w:customStyle="1" w:styleId="304">
    <w:name w:val="BodyTextIndent3"/>
    <w:basedOn w:val="1"/>
    <w:link w:val="303"/>
    <w:qFormat/>
    <w:uiPriority w:val="0"/>
    <w:pPr>
      <w:widowControl/>
      <w:spacing w:after="120"/>
      <w:ind w:left="420" w:leftChars="200"/>
      <w:textAlignment w:val="baseline"/>
    </w:pPr>
    <w:rPr>
      <w:rFonts w:ascii="宋体" w:hAnsi="宋体"/>
      <w:sz w:val="16"/>
      <w:szCs w:val="16"/>
    </w:rPr>
  </w:style>
  <w:style w:type="character" w:customStyle="1" w:styleId="305">
    <w:name w:val="UserStyle_56"/>
    <w:link w:val="306"/>
    <w:qFormat/>
    <w:locked/>
    <w:uiPriority w:val="0"/>
    <w:rPr>
      <w:rFonts w:ascii="宋体" w:hAnsi="宋体"/>
      <w:sz w:val="21"/>
      <w:szCs w:val="21"/>
    </w:rPr>
  </w:style>
  <w:style w:type="paragraph" w:customStyle="1" w:styleId="306">
    <w:name w:val="UserStyle_57"/>
    <w:basedOn w:val="1"/>
    <w:link w:val="305"/>
    <w:qFormat/>
    <w:uiPriority w:val="0"/>
    <w:pPr>
      <w:widowControl/>
      <w:textAlignment w:val="baseline"/>
    </w:pPr>
    <w:rPr>
      <w:rFonts w:ascii="宋体" w:hAnsi="宋体"/>
      <w:kern w:val="0"/>
      <w:szCs w:val="21"/>
    </w:rPr>
  </w:style>
  <w:style w:type="character" w:customStyle="1" w:styleId="307">
    <w:name w:val="UserStyle_58"/>
    <w:qFormat/>
    <w:uiPriority w:val="0"/>
    <w:rPr>
      <w:rFonts w:ascii="Times New Roman" w:hAnsi="Times New Roman" w:eastAsia="Times New Roman"/>
      <w:sz w:val="20"/>
    </w:rPr>
  </w:style>
  <w:style w:type="character" w:customStyle="1" w:styleId="308">
    <w:name w:val="UserStyle_60"/>
    <w:qFormat/>
    <w:uiPriority w:val="0"/>
    <w:rPr>
      <w:rFonts w:ascii="宋体" w:hAnsi="宋体" w:eastAsia="宋体"/>
      <w:spacing w:val="30"/>
      <w:sz w:val="24"/>
    </w:rPr>
  </w:style>
  <w:style w:type="character" w:customStyle="1" w:styleId="309">
    <w:name w:val="UserStyle_61"/>
    <w:qFormat/>
    <w:uiPriority w:val="0"/>
    <w:rPr>
      <w:rFonts w:ascii="Arial" w:hAnsi="Arial" w:eastAsia="黑体" w:cs="Arial"/>
      <w:b/>
      <w:bCs/>
      <w:sz w:val="24"/>
      <w:szCs w:val="24"/>
    </w:rPr>
  </w:style>
  <w:style w:type="character" w:customStyle="1" w:styleId="310">
    <w:name w:val="UserStyle_62"/>
    <w:qFormat/>
    <w:uiPriority w:val="0"/>
    <w:rPr>
      <w:rFonts w:ascii="Times New Roman" w:hAnsi="Times New Roman" w:eastAsia="Times New Roman"/>
      <w:sz w:val="16"/>
    </w:rPr>
  </w:style>
  <w:style w:type="character" w:customStyle="1" w:styleId="311">
    <w:name w:val="UserStyle_63"/>
    <w:qFormat/>
    <w:uiPriority w:val="0"/>
    <w:rPr>
      <w:rFonts w:ascii="宋体" w:hAnsi="宋体" w:eastAsia="宋体"/>
    </w:rPr>
  </w:style>
  <w:style w:type="character" w:customStyle="1" w:styleId="312">
    <w:name w:val="UserStyle_64"/>
    <w:qFormat/>
    <w:uiPriority w:val="0"/>
    <w:rPr>
      <w:rFonts w:ascii="Arial" w:hAnsi="Arial" w:eastAsia="黑体"/>
      <w:sz w:val="21"/>
      <w:szCs w:val="21"/>
    </w:rPr>
  </w:style>
  <w:style w:type="character" w:customStyle="1" w:styleId="313">
    <w:name w:val="UserStyle_66"/>
    <w:qFormat/>
    <w:uiPriority w:val="0"/>
    <w:rPr>
      <w:rFonts w:ascii="Times New Roman" w:hAnsi="Times New Roman" w:eastAsia="宋体"/>
    </w:rPr>
  </w:style>
  <w:style w:type="character" w:customStyle="1" w:styleId="314">
    <w:name w:val="UserStyle_67"/>
    <w:qFormat/>
    <w:uiPriority w:val="0"/>
    <w:rPr>
      <w:rFonts w:ascii="Times New Roman" w:hAnsi="Times New Roman" w:eastAsia="宋体"/>
      <w:b/>
      <w:vanish/>
      <w:color w:val="1F8DEF"/>
      <w:sz w:val="24"/>
      <w:szCs w:val="24"/>
    </w:rPr>
  </w:style>
  <w:style w:type="character" w:customStyle="1" w:styleId="315">
    <w:name w:val="UserStyle_68"/>
    <w:qFormat/>
    <w:uiPriority w:val="0"/>
    <w:rPr>
      <w:rFonts w:ascii="Times New Roman" w:hAnsi="Times New Roman" w:eastAsia="宋体"/>
    </w:rPr>
  </w:style>
  <w:style w:type="character" w:customStyle="1" w:styleId="316">
    <w:name w:val="UserStyle_69"/>
    <w:link w:val="317"/>
    <w:qFormat/>
    <w:locked/>
    <w:uiPriority w:val="0"/>
    <w:rPr>
      <w:rFonts w:ascii="宋体" w:hAnsi="宋体"/>
      <w:kern w:val="2"/>
      <w:sz w:val="18"/>
      <w:szCs w:val="18"/>
    </w:rPr>
  </w:style>
  <w:style w:type="paragraph" w:customStyle="1" w:styleId="317">
    <w:name w:val="页脚1"/>
    <w:basedOn w:val="1"/>
    <w:link w:val="316"/>
    <w:qFormat/>
    <w:uiPriority w:val="0"/>
    <w:pPr>
      <w:widowControl/>
      <w:tabs>
        <w:tab w:val="center" w:pos="4153"/>
        <w:tab w:val="right" w:pos="8306"/>
      </w:tabs>
      <w:snapToGrid w:val="0"/>
      <w:jc w:val="left"/>
      <w:textAlignment w:val="baseline"/>
    </w:pPr>
    <w:rPr>
      <w:rFonts w:ascii="宋体" w:hAnsi="宋体"/>
      <w:sz w:val="18"/>
      <w:szCs w:val="18"/>
    </w:rPr>
  </w:style>
  <w:style w:type="character" w:customStyle="1" w:styleId="318">
    <w:name w:val="UserStyle_70"/>
    <w:qFormat/>
    <w:uiPriority w:val="0"/>
    <w:rPr>
      <w:rFonts w:ascii="Times New Roman" w:hAnsi="Times New Roman" w:eastAsia="Times New Roman"/>
      <w:w w:val="60"/>
      <w:sz w:val="26"/>
    </w:rPr>
  </w:style>
  <w:style w:type="character" w:customStyle="1" w:styleId="319">
    <w:name w:val="UserStyle_71"/>
    <w:qFormat/>
    <w:uiPriority w:val="0"/>
    <w:rPr>
      <w:rFonts w:ascii="宋体" w:hAnsi="宋体" w:eastAsia="宋体"/>
      <w:spacing w:val="20"/>
      <w:sz w:val="22"/>
    </w:rPr>
  </w:style>
  <w:style w:type="character" w:customStyle="1" w:styleId="320">
    <w:name w:val="UserStyle_72"/>
    <w:qFormat/>
    <w:uiPriority w:val="0"/>
    <w:rPr>
      <w:rFonts w:ascii="宋体" w:hAnsi="宋体" w:eastAsia="宋体"/>
      <w:b/>
      <w:sz w:val="32"/>
    </w:rPr>
  </w:style>
  <w:style w:type="character" w:customStyle="1" w:styleId="321">
    <w:name w:val="UserStyle_73"/>
    <w:qFormat/>
    <w:uiPriority w:val="0"/>
    <w:rPr>
      <w:rFonts w:cs="Times New Roman"/>
      <w:b/>
      <w:bCs/>
      <w:kern w:val="2"/>
      <w:sz w:val="21"/>
      <w:szCs w:val="24"/>
    </w:rPr>
  </w:style>
  <w:style w:type="character" w:customStyle="1" w:styleId="322">
    <w:name w:val="UserStyle_74"/>
    <w:qFormat/>
    <w:uiPriority w:val="0"/>
    <w:rPr>
      <w:rFonts w:ascii="Times New Roman" w:hAnsi="Times New Roman" w:eastAsia="宋体"/>
      <w:color w:val="000000"/>
      <w:sz w:val="18"/>
      <w:szCs w:val="18"/>
    </w:rPr>
  </w:style>
  <w:style w:type="character" w:customStyle="1" w:styleId="323">
    <w:name w:val="UserStyle_75"/>
    <w:qFormat/>
    <w:uiPriority w:val="0"/>
    <w:rPr>
      <w:rFonts w:ascii="黑体" w:hAnsi="黑体" w:eastAsia="黑体"/>
      <w:spacing w:val="10"/>
      <w:sz w:val="30"/>
    </w:rPr>
  </w:style>
  <w:style w:type="character" w:customStyle="1" w:styleId="324">
    <w:name w:val="UserStyle_77"/>
    <w:qFormat/>
    <w:uiPriority w:val="0"/>
    <w:rPr>
      <w:rFonts w:ascii="Times New Roman" w:hAnsi="Times New Roman" w:eastAsia="宋体"/>
    </w:rPr>
  </w:style>
  <w:style w:type="character" w:customStyle="1" w:styleId="325">
    <w:name w:val="UserStyle_79"/>
    <w:qFormat/>
    <w:uiPriority w:val="0"/>
    <w:rPr>
      <w:rFonts w:ascii="Times New Roman" w:hAnsi="Times New Roman" w:eastAsia="宋体"/>
    </w:rPr>
  </w:style>
  <w:style w:type="character" w:customStyle="1" w:styleId="326">
    <w:name w:val="UserStyle_80"/>
    <w:qFormat/>
    <w:uiPriority w:val="0"/>
    <w:rPr>
      <w:rFonts w:ascii="宋体" w:hAnsi="Times New Roman" w:eastAsia="宋体"/>
      <w:b/>
      <w:sz w:val="24"/>
      <w:lang w:val="en-US" w:eastAsia="zh-CN" w:bidi="ar-SA"/>
    </w:rPr>
  </w:style>
  <w:style w:type="character" w:customStyle="1" w:styleId="327">
    <w:name w:val="UserStyle_82"/>
    <w:qFormat/>
    <w:uiPriority w:val="0"/>
    <w:rPr>
      <w:rFonts w:ascii="Arail" w:hAnsi="Arail" w:eastAsia="Arail"/>
      <w:color w:val="999999"/>
      <w:sz w:val="21"/>
      <w:szCs w:val="21"/>
    </w:rPr>
  </w:style>
  <w:style w:type="character" w:customStyle="1" w:styleId="328">
    <w:name w:val="UserStyle_83"/>
    <w:qFormat/>
    <w:uiPriority w:val="0"/>
    <w:rPr>
      <w:kern w:val="2"/>
      <w:sz w:val="18"/>
      <w:szCs w:val="18"/>
    </w:rPr>
  </w:style>
  <w:style w:type="character" w:customStyle="1" w:styleId="329">
    <w:name w:val="UserStyle_86"/>
    <w:qFormat/>
    <w:uiPriority w:val="0"/>
    <w:rPr>
      <w:rFonts w:ascii="宋体" w:hAnsi="MS Sans Serif" w:eastAsia="宋体"/>
      <w:color w:val="000000"/>
      <w:sz w:val="24"/>
    </w:rPr>
  </w:style>
  <w:style w:type="character" w:customStyle="1" w:styleId="330">
    <w:name w:val="UserStyle_87"/>
    <w:qFormat/>
    <w:uiPriority w:val="0"/>
    <w:rPr>
      <w:rFonts w:ascii="Times New Roman" w:hAnsi="Times New Roman" w:eastAsia="宋体"/>
    </w:rPr>
  </w:style>
  <w:style w:type="character" w:customStyle="1" w:styleId="331">
    <w:name w:val="UserStyle_89"/>
    <w:qFormat/>
    <w:uiPriority w:val="0"/>
    <w:rPr>
      <w:rFonts w:ascii="宋体" w:hAnsi="Times New Roman" w:eastAsia="宋体"/>
      <w:b/>
      <w:sz w:val="28"/>
      <w:lang w:val="en-US" w:eastAsia="zh-CN" w:bidi="ar-SA"/>
    </w:rPr>
  </w:style>
  <w:style w:type="character" w:customStyle="1" w:styleId="332">
    <w:name w:val="UserStyle_90"/>
    <w:qFormat/>
    <w:uiPriority w:val="0"/>
    <w:rPr>
      <w:rFonts w:ascii="宋体" w:hAnsi="宋体" w:eastAsia="宋体"/>
      <w:kern w:val="2"/>
      <w:sz w:val="18"/>
      <w:szCs w:val="18"/>
      <w:lang w:val="en-US" w:eastAsia="zh-CN" w:bidi="ar-SA"/>
    </w:rPr>
  </w:style>
  <w:style w:type="character" w:customStyle="1" w:styleId="333">
    <w:name w:val="UserStyle_91"/>
    <w:qFormat/>
    <w:uiPriority w:val="0"/>
    <w:rPr>
      <w:rFonts w:ascii="Cambria" w:hAnsi="Cambria"/>
      <w:b/>
      <w:kern w:val="2"/>
      <w:sz w:val="32"/>
      <w:szCs w:val="24"/>
    </w:rPr>
  </w:style>
  <w:style w:type="character" w:customStyle="1" w:styleId="334">
    <w:name w:val="UserStyle_92"/>
    <w:qFormat/>
    <w:uiPriority w:val="0"/>
    <w:rPr>
      <w:rFonts w:ascii="Times New Roman" w:hAnsi="Times New Roman" w:eastAsia="宋体"/>
      <w:color w:val="AAAAAA"/>
      <w:sz w:val="18"/>
      <w:szCs w:val="18"/>
    </w:rPr>
  </w:style>
  <w:style w:type="character" w:customStyle="1" w:styleId="335">
    <w:name w:val="UserStyle_93"/>
    <w:qFormat/>
    <w:uiPriority w:val="0"/>
    <w:rPr>
      <w:rFonts w:ascii="宋体" w:hAnsi="宋体" w:eastAsia="宋体"/>
      <w:spacing w:val="30"/>
      <w:sz w:val="18"/>
    </w:rPr>
  </w:style>
  <w:style w:type="paragraph" w:customStyle="1" w:styleId="336">
    <w:name w:val="UserStyle_94"/>
    <w:basedOn w:val="1"/>
    <w:qFormat/>
    <w:uiPriority w:val="0"/>
    <w:pPr>
      <w:widowControl/>
      <w:textAlignment w:val="baseline"/>
    </w:pPr>
    <w:rPr>
      <w:rFonts w:ascii="Calibri" w:hAnsi="Calibri"/>
      <w:kern w:val="0"/>
      <w:sz w:val="20"/>
      <w:szCs w:val="20"/>
    </w:rPr>
  </w:style>
  <w:style w:type="paragraph" w:customStyle="1" w:styleId="337">
    <w:name w:val="UserStyle_95"/>
    <w:basedOn w:val="225"/>
    <w:qFormat/>
    <w:uiPriority w:val="0"/>
    <w:pPr>
      <w:spacing w:before="100" w:line="400" w:lineRule="exact"/>
    </w:pPr>
    <w:rPr>
      <w:rFonts w:ascii="Times New Roman" w:hAnsi="Times New Roman" w:eastAsia="黑体"/>
      <w:b w:val="0"/>
      <w:bCs w:val="0"/>
      <w:sz w:val="28"/>
      <w:szCs w:val="20"/>
    </w:rPr>
  </w:style>
  <w:style w:type="paragraph" w:customStyle="1" w:styleId="338">
    <w:name w:val="BodyText1I"/>
    <w:basedOn w:val="250"/>
    <w:qFormat/>
    <w:uiPriority w:val="0"/>
    <w:pPr>
      <w:ind w:firstLine="420"/>
    </w:pPr>
    <w:rPr>
      <w:szCs w:val="20"/>
    </w:rPr>
  </w:style>
  <w:style w:type="paragraph" w:customStyle="1" w:styleId="339">
    <w:name w:val="HtmlNormal"/>
    <w:basedOn w:val="1"/>
    <w:qFormat/>
    <w:uiPriority w:val="0"/>
    <w:pPr>
      <w:widowControl/>
      <w:spacing w:before="100" w:beforeAutospacing="1" w:after="100" w:afterAutospacing="1"/>
      <w:jc w:val="left"/>
      <w:textAlignment w:val="baseline"/>
    </w:pPr>
    <w:rPr>
      <w:rFonts w:ascii="宋体" w:hAnsi="宋体"/>
      <w:kern w:val="0"/>
      <w:sz w:val="24"/>
    </w:rPr>
  </w:style>
  <w:style w:type="paragraph" w:customStyle="1" w:styleId="340">
    <w:name w:val="Index1"/>
    <w:basedOn w:val="1"/>
    <w:next w:val="1"/>
    <w:qFormat/>
    <w:uiPriority w:val="0"/>
    <w:pPr>
      <w:widowControl/>
      <w:spacing w:line="220" w:lineRule="exact"/>
      <w:jc w:val="center"/>
      <w:textAlignment w:val="baseline"/>
    </w:pPr>
    <w:rPr>
      <w:rFonts w:ascii="仿宋_GB2312" w:hAnsi="Calibri" w:eastAsia="仿宋_GB2312"/>
      <w:szCs w:val="20"/>
    </w:rPr>
  </w:style>
  <w:style w:type="paragraph" w:customStyle="1" w:styleId="341">
    <w:name w:val="TOC4"/>
    <w:basedOn w:val="1"/>
    <w:next w:val="1"/>
    <w:qFormat/>
    <w:uiPriority w:val="0"/>
    <w:pPr>
      <w:widowControl/>
      <w:ind w:left="1260" w:leftChars="600"/>
      <w:textAlignment w:val="baseline"/>
    </w:pPr>
    <w:rPr>
      <w:rFonts w:ascii="Calibri" w:hAnsi="Calibri"/>
    </w:rPr>
  </w:style>
  <w:style w:type="paragraph" w:customStyle="1" w:styleId="342">
    <w:name w:val="BodyText1I2"/>
    <w:basedOn w:val="300"/>
    <w:qFormat/>
    <w:uiPriority w:val="0"/>
    <w:pPr>
      <w:ind w:firstLine="482" w:firstLineChars="200"/>
    </w:pPr>
    <w:rPr>
      <w:rFonts w:ascii="Calibri" w:hAnsi="Calibri"/>
      <w:b/>
      <w:sz w:val="24"/>
    </w:rPr>
  </w:style>
  <w:style w:type="paragraph" w:customStyle="1" w:styleId="343">
    <w:name w:val="TOC6"/>
    <w:basedOn w:val="1"/>
    <w:next w:val="1"/>
    <w:qFormat/>
    <w:uiPriority w:val="0"/>
    <w:pPr>
      <w:widowControl/>
      <w:ind w:left="2100" w:leftChars="1000"/>
      <w:textAlignment w:val="baseline"/>
    </w:pPr>
    <w:rPr>
      <w:rFonts w:ascii="Calibri" w:hAnsi="Calibri"/>
      <w:szCs w:val="22"/>
    </w:rPr>
  </w:style>
  <w:style w:type="paragraph" w:customStyle="1" w:styleId="344">
    <w:name w:val="TOC7"/>
    <w:basedOn w:val="1"/>
    <w:next w:val="1"/>
    <w:qFormat/>
    <w:uiPriority w:val="0"/>
    <w:pPr>
      <w:widowControl/>
      <w:ind w:left="2520" w:leftChars="1200"/>
      <w:textAlignment w:val="baseline"/>
    </w:pPr>
    <w:rPr>
      <w:rFonts w:ascii="Calibri" w:hAnsi="Calibri"/>
      <w:szCs w:val="22"/>
    </w:rPr>
  </w:style>
  <w:style w:type="paragraph" w:customStyle="1" w:styleId="345">
    <w:name w:val="TOC5"/>
    <w:basedOn w:val="1"/>
    <w:next w:val="1"/>
    <w:qFormat/>
    <w:uiPriority w:val="0"/>
    <w:pPr>
      <w:widowControl/>
      <w:ind w:left="1680" w:leftChars="800"/>
      <w:textAlignment w:val="baseline"/>
    </w:pPr>
    <w:rPr>
      <w:rFonts w:ascii="Calibri" w:hAnsi="Calibri"/>
      <w:szCs w:val="22"/>
    </w:rPr>
  </w:style>
  <w:style w:type="paragraph" w:customStyle="1" w:styleId="346">
    <w:name w:val="UserStyle_96"/>
    <w:basedOn w:val="1"/>
    <w:qFormat/>
    <w:uiPriority w:val="0"/>
    <w:pPr>
      <w:widowControl/>
      <w:spacing w:line="564" w:lineRule="exact"/>
      <w:ind w:hanging="115"/>
      <w:textAlignment w:val="baseline"/>
    </w:pPr>
    <w:rPr>
      <w:rFonts w:ascii="Calibri" w:hAnsi="Calibri"/>
    </w:rPr>
  </w:style>
  <w:style w:type="paragraph" w:customStyle="1" w:styleId="347">
    <w:name w:val="UserStyle_97"/>
    <w:basedOn w:val="1"/>
    <w:qFormat/>
    <w:uiPriority w:val="0"/>
    <w:pPr>
      <w:widowControl/>
      <w:spacing w:after="160" w:line="240" w:lineRule="exact"/>
      <w:jc w:val="left"/>
      <w:textAlignment w:val="baseline"/>
    </w:pPr>
    <w:rPr>
      <w:rFonts w:ascii="Verdana" w:hAnsi="Verdana"/>
      <w:kern w:val="0"/>
      <w:sz w:val="20"/>
      <w:szCs w:val="20"/>
      <w:lang w:eastAsia="en-US"/>
    </w:rPr>
  </w:style>
  <w:style w:type="paragraph" w:customStyle="1" w:styleId="348">
    <w:name w:val="UserStyle_98"/>
    <w:basedOn w:val="1"/>
    <w:qFormat/>
    <w:uiPriority w:val="0"/>
    <w:pPr>
      <w:widowControl/>
      <w:textAlignment w:val="baseline"/>
    </w:pPr>
    <w:rPr>
      <w:rFonts w:ascii="Calibri" w:hAnsi="Calibri"/>
    </w:rPr>
  </w:style>
  <w:style w:type="paragraph" w:customStyle="1" w:styleId="349">
    <w:name w:val="BodyText2"/>
    <w:basedOn w:val="1"/>
    <w:qFormat/>
    <w:uiPriority w:val="0"/>
    <w:pPr>
      <w:widowControl/>
      <w:spacing w:after="120" w:line="480" w:lineRule="auto"/>
      <w:textAlignment w:val="baseline"/>
    </w:pPr>
    <w:rPr>
      <w:rFonts w:ascii="Calibri" w:hAnsi="Calibri"/>
    </w:rPr>
  </w:style>
  <w:style w:type="paragraph" w:customStyle="1" w:styleId="350">
    <w:name w:val="BodyText3"/>
    <w:basedOn w:val="1"/>
    <w:qFormat/>
    <w:uiPriority w:val="0"/>
    <w:pPr>
      <w:widowControl/>
      <w:spacing w:line="410" w:lineRule="atLeast"/>
      <w:jc w:val="left"/>
      <w:textAlignment w:val="baseline"/>
    </w:pPr>
    <w:rPr>
      <w:rFonts w:ascii="宋体" w:hAnsi="Calibri"/>
      <w:color w:val="000000"/>
      <w:kern w:val="0"/>
      <w:sz w:val="24"/>
      <w:szCs w:val="20"/>
    </w:rPr>
  </w:style>
  <w:style w:type="paragraph" w:customStyle="1" w:styleId="351">
    <w:name w:val="TOC9"/>
    <w:basedOn w:val="1"/>
    <w:next w:val="1"/>
    <w:qFormat/>
    <w:uiPriority w:val="0"/>
    <w:pPr>
      <w:widowControl/>
      <w:ind w:left="3360" w:leftChars="1600"/>
      <w:textAlignment w:val="baseline"/>
    </w:pPr>
    <w:rPr>
      <w:rFonts w:ascii="Calibri" w:hAnsi="Calibri"/>
      <w:szCs w:val="22"/>
    </w:rPr>
  </w:style>
  <w:style w:type="paragraph" w:customStyle="1" w:styleId="352">
    <w:name w:val="UserStyle_99"/>
    <w:basedOn w:val="1"/>
    <w:qFormat/>
    <w:uiPriority w:val="0"/>
    <w:pPr>
      <w:widowControl/>
      <w:textAlignment w:val="baseline"/>
    </w:pPr>
    <w:rPr>
      <w:rFonts w:ascii="Calibri" w:hAnsi="Calibri"/>
    </w:rPr>
  </w:style>
  <w:style w:type="paragraph" w:customStyle="1" w:styleId="353">
    <w:name w:val="NavPane"/>
    <w:basedOn w:val="1"/>
    <w:semiHidden/>
    <w:qFormat/>
    <w:uiPriority w:val="0"/>
    <w:pPr>
      <w:widowControl/>
      <w:shd w:val="clear" w:color="auto" w:fill="000080"/>
      <w:textAlignment w:val="baseline"/>
    </w:pPr>
    <w:rPr>
      <w:rFonts w:ascii="Calibri" w:hAnsi="Calibri"/>
    </w:rPr>
  </w:style>
  <w:style w:type="paragraph" w:customStyle="1" w:styleId="354">
    <w:name w:val="TOC1"/>
    <w:basedOn w:val="1"/>
    <w:next w:val="1"/>
    <w:qFormat/>
    <w:uiPriority w:val="0"/>
    <w:pPr>
      <w:widowControl/>
      <w:tabs>
        <w:tab w:val="right" w:leader="dot" w:pos="8948"/>
      </w:tabs>
      <w:textAlignment w:val="baseline"/>
    </w:pPr>
    <w:rPr>
      <w:rFonts w:ascii="宋体" w:hAnsi="宋体"/>
    </w:rPr>
  </w:style>
  <w:style w:type="paragraph" w:customStyle="1" w:styleId="355">
    <w:name w:val="BodyTextIndent2"/>
    <w:basedOn w:val="1"/>
    <w:qFormat/>
    <w:uiPriority w:val="0"/>
    <w:pPr>
      <w:widowControl/>
      <w:spacing w:after="120" w:line="480" w:lineRule="auto"/>
      <w:ind w:left="420" w:leftChars="200"/>
      <w:textAlignment w:val="baseline"/>
    </w:pPr>
    <w:rPr>
      <w:rFonts w:ascii="Calibri" w:hAnsi="Calibri"/>
    </w:rPr>
  </w:style>
  <w:style w:type="paragraph" w:customStyle="1" w:styleId="356">
    <w:name w:val="UserStyle_100"/>
    <w:basedOn w:val="1"/>
    <w:qFormat/>
    <w:uiPriority w:val="0"/>
    <w:pPr>
      <w:widowControl/>
      <w:spacing w:line="566" w:lineRule="exact"/>
      <w:ind w:firstLine="552"/>
      <w:textAlignment w:val="baseline"/>
    </w:pPr>
    <w:rPr>
      <w:rFonts w:ascii="Calibri" w:hAnsi="Calibri"/>
    </w:rPr>
  </w:style>
  <w:style w:type="paragraph" w:customStyle="1" w:styleId="357">
    <w:name w:val="UserStyle_101"/>
    <w:basedOn w:val="1"/>
    <w:qFormat/>
    <w:uiPriority w:val="0"/>
    <w:pPr>
      <w:widowControl/>
      <w:ind w:firstLine="420"/>
      <w:textAlignment w:val="baseline"/>
    </w:pPr>
  </w:style>
  <w:style w:type="paragraph" w:customStyle="1" w:styleId="358">
    <w:name w:val="TOC8"/>
    <w:basedOn w:val="1"/>
    <w:next w:val="1"/>
    <w:qFormat/>
    <w:uiPriority w:val="0"/>
    <w:pPr>
      <w:widowControl/>
      <w:ind w:left="2940" w:leftChars="1400"/>
      <w:textAlignment w:val="baseline"/>
    </w:pPr>
    <w:rPr>
      <w:rFonts w:ascii="Calibri" w:hAnsi="Calibri"/>
      <w:szCs w:val="22"/>
    </w:rPr>
  </w:style>
  <w:style w:type="paragraph" w:customStyle="1" w:styleId="359">
    <w:name w:val="UserStyle_102"/>
    <w:basedOn w:val="1"/>
    <w:qFormat/>
    <w:uiPriority w:val="0"/>
    <w:pPr>
      <w:widowControl/>
      <w:textAlignment w:val="baseline"/>
    </w:pPr>
    <w:rPr>
      <w:rFonts w:ascii="Calibri" w:hAnsi="Calibri"/>
    </w:rPr>
  </w:style>
  <w:style w:type="paragraph" w:customStyle="1" w:styleId="360">
    <w:name w:val="HtmlPre"/>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textAlignment w:val="baseline"/>
    </w:pPr>
    <w:rPr>
      <w:rFonts w:ascii="Arial" w:hAnsi="Arial"/>
      <w:kern w:val="0"/>
      <w:sz w:val="24"/>
    </w:rPr>
  </w:style>
  <w:style w:type="paragraph" w:customStyle="1" w:styleId="361">
    <w:name w:val="TOC3"/>
    <w:basedOn w:val="1"/>
    <w:next w:val="1"/>
    <w:qFormat/>
    <w:uiPriority w:val="0"/>
    <w:pPr>
      <w:widowControl/>
      <w:ind w:left="840" w:leftChars="400"/>
      <w:textAlignment w:val="baseline"/>
    </w:pPr>
    <w:rPr>
      <w:rFonts w:ascii="Calibri" w:hAnsi="Calibri"/>
    </w:rPr>
  </w:style>
  <w:style w:type="paragraph" w:customStyle="1" w:styleId="362">
    <w:name w:val="BlockQuote"/>
    <w:basedOn w:val="1"/>
    <w:qFormat/>
    <w:uiPriority w:val="0"/>
    <w:pPr>
      <w:widowControl/>
      <w:ind w:left="1171" w:right="91" w:hanging="1080"/>
      <w:textAlignment w:val="baseline"/>
    </w:pPr>
    <w:rPr>
      <w:rFonts w:ascii="Calibri" w:hAnsi="Calibri" w:eastAsia="楷体_GB2312"/>
      <w:szCs w:val="20"/>
    </w:rPr>
  </w:style>
  <w:style w:type="paragraph" w:customStyle="1" w:styleId="363">
    <w:name w:val="NormalIndent"/>
    <w:basedOn w:val="1"/>
    <w:qFormat/>
    <w:uiPriority w:val="0"/>
    <w:pPr>
      <w:widowControl/>
      <w:ind w:firstLine="420"/>
      <w:jc w:val="left"/>
      <w:textAlignment w:val="baseline"/>
    </w:pPr>
    <w:rPr>
      <w:rFonts w:ascii="Calibri" w:hAnsi="Calibri"/>
      <w:kern w:val="0"/>
      <w:sz w:val="20"/>
      <w:szCs w:val="20"/>
    </w:rPr>
  </w:style>
  <w:style w:type="paragraph" w:customStyle="1" w:styleId="364">
    <w:name w:val="UserStyle_103"/>
    <w:basedOn w:val="1"/>
    <w:qFormat/>
    <w:uiPriority w:val="0"/>
    <w:pPr>
      <w:widowControl/>
      <w:spacing w:line="566" w:lineRule="exact"/>
      <w:ind w:firstLine="682"/>
      <w:textAlignment w:val="baseline"/>
    </w:pPr>
    <w:rPr>
      <w:rFonts w:ascii="Calibri" w:hAnsi="Calibri"/>
    </w:rPr>
  </w:style>
  <w:style w:type="paragraph" w:customStyle="1" w:styleId="365">
    <w:name w:val="TOC2"/>
    <w:basedOn w:val="1"/>
    <w:next w:val="1"/>
    <w:qFormat/>
    <w:uiPriority w:val="0"/>
    <w:pPr>
      <w:widowControl/>
      <w:ind w:left="420" w:leftChars="200"/>
      <w:textAlignment w:val="baseline"/>
    </w:pPr>
    <w:rPr>
      <w:rFonts w:ascii="Calibri" w:hAnsi="Calibri"/>
    </w:rPr>
  </w:style>
  <w:style w:type="paragraph" w:customStyle="1" w:styleId="366">
    <w:name w:val="UserStyle_104"/>
    <w:basedOn w:val="1"/>
    <w:qFormat/>
    <w:uiPriority w:val="0"/>
    <w:pPr>
      <w:widowControl/>
      <w:textAlignment w:val="baseline"/>
    </w:pPr>
    <w:rPr>
      <w:rFonts w:ascii="Calibri" w:hAnsi="Calibri"/>
    </w:rPr>
  </w:style>
  <w:style w:type="paragraph" w:customStyle="1" w:styleId="367">
    <w:name w:val="UserStyle_105"/>
    <w:basedOn w:val="1"/>
    <w:qFormat/>
    <w:uiPriority w:val="0"/>
    <w:pPr>
      <w:widowControl/>
      <w:spacing w:line="375" w:lineRule="exact"/>
      <w:textAlignment w:val="baseline"/>
    </w:pPr>
    <w:rPr>
      <w:rFonts w:ascii="Calibri" w:hAnsi="Calibri"/>
    </w:rPr>
  </w:style>
  <w:style w:type="paragraph" w:customStyle="1" w:styleId="368">
    <w:name w:val="UserStyle_106"/>
    <w:basedOn w:val="1"/>
    <w:qFormat/>
    <w:uiPriority w:val="0"/>
    <w:pPr>
      <w:widowControl/>
      <w:jc w:val="right"/>
      <w:textAlignment w:val="baseline"/>
    </w:pPr>
    <w:rPr>
      <w:rFonts w:ascii="Calibri" w:hAnsi="Calibri"/>
    </w:rPr>
  </w:style>
  <w:style w:type="paragraph" w:customStyle="1" w:styleId="369">
    <w:name w:val="UserStyle_107"/>
    <w:basedOn w:val="1"/>
    <w:qFormat/>
    <w:uiPriority w:val="0"/>
    <w:pPr>
      <w:widowControl/>
      <w:spacing w:before="100" w:after="100"/>
      <w:ind w:left="360" w:right="360"/>
      <w:jc w:val="left"/>
      <w:textAlignment w:val="baseline"/>
    </w:pPr>
    <w:rPr>
      <w:rFonts w:ascii="Calibri" w:hAnsi="Calibri"/>
      <w:kern w:val="0"/>
      <w:sz w:val="24"/>
      <w:szCs w:val="20"/>
    </w:rPr>
  </w:style>
  <w:style w:type="paragraph" w:customStyle="1" w:styleId="370">
    <w:name w:val="UserStyle_108"/>
    <w:basedOn w:val="1"/>
    <w:qFormat/>
    <w:uiPriority w:val="0"/>
    <w:pPr>
      <w:widowControl/>
      <w:textAlignment w:val="baseline"/>
    </w:pPr>
    <w:rPr>
      <w:rFonts w:ascii="Calibri" w:hAnsi="Calibri"/>
    </w:rPr>
  </w:style>
  <w:style w:type="paragraph" w:customStyle="1" w:styleId="371">
    <w:name w:val="UserStyle_109"/>
    <w:basedOn w:val="1"/>
    <w:qFormat/>
    <w:uiPriority w:val="0"/>
    <w:pPr>
      <w:widowControl/>
      <w:spacing w:line="240" w:lineRule="atLeast"/>
      <w:jc w:val="center"/>
      <w:textAlignment w:val="baseline"/>
    </w:pPr>
    <w:rPr>
      <w:rFonts w:ascii="仿宋_GB2312" w:hAnsi="宋体" w:eastAsia="仿宋_GB2312"/>
      <w:kern w:val="0"/>
      <w:szCs w:val="21"/>
    </w:rPr>
  </w:style>
  <w:style w:type="paragraph" w:customStyle="1" w:styleId="372">
    <w:name w:val="UserStyle_110"/>
    <w:basedOn w:val="1"/>
    <w:qFormat/>
    <w:uiPriority w:val="0"/>
    <w:pPr>
      <w:widowControl/>
      <w:spacing w:line="566" w:lineRule="exact"/>
      <w:jc w:val="center"/>
      <w:textAlignment w:val="baseline"/>
    </w:pPr>
    <w:rPr>
      <w:rFonts w:ascii="Calibri" w:hAnsi="Calibri"/>
    </w:rPr>
  </w:style>
  <w:style w:type="paragraph" w:customStyle="1" w:styleId="373">
    <w:name w:val="UserStyle_111"/>
    <w:basedOn w:val="1"/>
    <w:qFormat/>
    <w:uiPriority w:val="0"/>
    <w:pPr>
      <w:widowControl/>
      <w:textAlignment w:val="baseline"/>
    </w:pPr>
    <w:rPr>
      <w:rFonts w:ascii="Calibri" w:hAnsi="Calibri"/>
    </w:rPr>
  </w:style>
  <w:style w:type="paragraph" w:customStyle="1" w:styleId="374">
    <w:name w:val="UserStyle_112"/>
    <w:basedOn w:val="1"/>
    <w:qFormat/>
    <w:uiPriority w:val="0"/>
    <w:pPr>
      <w:widowControl/>
      <w:tabs>
        <w:tab w:val="left" w:pos="907"/>
      </w:tabs>
      <w:spacing w:line="360" w:lineRule="auto"/>
      <w:textAlignment w:val="baseline"/>
    </w:pPr>
    <w:rPr>
      <w:rFonts w:ascii="宋体" w:hAnsi="宋体"/>
      <w:sz w:val="24"/>
    </w:rPr>
  </w:style>
  <w:style w:type="paragraph" w:customStyle="1" w:styleId="375">
    <w:name w:val="UserStyle_113"/>
    <w:basedOn w:val="1"/>
    <w:qFormat/>
    <w:uiPriority w:val="0"/>
    <w:pPr>
      <w:widowControl/>
      <w:textAlignment w:val="baseline"/>
    </w:pPr>
    <w:rPr>
      <w:rFonts w:ascii="宋体" w:hAnsi="宋体"/>
      <w:b/>
      <w:sz w:val="28"/>
      <w:szCs w:val="28"/>
    </w:rPr>
  </w:style>
  <w:style w:type="paragraph" w:customStyle="1" w:styleId="376">
    <w:name w:val="UserStyle_114"/>
    <w:basedOn w:val="1"/>
    <w:qFormat/>
    <w:uiPriority w:val="0"/>
    <w:pPr>
      <w:widowControl/>
      <w:spacing w:after="160" w:line="240" w:lineRule="exact"/>
      <w:jc w:val="left"/>
      <w:textAlignment w:val="baseline"/>
    </w:pPr>
    <w:rPr>
      <w:rFonts w:ascii="Calibri" w:hAnsi="Calibri"/>
    </w:rPr>
  </w:style>
  <w:style w:type="paragraph" w:customStyle="1" w:styleId="377">
    <w:name w:val="UserStyle_115"/>
    <w:basedOn w:val="378"/>
    <w:qFormat/>
    <w:uiPriority w:val="0"/>
    <w:pPr>
      <w:tabs>
        <w:tab w:val="left" w:pos="360"/>
        <w:tab w:val="left" w:pos="720"/>
        <w:tab w:val="left" w:pos="6405"/>
      </w:tabs>
      <w:spacing w:after="200"/>
    </w:pPr>
    <w:rPr>
      <w:sz w:val="21"/>
    </w:rPr>
  </w:style>
  <w:style w:type="paragraph" w:customStyle="1" w:styleId="378">
    <w:name w:val="UserStyle_116"/>
    <w:next w:val="1"/>
    <w:qFormat/>
    <w:uiPriority w:val="0"/>
    <w:pPr>
      <w:shd w:val="clear" w:color="auto" w:fill="FFFFFF"/>
      <w:tabs>
        <w:tab w:val="left" w:pos="360"/>
        <w:tab w:val="left" w:pos="720"/>
      </w:tabs>
      <w:spacing w:before="640" w:after="560"/>
      <w:ind w:left="720" w:hanging="720"/>
      <w:jc w:val="center"/>
      <w:textAlignment w:val="baseline"/>
    </w:pPr>
    <w:rPr>
      <w:rFonts w:ascii="黑体" w:hAnsi="Calibri" w:eastAsia="黑体" w:cs="Times New Roman"/>
      <w:sz w:val="32"/>
      <w:lang w:val="en-US" w:eastAsia="zh-CN" w:bidi="ar-SA"/>
    </w:rPr>
  </w:style>
  <w:style w:type="paragraph" w:customStyle="1" w:styleId="379">
    <w:name w:val="UserStyle_117"/>
    <w:basedOn w:val="1"/>
    <w:qFormat/>
    <w:uiPriority w:val="0"/>
    <w:pPr>
      <w:widowControl/>
      <w:spacing w:line="557" w:lineRule="exact"/>
      <w:ind w:firstLine="1666"/>
      <w:textAlignment w:val="baseline"/>
    </w:pPr>
    <w:rPr>
      <w:rFonts w:ascii="Calibri" w:hAnsi="Calibri"/>
    </w:rPr>
  </w:style>
  <w:style w:type="paragraph" w:customStyle="1" w:styleId="380">
    <w:name w:val="UserStyle_118"/>
    <w:basedOn w:val="1"/>
    <w:qFormat/>
    <w:uiPriority w:val="0"/>
    <w:pPr>
      <w:widowControl/>
      <w:textAlignment w:val="baseline"/>
    </w:pPr>
    <w:rPr>
      <w:rFonts w:ascii="Calibri" w:hAnsi="Calibri"/>
    </w:rPr>
  </w:style>
  <w:style w:type="paragraph" w:customStyle="1" w:styleId="381">
    <w:name w:val="UserStyle_119"/>
    <w:basedOn w:val="1"/>
    <w:qFormat/>
    <w:uiPriority w:val="0"/>
    <w:pPr>
      <w:widowControl/>
      <w:textAlignment w:val="baseline"/>
    </w:pPr>
    <w:rPr>
      <w:rFonts w:ascii="Calibri" w:hAnsi="Calibri"/>
    </w:rPr>
  </w:style>
  <w:style w:type="paragraph" w:customStyle="1" w:styleId="382">
    <w:name w:val="UserStyle_120"/>
    <w:basedOn w:val="1"/>
    <w:qFormat/>
    <w:uiPriority w:val="0"/>
    <w:pPr>
      <w:widowControl/>
      <w:spacing w:line="413" w:lineRule="exact"/>
      <w:textAlignment w:val="baseline"/>
    </w:pPr>
    <w:rPr>
      <w:rFonts w:ascii="Calibri" w:hAnsi="Calibri"/>
    </w:rPr>
  </w:style>
  <w:style w:type="paragraph" w:customStyle="1" w:styleId="383">
    <w:name w:val="UserStyle_121"/>
    <w:qFormat/>
    <w:uiPriority w:val="0"/>
    <w:pPr>
      <w:jc w:val="both"/>
      <w:textAlignment w:val="baseline"/>
    </w:pPr>
    <w:rPr>
      <w:rFonts w:ascii="Calibri" w:hAnsi="Calibri" w:eastAsia="宋体" w:cs="Times New Roman"/>
      <w:kern w:val="2"/>
      <w:sz w:val="21"/>
      <w:szCs w:val="24"/>
      <w:lang w:val="en-US" w:eastAsia="zh-CN" w:bidi="ar-SA"/>
    </w:rPr>
  </w:style>
  <w:style w:type="paragraph" w:customStyle="1" w:styleId="384">
    <w:name w:val="UserStyle_122"/>
    <w:basedOn w:val="1"/>
    <w:qFormat/>
    <w:uiPriority w:val="0"/>
    <w:pPr>
      <w:widowControl/>
      <w:spacing w:before="100" w:beforeAutospacing="1" w:after="100" w:afterAutospacing="1"/>
      <w:jc w:val="left"/>
      <w:textAlignment w:val="baseline"/>
    </w:pPr>
    <w:rPr>
      <w:rFonts w:ascii="宋体" w:hAnsi="宋体"/>
      <w:kern w:val="0"/>
      <w:sz w:val="24"/>
    </w:rPr>
  </w:style>
  <w:style w:type="paragraph" w:customStyle="1" w:styleId="385">
    <w:name w:val="UserStyle_123"/>
    <w:basedOn w:val="1"/>
    <w:qFormat/>
    <w:uiPriority w:val="0"/>
    <w:pPr>
      <w:widowControl/>
      <w:spacing w:line="542" w:lineRule="exact"/>
      <w:ind w:firstLine="547"/>
      <w:textAlignment w:val="baseline"/>
    </w:pPr>
    <w:rPr>
      <w:rFonts w:ascii="Calibri" w:hAnsi="Calibri"/>
    </w:rPr>
  </w:style>
  <w:style w:type="paragraph" w:customStyle="1" w:styleId="386">
    <w:name w:val="UserStyle_124"/>
    <w:basedOn w:val="1"/>
    <w:qFormat/>
    <w:uiPriority w:val="0"/>
    <w:pPr>
      <w:widowControl/>
      <w:textAlignment w:val="baseline"/>
    </w:pPr>
    <w:rPr>
      <w:rFonts w:ascii="Calibri" w:hAnsi="Calibri"/>
    </w:rPr>
  </w:style>
  <w:style w:type="paragraph" w:customStyle="1" w:styleId="387">
    <w:name w:val="UserStyle_125"/>
    <w:basedOn w:val="383"/>
    <w:qFormat/>
    <w:uiPriority w:val="0"/>
  </w:style>
  <w:style w:type="paragraph" w:customStyle="1" w:styleId="388">
    <w:name w:val="UserStyle_126"/>
    <w:basedOn w:val="250"/>
    <w:qFormat/>
    <w:uiPriority w:val="0"/>
    <w:pPr>
      <w:suppressLineNumbers/>
      <w:suppressAutoHyphens/>
      <w:jc w:val="left"/>
    </w:pPr>
    <w:rPr>
      <w:kern w:val="0"/>
      <w:sz w:val="24"/>
    </w:rPr>
  </w:style>
  <w:style w:type="paragraph" w:customStyle="1" w:styleId="389">
    <w:name w:val="UserStyle_127"/>
    <w:basedOn w:val="1"/>
    <w:qFormat/>
    <w:uiPriority w:val="0"/>
    <w:pPr>
      <w:widowControl/>
      <w:textAlignment w:val="baseline"/>
    </w:pPr>
    <w:rPr>
      <w:rFonts w:ascii="Calibri" w:hAnsi="Calibri"/>
    </w:rPr>
  </w:style>
  <w:style w:type="paragraph" w:customStyle="1" w:styleId="390">
    <w:name w:val="UserStyle_128"/>
    <w:basedOn w:val="1"/>
    <w:qFormat/>
    <w:uiPriority w:val="0"/>
    <w:pPr>
      <w:widowControl/>
      <w:tabs>
        <w:tab w:val="left" w:pos="360"/>
      </w:tabs>
      <w:snapToGrid w:val="0"/>
      <w:spacing w:line="360" w:lineRule="auto"/>
      <w:textAlignment w:val="baseline"/>
    </w:pPr>
    <w:rPr>
      <w:rFonts w:ascii="Calibri" w:hAnsi="Calibri" w:eastAsia="仿宋_GB2312"/>
      <w:sz w:val="24"/>
    </w:rPr>
  </w:style>
  <w:style w:type="paragraph" w:customStyle="1" w:styleId="391">
    <w:name w:val="UserStyle_129"/>
    <w:qFormat/>
    <w:uiPriority w:val="0"/>
    <w:pPr>
      <w:textAlignment w:val="baseline"/>
    </w:pPr>
    <w:rPr>
      <w:rFonts w:ascii="黑体" w:hAnsi="Calibri" w:eastAsia="黑体" w:cs="Times New Roman"/>
      <w:lang w:val="en-US" w:eastAsia="zh-CN" w:bidi="ar-SA"/>
    </w:rPr>
  </w:style>
  <w:style w:type="paragraph" w:customStyle="1" w:styleId="392">
    <w:name w:val="UserStyle_130"/>
    <w:basedOn w:val="1"/>
    <w:qFormat/>
    <w:uiPriority w:val="0"/>
    <w:pPr>
      <w:widowControl/>
      <w:textAlignment w:val="baseline"/>
    </w:pPr>
    <w:rPr>
      <w:rFonts w:ascii="Calibri" w:hAnsi="Calibri"/>
      <w:szCs w:val="20"/>
    </w:rPr>
  </w:style>
  <w:style w:type="paragraph" w:customStyle="1" w:styleId="393">
    <w:name w:val="UserStyle_131"/>
    <w:basedOn w:val="1"/>
    <w:qFormat/>
    <w:uiPriority w:val="0"/>
    <w:pPr>
      <w:widowControl/>
      <w:textAlignment w:val="baseline"/>
    </w:pPr>
    <w:rPr>
      <w:rFonts w:ascii="Calibri" w:hAnsi="Calibri"/>
    </w:rPr>
  </w:style>
  <w:style w:type="paragraph" w:customStyle="1" w:styleId="394">
    <w:name w:val="UserStyle_132"/>
    <w:basedOn w:val="1"/>
    <w:qFormat/>
    <w:uiPriority w:val="0"/>
    <w:pPr>
      <w:widowControl/>
      <w:textAlignment w:val="baseline"/>
    </w:pPr>
    <w:rPr>
      <w:rFonts w:ascii="Calibri" w:hAnsi="Calibri"/>
    </w:rPr>
  </w:style>
  <w:style w:type="paragraph" w:customStyle="1" w:styleId="395">
    <w:name w:val="UserStyle_133"/>
    <w:basedOn w:val="1"/>
    <w:qFormat/>
    <w:uiPriority w:val="0"/>
    <w:pPr>
      <w:widowControl/>
      <w:spacing w:line="672" w:lineRule="exact"/>
      <w:textAlignment w:val="baseline"/>
    </w:pPr>
    <w:rPr>
      <w:rFonts w:ascii="Calibri" w:hAnsi="Calibri"/>
    </w:rPr>
  </w:style>
  <w:style w:type="paragraph" w:customStyle="1" w:styleId="396">
    <w:name w:val="UserStyle_134"/>
    <w:basedOn w:val="1"/>
    <w:qFormat/>
    <w:uiPriority w:val="0"/>
    <w:pPr>
      <w:widowControl/>
      <w:spacing w:line="552" w:lineRule="exact"/>
      <w:ind w:firstLine="547"/>
      <w:textAlignment w:val="baseline"/>
    </w:pPr>
    <w:rPr>
      <w:rFonts w:ascii="Calibri" w:hAnsi="Calibri"/>
    </w:rPr>
  </w:style>
  <w:style w:type="paragraph" w:customStyle="1" w:styleId="397">
    <w:name w:val="UserStyle_135"/>
    <w:basedOn w:val="1"/>
    <w:qFormat/>
    <w:uiPriority w:val="0"/>
    <w:pPr>
      <w:widowControl/>
      <w:spacing w:line="538" w:lineRule="exact"/>
      <w:ind w:firstLine="101"/>
      <w:textAlignment w:val="baseline"/>
    </w:pPr>
    <w:rPr>
      <w:rFonts w:ascii="Calibri" w:hAnsi="Calibri"/>
    </w:rPr>
  </w:style>
  <w:style w:type="paragraph" w:customStyle="1" w:styleId="398">
    <w:name w:val="UserStyle_136"/>
    <w:basedOn w:val="1"/>
    <w:qFormat/>
    <w:uiPriority w:val="0"/>
    <w:pPr>
      <w:widowControl/>
      <w:spacing w:line="547" w:lineRule="exact"/>
      <w:textAlignment w:val="baseline"/>
    </w:pPr>
    <w:rPr>
      <w:rFonts w:ascii="Calibri" w:hAnsi="Calibri"/>
    </w:rPr>
  </w:style>
  <w:style w:type="paragraph" w:customStyle="1" w:styleId="399">
    <w:name w:val="UserStyle_137"/>
    <w:basedOn w:val="223"/>
    <w:next w:val="1"/>
    <w:qFormat/>
    <w:uiPriority w:val="0"/>
    <w:pPr>
      <w:keepLines/>
      <w:spacing w:line="600" w:lineRule="auto"/>
    </w:pPr>
    <w:rPr>
      <w:rFonts w:eastAsia="黑体"/>
      <w:kern w:val="0"/>
      <w:sz w:val="32"/>
      <w:szCs w:val="32"/>
    </w:rPr>
  </w:style>
  <w:style w:type="paragraph" w:customStyle="1" w:styleId="400">
    <w:name w:val="UserStyle_138"/>
    <w:basedOn w:val="1"/>
    <w:qFormat/>
    <w:uiPriority w:val="0"/>
    <w:pPr>
      <w:widowControl/>
      <w:textAlignment w:val="baseline"/>
    </w:pPr>
    <w:rPr>
      <w:rFonts w:ascii="宋体" w:hAnsi="宋体"/>
      <w:lang w:val="zh-CN" w:bidi="zh-CN"/>
    </w:rPr>
  </w:style>
  <w:style w:type="paragraph" w:customStyle="1" w:styleId="401">
    <w:name w:val="UserStyle_139"/>
    <w:basedOn w:val="1"/>
    <w:qFormat/>
    <w:uiPriority w:val="0"/>
    <w:pPr>
      <w:widowControl/>
      <w:textAlignment w:val="baseline"/>
    </w:pPr>
    <w:rPr>
      <w:rFonts w:ascii="Calibri" w:hAnsi="Calibri"/>
    </w:rPr>
  </w:style>
  <w:style w:type="paragraph" w:customStyle="1" w:styleId="402">
    <w:name w:val="UserStyle_140"/>
    <w:basedOn w:val="1"/>
    <w:qFormat/>
    <w:uiPriority w:val="0"/>
    <w:pPr>
      <w:widowControl/>
      <w:jc w:val="left"/>
      <w:textAlignment w:val="baseline"/>
    </w:pPr>
    <w:rPr>
      <w:rFonts w:ascii="Calibri" w:hAnsi="Calibri"/>
      <w:kern w:val="0"/>
      <w:szCs w:val="21"/>
    </w:rPr>
  </w:style>
  <w:style w:type="paragraph" w:customStyle="1" w:styleId="403">
    <w:name w:val="UserStyle_141"/>
    <w:basedOn w:val="1"/>
    <w:qFormat/>
    <w:uiPriority w:val="0"/>
    <w:pPr>
      <w:widowControl/>
      <w:spacing w:after="160" w:line="240" w:lineRule="exact"/>
      <w:jc w:val="left"/>
      <w:textAlignment w:val="baseline"/>
    </w:pPr>
    <w:rPr>
      <w:rFonts w:ascii="Verdana" w:hAnsi="Verdana"/>
      <w:kern w:val="0"/>
      <w:sz w:val="20"/>
      <w:szCs w:val="20"/>
      <w:lang w:eastAsia="en-US"/>
    </w:rPr>
  </w:style>
  <w:style w:type="paragraph" w:customStyle="1" w:styleId="404">
    <w:name w:val="UserStyle_142"/>
    <w:basedOn w:val="1"/>
    <w:qFormat/>
    <w:uiPriority w:val="0"/>
    <w:pPr>
      <w:widowControl/>
      <w:textAlignment w:val="baseline"/>
    </w:pPr>
    <w:rPr>
      <w:rFonts w:ascii="Calibri" w:hAnsi="Calibri"/>
    </w:rPr>
  </w:style>
  <w:style w:type="paragraph" w:customStyle="1" w:styleId="405">
    <w:name w:val="UserStyle_143"/>
    <w:basedOn w:val="353"/>
    <w:qFormat/>
    <w:uiPriority w:val="0"/>
    <w:rPr>
      <w:rFonts w:ascii="Tahoma" w:hAnsi="Tahoma"/>
    </w:rPr>
  </w:style>
  <w:style w:type="paragraph" w:customStyle="1" w:styleId="406">
    <w:name w:val="UserStyle_144"/>
    <w:basedOn w:val="1"/>
    <w:qFormat/>
    <w:uiPriority w:val="0"/>
    <w:pPr>
      <w:widowControl/>
      <w:textAlignment w:val="baseline"/>
    </w:pPr>
    <w:rPr>
      <w:rFonts w:ascii="Calibri" w:hAnsi="Calibri"/>
    </w:rPr>
  </w:style>
  <w:style w:type="paragraph" w:customStyle="1" w:styleId="407">
    <w:name w:val="UserStyle_145"/>
    <w:basedOn w:val="1"/>
    <w:qFormat/>
    <w:uiPriority w:val="0"/>
    <w:pPr>
      <w:widowControl/>
      <w:textAlignment w:val="baseline"/>
    </w:pPr>
    <w:rPr>
      <w:rFonts w:ascii="Calibri" w:hAnsi="Calibri"/>
    </w:rPr>
  </w:style>
  <w:style w:type="paragraph" w:customStyle="1" w:styleId="408">
    <w:name w:val="UserStyle_146"/>
    <w:basedOn w:val="1"/>
    <w:qFormat/>
    <w:uiPriority w:val="0"/>
    <w:pPr>
      <w:widowControl/>
      <w:pBdr>
        <w:left w:val="single" w:color="000000" w:sz="4" w:space="0"/>
        <w:bottom w:val="single" w:color="000000" w:sz="4" w:space="0"/>
        <w:right w:val="double" w:color="000000" w:sz="6" w:space="0"/>
      </w:pBdr>
      <w:spacing w:before="100" w:beforeAutospacing="1" w:after="100" w:afterAutospacing="1"/>
      <w:jc w:val="center"/>
      <w:textAlignment w:val="baseline"/>
    </w:pPr>
    <w:rPr>
      <w:rFonts w:ascii="Arial Unicode MS" w:hAnsi="Arial Unicode MS" w:eastAsia="Arial Unicode MS"/>
      <w:kern w:val="0"/>
      <w:sz w:val="24"/>
    </w:rPr>
  </w:style>
  <w:style w:type="paragraph" w:customStyle="1" w:styleId="409">
    <w:name w:val="UserStyle_147"/>
    <w:basedOn w:val="1"/>
    <w:qFormat/>
    <w:uiPriority w:val="0"/>
    <w:pPr>
      <w:widowControl/>
      <w:textAlignment w:val="baseline"/>
    </w:pPr>
    <w:rPr>
      <w:rFonts w:ascii="Calibri" w:hAnsi="Calibri"/>
    </w:rPr>
  </w:style>
  <w:style w:type="paragraph" w:customStyle="1" w:styleId="410">
    <w:name w:val="UserStyle_148"/>
    <w:basedOn w:val="1"/>
    <w:qFormat/>
    <w:uiPriority w:val="0"/>
    <w:pPr>
      <w:widowControl/>
      <w:textAlignment w:val="baseline"/>
    </w:pPr>
    <w:rPr>
      <w:rFonts w:ascii="Calibri" w:hAnsi="Calibri"/>
    </w:rPr>
  </w:style>
  <w:style w:type="paragraph" w:customStyle="1" w:styleId="411">
    <w:name w:val="UserStyle_149"/>
    <w:basedOn w:val="1"/>
    <w:qFormat/>
    <w:uiPriority w:val="0"/>
    <w:pPr>
      <w:widowControl/>
      <w:spacing w:line="564" w:lineRule="exact"/>
      <w:ind w:firstLine="682"/>
      <w:textAlignment w:val="baseline"/>
    </w:pPr>
    <w:rPr>
      <w:rFonts w:ascii="Calibri" w:hAnsi="Calibri"/>
    </w:rPr>
  </w:style>
  <w:style w:type="paragraph" w:customStyle="1" w:styleId="412">
    <w:name w:val="UserStyle_150"/>
    <w:basedOn w:val="1"/>
    <w:qFormat/>
    <w:uiPriority w:val="0"/>
    <w:pPr>
      <w:widowControl/>
      <w:spacing w:line="549" w:lineRule="exact"/>
      <w:ind w:firstLine="686"/>
      <w:textAlignment w:val="baseline"/>
    </w:pPr>
    <w:rPr>
      <w:rFonts w:ascii="Calibri" w:hAnsi="Calibri"/>
    </w:rPr>
  </w:style>
  <w:style w:type="paragraph" w:customStyle="1" w:styleId="413">
    <w:name w:val="UserStyle_151"/>
    <w:basedOn w:val="1"/>
    <w:qFormat/>
    <w:uiPriority w:val="0"/>
    <w:pPr>
      <w:widowControl/>
      <w:spacing w:after="160" w:line="240" w:lineRule="exact"/>
      <w:jc w:val="left"/>
      <w:textAlignment w:val="baseline"/>
    </w:pPr>
    <w:rPr>
      <w:rFonts w:ascii="Verdana" w:hAnsi="Verdana" w:eastAsia="仿宋_GB2312"/>
      <w:kern w:val="0"/>
      <w:sz w:val="24"/>
      <w:szCs w:val="20"/>
      <w:lang w:eastAsia="en-US"/>
    </w:rPr>
  </w:style>
  <w:style w:type="paragraph" w:customStyle="1" w:styleId="414">
    <w:name w:val="UserStyle_152"/>
    <w:basedOn w:val="1"/>
    <w:qFormat/>
    <w:uiPriority w:val="0"/>
    <w:pPr>
      <w:widowControl/>
      <w:spacing w:line="566" w:lineRule="exact"/>
      <w:textAlignment w:val="baseline"/>
    </w:pPr>
    <w:rPr>
      <w:rFonts w:ascii="Calibri" w:hAnsi="Calibri"/>
    </w:rPr>
  </w:style>
  <w:style w:type="paragraph" w:customStyle="1" w:styleId="415">
    <w:name w:val="UserStyle_153"/>
    <w:basedOn w:val="1"/>
    <w:qFormat/>
    <w:uiPriority w:val="0"/>
    <w:pPr>
      <w:widowControl/>
      <w:spacing w:after="160" w:line="240" w:lineRule="exact"/>
      <w:jc w:val="left"/>
      <w:textAlignment w:val="baseline"/>
    </w:pPr>
    <w:rPr>
      <w:rFonts w:ascii="Verdana" w:hAnsi="Verdana"/>
      <w:kern w:val="0"/>
      <w:sz w:val="20"/>
      <w:szCs w:val="20"/>
      <w:lang w:eastAsia="en-US"/>
    </w:rPr>
  </w:style>
  <w:style w:type="paragraph" w:customStyle="1" w:styleId="416">
    <w:name w:val="UserStyle_154"/>
    <w:basedOn w:val="1"/>
    <w:qFormat/>
    <w:uiPriority w:val="0"/>
    <w:pPr>
      <w:widowControl/>
      <w:suppressAutoHyphens/>
      <w:spacing w:line="312" w:lineRule="atLeast"/>
      <w:ind w:firstLine="567"/>
      <w:jc w:val="left"/>
      <w:textAlignment w:val="baseline"/>
    </w:pPr>
    <w:rPr>
      <w:rFonts w:ascii="长城仿宋" w:hAnsi="长城仿宋" w:eastAsia="长城仿宋"/>
      <w:b/>
      <w:w w:val="80"/>
      <w:sz w:val="28"/>
      <w:szCs w:val="20"/>
    </w:rPr>
  </w:style>
  <w:style w:type="paragraph" w:customStyle="1" w:styleId="417">
    <w:name w:val="UserStyle_155"/>
    <w:basedOn w:val="1"/>
    <w:qFormat/>
    <w:uiPriority w:val="0"/>
    <w:pPr>
      <w:widowControl/>
      <w:ind w:firstLine="420" w:firstLineChars="200"/>
      <w:textAlignment w:val="baseline"/>
    </w:pPr>
    <w:rPr>
      <w:rFonts w:ascii="Calibri" w:hAnsi="Calibri"/>
      <w:szCs w:val="21"/>
    </w:rPr>
  </w:style>
  <w:style w:type="paragraph" w:customStyle="1" w:styleId="418">
    <w:name w:val="UserStyle_156"/>
    <w:basedOn w:val="1"/>
    <w:qFormat/>
    <w:uiPriority w:val="0"/>
    <w:pPr>
      <w:widowControl/>
      <w:spacing w:line="557" w:lineRule="exact"/>
      <w:ind w:firstLine="672"/>
      <w:textAlignment w:val="baseline"/>
    </w:pPr>
    <w:rPr>
      <w:rFonts w:ascii="Calibri" w:hAnsi="Calibri"/>
    </w:rPr>
  </w:style>
  <w:style w:type="paragraph" w:customStyle="1" w:styleId="419">
    <w:name w:val="UserStyle_157"/>
    <w:basedOn w:val="221"/>
    <w:qFormat/>
    <w:uiPriority w:val="0"/>
    <w:pPr>
      <w:widowControl/>
      <w:spacing w:line="240" w:lineRule="atLeast"/>
    </w:pPr>
    <w:rPr>
      <w:sz w:val="28"/>
      <w:szCs w:val="21"/>
    </w:rPr>
  </w:style>
  <w:style w:type="paragraph" w:customStyle="1" w:styleId="420">
    <w:name w:val="266"/>
    <w:basedOn w:val="223"/>
    <w:next w:val="1"/>
    <w:qFormat/>
    <w:uiPriority w:val="0"/>
    <w:pPr>
      <w:keepLines/>
      <w:spacing w:before="480" w:line="276" w:lineRule="auto"/>
      <w:jc w:val="left"/>
    </w:pPr>
    <w:rPr>
      <w:rFonts w:ascii="Cambria" w:hAnsi="Cambria"/>
      <w:color w:val="365F91"/>
      <w:kern w:val="0"/>
      <w:sz w:val="28"/>
      <w:szCs w:val="28"/>
    </w:rPr>
  </w:style>
  <w:style w:type="paragraph" w:customStyle="1" w:styleId="421">
    <w:name w:val="UserStyle_158"/>
    <w:basedOn w:val="1"/>
    <w:qFormat/>
    <w:uiPriority w:val="0"/>
    <w:pPr>
      <w:widowControl/>
      <w:ind w:firstLine="480"/>
      <w:textAlignment w:val="baseline"/>
    </w:pPr>
    <w:rPr>
      <w:rFonts w:ascii="Calibri" w:hAnsi="Calibri"/>
      <w:szCs w:val="20"/>
    </w:rPr>
  </w:style>
  <w:style w:type="paragraph" w:customStyle="1" w:styleId="422">
    <w:name w:val="UserStyle_159"/>
    <w:basedOn w:val="1"/>
    <w:qFormat/>
    <w:uiPriority w:val="0"/>
    <w:pPr>
      <w:widowControl/>
      <w:textAlignment w:val="baseline"/>
    </w:pPr>
    <w:rPr>
      <w:rFonts w:ascii="Calibri" w:hAnsi="Calibri"/>
    </w:rPr>
  </w:style>
  <w:style w:type="paragraph" w:customStyle="1" w:styleId="423">
    <w:name w:val="UserStyle_160"/>
    <w:basedOn w:val="1"/>
    <w:qFormat/>
    <w:uiPriority w:val="0"/>
    <w:pPr>
      <w:widowControl/>
      <w:textAlignment w:val="baseline"/>
    </w:pPr>
    <w:rPr>
      <w:rFonts w:ascii="Calibri" w:hAnsi="Calibri"/>
    </w:rPr>
  </w:style>
  <w:style w:type="paragraph" w:customStyle="1" w:styleId="424">
    <w:name w:val="UserStyle_161"/>
    <w:basedOn w:val="223"/>
    <w:qFormat/>
    <w:uiPriority w:val="0"/>
    <w:pPr>
      <w:spacing w:line="400" w:lineRule="exact"/>
      <w:jc w:val="both"/>
    </w:pPr>
    <w:rPr>
      <w:rFonts w:ascii="宋体" w:hAnsi="宋体"/>
      <w:kern w:val="32"/>
      <w:szCs w:val="32"/>
    </w:rPr>
  </w:style>
  <w:style w:type="paragraph" w:customStyle="1" w:styleId="425">
    <w:name w:val="UserStyle_162"/>
    <w:basedOn w:val="1"/>
    <w:qFormat/>
    <w:uiPriority w:val="0"/>
    <w:pPr>
      <w:widowControl/>
      <w:snapToGrid w:val="0"/>
      <w:spacing w:line="360" w:lineRule="auto"/>
      <w:ind w:firstLine="200" w:firstLineChars="200"/>
      <w:textAlignment w:val="baseline"/>
    </w:pPr>
    <w:rPr>
      <w:rFonts w:ascii="Calibri" w:hAnsi="Calibri" w:eastAsia="仿宋_GB2312"/>
      <w:sz w:val="24"/>
    </w:rPr>
  </w:style>
  <w:style w:type="paragraph" w:customStyle="1" w:styleId="426">
    <w:name w:val="UserStyle_163"/>
    <w:basedOn w:val="1"/>
    <w:qFormat/>
    <w:uiPriority w:val="0"/>
    <w:pPr>
      <w:widowControl/>
      <w:spacing w:line="542" w:lineRule="exact"/>
      <w:ind w:firstLine="125"/>
      <w:textAlignment w:val="baseline"/>
    </w:pPr>
    <w:rPr>
      <w:rFonts w:ascii="Calibri" w:hAnsi="Calibri"/>
    </w:rPr>
  </w:style>
  <w:style w:type="paragraph" w:customStyle="1" w:styleId="427">
    <w:name w:val="UserStyle_164"/>
    <w:basedOn w:val="1"/>
    <w:qFormat/>
    <w:uiPriority w:val="0"/>
    <w:pPr>
      <w:widowControl/>
      <w:spacing w:before="100" w:beforeAutospacing="1" w:after="100" w:afterAutospacing="1"/>
      <w:jc w:val="left"/>
      <w:textAlignment w:val="baseline"/>
    </w:pPr>
    <w:rPr>
      <w:rFonts w:ascii="宋体" w:hAnsi="宋体"/>
      <w:kern w:val="0"/>
      <w:sz w:val="24"/>
    </w:rPr>
  </w:style>
  <w:style w:type="paragraph" w:customStyle="1" w:styleId="428">
    <w:name w:val="UserStyle_165"/>
    <w:basedOn w:val="43"/>
    <w:qFormat/>
    <w:uiPriority w:val="0"/>
    <w:pPr>
      <w:widowControl/>
      <w:spacing w:before="240" w:after="240"/>
      <w:jc w:val="left"/>
      <w:textAlignment w:val="baseline"/>
      <w:outlineLvl w:val="9"/>
    </w:pPr>
    <w:rPr>
      <w:rFonts w:ascii="Cambria" w:hAnsi="Cambria"/>
      <w:kern w:val="2"/>
      <w:sz w:val="30"/>
      <w:szCs w:val="24"/>
    </w:rPr>
  </w:style>
  <w:style w:type="paragraph" w:customStyle="1" w:styleId="429">
    <w:name w:val="UserStyle_166"/>
    <w:basedOn w:val="1"/>
    <w:qFormat/>
    <w:uiPriority w:val="0"/>
    <w:pPr>
      <w:widowControl/>
      <w:spacing w:line="547" w:lineRule="exact"/>
      <w:ind w:firstLine="547"/>
      <w:textAlignment w:val="baseline"/>
    </w:pPr>
    <w:rPr>
      <w:rFonts w:ascii="Calibri" w:hAnsi="Calibri"/>
    </w:rPr>
  </w:style>
  <w:style w:type="paragraph" w:customStyle="1" w:styleId="430">
    <w:name w:val="UserStyle_167"/>
    <w:basedOn w:val="1"/>
    <w:qFormat/>
    <w:uiPriority w:val="0"/>
    <w:pPr>
      <w:widowControl/>
      <w:spacing w:line="538" w:lineRule="exact"/>
      <w:textAlignment w:val="baseline"/>
    </w:pPr>
    <w:rPr>
      <w:rFonts w:ascii="Calibri" w:hAnsi="Calibri"/>
    </w:rPr>
  </w:style>
  <w:style w:type="paragraph" w:customStyle="1" w:styleId="431">
    <w:name w:val="UserStyle_168"/>
    <w:basedOn w:val="225"/>
    <w:qFormat/>
    <w:uiPriority w:val="0"/>
    <w:pPr>
      <w:tabs>
        <w:tab w:val="left" w:pos="2175"/>
      </w:tabs>
      <w:spacing w:before="260" w:after="260" w:line="240" w:lineRule="auto"/>
      <w:ind w:left="2175" w:hanging="1275"/>
      <w:jc w:val="left"/>
    </w:pPr>
    <w:rPr>
      <w:rFonts w:ascii="宋体" w:hAnsi="宋体"/>
      <w:kern w:val="0"/>
      <w:sz w:val="21"/>
      <w:szCs w:val="20"/>
    </w:rPr>
  </w:style>
  <w:style w:type="paragraph" w:customStyle="1" w:styleId="432">
    <w:name w:val="UserStyle_169"/>
    <w:basedOn w:val="1"/>
    <w:qFormat/>
    <w:uiPriority w:val="0"/>
    <w:pPr>
      <w:widowControl/>
      <w:textAlignment w:val="baseline"/>
    </w:pPr>
    <w:rPr>
      <w:rFonts w:ascii="Calibri" w:hAnsi="Calibri"/>
    </w:rPr>
  </w:style>
  <w:style w:type="paragraph" w:customStyle="1" w:styleId="433">
    <w:name w:val="UserStyle_170"/>
    <w:basedOn w:val="1"/>
    <w:qFormat/>
    <w:uiPriority w:val="0"/>
    <w:pPr>
      <w:widowControl/>
      <w:textAlignment w:val="baseline"/>
    </w:pPr>
    <w:rPr>
      <w:rFonts w:ascii="Calibri" w:hAnsi="Calibri"/>
    </w:rPr>
  </w:style>
  <w:style w:type="paragraph" w:customStyle="1" w:styleId="434">
    <w:name w:val="UserStyle_171"/>
    <w:basedOn w:val="1"/>
    <w:qFormat/>
    <w:uiPriority w:val="0"/>
    <w:pPr>
      <w:widowControl/>
      <w:spacing w:after="160" w:line="240" w:lineRule="exact"/>
      <w:jc w:val="left"/>
      <w:textAlignment w:val="baseline"/>
    </w:pPr>
    <w:rPr>
      <w:rFonts w:ascii="Calibri" w:hAnsi="Calibri"/>
      <w:kern w:val="0"/>
      <w:sz w:val="24"/>
      <w:szCs w:val="20"/>
    </w:rPr>
  </w:style>
  <w:style w:type="paragraph" w:customStyle="1" w:styleId="435">
    <w:name w:val="UserStyle_172"/>
    <w:basedOn w:val="1"/>
    <w:qFormat/>
    <w:uiPriority w:val="0"/>
    <w:pPr>
      <w:widowControl/>
      <w:textAlignment w:val="baseline"/>
    </w:pPr>
    <w:rPr>
      <w:rFonts w:ascii="Calibri" w:hAnsi="Calibri"/>
      <w:szCs w:val="20"/>
    </w:rPr>
  </w:style>
  <w:style w:type="paragraph" w:customStyle="1" w:styleId="436">
    <w:name w:val="UserStyle_173"/>
    <w:basedOn w:val="1"/>
    <w:qFormat/>
    <w:uiPriority w:val="0"/>
    <w:pPr>
      <w:widowControl/>
      <w:spacing w:line="559" w:lineRule="exact"/>
      <w:ind w:firstLine="590"/>
      <w:textAlignment w:val="baseline"/>
    </w:pPr>
    <w:rPr>
      <w:rFonts w:ascii="Calibri" w:hAnsi="Calibri"/>
    </w:rPr>
  </w:style>
  <w:style w:type="paragraph" w:customStyle="1" w:styleId="437">
    <w:name w:val="UserStyle_174"/>
    <w:basedOn w:val="1"/>
    <w:qFormat/>
    <w:uiPriority w:val="0"/>
    <w:pPr>
      <w:widowControl/>
      <w:spacing w:line="538" w:lineRule="exact"/>
      <w:ind w:firstLine="533"/>
      <w:textAlignment w:val="baseline"/>
    </w:pPr>
    <w:rPr>
      <w:rFonts w:ascii="Calibri" w:hAnsi="Calibri"/>
    </w:rPr>
  </w:style>
  <w:style w:type="paragraph" w:customStyle="1" w:styleId="438">
    <w:name w:val="UserStyle_175"/>
    <w:basedOn w:val="1"/>
    <w:qFormat/>
    <w:uiPriority w:val="0"/>
    <w:pPr>
      <w:widowControl/>
      <w:pBdr>
        <w:left w:val="single" w:color="000000" w:sz="4" w:space="0"/>
        <w:right w:val="single" w:color="000000" w:sz="4" w:space="0"/>
      </w:pBdr>
      <w:spacing w:before="100" w:beforeAutospacing="1" w:after="100" w:afterAutospacing="1"/>
      <w:jc w:val="center"/>
      <w:textAlignment w:val="baseline"/>
    </w:pPr>
    <w:rPr>
      <w:rFonts w:ascii="宋体" w:hAnsi="宋体"/>
      <w:kern w:val="0"/>
      <w:sz w:val="24"/>
    </w:rPr>
  </w:style>
  <w:style w:type="paragraph" w:customStyle="1" w:styleId="439">
    <w:name w:val="178"/>
    <w:qFormat/>
    <w:uiPriority w:val="0"/>
    <w:pPr>
      <w:textAlignment w:val="baseline"/>
    </w:pPr>
    <w:rPr>
      <w:rFonts w:ascii="Calibri" w:hAnsi="Calibri" w:eastAsia="宋体" w:cs="Times New Roman"/>
      <w:kern w:val="2"/>
      <w:sz w:val="21"/>
      <w:szCs w:val="24"/>
      <w:lang w:val="en-US" w:eastAsia="zh-CN" w:bidi="ar-SA"/>
    </w:rPr>
  </w:style>
  <w:style w:type="paragraph" w:customStyle="1" w:styleId="440">
    <w:name w:val="UserStyle_176"/>
    <w:basedOn w:val="1"/>
    <w:qFormat/>
    <w:uiPriority w:val="0"/>
    <w:pPr>
      <w:widowControl/>
      <w:tabs>
        <w:tab w:val="left" w:pos="360"/>
      </w:tabs>
      <w:ind w:left="360" w:hanging="360"/>
      <w:textAlignment w:val="baseline"/>
    </w:pPr>
    <w:rPr>
      <w:rFonts w:ascii="宋体" w:hAnsi="宋体"/>
      <w:kern w:val="0"/>
      <w:szCs w:val="21"/>
    </w:rPr>
  </w:style>
  <w:style w:type="paragraph" w:customStyle="1" w:styleId="441">
    <w:name w:val="UserStyle_177"/>
    <w:basedOn w:val="1"/>
    <w:qFormat/>
    <w:uiPriority w:val="0"/>
    <w:pPr>
      <w:widowControl/>
      <w:textAlignment w:val="baseline"/>
    </w:pPr>
    <w:rPr>
      <w:rFonts w:ascii="Calibri" w:hAnsi="Calibri"/>
    </w:rPr>
  </w:style>
  <w:style w:type="paragraph" w:customStyle="1" w:styleId="442">
    <w:name w:val="UserStyle_178"/>
    <w:basedOn w:val="1"/>
    <w:qFormat/>
    <w:uiPriority w:val="0"/>
    <w:pPr>
      <w:keepNext/>
      <w:keepLines/>
      <w:widowControl/>
      <w:tabs>
        <w:tab w:val="left" w:pos="840"/>
      </w:tabs>
      <w:spacing w:before="240"/>
      <w:ind w:left="840" w:hanging="420"/>
      <w:jc w:val="left"/>
      <w:textAlignment w:val="baseline"/>
    </w:pPr>
    <w:rPr>
      <w:rFonts w:ascii="宋体" w:hAnsi="宋体"/>
      <w:b/>
      <w:bCs/>
      <w:color w:val="000000"/>
      <w:kern w:val="0"/>
      <w:szCs w:val="20"/>
    </w:rPr>
  </w:style>
  <w:style w:type="paragraph" w:customStyle="1" w:styleId="443">
    <w:name w:val="UserStyle_179"/>
    <w:basedOn w:val="1"/>
    <w:qFormat/>
    <w:uiPriority w:val="0"/>
    <w:pPr>
      <w:widowControl/>
      <w:spacing w:line="437" w:lineRule="exact"/>
      <w:textAlignment w:val="baseline"/>
    </w:pPr>
    <w:rPr>
      <w:rFonts w:ascii="Calibri" w:hAnsi="Calibri"/>
    </w:rPr>
  </w:style>
  <w:style w:type="paragraph" w:customStyle="1" w:styleId="444">
    <w:name w:val="UserStyle_180"/>
    <w:basedOn w:val="1"/>
    <w:qFormat/>
    <w:uiPriority w:val="0"/>
    <w:pPr>
      <w:widowControl/>
      <w:spacing w:line="547" w:lineRule="exact"/>
      <w:textAlignment w:val="baseline"/>
    </w:pPr>
    <w:rPr>
      <w:rFonts w:ascii="Calibri" w:hAnsi="Calibri"/>
    </w:rPr>
  </w:style>
  <w:style w:type="paragraph" w:customStyle="1" w:styleId="445">
    <w:name w:val="UserStyle_181"/>
    <w:basedOn w:val="1"/>
    <w:qFormat/>
    <w:uiPriority w:val="0"/>
    <w:pPr>
      <w:widowControl/>
      <w:spacing w:line="360" w:lineRule="auto"/>
      <w:textAlignment w:val="baseline"/>
    </w:pPr>
    <w:rPr>
      <w:rFonts w:ascii="宋体" w:hAnsi="宋体"/>
      <w:b/>
      <w:sz w:val="30"/>
      <w:szCs w:val="21"/>
    </w:rPr>
  </w:style>
  <w:style w:type="paragraph" w:customStyle="1" w:styleId="446">
    <w:name w:val="UserStyle_182"/>
    <w:basedOn w:val="1"/>
    <w:qFormat/>
    <w:uiPriority w:val="0"/>
    <w:pPr>
      <w:widowControl/>
      <w:textAlignment w:val="baseline"/>
    </w:pPr>
    <w:rPr>
      <w:rFonts w:ascii="Calibri" w:hAnsi="Calibri"/>
    </w:rPr>
  </w:style>
  <w:style w:type="paragraph" w:customStyle="1" w:styleId="447">
    <w:name w:val="179"/>
    <w:basedOn w:val="1"/>
    <w:qFormat/>
    <w:uiPriority w:val="0"/>
    <w:pPr>
      <w:widowControl/>
      <w:ind w:firstLine="420" w:firstLineChars="200"/>
      <w:textAlignment w:val="baseline"/>
    </w:pPr>
    <w:rPr>
      <w:rFonts w:ascii="Calibri" w:hAnsi="Calibri"/>
      <w:szCs w:val="22"/>
    </w:rPr>
  </w:style>
  <w:style w:type="paragraph" w:customStyle="1" w:styleId="448">
    <w:name w:val="UserStyle_183"/>
    <w:basedOn w:val="1"/>
    <w:qFormat/>
    <w:uiPriority w:val="0"/>
    <w:pPr>
      <w:widowControl/>
      <w:spacing w:line="542" w:lineRule="exact"/>
      <w:jc w:val="right"/>
      <w:textAlignment w:val="baseline"/>
    </w:pPr>
    <w:rPr>
      <w:rFonts w:ascii="Calibri" w:hAnsi="Calibri"/>
    </w:rPr>
  </w:style>
  <w:style w:type="paragraph" w:customStyle="1" w:styleId="449">
    <w:name w:val="UserStyle_184"/>
    <w:qFormat/>
    <w:uiPriority w:val="0"/>
    <w:pPr>
      <w:ind w:left="840" w:leftChars="350"/>
      <w:jc w:val="both"/>
      <w:textAlignment w:val="baseline"/>
    </w:pPr>
    <w:rPr>
      <w:rFonts w:ascii="宋体" w:hAnsi="Calibri" w:eastAsia="宋体" w:cs="Times New Roman"/>
      <w:b/>
      <w:sz w:val="24"/>
      <w:lang w:val="en-US" w:eastAsia="zh-CN" w:bidi="ar-SA"/>
    </w:rPr>
  </w:style>
  <w:style w:type="paragraph" w:customStyle="1" w:styleId="450">
    <w:name w:val="UserStyle_185"/>
    <w:basedOn w:val="1"/>
    <w:qFormat/>
    <w:uiPriority w:val="0"/>
    <w:pPr>
      <w:widowControl/>
      <w:textAlignment w:val="baseline"/>
    </w:pPr>
    <w:rPr>
      <w:rFonts w:ascii="Calibri" w:hAnsi="Calibri"/>
    </w:rPr>
  </w:style>
  <w:style w:type="paragraph" w:customStyle="1" w:styleId="451">
    <w:name w:val="UserStyle_186"/>
    <w:basedOn w:val="1"/>
    <w:qFormat/>
    <w:uiPriority w:val="0"/>
    <w:pPr>
      <w:widowControl/>
      <w:spacing w:line="682" w:lineRule="exact"/>
      <w:ind w:firstLine="557"/>
      <w:textAlignment w:val="baseline"/>
    </w:pPr>
    <w:rPr>
      <w:rFonts w:ascii="Calibri" w:hAnsi="Calibri"/>
    </w:rPr>
  </w:style>
  <w:style w:type="paragraph" w:customStyle="1" w:styleId="452">
    <w:name w:val="UserStyle_187"/>
    <w:basedOn w:val="1"/>
    <w:qFormat/>
    <w:uiPriority w:val="0"/>
    <w:pPr>
      <w:widowControl/>
      <w:textAlignment w:val="baseline"/>
    </w:pPr>
    <w:rPr>
      <w:rFonts w:ascii="Calibri" w:hAnsi="Calibri"/>
    </w:rPr>
  </w:style>
  <w:style w:type="paragraph" w:customStyle="1" w:styleId="453">
    <w:name w:val="UserStyle_188"/>
    <w:basedOn w:val="1"/>
    <w:qFormat/>
    <w:uiPriority w:val="0"/>
    <w:pPr>
      <w:widowControl/>
      <w:textAlignment w:val="baseline"/>
    </w:pPr>
    <w:rPr>
      <w:rFonts w:ascii="Calibri" w:hAnsi="Calibri"/>
    </w:rPr>
  </w:style>
  <w:style w:type="paragraph" w:customStyle="1" w:styleId="454">
    <w:name w:val="UserStyle_189"/>
    <w:basedOn w:val="1"/>
    <w:qFormat/>
    <w:uiPriority w:val="0"/>
    <w:pPr>
      <w:widowControl/>
      <w:snapToGrid w:val="0"/>
      <w:spacing w:line="300" w:lineRule="auto"/>
      <w:textAlignment w:val="baseline"/>
    </w:pPr>
    <w:rPr>
      <w:rFonts w:ascii="Calibri" w:hAnsi="Calibri"/>
      <w:sz w:val="24"/>
      <w:szCs w:val="20"/>
    </w:rPr>
  </w:style>
  <w:style w:type="paragraph" w:customStyle="1" w:styleId="455">
    <w:name w:val="UserStyle_190"/>
    <w:basedOn w:val="1"/>
    <w:qFormat/>
    <w:uiPriority w:val="0"/>
    <w:pPr>
      <w:widowControl/>
      <w:spacing w:line="533" w:lineRule="exact"/>
      <w:ind w:firstLine="581"/>
      <w:textAlignment w:val="baseline"/>
    </w:pPr>
    <w:rPr>
      <w:rFonts w:ascii="Calibri" w:hAnsi="Calibri"/>
    </w:rPr>
  </w:style>
  <w:style w:type="paragraph" w:customStyle="1" w:styleId="456">
    <w:name w:val="H1"/>
    <w:qFormat/>
    <w:uiPriority w:val="0"/>
    <w:pPr>
      <w:widowControl w:val="0"/>
      <w:adjustRightInd w:val="0"/>
      <w:spacing w:after="240"/>
      <w:textAlignment w:val="baseline"/>
    </w:pPr>
    <w:rPr>
      <w:rFonts w:ascii="Times New Roman" w:hAnsi="Times New Roman" w:eastAsia="全真中明體" w:cs="Times New Roman"/>
      <w:b/>
      <w:caps/>
      <w:spacing w:val="30"/>
      <w:sz w:val="24"/>
      <w:lang w:val="en-US" w:eastAsia="zh-TW" w:bidi="ar-SA"/>
    </w:rPr>
  </w:style>
  <w:style w:type="character" w:customStyle="1" w:styleId="457">
    <w:name w:val="日期 Char2"/>
    <w:qFormat/>
    <w:locked/>
    <w:uiPriority w:val="0"/>
    <w:rPr>
      <w:rFonts w:ascii="宋体" w:hAnsi="宋体" w:eastAsia="宋体"/>
      <w:kern w:val="2"/>
      <w:sz w:val="24"/>
      <w:lang w:val="en-US" w:eastAsia="zh-CN" w:bidi="ar-SA"/>
    </w:rPr>
  </w:style>
  <w:style w:type="character" w:customStyle="1" w:styleId="458">
    <w:name w:val="15"/>
    <w:basedOn w:val="49"/>
    <w:qFormat/>
    <w:uiPriority w:val="0"/>
    <w:rPr>
      <w:rFonts w:hint="default" w:ascii="Times New Roman" w:hAnsi="Times New Roman" w:cs="Times New Roman"/>
      <w:b/>
    </w:rPr>
  </w:style>
  <w:style w:type="paragraph" w:customStyle="1" w:styleId="459">
    <w:name w:val="正文格式"/>
    <w:basedOn w:val="1"/>
    <w:qFormat/>
    <w:uiPriority w:val="0"/>
    <w:pPr>
      <w:widowControl/>
      <w:adjustRightInd w:val="0"/>
      <w:snapToGrid w:val="0"/>
      <w:spacing w:line="400" w:lineRule="atLeast"/>
      <w:ind w:firstLine="482"/>
      <w:textAlignment w:val="baseline"/>
    </w:pPr>
    <w:rPr>
      <w:rFonts w:ascii="Calibri" w:hAnsi="Calibri"/>
      <w:kern w:val="0"/>
      <w:sz w:val="24"/>
    </w:rPr>
  </w:style>
  <w:style w:type="paragraph" w:customStyle="1" w:styleId="460">
    <w:name w:val="Normal_0_2"/>
    <w:qFormat/>
    <w:uiPriority w:val="0"/>
    <w:rPr>
      <w:rFonts w:ascii="Times New Roman" w:hAnsi="Times New Roman" w:eastAsia="Times New Roman" w:cs="Times New Roman"/>
      <w:sz w:val="24"/>
      <w:szCs w:val="24"/>
      <w:lang w:val="en-US" w:eastAsia="zh-CN" w:bidi="ar-SA"/>
    </w:rPr>
  </w:style>
  <w:style w:type="paragraph" w:customStyle="1" w:styleId="461">
    <w:name w:val="正文文本 21"/>
    <w:basedOn w:val="1"/>
    <w:qFormat/>
    <w:uiPriority w:val="0"/>
    <w:pPr>
      <w:widowControl/>
      <w:spacing w:line="480" w:lineRule="auto"/>
      <w:textAlignment w:val="baseline"/>
    </w:pPr>
    <w:rPr>
      <w:rFonts w:ascii="Calibri" w:hAnsi="Calibri"/>
    </w:rPr>
  </w:style>
  <w:style w:type="paragraph" w:customStyle="1" w:styleId="462">
    <w:name w:val="Other|1"/>
    <w:basedOn w:val="1"/>
    <w:qFormat/>
    <w:uiPriority w:val="0"/>
    <w:pPr>
      <w:spacing w:line="252" w:lineRule="exact"/>
      <w:textAlignment w:val="baseline"/>
    </w:pPr>
    <w:rPr>
      <w:rFonts w:ascii="宋体" w:hAnsi="宋体" w:cs="宋体"/>
      <w:sz w:val="20"/>
      <w:szCs w:val="20"/>
      <w:lang w:val="zh-TW" w:eastAsia="zh-TW" w:bidi="zh-TW"/>
    </w:rPr>
  </w:style>
  <w:style w:type="paragraph" w:customStyle="1" w:styleId="463">
    <w:name w:val="表 靠左"/>
    <w:basedOn w:val="1"/>
    <w:qFormat/>
    <w:uiPriority w:val="0"/>
    <w:pPr>
      <w:jc w:val="left"/>
    </w:pPr>
    <w:rPr>
      <w:sz w:val="24"/>
      <w:szCs w:val="21"/>
    </w:rPr>
  </w:style>
  <w:style w:type="paragraph" w:customStyle="1" w:styleId="464">
    <w:name w:val="AVIC1.1"/>
    <w:basedOn w:val="1"/>
    <w:qFormat/>
    <w:uiPriority w:val="0"/>
    <w:pPr>
      <w:jc w:val="left"/>
      <w:outlineLvl w:val="3"/>
    </w:pPr>
    <w:rPr>
      <w:rFonts w:ascii="宋体" w:hAnsi="宋体"/>
      <w:b/>
      <w:bCs/>
    </w:rPr>
  </w:style>
  <w:style w:type="paragraph" w:customStyle="1" w:styleId="465">
    <w:name w:val="List Paragraph1"/>
    <w:basedOn w:val="1"/>
    <w:qFormat/>
    <w:uiPriority w:val="0"/>
    <w:pPr>
      <w:widowControl/>
      <w:ind w:firstLine="420" w:firstLineChars="200"/>
      <w:jc w:val="left"/>
    </w:pPr>
    <w:rPr>
      <w:rFonts w:ascii="宋体" w:hAnsi="宋体" w:cs="宋体"/>
      <w:kern w:val="0"/>
      <w:sz w:val="24"/>
    </w:rPr>
  </w:style>
  <w:style w:type="paragraph" w:customStyle="1" w:styleId="466">
    <w:name w:val="列出段落2"/>
    <w:basedOn w:val="1"/>
    <w:qFormat/>
    <w:uiPriority w:val="0"/>
    <w:pPr>
      <w:ind w:firstLine="420" w:firstLineChars="200"/>
    </w:pPr>
    <w:rPr>
      <w:rFonts w:ascii="Calibri" w:hAnsi="Calibri"/>
      <w:szCs w:val="22"/>
    </w:rPr>
  </w:style>
  <w:style w:type="paragraph" w:customStyle="1" w:styleId="467">
    <w:name w:val="Table Text"/>
    <w:basedOn w:val="1"/>
    <w:semiHidden/>
    <w:qFormat/>
    <w:uiPriority w:val="0"/>
    <w:rPr>
      <w:rFonts w:ascii="宋体" w:hAnsi="宋体" w:cs="宋体"/>
    </w:rPr>
  </w:style>
  <w:style w:type="paragraph" w:customStyle="1" w:styleId="468">
    <w:name w:val="p12"/>
    <w:basedOn w:val="1"/>
    <w:qFormat/>
    <w:uiPriority w:val="0"/>
    <w:pPr>
      <w:widowControl/>
      <w:spacing w:before="100" w:beforeAutospacing="1" w:after="100" w:afterAutospacing="1"/>
      <w:jc w:val="left"/>
    </w:pPr>
    <w:rPr>
      <w:rFonts w:ascii="&amp;#23435;&amp;#20307;" w:hAnsi="&amp;#23435;&amp;#20307;"/>
      <w:kern w:val="0"/>
      <w:sz w:val="18"/>
      <w:szCs w:val="18"/>
    </w:rPr>
  </w:style>
  <w:style w:type="paragraph" w:customStyle="1" w:styleId="469">
    <w:name w:val="List Paragraph_c199b101-49a7-44df-a093-57b8683f2156"/>
    <w:basedOn w:val="1"/>
    <w:qFormat/>
    <w:uiPriority w:val="34"/>
    <w:pPr>
      <w:ind w:firstLine="420" w:firstLineChars="200"/>
    </w:pPr>
  </w:style>
  <w:style w:type="paragraph" w:customStyle="1" w:styleId="470">
    <w:name w:val="_Style 1"/>
    <w:basedOn w:val="1"/>
    <w:qFormat/>
    <w:uiPriority w:val="34"/>
    <w:pPr>
      <w:ind w:firstLine="420" w:firstLineChars="200"/>
    </w:pPr>
    <w:rPr>
      <w:rFonts w:ascii="Calibri" w:hAnsi="Calibri"/>
      <w:szCs w:val="22"/>
    </w:rPr>
  </w:style>
  <w:style w:type="paragraph" w:customStyle="1" w:styleId="471">
    <w:name w:val="段"/>
    <w:qFormat/>
    <w:uiPriority w:val="0"/>
    <w:pPr>
      <w:autoSpaceDE w:val="0"/>
      <w:autoSpaceDN w:val="0"/>
      <w:ind w:firstLine="200" w:firstLineChars="200"/>
      <w:jc w:val="both"/>
    </w:pPr>
    <w:rPr>
      <w:rFonts w:ascii="宋体" w:hAnsi="Calibri" w:eastAsia="宋体" w:cs="Times New Roman"/>
      <w:sz w:val="21"/>
      <w:lang w:val="en-US" w:eastAsia="zh-CN" w:bidi="ar-SA"/>
    </w:rPr>
  </w:style>
  <w:style w:type="paragraph" w:customStyle="1" w:styleId="472">
    <w:name w:val="三级条标题"/>
    <w:basedOn w:val="1"/>
    <w:next w:val="471"/>
    <w:qFormat/>
    <w:uiPriority w:val="0"/>
    <w:pPr>
      <w:widowControl/>
      <w:numPr>
        <w:ilvl w:val="4"/>
        <w:numId w:val="1"/>
      </w:numPr>
      <w:jc w:val="left"/>
      <w:outlineLvl w:val="4"/>
    </w:pPr>
    <w:rPr>
      <w:rFonts w:eastAsia="黑体"/>
      <w:kern w:val="0"/>
    </w:rPr>
  </w:style>
  <w:style w:type="paragraph" w:customStyle="1" w:styleId="473">
    <w:name w:val="lei.text"/>
    <w:qFormat/>
    <w:uiPriority w:val="0"/>
    <w:pPr>
      <w:spacing w:line="360" w:lineRule="exact"/>
      <w:ind w:firstLine="200" w:firstLineChars="200"/>
    </w:pPr>
    <w:rPr>
      <w:rFonts w:ascii="宋体" w:hAnsi="Tahoma" w:eastAsia="宋体" w:cs="Times New Roman"/>
      <w:sz w:val="24"/>
      <w:lang w:val="en-US" w:eastAsia="zh-CN" w:bidi="ar-SA"/>
    </w:rPr>
  </w:style>
  <w:style w:type="table" w:customStyle="1" w:styleId="474">
    <w:name w:val="Table Normal"/>
    <w:semiHidden/>
    <w:unhideWhenUsed/>
    <w:qFormat/>
    <w:uiPriority w:val="0"/>
    <w:rPr>
      <w:rFonts w:ascii="Arial" w:hAnsi="Arial" w:cs="Arial" w:eastAsiaTheme="minorEastAsia"/>
    </w:rPr>
    <w:tblPr>
      <w:tblCellMar>
        <w:top w:w="0" w:type="dxa"/>
        <w:left w:w="0" w:type="dxa"/>
        <w:bottom w:w="0" w:type="dxa"/>
        <w:right w:w="0" w:type="dxa"/>
      </w:tblCellMar>
    </w:tblPr>
  </w:style>
  <w:style w:type="paragraph" w:customStyle="1" w:styleId="475">
    <w:name w:val="Normal_0_1"/>
    <w:qFormat/>
    <w:uiPriority w:val="0"/>
    <w:rPr>
      <w:rFonts w:ascii="Times New Roman" w:hAnsi="Times New Roman" w:eastAsia="宋体" w:cs="Times New Roman"/>
      <w:sz w:val="24"/>
      <w:szCs w:val="24"/>
      <w:lang w:val="en-US" w:eastAsia="zh-CN" w:bidi="ar-SA"/>
    </w:rPr>
  </w:style>
  <w:style w:type="table" w:customStyle="1" w:styleId="476">
    <w:name w:val="网格型3"/>
    <w:basedOn w:val="4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477">
    <w:name w:val="WPSOffice手动目录 1"/>
    <w:qFormat/>
    <w:uiPriority w:val="0"/>
    <w:pPr>
      <w:ind w:leftChars="0"/>
    </w:pPr>
    <w:rPr>
      <w:rFonts w:ascii="Times New Roman" w:hAnsi="Times New Roman" w:eastAsia="宋体" w:cs="Times New Roman"/>
      <w:sz w:val="20"/>
      <w:szCs w:val="20"/>
    </w:rPr>
  </w:style>
  <w:style w:type="paragraph" w:customStyle="1" w:styleId="478">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105</Pages>
  <Words>50966</Words>
  <Characters>54761</Characters>
  <Lines>451</Lines>
  <Paragraphs>127</Paragraphs>
  <TotalTime>26</TotalTime>
  <ScaleCrop>false</ScaleCrop>
  <LinksUpToDate>false</LinksUpToDate>
  <CharactersWithSpaces>57319</CharactersWithSpaces>
  <Application>WPS Office_12.1.0.26884_F1E327BC-269C-435d-A152-05C5408002CA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2025-07-04T11:24:00Z</dcterms:created>
  <dc:creator>admin</dc:creator>
  <cp:lastModifiedBy>Administrator</cp:lastModifiedBy>
  <cp:lastPrinted>2025-04-24T16:28:00Z</cp:lastPrinted>
  <dcterms:modified xsi:type="dcterms:W3CDTF">2026-07-21T03:42:23Z</dcterms:modified>
  <dc:title>政府采购</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2052-12.1.0.26884</vt:lpwstr>
  </property>
  <property fmtid="{D5CDD505-2E9C-101B-9397-08002B2CF9AE}" pid="3" name="ICV">
    <vt:lpwstr>700F79A6C74C415BA5CDE9A7BB6DDACB_13</vt:lpwstr>
  </property>
  <property fmtid="{D5CDD505-2E9C-101B-9397-08002B2CF9AE}" pid="4" name="KSOTemplateDocerSaveRecord">
    <vt:lpwstr>eyJoZGlkIjoiMzUxMDViNGU0ZmM4M2VhODZlZTVmMzk1M2JmMDFmODEiLCJ1c2VySWQiOiI0OTQzODA3MzgifQ==</vt:lpwstr>
  </property>
</Properties>
</file>