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ind w:right="-836" w:rightChars="-398"/>
        <w:jc w:val="center"/>
        <w:rPr>
          <w:rFonts w:ascii="隶书" w:hAnsi="华文中宋" w:eastAsia="隶书"/>
          <w:color w:val="auto"/>
          <w:sz w:val="84"/>
          <w:szCs w:val="84"/>
          <w:highlight w:val="none"/>
        </w:rPr>
      </w:pPr>
    </w:p>
    <w:p>
      <w:pPr>
        <w:pStyle w:val="26"/>
        <w:tabs>
          <w:tab w:val="left" w:pos="4620"/>
        </w:tabs>
        <w:jc w:val="center"/>
        <w:rPr>
          <w:rFonts w:ascii="隶书" w:hAnsi="华文中宋" w:eastAsia="隶书"/>
          <w:bCs/>
          <w:color w:val="auto"/>
          <w:sz w:val="84"/>
          <w:szCs w:val="84"/>
          <w:highlight w:val="none"/>
        </w:rPr>
      </w:pPr>
      <w:r>
        <w:rPr>
          <w:rFonts w:hint="eastAsia" w:ascii="隶书" w:hAnsi="华文中宋" w:eastAsia="隶书"/>
          <w:color w:val="auto"/>
          <w:sz w:val="84"/>
          <w:szCs w:val="84"/>
          <w:highlight w:val="none"/>
        </w:rPr>
        <w:t>政府采购</w:t>
      </w:r>
    </w:p>
    <w:p>
      <w:pPr>
        <w:pStyle w:val="26"/>
        <w:adjustRightInd w:val="0"/>
        <w:snapToGrid w:val="0"/>
        <w:spacing w:line="360" w:lineRule="auto"/>
        <w:jc w:val="center"/>
        <w:rPr>
          <w:rFonts w:ascii="隶书" w:hAnsi="华文中宋" w:eastAsia="隶书"/>
          <w:color w:val="auto"/>
          <w:sz w:val="84"/>
          <w:szCs w:val="84"/>
          <w:highlight w:val="none"/>
        </w:rPr>
      </w:pPr>
      <w:r>
        <w:rPr>
          <w:rFonts w:hint="eastAsia" w:ascii="隶书" w:hAnsi="华文中宋" w:eastAsia="隶书"/>
          <w:color w:val="auto"/>
          <w:sz w:val="84"/>
          <w:szCs w:val="84"/>
          <w:highlight w:val="none"/>
        </w:rPr>
        <w:t>竞争性谈判文件</w:t>
      </w:r>
    </w:p>
    <w:p>
      <w:pPr>
        <w:pStyle w:val="26"/>
        <w:adjustRightInd w:val="0"/>
        <w:snapToGrid w:val="0"/>
        <w:spacing w:line="360" w:lineRule="auto"/>
        <w:ind w:left="2563" w:leftChars="554" w:hanging="1400" w:hangingChars="700"/>
        <w:rPr>
          <w:rFonts w:ascii="Tahoma" w:hAnsi="Tahoma" w:cs="Tahoma"/>
          <w:color w:val="auto"/>
          <w:sz w:val="20"/>
          <w:szCs w:val="20"/>
          <w:highlight w:val="none"/>
        </w:rPr>
      </w:pPr>
    </w:p>
    <w:p>
      <w:pPr>
        <w:pStyle w:val="26"/>
        <w:adjustRightInd w:val="0"/>
        <w:snapToGrid w:val="0"/>
        <w:spacing w:line="360" w:lineRule="auto"/>
        <w:ind w:left="2563" w:leftChars="554" w:hanging="1400" w:hangingChars="700"/>
        <w:rPr>
          <w:rFonts w:ascii="Tahoma" w:hAnsi="Tahoma" w:cs="Tahoma"/>
          <w:color w:val="auto"/>
          <w:sz w:val="20"/>
          <w:szCs w:val="20"/>
          <w:highlight w:val="none"/>
        </w:rPr>
      </w:pPr>
    </w:p>
    <w:p>
      <w:pPr>
        <w:adjustRightInd w:val="0"/>
        <w:snapToGrid w:val="0"/>
        <w:spacing w:line="360" w:lineRule="auto"/>
        <w:ind w:left="3363" w:right="224" w:hanging="2240"/>
        <w:rPr>
          <w:rFonts w:hint="default" w:eastAsia="宋体"/>
          <w:b/>
          <w:color w:val="auto"/>
          <w:szCs w:val="21"/>
          <w:highlight w:val="none"/>
          <w:lang w:val="en-US" w:eastAsia="zh-CN"/>
        </w:rPr>
      </w:pPr>
      <w:r>
        <w:rPr>
          <w:rFonts w:hint="eastAsia" w:hAnsi="宋体"/>
          <w:b/>
          <w:color w:val="auto"/>
          <w:sz w:val="32"/>
          <w:szCs w:val="32"/>
          <w:highlight w:val="none"/>
        </w:rPr>
        <w:t>采购项目名称：</w:t>
      </w:r>
      <w:r>
        <w:rPr>
          <w:rFonts w:hint="eastAsia"/>
          <w:b/>
          <w:color w:val="auto"/>
          <w:sz w:val="32"/>
          <w:szCs w:val="21"/>
          <w:highlight w:val="none"/>
          <w:u w:val="single"/>
          <w:lang w:eastAsia="zh-CN"/>
        </w:rPr>
        <w:t>株洲市三三一医院脊柱外科设备一批采购项目</w:t>
      </w:r>
      <w:r>
        <w:rPr>
          <w:rFonts w:hint="eastAsia"/>
          <w:b/>
          <w:color w:val="auto"/>
          <w:sz w:val="32"/>
          <w:szCs w:val="21"/>
          <w:highlight w:val="none"/>
          <w:u w:val="single"/>
        </w:rPr>
        <w:t xml:space="preserve"> </w:t>
      </w:r>
      <w:r>
        <w:rPr>
          <w:rFonts w:hint="eastAsia"/>
          <w:b/>
          <w:color w:val="auto"/>
          <w:sz w:val="32"/>
          <w:szCs w:val="21"/>
          <w:highlight w:val="none"/>
          <w:u w:val="single"/>
          <w:lang w:val="en-US" w:eastAsia="zh-CN"/>
        </w:rPr>
        <w:t xml:space="preserve"> </w:t>
      </w:r>
    </w:p>
    <w:p>
      <w:pPr>
        <w:adjustRightInd w:val="0"/>
        <w:snapToGrid w:val="0"/>
        <w:spacing w:line="360" w:lineRule="auto"/>
        <w:ind w:firstLine="1124" w:firstLineChars="350"/>
        <w:rPr>
          <w:rFonts w:hint="default" w:hAnsi="宋体" w:eastAsia="宋体"/>
          <w:b/>
          <w:color w:val="auto"/>
          <w:sz w:val="32"/>
          <w:szCs w:val="32"/>
          <w:highlight w:val="none"/>
          <w:u w:val="single"/>
          <w:lang w:val="en-US" w:eastAsia="zh-CN"/>
        </w:rPr>
      </w:pPr>
      <w:r>
        <w:rPr>
          <w:rFonts w:hint="eastAsia" w:ascii="宋体" w:hAnsi="宋体"/>
          <w:b/>
          <w:color w:val="auto"/>
          <w:sz w:val="32"/>
          <w:szCs w:val="32"/>
          <w:highlight w:val="none"/>
        </w:rPr>
        <w:t>政府采购编号：</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eastAsia="zh-CN"/>
        </w:rPr>
        <w:t>(2026)430200000077-1</w:t>
      </w:r>
      <w:r>
        <w:rPr>
          <w:rFonts w:hint="eastAsia" w:hAnsi="宋体"/>
          <w:b/>
          <w:color w:val="auto"/>
          <w:sz w:val="32"/>
          <w:szCs w:val="32"/>
          <w:highlight w:val="none"/>
          <w:u w:val="single"/>
          <w:lang w:val="en-US" w:eastAsia="zh-CN"/>
        </w:rPr>
        <w:t xml:space="preserve">  </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w:t>
      </w:r>
    </w:p>
    <w:p>
      <w:pPr>
        <w:adjustRightInd w:val="0"/>
        <w:snapToGrid w:val="0"/>
        <w:spacing w:line="360" w:lineRule="auto"/>
        <w:ind w:firstLine="1124" w:firstLineChars="350"/>
        <w:rPr>
          <w:rFonts w:hint="default" w:hAnsi="宋体" w:eastAsia="宋体"/>
          <w:b/>
          <w:color w:val="auto"/>
          <w:sz w:val="32"/>
          <w:szCs w:val="32"/>
          <w:highlight w:val="none"/>
          <w:u w:val="single"/>
          <w:lang w:val="en-US" w:eastAsia="zh-CN"/>
        </w:rPr>
      </w:pPr>
      <w:r>
        <w:rPr>
          <w:rFonts w:hint="eastAsia" w:ascii="宋体" w:hAnsi="宋体"/>
          <w:b/>
          <w:color w:val="auto"/>
          <w:sz w:val="32"/>
          <w:szCs w:val="32"/>
          <w:highlight w:val="none"/>
          <w:lang w:val="en-US" w:eastAsia="zh-CN"/>
        </w:rPr>
        <w:t>委托</w:t>
      </w:r>
      <w:r>
        <w:rPr>
          <w:rFonts w:hint="eastAsia" w:ascii="宋体" w:hAnsi="宋体"/>
          <w:b/>
          <w:color w:val="auto"/>
          <w:sz w:val="32"/>
          <w:szCs w:val="32"/>
          <w:highlight w:val="none"/>
        </w:rPr>
        <w:t>代理编号：</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w:t>
      </w:r>
      <w:r>
        <w:rPr>
          <w:rFonts w:hint="eastAsia" w:hAnsi="宋体"/>
          <w:b/>
          <w:color w:val="auto"/>
          <w:sz w:val="32"/>
          <w:szCs w:val="32"/>
          <w:highlight w:val="none"/>
          <w:u w:val="single"/>
        </w:rPr>
        <w:t>HNZZ-ZF-20261034</w:t>
      </w:r>
      <w:r>
        <w:rPr>
          <w:rFonts w:hint="eastAsia" w:hAnsi="宋体"/>
          <w:b/>
          <w:color w:val="auto"/>
          <w:sz w:val="32"/>
          <w:szCs w:val="32"/>
          <w:highlight w:val="none"/>
          <w:u w:val="single"/>
          <w:lang w:val="en-US" w:eastAsia="zh-CN"/>
        </w:rPr>
        <w:t xml:space="preserve">           </w:t>
      </w:r>
    </w:p>
    <w:p>
      <w:pPr>
        <w:adjustRightInd w:val="0"/>
        <w:snapToGrid w:val="0"/>
        <w:spacing w:line="360" w:lineRule="auto"/>
        <w:ind w:firstLine="1124" w:firstLineChars="350"/>
        <w:rPr>
          <w:rFonts w:hint="default" w:hAnsi="宋体" w:eastAsia="宋体"/>
          <w:b/>
          <w:color w:val="auto"/>
          <w:sz w:val="32"/>
          <w:szCs w:val="32"/>
          <w:highlight w:val="none"/>
          <w:u w:val="single"/>
          <w:lang w:val="en-US" w:eastAsia="zh-CN"/>
        </w:rPr>
      </w:pPr>
      <w:r>
        <w:rPr>
          <w:rFonts w:hint="eastAsia" w:ascii="宋体" w:hAnsi="宋体"/>
          <w:b/>
          <w:color w:val="auto"/>
          <w:sz w:val="32"/>
          <w:szCs w:val="32"/>
          <w:highlight w:val="none"/>
        </w:rPr>
        <w:t>采   购   人：</w:t>
      </w:r>
      <w:r>
        <w:rPr>
          <w:rFonts w:hint="eastAsia" w:ascii="宋体" w:hAnsi="宋体"/>
          <w:b/>
          <w:color w:val="auto"/>
          <w:sz w:val="32"/>
          <w:szCs w:val="32"/>
          <w:highlight w:val="none"/>
          <w:u w:val="single"/>
        </w:rPr>
        <w:t xml:space="preserve"> </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株洲市三三一医院 </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w:t>
      </w:r>
    </w:p>
    <w:p>
      <w:pPr>
        <w:adjustRightInd w:val="0"/>
        <w:snapToGrid w:val="0"/>
        <w:spacing w:line="360" w:lineRule="auto"/>
        <w:ind w:firstLine="1124" w:firstLineChars="350"/>
        <w:rPr>
          <w:rFonts w:hint="default" w:hAnsi="宋体" w:eastAsia="宋体"/>
          <w:b/>
          <w:color w:val="auto"/>
          <w:sz w:val="32"/>
          <w:szCs w:val="32"/>
          <w:highlight w:val="none"/>
          <w:u w:val="single"/>
          <w:lang w:val="en-US" w:eastAsia="zh-CN"/>
        </w:rPr>
      </w:pPr>
      <w:r>
        <w:rPr>
          <w:rFonts w:hint="eastAsia" w:ascii="宋体" w:hAnsi="宋体"/>
          <w:b/>
          <w:color w:val="auto"/>
          <w:sz w:val="32"/>
          <w:szCs w:val="21"/>
          <w:highlight w:val="none"/>
        </w:rPr>
        <w:t>采购代理机构：</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eastAsia="zh-CN"/>
        </w:rPr>
        <w:t>湖南省中方项目管理有限公司</w:t>
      </w:r>
      <w:r>
        <w:rPr>
          <w:rFonts w:hint="eastAsia" w:hAnsi="宋体"/>
          <w:b/>
          <w:color w:val="auto"/>
          <w:sz w:val="32"/>
          <w:szCs w:val="32"/>
          <w:highlight w:val="none"/>
          <w:u w:val="single"/>
        </w:rPr>
        <w:t xml:space="preserve"> </w:t>
      </w:r>
      <w:r>
        <w:rPr>
          <w:rFonts w:hint="eastAsia" w:hAnsi="宋体"/>
          <w:b/>
          <w:color w:val="auto"/>
          <w:sz w:val="32"/>
          <w:szCs w:val="32"/>
          <w:highlight w:val="none"/>
          <w:u w:val="single"/>
          <w:lang w:val="en-US" w:eastAsia="zh-CN"/>
        </w:rPr>
        <w:t xml:space="preserve">   </w:t>
      </w:r>
    </w:p>
    <w:p>
      <w:pPr>
        <w:pStyle w:val="26"/>
        <w:adjustRightInd w:val="0"/>
        <w:snapToGrid w:val="0"/>
        <w:spacing w:line="360" w:lineRule="auto"/>
        <w:ind w:left="-199" w:leftChars="-95" w:firstLine="199" w:firstLineChars="62"/>
        <w:jc w:val="center"/>
        <w:rPr>
          <w:b/>
          <w:color w:val="auto"/>
          <w:sz w:val="32"/>
          <w:szCs w:val="32"/>
          <w:highlight w:val="none"/>
        </w:rPr>
      </w:pPr>
    </w:p>
    <w:p>
      <w:pPr>
        <w:pStyle w:val="26"/>
        <w:adjustRightInd w:val="0"/>
        <w:snapToGrid w:val="0"/>
        <w:spacing w:line="360" w:lineRule="auto"/>
        <w:jc w:val="center"/>
        <w:rPr>
          <w:rFonts w:ascii="仿宋_GB2312" w:hAnsi="宋体" w:eastAsia="仿宋_GB2312"/>
          <w:b/>
          <w:color w:val="auto"/>
          <w:sz w:val="32"/>
          <w:highlight w:val="none"/>
        </w:rPr>
      </w:pPr>
    </w:p>
    <w:p>
      <w:pPr>
        <w:pStyle w:val="26"/>
        <w:adjustRightInd w:val="0"/>
        <w:snapToGrid w:val="0"/>
        <w:spacing w:line="360" w:lineRule="auto"/>
        <w:jc w:val="center"/>
        <w:rPr>
          <w:rFonts w:ascii="仿宋_GB2312" w:hAnsi="宋体" w:eastAsia="仿宋_GB2312"/>
          <w:b/>
          <w:color w:val="auto"/>
          <w:sz w:val="32"/>
          <w:highlight w:val="none"/>
        </w:rPr>
      </w:pPr>
    </w:p>
    <w:p>
      <w:pPr>
        <w:pStyle w:val="26"/>
        <w:adjustRightInd w:val="0"/>
        <w:snapToGrid w:val="0"/>
        <w:spacing w:line="360" w:lineRule="auto"/>
        <w:jc w:val="center"/>
        <w:rPr>
          <w:rFonts w:ascii="仿宋_GB2312" w:hAnsi="宋体" w:eastAsia="仿宋_GB2312"/>
          <w:b/>
          <w:color w:val="auto"/>
          <w:sz w:val="32"/>
          <w:highlight w:val="none"/>
        </w:rPr>
      </w:pPr>
      <w:r>
        <w:rPr>
          <w:rFonts w:hint="eastAsia" w:ascii="Times New Roman" w:hAnsi="宋体" w:cs="Times New Roman"/>
          <w:b/>
          <w:color w:val="auto"/>
          <w:sz w:val="32"/>
          <w:szCs w:val="32"/>
          <w:highlight w:val="none"/>
          <w:lang w:val="en-US" w:eastAsia="zh-CN"/>
        </w:rPr>
        <w:t xml:space="preserve">  </w:t>
      </w:r>
      <w:r>
        <w:rPr>
          <w:rFonts w:hint="eastAsia" w:ascii="Times New Roman" w:hAnsi="宋体" w:cs="Times New Roman"/>
          <w:b/>
          <w:color w:val="auto"/>
          <w:sz w:val="32"/>
          <w:szCs w:val="32"/>
          <w:highlight w:val="none"/>
        </w:rPr>
        <w:t>二〇二</w:t>
      </w:r>
      <w:r>
        <w:rPr>
          <w:rFonts w:hint="eastAsia" w:ascii="Times New Roman" w:hAnsi="宋体" w:cs="Times New Roman"/>
          <w:b/>
          <w:color w:val="auto"/>
          <w:sz w:val="32"/>
          <w:szCs w:val="32"/>
          <w:highlight w:val="none"/>
          <w:lang w:val="en-US" w:eastAsia="zh-CN"/>
        </w:rPr>
        <w:t>六</w:t>
      </w:r>
      <w:r>
        <w:rPr>
          <w:rFonts w:hint="eastAsia" w:ascii="Times New Roman" w:hAnsi="宋体" w:cs="Times New Roman"/>
          <w:b/>
          <w:color w:val="auto"/>
          <w:sz w:val="32"/>
          <w:szCs w:val="32"/>
          <w:highlight w:val="none"/>
        </w:rPr>
        <w:t>年</w:t>
      </w:r>
      <w:r>
        <w:rPr>
          <w:rFonts w:hint="eastAsia" w:ascii="Times New Roman" w:hAnsi="宋体" w:cs="Times New Roman"/>
          <w:b/>
          <w:color w:val="auto"/>
          <w:sz w:val="32"/>
          <w:szCs w:val="32"/>
          <w:highlight w:val="none"/>
          <w:lang w:val="en-US" w:eastAsia="zh-CN"/>
        </w:rPr>
        <w:t>十</w:t>
      </w:r>
      <w:r>
        <w:rPr>
          <w:rFonts w:hint="eastAsia" w:ascii="Times New Roman" w:hAnsi="宋体" w:cs="Times New Roman"/>
          <w:b/>
          <w:color w:val="auto"/>
          <w:sz w:val="32"/>
          <w:szCs w:val="32"/>
          <w:highlight w:val="none"/>
        </w:rPr>
        <w:t>月</w:t>
      </w:r>
    </w:p>
    <w:p>
      <w:pPr>
        <w:pStyle w:val="26"/>
        <w:adjustRightInd w:val="0"/>
        <w:snapToGrid w:val="0"/>
        <w:spacing w:line="360" w:lineRule="auto"/>
        <w:jc w:val="center"/>
        <w:rPr>
          <w:rFonts w:ascii="黑体" w:hAnsi="宋体" w:eastAsia="黑体"/>
          <w:b/>
          <w:color w:val="auto"/>
          <w:spacing w:val="160"/>
          <w:sz w:val="44"/>
          <w:szCs w:val="44"/>
          <w:highlight w:val="none"/>
        </w:rPr>
      </w:pPr>
    </w:p>
    <w:p>
      <w:pPr>
        <w:pStyle w:val="26"/>
        <w:adjustRightInd w:val="0"/>
        <w:snapToGrid w:val="0"/>
        <w:spacing w:line="360" w:lineRule="auto"/>
        <w:jc w:val="center"/>
        <w:rPr>
          <w:rFonts w:ascii="黑体" w:hAnsi="宋体" w:eastAsia="黑体"/>
          <w:b/>
          <w:color w:val="auto"/>
          <w:spacing w:val="160"/>
          <w:sz w:val="44"/>
          <w:szCs w:val="44"/>
          <w:highlight w:val="none"/>
        </w:rPr>
        <w:sectPr>
          <w:footerReference r:id="rId3" w:type="default"/>
          <w:pgSz w:w="11906" w:h="16838"/>
          <w:pgMar w:top="1474" w:right="1474" w:bottom="1474" w:left="968" w:header="851" w:footer="992" w:gutter="0"/>
          <w:cols w:space="720" w:num="1"/>
          <w:docGrid w:type="lines" w:linePitch="312" w:charSpace="0"/>
        </w:sectPr>
      </w:pPr>
    </w:p>
    <w:p>
      <w:pPr>
        <w:pStyle w:val="26"/>
        <w:adjustRightInd w:val="0"/>
        <w:snapToGrid w:val="0"/>
        <w:spacing w:line="360" w:lineRule="auto"/>
        <w:jc w:val="center"/>
        <w:rPr>
          <w:rFonts w:ascii="黑体" w:hAnsi="宋体" w:eastAsia="黑体"/>
          <w:b/>
          <w:color w:val="auto"/>
          <w:spacing w:val="160"/>
          <w:sz w:val="44"/>
          <w:szCs w:val="44"/>
          <w:highlight w:val="none"/>
        </w:rPr>
      </w:pPr>
      <w:r>
        <w:rPr>
          <w:rFonts w:hint="eastAsia" w:ascii="黑体" w:hAnsi="宋体" w:eastAsia="黑体"/>
          <w:b/>
          <w:color w:val="auto"/>
          <w:spacing w:val="160"/>
          <w:sz w:val="44"/>
          <w:szCs w:val="44"/>
          <w:highlight w:val="none"/>
        </w:rPr>
        <w:t>目录</w:t>
      </w:r>
    </w:p>
    <w:p>
      <w:pPr>
        <w:pStyle w:val="32"/>
        <w:tabs>
          <w:tab w:val="right" w:leader="dot" w:pos="8844"/>
        </w:tabs>
        <w:rPr>
          <w:color w:val="auto"/>
          <w:highlight w:val="none"/>
        </w:rPr>
      </w:pPr>
      <w:r>
        <w:rPr>
          <w:rFonts w:hAnsi="宋体"/>
          <w:b w:val="0"/>
          <w:bCs/>
          <w:color w:val="auto"/>
          <w:sz w:val="32"/>
          <w:szCs w:val="28"/>
          <w:highlight w:val="none"/>
        </w:rPr>
        <w:fldChar w:fldCharType="begin"/>
      </w:r>
      <w:r>
        <w:rPr>
          <w:rFonts w:hAnsi="宋体"/>
          <w:b w:val="0"/>
          <w:bCs/>
          <w:color w:val="auto"/>
          <w:sz w:val="32"/>
          <w:szCs w:val="28"/>
          <w:highlight w:val="none"/>
        </w:rPr>
        <w:instrText xml:space="preserve"> TOC \o "1-3" \h \z \u </w:instrText>
      </w:r>
      <w:r>
        <w:rPr>
          <w:rFonts w:hAnsi="宋体"/>
          <w:b w:val="0"/>
          <w:bCs/>
          <w:color w:val="auto"/>
          <w:sz w:val="32"/>
          <w:szCs w:val="28"/>
          <w:highlight w:val="none"/>
        </w:rPr>
        <w:fldChar w:fldCharType="separate"/>
      </w:r>
      <w:r>
        <w:rPr>
          <w:rFonts w:hAnsi="宋体"/>
          <w:bCs/>
          <w:color w:val="auto"/>
          <w:szCs w:val="28"/>
          <w:highlight w:val="none"/>
        </w:rPr>
        <w:fldChar w:fldCharType="begin"/>
      </w:r>
      <w:r>
        <w:rPr>
          <w:rFonts w:hAnsi="宋体"/>
          <w:bCs/>
          <w:color w:val="auto"/>
          <w:szCs w:val="28"/>
          <w:highlight w:val="none"/>
        </w:rPr>
        <w:instrText xml:space="preserve"> HYPERLINK \l _Toc31035 </w:instrText>
      </w:r>
      <w:r>
        <w:rPr>
          <w:rFonts w:hAnsi="宋体"/>
          <w:bCs/>
          <w:color w:val="auto"/>
          <w:szCs w:val="28"/>
          <w:highlight w:val="none"/>
        </w:rPr>
        <w:fldChar w:fldCharType="separate"/>
      </w:r>
      <w:r>
        <w:rPr>
          <w:rFonts w:hint="eastAsia" w:ascii="黑体" w:hAnsi="黑体" w:eastAsia="黑体"/>
          <w:color w:val="auto"/>
          <w:szCs w:val="32"/>
          <w:highlight w:val="none"/>
        </w:rPr>
        <w:t>第一章 谈判邀请</w:t>
      </w:r>
      <w:r>
        <w:rPr>
          <w:color w:val="auto"/>
          <w:highlight w:val="none"/>
        </w:rPr>
        <w:tab/>
      </w:r>
      <w:r>
        <w:rPr>
          <w:color w:val="auto"/>
          <w:highlight w:val="none"/>
        </w:rPr>
        <w:fldChar w:fldCharType="begin"/>
      </w:r>
      <w:r>
        <w:rPr>
          <w:color w:val="auto"/>
          <w:highlight w:val="none"/>
        </w:rPr>
        <w:instrText xml:space="preserve"> PAGEREF _Toc31035 \h </w:instrText>
      </w:r>
      <w:r>
        <w:rPr>
          <w:color w:val="auto"/>
          <w:highlight w:val="none"/>
        </w:rPr>
        <w:fldChar w:fldCharType="separate"/>
      </w:r>
      <w:r>
        <w:rPr>
          <w:color w:val="auto"/>
          <w:highlight w:val="none"/>
        </w:rPr>
        <w:t>1</w:t>
      </w:r>
      <w:r>
        <w:rPr>
          <w:color w:val="auto"/>
          <w:highlight w:val="none"/>
        </w:rPr>
        <w:fldChar w:fldCharType="end"/>
      </w:r>
      <w:r>
        <w:rPr>
          <w:rFonts w:hAnsi="宋体"/>
          <w:bCs/>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_Toc31536 </w:instrText>
      </w:r>
      <w:r>
        <w:rPr>
          <w:rFonts w:hAnsi="宋体"/>
          <w:bCs w:val="0"/>
          <w:color w:val="auto"/>
          <w:szCs w:val="28"/>
          <w:highlight w:val="none"/>
        </w:rPr>
        <w:fldChar w:fldCharType="separate"/>
      </w:r>
      <w:r>
        <w:rPr>
          <w:rFonts w:hint="eastAsia" w:ascii="宋体" w:hAnsi="宋体" w:cs="宋体"/>
          <w:color w:val="auto"/>
          <w:highlight w:val="none"/>
        </w:rPr>
        <w:t>一、采购项目名称、编号</w:t>
      </w:r>
      <w:r>
        <w:rPr>
          <w:color w:val="auto"/>
          <w:highlight w:val="none"/>
        </w:rPr>
        <w:tab/>
      </w:r>
      <w:r>
        <w:rPr>
          <w:color w:val="auto"/>
          <w:highlight w:val="none"/>
        </w:rPr>
        <w:fldChar w:fldCharType="begin"/>
      </w:r>
      <w:r>
        <w:rPr>
          <w:color w:val="auto"/>
          <w:highlight w:val="none"/>
        </w:rPr>
        <w:instrText xml:space="preserve"> PAGEREF _Toc31536 \h </w:instrText>
      </w:r>
      <w:r>
        <w:rPr>
          <w:color w:val="auto"/>
          <w:highlight w:val="none"/>
        </w:rPr>
        <w:fldChar w:fldCharType="separate"/>
      </w:r>
      <w:r>
        <w:rPr>
          <w:color w:val="auto"/>
          <w:highlight w:val="none"/>
        </w:rPr>
        <w:t>1</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_Toc4103 </w:instrText>
      </w:r>
      <w:r>
        <w:rPr>
          <w:rFonts w:hAnsi="宋体"/>
          <w:bCs w:val="0"/>
          <w:color w:val="auto"/>
          <w:szCs w:val="28"/>
          <w:highlight w:val="none"/>
        </w:rPr>
        <w:fldChar w:fldCharType="separate"/>
      </w:r>
      <w:r>
        <w:rPr>
          <w:rFonts w:hint="eastAsia" w:ascii="宋体" w:hAnsi="宋体" w:cs="宋体"/>
          <w:color w:val="auto"/>
          <w:highlight w:val="none"/>
        </w:rPr>
        <w:t>二、采购人的采购需求</w:t>
      </w:r>
      <w:r>
        <w:rPr>
          <w:color w:val="auto"/>
          <w:highlight w:val="none"/>
        </w:rPr>
        <w:tab/>
      </w:r>
      <w:r>
        <w:rPr>
          <w:color w:val="auto"/>
          <w:highlight w:val="none"/>
        </w:rPr>
        <w:fldChar w:fldCharType="begin"/>
      </w:r>
      <w:r>
        <w:rPr>
          <w:color w:val="auto"/>
          <w:highlight w:val="none"/>
        </w:rPr>
        <w:instrText xml:space="preserve"> PAGEREF _Toc4103 \h </w:instrText>
      </w:r>
      <w:r>
        <w:rPr>
          <w:color w:val="auto"/>
          <w:highlight w:val="none"/>
        </w:rPr>
        <w:fldChar w:fldCharType="separate"/>
      </w:r>
      <w:r>
        <w:rPr>
          <w:color w:val="auto"/>
          <w:highlight w:val="none"/>
        </w:rPr>
        <w:t>1</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_Toc20180 </w:instrText>
      </w:r>
      <w:r>
        <w:rPr>
          <w:rFonts w:hAnsi="宋体"/>
          <w:bCs w:val="0"/>
          <w:color w:val="auto"/>
          <w:szCs w:val="28"/>
          <w:highlight w:val="none"/>
        </w:rPr>
        <w:fldChar w:fldCharType="separate"/>
      </w:r>
      <w:r>
        <w:rPr>
          <w:rFonts w:hint="eastAsia" w:ascii="宋体" w:hAnsi="宋体" w:cs="宋体"/>
          <w:color w:val="auto"/>
          <w:highlight w:val="none"/>
        </w:rPr>
        <w:t>三、供应商的资格要求</w:t>
      </w:r>
      <w:r>
        <w:rPr>
          <w:color w:val="auto"/>
          <w:highlight w:val="none"/>
        </w:rPr>
        <w:tab/>
      </w:r>
      <w:r>
        <w:rPr>
          <w:color w:val="auto"/>
          <w:highlight w:val="none"/>
        </w:rPr>
        <w:fldChar w:fldCharType="begin"/>
      </w:r>
      <w:r>
        <w:rPr>
          <w:color w:val="auto"/>
          <w:highlight w:val="none"/>
        </w:rPr>
        <w:instrText xml:space="preserve"> PAGEREF _Toc20180 \h </w:instrText>
      </w:r>
      <w:r>
        <w:rPr>
          <w:color w:val="auto"/>
          <w:highlight w:val="none"/>
        </w:rPr>
        <w:fldChar w:fldCharType="separate"/>
      </w:r>
      <w:r>
        <w:rPr>
          <w:color w:val="auto"/>
          <w:highlight w:val="none"/>
        </w:rPr>
        <w:t>1</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_Toc29221 </w:instrText>
      </w:r>
      <w:r>
        <w:rPr>
          <w:rFonts w:hAnsi="宋体"/>
          <w:bCs w:val="0"/>
          <w:color w:val="auto"/>
          <w:szCs w:val="28"/>
          <w:highlight w:val="none"/>
        </w:rPr>
        <w:fldChar w:fldCharType="separate"/>
      </w:r>
      <w:r>
        <w:rPr>
          <w:rFonts w:hint="eastAsia" w:ascii="宋体" w:hAnsi="宋体" w:cs="宋体"/>
          <w:color w:val="auto"/>
          <w:highlight w:val="none"/>
        </w:rPr>
        <w:t>四、供应商应提交的证明材料及说明</w:t>
      </w:r>
      <w:r>
        <w:rPr>
          <w:color w:val="auto"/>
          <w:highlight w:val="none"/>
        </w:rPr>
        <w:tab/>
      </w:r>
      <w:r>
        <w:rPr>
          <w:color w:val="auto"/>
          <w:highlight w:val="none"/>
        </w:rPr>
        <w:fldChar w:fldCharType="begin"/>
      </w:r>
      <w:r>
        <w:rPr>
          <w:color w:val="auto"/>
          <w:highlight w:val="none"/>
        </w:rPr>
        <w:instrText xml:space="preserve"> PAGEREF _Toc29221 \h </w:instrText>
      </w:r>
      <w:r>
        <w:rPr>
          <w:color w:val="auto"/>
          <w:highlight w:val="none"/>
        </w:rPr>
        <w:fldChar w:fldCharType="separate"/>
      </w:r>
      <w:r>
        <w:rPr>
          <w:color w:val="auto"/>
          <w:highlight w:val="none"/>
        </w:rPr>
        <w:t>2</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_Toc8692 </w:instrText>
      </w:r>
      <w:r>
        <w:rPr>
          <w:rFonts w:hAnsi="宋体"/>
          <w:bCs w:val="0"/>
          <w:color w:val="auto"/>
          <w:szCs w:val="28"/>
          <w:highlight w:val="none"/>
        </w:rPr>
        <w:fldChar w:fldCharType="separate"/>
      </w:r>
      <w:r>
        <w:rPr>
          <w:rFonts w:hint="eastAsia" w:ascii="宋体" w:hAnsi="宋体" w:cs="宋体"/>
          <w:color w:val="auto"/>
          <w:highlight w:val="none"/>
        </w:rPr>
        <w:t>五、获取谈判文件的时间、地点及方式</w:t>
      </w:r>
      <w:r>
        <w:rPr>
          <w:color w:val="auto"/>
          <w:highlight w:val="none"/>
        </w:rPr>
        <w:tab/>
      </w:r>
      <w:r>
        <w:rPr>
          <w:color w:val="auto"/>
          <w:highlight w:val="none"/>
        </w:rPr>
        <w:fldChar w:fldCharType="begin"/>
      </w:r>
      <w:r>
        <w:rPr>
          <w:color w:val="auto"/>
          <w:highlight w:val="none"/>
        </w:rPr>
        <w:instrText xml:space="preserve"> PAGEREF _Toc8692 \h </w:instrText>
      </w:r>
      <w:r>
        <w:rPr>
          <w:color w:val="auto"/>
          <w:highlight w:val="none"/>
        </w:rPr>
        <w:fldChar w:fldCharType="separate"/>
      </w:r>
      <w:r>
        <w:rPr>
          <w:color w:val="auto"/>
          <w:highlight w:val="none"/>
        </w:rPr>
        <w:t>3</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_Toc23150 </w:instrText>
      </w:r>
      <w:r>
        <w:rPr>
          <w:rFonts w:hAnsi="宋体"/>
          <w:bCs w:val="0"/>
          <w:color w:val="auto"/>
          <w:szCs w:val="28"/>
          <w:highlight w:val="none"/>
        </w:rPr>
        <w:fldChar w:fldCharType="separate"/>
      </w:r>
      <w:r>
        <w:rPr>
          <w:rFonts w:hint="eastAsia" w:ascii="宋体" w:hAnsi="宋体" w:cs="宋体"/>
          <w:color w:val="auto"/>
          <w:highlight w:val="none"/>
        </w:rPr>
        <w:t>六、提交首次响应文件的截止时间、谈判时间及地点</w:t>
      </w:r>
      <w:r>
        <w:rPr>
          <w:color w:val="auto"/>
          <w:highlight w:val="none"/>
        </w:rPr>
        <w:tab/>
      </w:r>
      <w:r>
        <w:rPr>
          <w:color w:val="auto"/>
          <w:highlight w:val="none"/>
        </w:rPr>
        <w:fldChar w:fldCharType="begin"/>
      </w:r>
      <w:r>
        <w:rPr>
          <w:color w:val="auto"/>
          <w:highlight w:val="none"/>
        </w:rPr>
        <w:instrText xml:space="preserve"> PAGEREF _Toc23150 \h </w:instrText>
      </w:r>
      <w:r>
        <w:rPr>
          <w:color w:val="auto"/>
          <w:highlight w:val="none"/>
        </w:rPr>
        <w:fldChar w:fldCharType="separate"/>
      </w:r>
      <w:r>
        <w:rPr>
          <w:color w:val="auto"/>
          <w:highlight w:val="none"/>
        </w:rPr>
        <w:t>3</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_Toc22977 </w:instrText>
      </w:r>
      <w:r>
        <w:rPr>
          <w:rFonts w:hAnsi="宋体"/>
          <w:bCs w:val="0"/>
          <w:color w:val="auto"/>
          <w:szCs w:val="28"/>
          <w:highlight w:val="none"/>
        </w:rPr>
        <w:fldChar w:fldCharType="separate"/>
      </w:r>
      <w:r>
        <w:rPr>
          <w:rFonts w:hint="eastAsia" w:ascii="宋体" w:hAnsi="宋体" w:cs="宋体"/>
          <w:color w:val="auto"/>
          <w:highlight w:val="none"/>
        </w:rPr>
        <w:t>七、确认</w:t>
      </w:r>
      <w:r>
        <w:rPr>
          <w:color w:val="auto"/>
          <w:highlight w:val="none"/>
        </w:rPr>
        <w:tab/>
      </w:r>
      <w:r>
        <w:rPr>
          <w:color w:val="auto"/>
          <w:highlight w:val="none"/>
        </w:rPr>
        <w:fldChar w:fldCharType="begin"/>
      </w:r>
      <w:r>
        <w:rPr>
          <w:color w:val="auto"/>
          <w:highlight w:val="none"/>
        </w:rPr>
        <w:instrText xml:space="preserve"> PAGEREF _Toc22977 \h </w:instrText>
      </w:r>
      <w:r>
        <w:rPr>
          <w:color w:val="auto"/>
          <w:highlight w:val="none"/>
        </w:rPr>
        <w:fldChar w:fldCharType="separate"/>
      </w:r>
      <w:r>
        <w:rPr>
          <w:color w:val="auto"/>
          <w:highlight w:val="none"/>
        </w:rPr>
        <w:t>3</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_Toc8247 </w:instrText>
      </w:r>
      <w:r>
        <w:rPr>
          <w:rFonts w:hAnsi="宋体"/>
          <w:bCs w:val="0"/>
          <w:color w:val="auto"/>
          <w:szCs w:val="28"/>
          <w:highlight w:val="none"/>
        </w:rPr>
        <w:fldChar w:fldCharType="separate"/>
      </w:r>
      <w:r>
        <w:rPr>
          <w:rFonts w:hint="eastAsia" w:ascii="宋体" w:hAnsi="宋体" w:cs="宋体"/>
          <w:color w:val="auto"/>
          <w:highlight w:val="none"/>
        </w:rPr>
        <w:t>八、询问及质疑</w:t>
      </w:r>
      <w:r>
        <w:rPr>
          <w:color w:val="auto"/>
          <w:highlight w:val="none"/>
        </w:rPr>
        <w:tab/>
      </w:r>
      <w:r>
        <w:rPr>
          <w:color w:val="auto"/>
          <w:highlight w:val="none"/>
        </w:rPr>
        <w:fldChar w:fldCharType="begin"/>
      </w:r>
      <w:r>
        <w:rPr>
          <w:color w:val="auto"/>
          <w:highlight w:val="none"/>
        </w:rPr>
        <w:instrText xml:space="preserve"> PAGEREF _Toc8247 \h </w:instrText>
      </w:r>
      <w:r>
        <w:rPr>
          <w:color w:val="auto"/>
          <w:highlight w:val="none"/>
        </w:rPr>
        <w:fldChar w:fldCharType="separate"/>
      </w:r>
      <w:r>
        <w:rPr>
          <w:color w:val="auto"/>
          <w:highlight w:val="none"/>
        </w:rPr>
        <w:t>3</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_Toc885 </w:instrText>
      </w:r>
      <w:r>
        <w:rPr>
          <w:rFonts w:hAnsi="宋体"/>
          <w:bCs w:val="0"/>
          <w:color w:val="auto"/>
          <w:szCs w:val="28"/>
          <w:highlight w:val="none"/>
        </w:rPr>
        <w:fldChar w:fldCharType="separate"/>
      </w:r>
      <w:r>
        <w:rPr>
          <w:rFonts w:hint="eastAsia" w:ascii="宋体" w:hAnsi="宋体" w:cs="宋体"/>
          <w:color w:val="auto"/>
          <w:highlight w:val="none"/>
        </w:rPr>
        <w:t>九、采购人及其委托的采购代理机构的名称、地址和联系方法</w:t>
      </w:r>
      <w:r>
        <w:rPr>
          <w:color w:val="auto"/>
          <w:highlight w:val="none"/>
        </w:rPr>
        <w:tab/>
      </w:r>
      <w:r>
        <w:rPr>
          <w:color w:val="auto"/>
          <w:highlight w:val="none"/>
        </w:rPr>
        <w:fldChar w:fldCharType="begin"/>
      </w:r>
      <w:r>
        <w:rPr>
          <w:color w:val="auto"/>
          <w:highlight w:val="none"/>
        </w:rPr>
        <w:instrText xml:space="preserve"> PAGEREF _Toc885 \h </w:instrText>
      </w:r>
      <w:r>
        <w:rPr>
          <w:color w:val="auto"/>
          <w:highlight w:val="none"/>
        </w:rPr>
        <w:fldChar w:fldCharType="separate"/>
      </w:r>
      <w:r>
        <w:rPr>
          <w:color w:val="auto"/>
          <w:highlight w:val="none"/>
        </w:rPr>
        <w:t>3</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_Toc27148 </w:instrText>
      </w:r>
      <w:r>
        <w:rPr>
          <w:rFonts w:hAnsi="宋体"/>
          <w:bCs w:val="0"/>
          <w:color w:val="auto"/>
          <w:szCs w:val="28"/>
          <w:highlight w:val="none"/>
        </w:rPr>
        <w:fldChar w:fldCharType="separate"/>
      </w:r>
      <w:r>
        <w:rPr>
          <w:rFonts w:hint="eastAsia" w:ascii="宋体" w:hAnsi="宋体" w:cs="宋体"/>
          <w:color w:val="auto"/>
          <w:highlight w:val="none"/>
        </w:rPr>
        <w:t>确认通知</w:t>
      </w:r>
      <w:r>
        <w:rPr>
          <w:color w:val="auto"/>
          <w:highlight w:val="none"/>
        </w:rPr>
        <w:tab/>
      </w:r>
      <w:r>
        <w:rPr>
          <w:color w:val="auto"/>
          <w:highlight w:val="none"/>
        </w:rPr>
        <w:fldChar w:fldCharType="begin"/>
      </w:r>
      <w:r>
        <w:rPr>
          <w:color w:val="auto"/>
          <w:highlight w:val="none"/>
        </w:rPr>
        <w:instrText xml:space="preserve"> PAGEREF _Toc27148 \h </w:instrText>
      </w:r>
      <w:r>
        <w:rPr>
          <w:color w:val="auto"/>
          <w:highlight w:val="none"/>
        </w:rPr>
        <w:fldChar w:fldCharType="separate"/>
      </w:r>
      <w:r>
        <w:rPr>
          <w:color w:val="auto"/>
          <w:highlight w:val="none"/>
        </w:rPr>
        <w:t>5</w:t>
      </w:r>
      <w:r>
        <w:rPr>
          <w:color w:val="auto"/>
          <w:highlight w:val="none"/>
        </w:rPr>
        <w:fldChar w:fldCharType="end"/>
      </w:r>
      <w:r>
        <w:rPr>
          <w:rFonts w:hAnsi="宋体"/>
          <w:bCs w:val="0"/>
          <w:color w:val="auto"/>
          <w:szCs w:val="28"/>
          <w:highlight w:val="none"/>
        </w:rPr>
        <w:fldChar w:fldCharType="end"/>
      </w:r>
    </w:p>
    <w:p>
      <w:pPr>
        <w:pStyle w:val="32"/>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_Toc10433 </w:instrText>
      </w:r>
      <w:r>
        <w:rPr>
          <w:rFonts w:hAnsi="宋体"/>
          <w:bCs w:val="0"/>
          <w:color w:val="auto"/>
          <w:szCs w:val="28"/>
          <w:highlight w:val="none"/>
        </w:rPr>
        <w:fldChar w:fldCharType="separate"/>
      </w:r>
      <w:r>
        <w:rPr>
          <w:rFonts w:hint="eastAsia" w:ascii="黑体" w:hAnsi="黑体" w:eastAsia="黑体"/>
          <w:color w:val="auto"/>
          <w:szCs w:val="32"/>
          <w:highlight w:val="none"/>
        </w:rPr>
        <w:t>第二章 谈判须知</w:t>
      </w:r>
      <w:r>
        <w:rPr>
          <w:color w:val="auto"/>
          <w:highlight w:val="none"/>
        </w:rPr>
        <w:tab/>
      </w:r>
      <w:r>
        <w:rPr>
          <w:color w:val="auto"/>
          <w:highlight w:val="none"/>
        </w:rPr>
        <w:fldChar w:fldCharType="begin"/>
      </w:r>
      <w:r>
        <w:rPr>
          <w:color w:val="auto"/>
          <w:highlight w:val="none"/>
        </w:rPr>
        <w:instrText xml:space="preserve"> PAGEREF _Toc10433 \h </w:instrText>
      </w:r>
      <w:r>
        <w:rPr>
          <w:color w:val="auto"/>
          <w:highlight w:val="none"/>
        </w:rPr>
        <w:fldChar w:fldCharType="separate"/>
      </w:r>
      <w:r>
        <w:rPr>
          <w:color w:val="auto"/>
          <w:highlight w:val="none"/>
        </w:rPr>
        <w:t>6</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_Toc27366 </w:instrText>
      </w:r>
      <w:r>
        <w:rPr>
          <w:rFonts w:hAnsi="宋体"/>
          <w:bCs w:val="0"/>
          <w:color w:val="auto"/>
          <w:szCs w:val="28"/>
          <w:highlight w:val="none"/>
        </w:rPr>
        <w:fldChar w:fldCharType="separate"/>
      </w:r>
      <w:r>
        <w:rPr>
          <w:rFonts w:hint="eastAsia" w:ascii="黑体" w:hAnsi="黑体" w:eastAsia="黑体"/>
          <w:color w:val="auto"/>
          <w:szCs w:val="28"/>
          <w:highlight w:val="none"/>
        </w:rPr>
        <w:t>第一节 谈判须知前附表</w:t>
      </w:r>
      <w:r>
        <w:rPr>
          <w:color w:val="auto"/>
          <w:highlight w:val="none"/>
        </w:rPr>
        <w:tab/>
      </w:r>
      <w:r>
        <w:rPr>
          <w:color w:val="auto"/>
          <w:highlight w:val="none"/>
        </w:rPr>
        <w:fldChar w:fldCharType="begin"/>
      </w:r>
      <w:r>
        <w:rPr>
          <w:color w:val="auto"/>
          <w:highlight w:val="none"/>
        </w:rPr>
        <w:instrText xml:space="preserve"> PAGEREF _Toc27366 \h </w:instrText>
      </w:r>
      <w:r>
        <w:rPr>
          <w:color w:val="auto"/>
          <w:highlight w:val="none"/>
        </w:rPr>
        <w:fldChar w:fldCharType="separate"/>
      </w:r>
      <w:r>
        <w:rPr>
          <w:color w:val="auto"/>
          <w:highlight w:val="none"/>
        </w:rPr>
        <w:t>6</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_Toc26780 </w:instrText>
      </w:r>
      <w:r>
        <w:rPr>
          <w:rFonts w:hAnsi="宋体"/>
          <w:bCs w:val="0"/>
          <w:color w:val="auto"/>
          <w:szCs w:val="28"/>
          <w:highlight w:val="none"/>
        </w:rPr>
        <w:fldChar w:fldCharType="separate"/>
      </w:r>
      <w:r>
        <w:rPr>
          <w:rFonts w:hint="eastAsia" w:ascii="黑体" w:hAnsi="黑体" w:eastAsia="黑体"/>
          <w:color w:val="auto"/>
          <w:highlight w:val="none"/>
        </w:rPr>
        <w:t>第二节 谈判须知正文</w:t>
      </w:r>
      <w:r>
        <w:rPr>
          <w:color w:val="auto"/>
          <w:highlight w:val="none"/>
        </w:rPr>
        <w:tab/>
      </w:r>
      <w:r>
        <w:rPr>
          <w:color w:val="auto"/>
          <w:highlight w:val="none"/>
        </w:rPr>
        <w:fldChar w:fldCharType="begin"/>
      </w:r>
      <w:r>
        <w:rPr>
          <w:color w:val="auto"/>
          <w:highlight w:val="none"/>
        </w:rPr>
        <w:instrText xml:space="preserve"> PAGEREF _Toc26780 \h </w:instrText>
      </w:r>
      <w:r>
        <w:rPr>
          <w:color w:val="auto"/>
          <w:highlight w:val="none"/>
        </w:rPr>
        <w:fldChar w:fldCharType="separate"/>
      </w:r>
      <w:r>
        <w:rPr>
          <w:color w:val="auto"/>
          <w:highlight w:val="none"/>
        </w:rPr>
        <w:t>10</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_Toc9783 </w:instrText>
      </w:r>
      <w:r>
        <w:rPr>
          <w:rFonts w:hAnsi="宋体"/>
          <w:bCs w:val="0"/>
          <w:color w:val="auto"/>
          <w:szCs w:val="28"/>
          <w:highlight w:val="none"/>
        </w:rPr>
        <w:fldChar w:fldCharType="separate"/>
      </w:r>
      <w:r>
        <w:rPr>
          <w:rFonts w:hint="eastAsia" w:ascii="黑体" w:hAnsi="黑体" w:eastAsia="黑体"/>
          <w:color w:val="auto"/>
          <w:szCs w:val="28"/>
          <w:highlight w:val="none"/>
        </w:rPr>
        <w:t>一、说明</w:t>
      </w:r>
      <w:r>
        <w:rPr>
          <w:color w:val="auto"/>
          <w:highlight w:val="none"/>
        </w:rPr>
        <w:tab/>
      </w:r>
      <w:r>
        <w:rPr>
          <w:color w:val="auto"/>
          <w:highlight w:val="none"/>
        </w:rPr>
        <w:fldChar w:fldCharType="begin"/>
      </w:r>
      <w:r>
        <w:rPr>
          <w:color w:val="auto"/>
          <w:highlight w:val="none"/>
        </w:rPr>
        <w:instrText xml:space="preserve"> PAGEREF _Toc9783 \h </w:instrText>
      </w:r>
      <w:r>
        <w:rPr>
          <w:color w:val="auto"/>
          <w:highlight w:val="none"/>
        </w:rPr>
        <w:fldChar w:fldCharType="separate"/>
      </w:r>
      <w:r>
        <w:rPr>
          <w:color w:val="auto"/>
          <w:highlight w:val="none"/>
        </w:rPr>
        <w:t>10</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_Toc32678 </w:instrText>
      </w:r>
      <w:r>
        <w:rPr>
          <w:rFonts w:hAnsi="宋体"/>
          <w:bCs w:val="0"/>
          <w:color w:val="auto"/>
          <w:szCs w:val="28"/>
          <w:highlight w:val="none"/>
        </w:rPr>
        <w:fldChar w:fldCharType="separate"/>
      </w:r>
      <w:r>
        <w:rPr>
          <w:rFonts w:hint="eastAsia" w:ascii="黑体" w:hAnsi="黑体" w:eastAsia="黑体"/>
          <w:color w:val="auto"/>
          <w:szCs w:val="28"/>
          <w:highlight w:val="none"/>
        </w:rPr>
        <w:t>二、谈判文件</w:t>
      </w:r>
      <w:r>
        <w:rPr>
          <w:color w:val="auto"/>
          <w:highlight w:val="none"/>
        </w:rPr>
        <w:tab/>
      </w:r>
      <w:r>
        <w:rPr>
          <w:color w:val="auto"/>
          <w:highlight w:val="none"/>
        </w:rPr>
        <w:fldChar w:fldCharType="begin"/>
      </w:r>
      <w:r>
        <w:rPr>
          <w:color w:val="auto"/>
          <w:highlight w:val="none"/>
        </w:rPr>
        <w:instrText xml:space="preserve"> PAGEREF _Toc32678 \h </w:instrText>
      </w:r>
      <w:r>
        <w:rPr>
          <w:color w:val="auto"/>
          <w:highlight w:val="none"/>
        </w:rPr>
        <w:fldChar w:fldCharType="separate"/>
      </w:r>
      <w:r>
        <w:rPr>
          <w:color w:val="auto"/>
          <w:highlight w:val="none"/>
        </w:rPr>
        <w:t>11</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_Toc22858 </w:instrText>
      </w:r>
      <w:r>
        <w:rPr>
          <w:rFonts w:hAnsi="宋体"/>
          <w:bCs w:val="0"/>
          <w:color w:val="auto"/>
          <w:szCs w:val="28"/>
          <w:highlight w:val="none"/>
        </w:rPr>
        <w:fldChar w:fldCharType="separate"/>
      </w:r>
      <w:r>
        <w:rPr>
          <w:rFonts w:hint="eastAsia" w:ascii="黑体" w:hAnsi="黑体" w:eastAsia="黑体"/>
          <w:color w:val="auto"/>
          <w:szCs w:val="28"/>
          <w:highlight w:val="none"/>
        </w:rPr>
        <w:t>三、响应文件</w:t>
      </w:r>
      <w:r>
        <w:rPr>
          <w:color w:val="auto"/>
          <w:highlight w:val="none"/>
        </w:rPr>
        <w:tab/>
      </w:r>
      <w:r>
        <w:rPr>
          <w:color w:val="auto"/>
          <w:highlight w:val="none"/>
        </w:rPr>
        <w:fldChar w:fldCharType="begin"/>
      </w:r>
      <w:r>
        <w:rPr>
          <w:color w:val="auto"/>
          <w:highlight w:val="none"/>
        </w:rPr>
        <w:instrText xml:space="preserve"> PAGEREF _Toc22858 \h </w:instrText>
      </w:r>
      <w:r>
        <w:rPr>
          <w:color w:val="auto"/>
          <w:highlight w:val="none"/>
        </w:rPr>
        <w:fldChar w:fldCharType="separate"/>
      </w:r>
      <w:r>
        <w:rPr>
          <w:color w:val="auto"/>
          <w:highlight w:val="none"/>
        </w:rPr>
        <w:t>11</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_Toc1143 </w:instrText>
      </w:r>
      <w:r>
        <w:rPr>
          <w:rFonts w:hAnsi="宋体"/>
          <w:bCs w:val="0"/>
          <w:color w:val="auto"/>
          <w:szCs w:val="28"/>
          <w:highlight w:val="none"/>
        </w:rPr>
        <w:fldChar w:fldCharType="separate"/>
      </w:r>
      <w:r>
        <w:rPr>
          <w:rFonts w:hint="eastAsia" w:ascii="黑体" w:hAnsi="黑体" w:eastAsia="黑体"/>
          <w:color w:val="auto"/>
          <w:szCs w:val="28"/>
          <w:highlight w:val="none"/>
        </w:rPr>
        <w:t>四、响应文件的递交</w:t>
      </w:r>
      <w:r>
        <w:rPr>
          <w:color w:val="auto"/>
          <w:highlight w:val="none"/>
        </w:rPr>
        <w:tab/>
      </w:r>
      <w:r>
        <w:rPr>
          <w:color w:val="auto"/>
          <w:highlight w:val="none"/>
        </w:rPr>
        <w:fldChar w:fldCharType="begin"/>
      </w:r>
      <w:r>
        <w:rPr>
          <w:color w:val="auto"/>
          <w:highlight w:val="none"/>
        </w:rPr>
        <w:instrText xml:space="preserve"> PAGEREF _Toc1143 \h </w:instrText>
      </w:r>
      <w:r>
        <w:rPr>
          <w:color w:val="auto"/>
          <w:highlight w:val="none"/>
        </w:rPr>
        <w:fldChar w:fldCharType="separate"/>
      </w:r>
      <w:r>
        <w:rPr>
          <w:color w:val="auto"/>
          <w:highlight w:val="none"/>
        </w:rPr>
        <w:t>14</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_Toc23761 </w:instrText>
      </w:r>
      <w:r>
        <w:rPr>
          <w:rFonts w:hAnsi="宋体"/>
          <w:bCs w:val="0"/>
          <w:color w:val="auto"/>
          <w:szCs w:val="28"/>
          <w:highlight w:val="none"/>
        </w:rPr>
        <w:fldChar w:fldCharType="separate"/>
      </w:r>
      <w:r>
        <w:rPr>
          <w:rFonts w:hint="eastAsia" w:ascii="黑体" w:hAnsi="黑体" w:eastAsia="黑体"/>
          <w:color w:val="auto"/>
          <w:szCs w:val="28"/>
          <w:highlight w:val="none"/>
        </w:rPr>
        <w:t>五、响应文件的评审与谈判</w:t>
      </w:r>
      <w:r>
        <w:rPr>
          <w:color w:val="auto"/>
          <w:highlight w:val="none"/>
        </w:rPr>
        <w:tab/>
      </w:r>
      <w:r>
        <w:rPr>
          <w:color w:val="auto"/>
          <w:highlight w:val="none"/>
        </w:rPr>
        <w:fldChar w:fldCharType="begin"/>
      </w:r>
      <w:r>
        <w:rPr>
          <w:color w:val="auto"/>
          <w:highlight w:val="none"/>
        </w:rPr>
        <w:instrText xml:space="preserve"> PAGEREF _Toc23761 \h </w:instrText>
      </w:r>
      <w:r>
        <w:rPr>
          <w:color w:val="auto"/>
          <w:highlight w:val="none"/>
        </w:rPr>
        <w:fldChar w:fldCharType="separate"/>
      </w:r>
      <w:r>
        <w:rPr>
          <w:color w:val="auto"/>
          <w:highlight w:val="none"/>
        </w:rPr>
        <w:t>15</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_Toc32659 </w:instrText>
      </w:r>
      <w:r>
        <w:rPr>
          <w:rFonts w:hAnsi="宋体"/>
          <w:bCs w:val="0"/>
          <w:color w:val="auto"/>
          <w:szCs w:val="28"/>
          <w:highlight w:val="none"/>
        </w:rPr>
        <w:fldChar w:fldCharType="separate"/>
      </w:r>
      <w:r>
        <w:rPr>
          <w:rFonts w:hint="eastAsia" w:ascii="黑体" w:hAnsi="黑体" w:eastAsia="黑体"/>
          <w:color w:val="auto"/>
          <w:szCs w:val="28"/>
          <w:highlight w:val="none"/>
        </w:rPr>
        <w:t>六、成交结果信息公布与授予合同</w:t>
      </w:r>
      <w:r>
        <w:rPr>
          <w:color w:val="auto"/>
          <w:highlight w:val="none"/>
        </w:rPr>
        <w:tab/>
      </w:r>
      <w:r>
        <w:rPr>
          <w:color w:val="auto"/>
          <w:highlight w:val="none"/>
        </w:rPr>
        <w:fldChar w:fldCharType="begin"/>
      </w:r>
      <w:r>
        <w:rPr>
          <w:color w:val="auto"/>
          <w:highlight w:val="none"/>
        </w:rPr>
        <w:instrText xml:space="preserve"> PAGEREF _Toc32659 \h </w:instrText>
      </w:r>
      <w:r>
        <w:rPr>
          <w:color w:val="auto"/>
          <w:highlight w:val="none"/>
        </w:rPr>
        <w:fldChar w:fldCharType="separate"/>
      </w:r>
      <w:r>
        <w:rPr>
          <w:color w:val="auto"/>
          <w:highlight w:val="none"/>
        </w:rPr>
        <w:t>19</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_Toc10123 </w:instrText>
      </w:r>
      <w:r>
        <w:rPr>
          <w:rFonts w:hAnsi="宋体"/>
          <w:bCs w:val="0"/>
          <w:color w:val="auto"/>
          <w:szCs w:val="28"/>
          <w:highlight w:val="none"/>
        </w:rPr>
        <w:fldChar w:fldCharType="separate"/>
      </w:r>
      <w:r>
        <w:rPr>
          <w:rFonts w:hint="eastAsia" w:ascii="黑体" w:hAnsi="黑体" w:eastAsia="黑体"/>
          <w:color w:val="auto"/>
          <w:szCs w:val="28"/>
          <w:highlight w:val="none"/>
        </w:rPr>
        <w:t>七、政府采购政策</w:t>
      </w:r>
      <w:r>
        <w:rPr>
          <w:color w:val="auto"/>
          <w:highlight w:val="none"/>
        </w:rPr>
        <w:tab/>
      </w:r>
      <w:r>
        <w:rPr>
          <w:color w:val="auto"/>
          <w:highlight w:val="none"/>
        </w:rPr>
        <w:fldChar w:fldCharType="begin"/>
      </w:r>
      <w:r>
        <w:rPr>
          <w:color w:val="auto"/>
          <w:highlight w:val="none"/>
        </w:rPr>
        <w:instrText xml:space="preserve"> PAGEREF _Toc10123 \h </w:instrText>
      </w:r>
      <w:r>
        <w:rPr>
          <w:color w:val="auto"/>
          <w:highlight w:val="none"/>
        </w:rPr>
        <w:fldChar w:fldCharType="separate"/>
      </w:r>
      <w:r>
        <w:rPr>
          <w:color w:val="auto"/>
          <w:highlight w:val="none"/>
        </w:rPr>
        <w:t>20</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_Toc990 </w:instrText>
      </w:r>
      <w:r>
        <w:rPr>
          <w:rFonts w:hAnsi="宋体"/>
          <w:bCs w:val="0"/>
          <w:color w:val="auto"/>
          <w:szCs w:val="28"/>
          <w:highlight w:val="none"/>
        </w:rPr>
        <w:fldChar w:fldCharType="separate"/>
      </w:r>
      <w:r>
        <w:rPr>
          <w:rFonts w:hint="eastAsia" w:ascii="黑体" w:hAnsi="黑体" w:eastAsia="黑体"/>
          <w:color w:val="auto"/>
          <w:szCs w:val="28"/>
          <w:highlight w:val="none"/>
        </w:rPr>
        <w:t>八、其他规定</w:t>
      </w:r>
      <w:r>
        <w:rPr>
          <w:color w:val="auto"/>
          <w:highlight w:val="none"/>
        </w:rPr>
        <w:tab/>
      </w:r>
      <w:r>
        <w:rPr>
          <w:color w:val="auto"/>
          <w:highlight w:val="none"/>
        </w:rPr>
        <w:fldChar w:fldCharType="begin"/>
      </w:r>
      <w:r>
        <w:rPr>
          <w:color w:val="auto"/>
          <w:highlight w:val="none"/>
        </w:rPr>
        <w:instrText xml:space="preserve"> PAGEREF _Toc990 \h </w:instrText>
      </w:r>
      <w:r>
        <w:rPr>
          <w:color w:val="auto"/>
          <w:highlight w:val="none"/>
        </w:rPr>
        <w:fldChar w:fldCharType="separate"/>
      </w:r>
      <w:r>
        <w:rPr>
          <w:color w:val="auto"/>
          <w:highlight w:val="none"/>
        </w:rPr>
        <w:t>21</w:t>
      </w:r>
      <w:r>
        <w:rPr>
          <w:color w:val="auto"/>
          <w:highlight w:val="none"/>
        </w:rPr>
        <w:fldChar w:fldCharType="end"/>
      </w:r>
      <w:r>
        <w:rPr>
          <w:rFonts w:hAnsi="宋体"/>
          <w:bCs w:val="0"/>
          <w:color w:val="auto"/>
          <w:szCs w:val="28"/>
          <w:highlight w:val="none"/>
        </w:rPr>
        <w:fldChar w:fldCharType="end"/>
      </w:r>
    </w:p>
    <w:p>
      <w:pPr>
        <w:pStyle w:val="32"/>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_Toc9061 </w:instrText>
      </w:r>
      <w:r>
        <w:rPr>
          <w:rFonts w:hAnsi="宋体"/>
          <w:bCs w:val="0"/>
          <w:color w:val="auto"/>
          <w:szCs w:val="28"/>
          <w:highlight w:val="none"/>
        </w:rPr>
        <w:fldChar w:fldCharType="separate"/>
      </w:r>
      <w:r>
        <w:rPr>
          <w:rFonts w:hint="eastAsia" w:ascii="黑体" w:hAnsi="黑体" w:eastAsia="黑体"/>
          <w:color w:val="auto"/>
          <w:szCs w:val="32"/>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_Toc9061 \h </w:instrText>
      </w:r>
      <w:r>
        <w:rPr>
          <w:color w:val="auto"/>
          <w:highlight w:val="none"/>
        </w:rPr>
        <w:fldChar w:fldCharType="separate"/>
      </w:r>
      <w:r>
        <w:rPr>
          <w:color w:val="auto"/>
          <w:highlight w:val="none"/>
        </w:rPr>
        <w:t>22</w:t>
      </w:r>
      <w:r>
        <w:rPr>
          <w:color w:val="auto"/>
          <w:highlight w:val="none"/>
        </w:rPr>
        <w:fldChar w:fldCharType="end"/>
      </w:r>
      <w:r>
        <w:rPr>
          <w:rFonts w:hAnsi="宋体"/>
          <w:bCs w:val="0"/>
          <w:color w:val="auto"/>
          <w:szCs w:val="28"/>
          <w:highlight w:val="none"/>
        </w:rPr>
        <w:fldChar w:fldCharType="end"/>
      </w:r>
    </w:p>
    <w:p>
      <w:pPr>
        <w:pStyle w:val="32"/>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_Toc21438 </w:instrText>
      </w:r>
      <w:r>
        <w:rPr>
          <w:rFonts w:hAnsi="宋体"/>
          <w:bCs w:val="0"/>
          <w:color w:val="auto"/>
          <w:szCs w:val="28"/>
          <w:highlight w:val="none"/>
        </w:rPr>
        <w:fldChar w:fldCharType="separate"/>
      </w:r>
      <w:r>
        <w:rPr>
          <w:rFonts w:hint="eastAsia" w:ascii="黑体" w:hAnsi="黑体" w:eastAsia="黑体"/>
          <w:color w:val="auto"/>
          <w:szCs w:val="32"/>
          <w:highlight w:val="none"/>
        </w:rPr>
        <w:t>第四章 合同草案条款</w:t>
      </w:r>
      <w:r>
        <w:rPr>
          <w:rFonts w:hint="eastAsia" w:ascii="黑体" w:hAnsi="黑体" w:eastAsia="黑体"/>
          <w:color w:val="auto"/>
          <w:szCs w:val="32"/>
          <w:highlight w:val="none"/>
          <w:lang w:eastAsia="zh-CN"/>
        </w:rPr>
        <w:t>（</w:t>
      </w:r>
      <w:r>
        <w:rPr>
          <w:rFonts w:hint="eastAsia" w:ascii="黑体" w:hAnsi="黑体" w:eastAsia="黑体"/>
          <w:color w:val="auto"/>
          <w:szCs w:val="32"/>
          <w:highlight w:val="none"/>
          <w:lang w:val="en-US" w:eastAsia="zh-CN"/>
        </w:rPr>
        <w:t>格式）</w:t>
      </w:r>
      <w:r>
        <w:rPr>
          <w:color w:val="auto"/>
          <w:highlight w:val="none"/>
        </w:rPr>
        <w:tab/>
      </w:r>
      <w:r>
        <w:rPr>
          <w:color w:val="auto"/>
          <w:highlight w:val="none"/>
        </w:rPr>
        <w:fldChar w:fldCharType="begin"/>
      </w:r>
      <w:r>
        <w:rPr>
          <w:color w:val="auto"/>
          <w:highlight w:val="none"/>
        </w:rPr>
        <w:instrText xml:space="preserve"> PAGEREF _Toc21438 \h </w:instrText>
      </w:r>
      <w:r>
        <w:rPr>
          <w:color w:val="auto"/>
          <w:highlight w:val="none"/>
        </w:rPr>
        <w:fldChar w:fldCharType="separate"/>
      </w:r>
      <w:r>
        <w:rPr>
          <w:color w:val="auto"/>
          <w:highlight w:val="none"/>
        </w:rPr>
        <w:t>29</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_Toc20630 </w:instrText>
      </w:r>
      <w:r>
        <w:rPr>
          <w:rFonts w:hAnsi="宋体"/>
          <w:bCs w:val="0"/>
          <w:color w:val="auto"/>
          <w:szCs w:val="28"/>
          <w:highlight w:val="none"/>
        </w:rPr>
        <w:fldChar w:fldCharType="separate"/>
      </w:r>
      <w:r>
        <w:rPr>
          <w:rFonts w:hint="eastAsia" w:ascii="黑体" w:hAnsi="华文中宋" w:eastAsia="黑体"/>
          <w:color w:val="auto"/>
          <w:szCs w:val="28"/>
          <w:highlight w:val="none"/>
        </w:rPr>
        <w:t>第一节 合同协议书</w:t>
      </w:r>
      <w:r>
        <w:rPr>
          <w:color w:val="auto"/>
          <w:highlight w:val="none"/>
        </w:rPr>
        <w:tab/>
      </w:r>
      <w:r>
        <w:rPr>
          <w:color w:val="auto"/>
          <w:highlight w:val="none"/>
        </w:rPr>
        <w:fldChar w:fldCharType="begin"/>
      </w:r>
      <w:r>
        <w:rPr>
          <w:color w:val="auto"/>
          <w:highlight w:val="none"/>
        </w:rPr>
        <w:instrText xml:space="preserve"> PAGEREF _Toc20630 \h </w:instrText>
      </w:r>
      <w:r>
        <w:rPr>
          <w:color w:val="auto"/>
          <w:highlight w:val="none"/>
        </w:rPr>
        <w:fldChar w:fldCharType="separate"/>
      </w:r>
      <w:r>
        <w:rPr>
          <w:color w:val="auto"/>
          <w:highlight w:val="none"/>
        </w:rPr>
        <w:t>29</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_Toc16470 </w:instrText>
      </w:r>
      <w:r>
        <w:rPr>
          <w:rFonts w:hAnsi="宋体"/>
          <w:bCs w:val="0"/>
          <w:color w:val="auto"/>
          <w:szCs w:val="28"/>
          <w:highlight w:val="none"/>
        </w:rPr>
        <w:fldChar w:fldCharType="separate"/>
      </w:r>
      <w:r>
        <w:rPr>
          <w:rFonts w:hint="eastAsia" w:ascii="黑体" w:hAnsi="黑体" w:eastAsia="黑体"/>
          <w:color w:val="auto"/>
          <w:szCs w:val="24"/>
          <w:highlight w:val="none"/>
        </w:rPr>
        <w:t>1.项目信息</w:t>
      </w:r>
      <w:r>
        <w:rPr>
          <w:color w:val="auto"/>
          <w:highlight w:val="none"/>
        </w:rPr>
        <w:tab/>
      </w:r>
      <w:r>
        <w:rPr>
          <w:color w:val="auto"/>
          <w:highlight w:val="none"/>
        </w:rPr>
        <w:fldChar w:fldCharType="begin"/>
      </w:r>
      <w:r>
        <w:rPr>
          <w:color w:val="auto"/>
          <w:highlight w:val="none"/>
        </w:rPr>
        <w:instrText xml:space="preserve"> PAGEREF _Toc16470 \h </w:instrText>
      </w:r>
      <w:r>
        <w:rPr>
          <w:color w:val="auto"/>
          <w:highlight w:val="none"/>
        </w:rPr>
        <w:fldChar w:fldCharType="separate"/>
      </w:r>
      <w:r>
        <w:rPr>
          <w:color w:val="auto"/>
          <w:highlight w:val="none"/>
        </w:rPr>
        <w:t>29</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_Toc20082 </w:instrText>
      </w:r>
      <w:r>
        <w:rPr>
          <w:rFonts w:hAnsi="宋体"/>
          <w:bCs w:val="0"/>
          <w:color w:val="auto"/>
          <w:szCs w:val="28"/>
          <w:highlight w:val="none"/>
        </w:rPr>
        <w:fldChar w:fldCharType="separate"/>
      </w:r>
      <w:r>
        <w:rPr>
          <w:rFonts w:hint="eastAsia" w:ascii="黑体" w:hAnsi="黑体" w:eastAsia="黑体"/>
          <w:color w:val="auto"/>
          <w:szCs w:val="24"/>
          <w:highlight w:val="none"/>
        </w:rPr>
        <w:t>2.合同金额</w:t>
      </w:r>
      <w:r>
        <w:rPr>
          <w:color w:val="auto"/>
          <w:highlight w:val="none"/>
        </w:rPr>
        <w:tab/>
      </w:r>
      <w:r>
        <w:rPr>
          <w:color w:val="auto"/>
          <w:highlight w:val="none"/>
        </w:rPr>
        <w:fldChar w:fldCharType="begin"/>
      </w:r>
      <w:r>
        <w:rPr>
          <w:color w:val="auto"/>
          <w:highlight w:val="none"/>
        </w:rPr>
        <w:instrText xml:space="preserve"> PAGEREF _Toc20082 \h </w:instrText>
      </w:r>
      <w:r>
        <w:rPr>
          <w:color w:val="auto"/>
          <w:highlight w:val="none"/>
        </w:rPr>
        <w:fldChar w:fldCharType="separate"/>
      </w:r>
      <w:r>
        <w:rPr>
          <w:color w:val="auto"/>
          <w:highlight w:val="none"/>
        </w:rPr>
        <w:t>29</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_Toc7029 </w:instrText>
      </w:r>
      <w:r>
        <w:rPr>
          <w:rFonts w:hAnsi="宋体"/>
          <w:bCs w:val="0"/>
          <w:color w:val="auto"/>
          <w:szCs w:val="28"/>
          <w:highlight w:val="none"/>
        </w:rPr>
        <w:fldChar w:fldCharType="separate"/>
      </w:r>
      <w:r>
        <w:rPr>
          <w:rFonts w:hint="eastAsia" w:ascii="黑体" w:hAnsi="黑体" w:eastAsia="黑体"/>
          <w:color w:val="auto"/>
          <w:szCs w:val="24"/>
          <w:highlight w:val="none"/>
        </w:rPr>
        <w:t>3.履行合同的时间、地点及方式</w:t>
      </w:r>
      <w:r>
        <w:rPr>
          <w:color w:val="auto"/>
          <w:highlight w:val="none"/>
        </w:rPr>
        <w:tab/>
      </w:r>
      <w:r>
        <w:rPr>
          <w:color w:val="auto"/>
          <w:highlight w:val="none"/>
        </w:rPr>
        <w:fldChar w:fldCharType="begin"/>
      </w:r>
      <w:r>
        <w:rPr>
          <w:color w:val="auto"/>
          <w:highlight w:val="none"/>
        </w:rPr>
        <w:instrText xml:space="preserve"> PAGEREF _Toc7029 \h </w:instrText>
      </w:r>
      <w:r>
        <w:rPr>
          <w:color w:val="auto"/>
          <w:highlight w:val="none"/>
        </w:rPr>
        <w:fldChar w:fldCharType="separate"/>
      </w:r>
      <w:r>
        <w:rPr>
          <w:color w:val="auto"/>
          <w:highlight w:val="none"/>
        </w:rPr>
        <w:t>29</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_Toc24596 </w:instrText>
      </w:r>
      <w:r>
        <w:rPr>
          <w:rFonts w:hAnsi="宋体"/>
          <w:bCs w:val="0"/>
          <w:color w:val="auto"/>
          <w:szCs w:val="28"/>
          <w:highlight w:val="none"/>
        </w:rPr>
        <w:fldChar w:fldCharType="separate"/>
      </w:r>
      <w:r>
        <w:rPr>
          <w:rFonts w:hint="eastAsia" w:ascii="黑体" w:hAnsi="黑体" w:eastAsia="黑体"/>
          <w:color w:val="auto"/>
          <w:szCs w:val="24"/>
          <w:highlight w:val="none"/>
        </w:rPr>
        <w:t>4.付款</w:t>
      </w:r>
      <w:r>
        <w:rPr>
          <w:color w:val="auto"/>
          <w:highlight w:val="none"/>
        </w:rPr>
        <w:tab/>
      </w:r>
      <w:r>
        <w:rPr>
          <w:color w:val="auto"/>
          <w:highlight w:val="none"/>
        </w:rPr>
        <w:fldChar w:fldCharType="begin"/>
      </w:r>
      <w:r>
        <w:rPr>
          <w:color w:val="auto"/>
          <w:highlight w:val="none"/>
        </w:rPr>
        <w:instrText xml:space="preserve"> PAGEREF _Toc24596 \h </w:instrText>
      </w:r>
      <w:r>
        <w:rPr>
          <w:color w:val="auto"/>
          <w:highlight w:val="none"/>
        </w:rPr>
        <w:fldChar w:fldCharType="separate"/>
      </w:r>
      <w:r>
        <w:rPr>
          <w:color w:val="auto"/>
          <w:highlight w:val="none"/>
        </w:rPr>
        <w:t>29</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_Toc6709 </w:instrText>
      </w:r>
      <w:r>
        <w:rPr>
          <w:rFonts w:hAnsi="宋体"/>
          <w:bCs w:val="0"/>
          <w:color w:val="auto"/>
          <w:szCs w:val="28"/>
          <w:highlight w:val="none"/>
        </w:rPr>
        <w:fldChar w:fldCharType="separate"/>
      </w:r>
      <w:r>
        <w:rPr>
          <w:rFonts w:hint="eastAsia" w:ascii="黑体" w:hAnsi="黑体" w:eastAsia="黑体"/>
          <w:color w:val="auto"/>
          <w:szCs w:val="24"/>
          <w:highlight w:val="none"/>
        </w:rPr>
        <w:t>6.组成合同的文件</w:t>
      </w:r>
      <w:r>
        <w:rPr>
          <w:color w:val="auto"/>
          <w:highlight w:val="none"/>
        </w:rPr>
        <w:tab/>
      </w:r>
      <w:r>
        <w:rPr>
          <w:color w:val="auto"/>
          <w:highlight w:val="none"/>
        </w:rPr>
        <w:fldChar w:fldCharType="begin"/>
      </w:r>
      <w:r>
        <w:rPr>
          <w:color w:val="auto"/>
          <w:highlight w:val="none"/>
        </w:rPr>
        <w:instrText xml:space="preserve"> PAGEREF _Toc6709 \h </w:instrText>
      </w:r>
      <w:r>
        <w:rPr>
          <w:color w:val="auto"/>
          <w:highlight w:val="none"/>
        </w:rPr>
        <w:fldChar w:fldCharType="separate"/>
      </w:r>
      <w:r>
        <w:rPr>
          <w:color w:val="auto"/>
          <w:highlight w:val="none"/>
        </w:rPr>
        <w:t>30</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rFonts w:hAnsi="宋体"/>
          <w:bCs w:val="0"/>
          <w:color w:val="auto"/>
          <w:szCs w:val="28"/>
          <w:highlight w:val="none"/>
        </w:rPr>
        <w:sectPr>
          <w:footerReference r:id="rId4" w:type="default"/>
          <w:pgSz w:w="11906" w:h="16838"/>
          <w:pgMar w:top="1474" w:right="1474" w:bottom="1474" w:left="1588" w:header="851" w:footer="992" w:gutter="0"/>
          <w:pgNumType w:start="1"/>
          <w:cols w:space="720" w:num="1"/>
          <w:docGrid w:type="lines" w:linePitch="312" w:charSpace="0"/>
        </w:sectPr>
      </w:pP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_Toc29447 </w:instrText>
      </w:r>
      <w:r>
        <w:rPr>
          <w:rFonts w:hAnsi="宋体"/>
          <w:bCs w:val="0"/>
          <w:color w:val="auto"/>
          <w:szCs w:val="28"/>
          <w:highlight w:val="none"/>
        </w:rPr>
        <w:fldChar w:fldCharType="separate"/>
      </w:r>
      <w:r>
        <w:rPr>
          <w:rFonts w:hint="eastAsia" w:ascii="黑体" w:hAnsi="黑体" w:eastAsia="黑体"/>
          <w:color w:val="auto"/>
          <w:szCs w:val="24"/>
          <w:highlight w:val="none"/>
        </w:rPr>
        <w:t>7.合同生效</w:t>
      </w:r>
      <w:r>
        <w:rPr>
          <w:color w:val="auto"/>
          <w:highlight w:val="none"/>
        </w:rPr>
        <w:tab/>
      </w:r>
      <w:r>
        <w:rPr>
          <w:color w:val="auto"/>
          <w:highlight w:val="none"/>
        </w:rPr>
        <w:fldChar w:fldCharType="begin"/>
      </w:r>
      <w:r>
        <w:rPr>
          <w:color w:val="auto"/>
          <w:highlight w:val="none"/>
        </w:rPr>
        <w:instrText xml:space="preserve"> PAGEREF _Toc29447 \h </w:instrText>
      </w:r>
      <w:r>
        <w:rPr>
          <w:color w:val="auto"/>
          <w:highlight w:val="none"/>
        </w:rPr>
        <w:fldChar w:fldCharType="separate"/>
      </w:r>
      <w:r>
        <w:rPr>
          <w:color w:val="auto"/>
          <w:highlight w:val="none"/>
        </w:rPr>
        <w:t>30</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_Toc13663 </w:instrText>
      </w:r>
      <w:r>
        <w:rPr>
          <w:rFonts w:hAnsi="宋体"/>
          <w:bCs w:val="0"/>
          <w:color w:val="auto"/>
          <w:szCs w:val="28"/>
          <w:highlight w:val="none"/>
        </w:rPr>
        <w:fldChar w:fldCharType="separate"/>
      </w:r>
      <w:r>
        <w:rPr>
          <w:rFonts w:hint="eastAsia" w:ascii="黑体" w:hAnsi="黑体" w:eastAsia="黑体"/>
          <w:color w:val="auto"/>
          <w:szCs w:val="24"/>
          <w:highlight w:val="none"/>
        </w:rPr>
        <w:t>8.合同份数</w:t>
      </w:r>
      <w:r>
        <w:rPr>
          <w:color w:val="auto"/>
          <w:highlight w:val="none"/>
        </w:rPr>
        <w:tab/>
      </w:r>
      <w:r>
        <w:rPr>
          <w:color w:val="auto"/>
          <w:highlight w:val="none"/>
        </w:rPr>
        <w:fldChar w:fldCharType="begin"/>
      </w:r>
      <w:r>
        <w:rPr>
          <w:color w:val="auto"/>
          <w:highlight w:val="none"/>
        </w:rPr>
        <w:instrText xml:space="preserve"> PAGEREF _Toc13663 \h </w:instrText>
      </w:r>
      <w:r>
        <w:rPr>
          <w:color w:val="auto"/>
          <w:highlight w:val="none"/>
        </w:rPr>
        <w:fldChar w:fldCharType="separate"/>
      </w:r>
      <w:r>
        <w:rPr>
          <w:color w:val="auto"/>
          <w:highlight w:val="none"/>
        </w:rPr>
        <w:t>30</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_Toc8348 </w:instrText>
      </w:r>
      <w:r>
        <w:rPr>
          <w:rFonts w:hAnsi="宋体"/>
          <w:bCs w:val="0"/>
          <w:color w:val="auto"/>
          <w:szCs w:val="28"/>
          <w:highlight w:val="none"/>
        </w:rPr>
        <w:fldChar w:fldCharType="separate"/>
      </w:r>
      <w:r>
        <w:rPr>
          <w:rFonts w:hint="eastAsia" w:ascii="黑体" w:hAnsi="黑体" w:eastAsia="黑体"/>
          <w:color w:val="auto"/>
          <w:szCs w:val="28"/>
          <w:highlight w:val="none"/>
        </w:rPr>
        <w:t>第二节 政府采购合同通用条款</w:t>
      </w:r>
      <w:r>
        <w:rPr>
          <w:color w:val="auto"/>
          <w:highlight w:val="none"/>
        </w:rPr>
        <w:tab/>
      </w:r>
      <w:r>
        <w:rPr>
          <w:color w:val="auto"/>
          <w:highlight w:val="none"/>
        </w:rPr>
        <w:fldChar w:fldCharType="begin"/>
      </w:r>
      <w:r>
        <w:rPr>
          <w:color w:val="auto"/>
          <w:highlight w:val="none"/>
        </w:rPr>
        <w:instrText xml:space="preserve"> PAGEREF _Toc8348 \h </w:instrText>
      </w:r>
      <w:r>
        <w:rPr>
          <w:color w:val="auto"/>
          <w:highlight w:val="none"/>
        </w:rPr>
        <w:fldChar w:fldCharType="separate"/>
      </w:r>
      <w:r>
        <w:rPr>
          <w:color w:val="auto"/>
          <w:highlight w:val="none"/>
        </w:rPr>
        <w:t>31</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_Toc15879 </w:instrText>
      </w:r>
      <w:r>
        <w:rPr>
          <w:rFonts w:hAnsi="宋体"/>
          <w:bCs w:val="0"/>
          <w:color w:val="auto"/>
          <w:szCs w:val="28"/>
          <w:highlight w:val="none"/>
        </w:rPr>
        <w:fldChar w:fldCharType="separate"/>
      </w:r>
      <w:r>
        <w:rPr>
          <w:rFonts w:hint="eastAsia" w:ascii="宋体" w:hAnsi="宋体"/>
          <w:color w:val="auto"/>
          <w:szCs w:val="21"/>
          <w:highlight w:val="none"/>
        </w:rPr>
        <w:t>一、合同通用条款</w:t>
      </w:r>
      <w:r>
        <w:rPr>
          <w:color w:val="auto"/>
          <w:highlight w:val="none"/>
        </w:rPr>
        <w:tab/>
      </w:r>
      <w:r>
        <w:rPr>
          <w:color w:val="auto"/>
          <w:highlight w:val="none"/>
        </w:rPr>
        <w:fldChar w:fldCharType="begin"/>
      </w:r>
      <w:r>
        <w:rPr>
          <w:color w:val="auto"/>
          <w:highlight w:val="none"/>
        </w:rPr>
        <w:instrText xml:space="preserve"> PAGEREF _Toc15879 \h </w:instrText>
      </w:r>
      <w:r>
        <w:rPr>
          <w:color w:val="auto"/>
          <w:highlight w:val="none"/>
        </w:rPr>
        <w:fldChar w:fldCharType="separate"/>
      </w:r>
      <w:r>
        <w:rPr>
          <w:color w:val="auto"/>
          <w:highlight w:val="none"/>
        </w:rPr>
        <w:t>31</w:t>
      </w:r>
      <w:r>
        <w:rPr>
          <w:color w:val="auto"/>
          <w:highlight w:val="none"/>
        </w:rPr>
        <w:fldChar w:fldCharType="end"/>
      </w:r>
      <w:r>
        <w:rPr>
          <w:rFonts w:hAnsi="宋体"/>
          <w:bCs w:val="0"/>
          <w:color w:val="auto"/>
          <w:szCs w:val="28"/>
          <w:highlight w:val="none"/>
        </w:rPr>
        <w:fldChar w:fldCharType="end"/>
      </w:r>
    </w:p>
    <w:p>
      <w:pPr>
        <w:pStyle w:val="32"/>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_Toc9872 </w:instrText>
      </w:r>
      <w:r>
        <w:rPr>
          <w:rFonts w:hAnsi="宋体"/>
          <w:bCs w:val="0"/>
          <w:color w:val="auto"/>
          <w:szCs w:val="28"/>
          <w:highlight w:val="none"/>
        </w:rPr>
        <w:fldChar w:fldCharType="separate"/>
      </w:r>
      <w:r>
        <w:rPr>
          <w:rFonts w:hint="eastAsia" w:ascii="黑体" w:hAnsi="黑体" w:eastAsia="黑体"/>
          <w:color w:val="auto"/>
          <w:szCs w:val="32"/>
          <w:highlight w:val="none"/>
        </w:rPr>
        <w:t>第五章 响应文件组成</w:t>
      </w:r>
      <w:r>
        <w:rPr>
          <w:color w:val="auto"/>
          <w:highlight w:val="none"/>
        </w:rPr>
        <w:tab/>
      </w:r>
      <w:r>
        <w:rPr>
          <w:color w:val="auto"/>
          <w:highlight w:val="none"/>
        </w:rPr>
        <w:fldChar w:fldCharType="begin"/>
      </w:r>
      <w:r>
        <w:rPr>
          <w:color w:val="auto"/>
          <w:highlight w:val="none"/>
        </w:rPr>
        <w:instrText xml:space="preserve"> PAGEREF _Toc9872 \h </w:instrText>
      </w:r>
      <w:r>
        <w:rPr>
          <w:color w:val="auto"/>
          <w:highlight w:val="none"/>
        </w:rPr>
        <w:fldChar w:fldCharType="separate"/>
      </w:r>
      <w:r>
        <w:rPr>
          <w:color w:val="auto"/>
          <w:highlight w:val="none"/>
        </w:rPr>
        <w:t>39</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_Toc20485 </w:instrText>
      </w:r>
      <w:r>
        <w:rPr>
          <w:rFonts w:hAnsi="宋体"/>
          <w:bCs w:val="0"/>
          <w:color w:val="auto"/>
          <w:szCs w:val="28"/>
          <w:highlight w:val="none"/>
        </w:rPr>
        <w:fldChar w:fldCharType="separate"/>
      </w:r>
      <w:r>
        <w:rPr>
          <w:rFonts w:hint="eastAsia" w:ascii="宋体" w:hAnsi="宋体"/>
          <w:color w:val="auto"/>
          <w:szCs w:val="21"/>
          <w:highlight w:val="none"/>
        </w:rPr>
        <w:t>索引表 符合性审查索引表</w:t>
      </w:r>
      <w:r>
        <w:rPr>
          <w:color w:val="auto"/>
          <w:highlight w:val="none"/>
        </w:rPr>
        <w:tab/>
      </w:r>
      <w:r>
        <w:rPr>
          <w:color w:val="auto"/>
          <w:highlight w:val="none"/>
        </w:rPr>
        <w:fldChar w:fldCharType="begin"/>
      </w:r>
      <w:r>
        <w:rPr>
          <w:color w:val="auto"/>
          <w:highlight w:val="none"/>
        </w:rPr>
        <w:instrText xml:space="preserve"> PAGEREF _Toc20485 \h </w:instrText>
      </w:r>
      <w:r>
        <w:rPr>
          <w:color w:val="auto"/>
          <w:highlight w:val="none"/>
        </w:rPr>
        <w:fldChar w:fldCharType="separate"/>
      </w:r>
      <w:r>
        <w:rPr>
          <w:color w:val="auto"/>
          <w:highlight w:val="none"/>
        </w:rPr>
        <w:t>41</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_Toc31271 </w:instrText>
      </w:r>
      <w:r>
        <w:rPr>
          <w:rFonts w:hAnsi="宋体"/>
          <w:bCs w:val="0"/>
          <w:color w:val="auto"/>
          <w:szCs w:val="28"/>
          <w:highlight w:val="none"/>
        </w:rPr>
        <w:fldChar w:fldCharType="separate"/>
      </w:r>
      <w:r>
        <w:rPr>
          <w:rFonts w:hint="eastAsia" w:ascii="黑体" w:hAnsi="黑体" w:eastAsia="黑体"/>
          <w:color w:val="auto"/>
          <w:szCs w:val="28"/>
          <w:highlight w:val="none"/>
        </w:rPr>
        <w:t>一、谈判响应声明(格式)</w:t>
      </w:r>
      <w:r>
        <w:rPr>
          <w:color w:val="auto"/>
          <w:highlight w:val="none"/>
        </w:rPr>
        <w:tab/>
      </w:r>
      <w:r>
        <w:rPr>
          <w:color w:val="auto"/>
          <w:highlight w:val="none"/>
        </w:rPr>
        <w:fldChar w:fldCharType="begin"/>
      </w:r>
      <w:r>
        <w:rPr>
          <w:color w:val="auto"/>
          <w:highlight w:val="none"/>
        </w:rPr>
        <w:instrText xml:space="preserve"> PAGEREF _Toc31271 \h </w:instrText>
      </w:r>
      <w:r>
        <w:rPr>
          <w:color w:val="auto"/>
          <w:highlight w:val="none"/>
        </w:rPr>
        <w:fldChar w:fldCharType="separate"/>
      </w:r>
      <w:r>
        <w:rPr>
          <w:color w:val="auto"/>
          <w:highlight w:val="none"/>
        </w:rPr>
        <w:t>42</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_Toc22833 </w:instrText>
      </w:r>
      <w:r>
        <w:rPr>
          <w:rFonts w:hAnsi="宋体"/>
          <w:bCs w:val="0"/>
          <w:color w:val="auto"/>
          <w:szCs w:val="28"/>
          <w:highlight w:val="none"/>
        </w:rPr>
        <w:fldChar w:fldCharType="separate"/>
      </w:r>
      <w:r>
        <w:rPr>
          <w:rFonts w:hint="eastAsia" w:ascii="黑体" w:hAnsi="黑体" w:eastAsia="黑体"/>
          <w:color w:val="auto"/>
          <w:szCs w:val="28"/>
          <w:highlight w:val="none"/>
        </w:rPr>
        <w:t>二、法定代表人（单位负责人）身份证明(格式)</w:t>
      </w:r>
      <w:r>
        <w:rPr>
          <w:color w:val="auto"/>
          <w:highlight w:val="none"/>
        </w:rPr>
        <w:tab/>
      </w:r>
      <w:r>
        <w:rPr>
          <w:color w:val="auto"/>
          <w:highlight w:val="none"/>
        </w:rPr>
        <w:fldChar w:fldCharType="begin"/>
      </w:r>
      <w:r>
        <w:rPr>
          <w:color w:val="auto"/>
          <w:highlight w:val="none"/>
        </w:rPr>
        <w:instrText xml:space="preserve"> PAGEREF _Toc22833 \h </w:instrText>
      </w:r>
      <w:r>
        <w:rPr>
          <w:color w:val="auto"/>
          <w:highlight w:val="none"/>
        </w:rPr>
        <w:fldChar w:fldCharType="separate"/>
      </w:r>
      <w:r>
        <w:rPr>
          <w:color w:val="auto"/>
          <w:highlight w:val="none"/>
        </w:rPr>
        <w:t>43</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_Toc28912 </w:instrText>
      </w:r>
      <w:r>
        <w:rPr>
          <w:rFonts w:hAnsi="宋体"/>
          <w:bCs w:val="0"/>
          <w:color w:val="auto"/>
          <w:szCs w:val="28"/>
          <w:highlight w:val="none"/>
        </w:rPr>
        <w:fldChar w:fldCharType="separate"/>
      </w:r>
      <w:r>
        <w:rPr>
          <w:rFonts w:hint="eastAsia" w:ascii="黑体" w:hAnsi="黑体" w:eastAsia="黑体"/>
          <w:color w:val="auto"/>
          <w:szCs w:val="28"/>
          <w:highlight w:val="none"/>
        </w:rPr>
        <w:t>三、授权委托书(格式)</w:t>
      </w:r>
      <w:r>
        <w:rPr>
          <w:color w:val="auto"/>
          <w:highlight w:val="none"/>
        </w:rPr>
        <w:tab/>
      </w:r>
      <w:r>
        <w:rPr>
          <w:color w:val="auto"/>
          <w:highlight w:val="none"/>
        </w:rPr>
        <w:fldChar w:fldCharType="begin"/>
      </w:r>
      <w:r>
        <w:rPr>
          <w:color w:val="auto"/>
          <w:highlight w:val="none"/>
        </w:rPr>
        <w:instrText xml:space="preserve"> PAGEREF _Toc28912 \h </w:instrText>
      </w:r>
      <w:r>
        <w:rPr>
          <w:color w:val="auto"/>
          <w:highlight w:val="none"/>
        </w:rPr>
        <w:fldChar w:fldCharType="separate"/>
      </w:r>
      <w:r>
        <w:rPr>
          <w:color w:val="auto"/>
          <w:highlight w:val="none"/>
        </w:rPr>
        <w:t>44</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_Toc25488 </w:instrText>
      </w:r>
      <w:r>
        <w:rPr>
          <w:rFonts w:hAnsi="宋体"/>
          <w:bCs w:val="0"/>
          <w:color w:val="auto"/>
          <w:szCs w:val="28"/>
          <w:highlight w:val="none"/>
        </w:rPr>
        <w:fldChar w:fldCharType="separate"/>
      </w:r>
      <w:r>
        <w:rPr>
          <w:rFonts w:hint="eastAsia" w:ascii="黑体" w:hAnsi="黑体" w:eastAsia="黑体"/>
          <w:color w:val="auto"/>
          <w:szCs w:val="28"/>
          <w:highlight w:val="none"/>
        </w:rPr>
        <w:t>四、保证金</w:t>
      </w:r>
      <w:r>
        <w:rPr>
          <w:color w:val="auto"/>
          <w:highlight w:val="none"/>
        </w:rPr>
        <w:tab/>
      </w:r>
      <w:r>
        <w:rPr>
          <w:color w:val="auto"/>
          <w:highlight w:val="none"/>
        </w:rPr>
        <w:fldChar w:fldCharType="begin"/>
      </w:r>
      <w:r>
        <w:rPr>
          <w:color w:val="auto"/>
          <w:highlight w:val="none"/>
        </w:rPr>
        <w:instrText xml:space="preserve"> PAGEREF _Toc25488 \h </w:instrText>
      </w:r>
      <w:r>
        <w:rPr>
          <w:color w:val="auto"/>
          <w:highlight w:val="none"/>
        </w:rPr>
        <w:fldChar w:fldCharType="separate"/>
      </w:r>
      <w:r>
        <w:rPr>
          <w:color w:val="auto"/>
          <w:highlight w:val="none"/>
        </w:rPr>
        <w:t>45</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_Toc5317 </w:instrText>
      </w:r>
      <w:r>
        <w:rPr>
          <w:rFonts w:hAnsi="宋体"/>
          <w:bCs w:val="0"/>
          <w:color w:val="auto"/>
          <w:szCs w:val="28"/>
          <w:highlight w:val="none"/>
        </w:rPr>
        <w:fldChar w:fldCharType="separate"/>
      </w:r>
      <w:r>
        <w:rPr>
          <w:rFonts w:hint="eastAsia" w:ascii="黑体" w:hAnsi="黑体" w:eastAsia="黑体"/>
          <w:color w:val="auto"/>
          <w:szCs w:val="28"/>
          <w:highlight w:val="none"/>
        </w:rPr>
        <w:t>五、报价表及报价文件(格式)</w:t>
      </w:r>
      <w:r>
        <w:rPr>
          <w:color w:val="auto"/>
          <w:highlight w:val="none"/>
        </w:rPr>
        <w:tab/>
      </w:r>
      <w:r>
        <w:rPr>
          <w:color w:val="auto"/>
          <w:highlight w:val="none"/>
        </w:rPr>
        <w:fldChar w:fldCharType="begin"/>
      </w:r>
      <w:r>
        <w:rPr>
          <w:color w:val="auto"/>
          <w:highlight w:val="none"/>
        </w:rPr>
        <w:instrText xml:space="preserve"> PAGEREF _Toc5317 \h </w:instrText>
      </w:r>
      <w:r>
        <w:rPr>
          <w:color w:val="auto"/>
          <w:highlight w:val="none"/>
        </w:rPr>
        <w:fldChar w:fldCharType="separate"/>
      </w:r>
      <w:r>
        <w:rPr>
          <w:color w:val="auto"/>
          <w:highlight w:val="none"/>
        </w:rPr>
        <w:t>46</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_Toc468 </w:instrText>
      </w:r>
      <w:r>
        <w:rPr>
          <w:rFonts w:hAnsi="宋体"/>
          <w:bCs w:val="0"/>
          <w:color w:val="auto"/>
          <w:szCs w:val="28"/>
          <w:highlight w:val="none"/>
        </w:rPr>
        <w:fldChar w:fldCharType="separate"/>
      </w:r>
      <w:r>
        <w:rPr>
          <w:rFonts w:hint="eastAsia" w:ascii="宋体" w:hAnsi="宋体"/>
          <w:color w:val="auto"/>
          <w:szCs w:val="21"/>
          <w:highlight w:val="none"/>
        </w:rPr>
        <w:t>附件5-1 报价表</w:t>
      </w:r>
      <w:r>
        <w:rPr>
          <w:color w:val="auto"/>
          <w:highlight w:val="none"/>
        </w:rPr>
        <w:tab/>
      </w:r>
      <w:r>
        <w:rPr>
          <w:color w:val="auto"/>
          <w:highlight w:val="none"/>
        </w:rPr>
        <w:fldChar w:fldCharType="begin"/>
      </w:r>
      <w:r>
        <w:rPr>
          <w:color w:val="auto"/>
          <w:highlight w:val="none"/>
        </w:rPr>
        <w:instrText xml:space="preserve"> PAGEREF _Toc468 \h </w:instrText>
      </w:r>
      <w:r>
        <w:rPr>
          <w:color w:val="auto"/>
          <w:highlight w:val="none"/>
        </w:rPr>
        <w:fldChar w:fldCharType="separate"/>
      </w:r>
      <w:r>
        <w:rPr>
          <w:color w:val="auto"/>
          <w:highlight w:val="none"/>
        </w:rPr>
        <w:t>46</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_Toc9424 </w:instrText>
      </w:r>
      <w:r>
        <w:rPr>
          <w:rFonts w:hAnsi="宋体"/>
          <w:bCs w:val="0"/>
          <w:color w:val="auto"/>
          <w:szCs w:val="28"/>
          <w:highlight w:val="none"/>
        </w:rPr>
        <w:fldChar w:fldCharType="separate"/>
      </w:r>
      <w:r>
        <w:rPr>
          <w:rFonts w:hint="eastAsia" w:ascii="宋体" w:hAnsi="宋体"/>
          <w:color w:val="auto"/>
          <w:szCs w:val="21"/>
          <w:highlight w:val="none"/>
        </w:rPr>
        <w:t>附件5-2 分项报价说明</w:t>
      </w:r>
      <w:r>
        <w:rPr>
          <w:color w:val="auto"/>
          <w:highlight w:val="none"/>
        </w:rPr>
        <w:tab/>
      </w:r>
      <w:r>
        <w:rPr>
          <w:color w:val="auto"/>
          <w:highlight w:val="none"/>
        </w:rPr>
        <w:fldChar w:fldCharType="begin"/>
      </w:r>
      <w:r>
        <w:rPr>
          <w:color w:val="auto"/>
          <w:highlight w:val="none"/>
        </w:rPr>
        <w:instrText xml:space="preserve"> PAGEREF _Toc9424 \h </w:instrText>
      </w:r>
      <w:r>
        <w:rPr>
          <w:color w:val="auto"/>
          <w:highlight w:val="none"/>
        </w:rPr>
        <w:fldChar w:fldCharType="separate"/>
      </w:r>
      <w:r>
        <w:rPr>
          <w:color w:val="auto"/>
          <w:highlight w:val="none"/>
        </w:rPr>
        <w:t>47</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_Toc30932 </w:instrText>
      </w:r>
      <w:r>
        <w:rPr>
          <w:rFonts w:hAnsi="宋体"/>
          <w:bCs w:val="0"/>
          <w:color w:val="auto"/>
          <w:szCs w:val="28"/>
          <w:highlight w:val="none"/>
        </w:rPr>
        <w:fldChar w:fldCharType="separate"/>
      </w:r>
      <w:r>
        <w:rPr>
          <w:rFonts w:hint="eastAsia" w:ascii="宋体" w:hAnsi="宋体" w:cs="宋体"/>
          <w:color w:val="auto"/>
          <w:szCs w:val="21"/>
          <w:highlight w:val="none"/>
        </w:rPr>
        <w:t xml:space="preserve">附件5-3 </w:t>
      </w:r>
      <w:r>
        <w:rPr>
          <w:rFonts w:hint="eastAsia" w:ascii="宋体" w:hAnsi="宋体"/>
          <w:color w:val="auto"/>
          <w:spacing w:val="-2"/>
          <w:position w:val="-3"/>
          <w:szCs w:val="21"/>
          <w:highlight w:val="none"/>
        </w:rPr>
        <w:t>分</w:t>
      </w:r>
      <w:r>
        <w:rPr>
          <w:rFonts w:hint="eastAsia" w:ascii="宋体" w:hAnsi="宋体"/>
          <w:color w:val="auto"/>
          <w:position w:val="-3"/>
          <w:szCs w:val="21"/>
          <w:highlight w:val="none"/>
        </w:rPr>
        <w:t>项</w:t>
      </w:r>
      <w:r>
        <w:rPr>
          <w:rFonts w:hint="eastAsia" w:ascii="宋体" w:hAnsi="宋体"/>
          <w:color w:val="auto"/>
          <w:spacing w:val="-2"/>
          <w:position w:val="-3"/>
          <w:szCs w:val="21"/>
          <w:highlight w:val="none"/>
        </w:rPr>
        <w:t>报</w:t>
      </w:r>
      <w:r>
        <w:rPr>
          <w:rFonts w:hint="eastAsia" w:ascii="宋体" w:hAnsi="宋体"/>
          <w:color w:val="auto"/>
          <w:position w:val="-3"/>
          <w:szCs w:val="21"/>
          <w:highlight w:val="none"/>
        </w:rPr>
        <w:t>价明细表</w:t>
      </w:r>
      <w:r>
        <w:rPr>
          <w:color w:val="auto"/>
          <w:highlight w:val="none"/>
        </w:rPr>
        <w:tab/>
      </w:r>
      <w:r>
        <w:rPr>
          <w:color w:val="auto"/>
          <w:highlight w:val="none"/>
        </w:rPr>
        <w:fldChar w:fldCharType="begin"/>
      </w:r>
      <w:r>
        <w:rPr>
          <w:color w:val="auto"/>
          <w:highlight w:val="none"/>
        </w:rPr>
        <w:instrText xml:space="preserve"> PAGEREF _Toc30932 \h </w:instrText>
      </w:r>
      <w:r>
        <w:rPr>
          <w:color w:val="auto"/>
          <w:highlight w:val="none"/>
        </w:rPr>
        <w:fldChar w:fldCharType="separate"/>
      </w:r>
      <w:r>
        <w:rPr>
          <w:color w:val="auto"/>
          <w:highlight w:val="none"/>
        </w:rPr>
        <w:t>47</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_Toc5007 </w:instrText>
      </w:r>
      <w:r>
        <w:rPr>
          <w:rFonts w:hAnsi="宋体"/>
          <w:bCs w:val="0"/>
          <w:color w:val="auto"/>
          <w:szCs w:val="28"/>
          <w:highlight w:val="none"/>
        </w:rPr>
        <w:fldChar w:fldCharType="separate"/>
      </w:r>
      <w:r>
        <w:rPr>
          <w:rFonts w:hint="eastAsia" w:ascii="黑体" w:hAnsi="黑体" w:eastAsia="黑体"/>
          <w:color w:val="auto"/>
          <w:szCs w:val="28"/>
          <w:highlight w:val="none"/>
        </w:rPr>
        <w:t>六、采购需求的响应</w:t>
      </w:r>
      <w:r>
        <w:rPr>
          <w:color w:val="auto"/>
          <w:highlight w:val="none"/>
        </w:rPr>
        <w:tab/>
      </w:r>
      <w:r>
        <w:rPr>
          <w:color w:val="auto"/>
          <w:highlight w:val="none"/>
        </w:rPr>
        <w:fldChar w:fldCharType="begin"/>
      </w:r>
      <w:r>
        <w:rPr>
          <w:color w:val="auto"/>
          <w:highlight w:val="none"/>
        </w:rPr>
        <w:instrText xml:space="preserve"> PAGEREF _Toc5007 \h </w:instrText>
      </w:r>
      <w:r>
        <w:rPr>
          <w:color w:val="auto"/>
          <w:highlight w:val="none"/>
        </w:rPr>
        <w:fldChar w:fldCharType="separate"/>
      </w:r>
      <w:r>
        <w:rPr>
          <w:color w:val="auto"/>
          <w:highlight w:val="none"/>
        </w:rPr>
        <w:t>48</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_Toc22004 </w:instrText>
      </w:r>
      <w:r>
        <w:rPr>
          <w:rFonts w:hAnsi="宋体"/>
          <w:bCs w:val="0"/>
          <w:color w:val="auto"/>
          <w:szCs w:val="28"/>
          <w:highlight w:val="none"/>
        </w:rPr>
        <w:fldChar w:fldCharType="separate"/>
      </w:r>
      <w:r>
        <w:rPr>
          <w:rFonts w:hint="eastAsia" w:ascii="宋体" w:hAnsi="宋体"/>
          <w:color w:val="auto"/>
          <w:szCs w:val="21"/>
          <w:highlight w:val="none"/>
        </w:rPr>
        <w:t>附件6-1 响应-览表</w:t>
      </w:r>
      <w:r>
        <w:rPr>
          <w:color w:val="auto"/>
          <w:highlight w:val="none"/>
        </w:rPr>
        <w:tab/>
      </w:r>
      <w:r>
        <w:rPr>
          <w:color w:val="auto"/>
          <w:highlight w:val="none"/>
        </w:rPr>
        <w:fldChar w:fldCharType="begin"/>
      </w:r>
      <w:r>
        <w:rPr>
          <w:color w:val="auto"/>
          <w:highlight w:val="none"/>
        </w:rPr>
        <w:instrText xml:space="preserve"> PAGEREF _Toc22004 \h </w:instrText>
      </w:r>
      <w:r>
        <w:rPr>
          <w:color w:val="auto"/>
          <w:highlight w:val="none"/>
        </w:rPr>
        <w:fldChar w:fldCharType="separate"/>
      </w:r>
      <w:r>
        <w:rPr>
          <w:color w:val="auto"/>
          <w:highlight w:val="none"/>
        </w:rPr>
        <w:t>48</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_Toc4662 </w:instrText>
      </w:r>
      <w:r>
        <w:rPr>
          <w:rFonts w:hAnsi="宋体"/>
          <w:bCs w:val="0"/>
          <w:color w:val="auto"/>
          <w:szCs w:val="28"/>
          <w:highlight w:val="none"/>
        </w:rPr>
        <w:fldChar w:fldCharType="separate"/>
      </w:r>
      <w:r>
        <w:rPr>
          <w:rFonts w:hint="eastAsia" w:ascii="黑体" w:hAnsi="黑体" w:eastAsia="黑体"/>
          <w:color w:val="auto"/>
          <w:szCs w:val="28"/>
          <w:highlight w:val="none"/>
        </w:rPr>
        <w:t>七、合同条款偏离表</w:t>
      </w:r>
      <w:r>
        <w:rPr>
          <w:color w:val="auto"/>
          <w:highlight w:val="none"/>
        </w:rPr>
        <w:tab/>
      </w:r>
      <w:r>
        <w:rPr>
          <w:color w:val="auto"/>
          <w:highlight w:val="none"/>
        </w:rPr>
        <w:fldChar w:fldCharType="begin"/>
      </w:r>
      <w:r>
        <w:rPr>
          <w:color w:val="auto"/>
          <w:highlight w:val="none"/>
        </w:rPr>
        <w:instrText xml:space="preserve"> PAGEREF _Toc4662 \h </w:instrText>
      </w:r>
      <w:r>
        <w:rPr>
          <w:color w:val="auto"/>
          <w:highlight w:val="none"/>
        </w:rPr>
        <w:fldChar w:fldCharType="separate"/>
      </w:r>
      <w:r>
        <w:rPr>
          <w:color w:val="auto"/>
          <w:highlight w:val="none"/>
        </w:rPr>
        <w:t>49</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_Toc24974 </w:instrText>
      </w:r>
      <w:r>
        <w:rPr>
          <w:rFonts w:hAnsi="宋体"/>
          <w:bCs w:val="0"/>
          <w:color w:val="auto"/>
          <w:szCs w:val="28"/>
          <w:highlight w:val="none"/>
        </w:rPr>
        <w:fldChar w:fldCharType="separate"/>
      </w:r>
      <w:r>
        <w:rPr>
          <w:rFonts w:hint="eastAsia" w:ascii="黑体" w:eastAsia="黑体"/>
          <w:color w:val="auto"/>
          <w:szCs w:val="28"/>
          <w:highlight w:val="none"/>
        </w:rPr>
        <w:t>八、采购需求偏离表</w:t>
      </w:r>
      <w:r>
        <w:rPr>
          <w:color w:val="auto"/>
          <w:highlight w:val="none"/>
        </w:rPr>
        <w:tab/>
      </w:r>
      <w:r>
        <w:rPr>
          <w:color w:val="auto"/>
          <w:highlight w:val="none"/>
        </w:rPr>
        <w:fldChar w:fldCharType="begin"/>
      </w:r>
      <w:r>
        <w:rPr>
          <w:color w:val="auto"/>
          <w:highlight w:val="none"/>
        </w:rPr>
        <w:instrText xml:space="preserve"> PAGEREF _Toc24974 \h </w:instrText>
      </w:r>
      <w:r>
        <w:rPr>
          <w:color w:val="auto"/>
          <w:highlight w:val="none"/>
        </w:rPr>
        <w:fldChar w:fldCharType="separate"/>
      </w:r>
      <w:r>
        <w:rPr>
          <w:color w:val="auto"/>
          <w:highlight w:val="none"/>
        </w:rPr>
        <w:t>50</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_Toc31709 </w:instrText>
      </w:r>
      <w:r>
        <w:rPr>
          <w:rFonts w:hAnsi="宋体"/>
          <w:bCs w:val="0"/>
          <w:color w:val="auto"/>
          <w:szCs w:val="28"/>
          <w:highlight w:val="none"/>
        </w:rPr>
        <w:fldChar w:fldCharType="separate"/>
      </w:r>
      <w:r>
        <w:rPr>
          <w:rFonts w:hint="eastAsia" w:ascii="黑体" w:hAnsi="黑体" w:eastAsia="黑体"/>
          <w:color w:val="auto"/>
          <w:szCs w:val="28"/>
          <w:highlight w:val="none"/>
        </w:rPr>
        <w:t>九、享受政府采购政策优惠的证明资料</w:t>
      </w:r>
      <w:r>
        <w:rPr>
          <w:color w:val="auto"/>
          <w:highlight w:val="none"/>
        </w:rPr>
        <w:tab/>
      </w:r>
      <w:r>
        <w:rPr>
          <w:color w:val="auto"/>
          <w:highlight w:val="none"/>
        </w:rPr>
        <w:fldChar w:fldCharType="begin"/>
      </w:r>
      <w:r>
        <w:rPr>
          <w:color w:val="auto"/>
          <w:highlight w:val="none"/>
        </w:rPr>
        <w:instrText xml:space="preserve"> PAGEREF _Toc31709 \h </w:instrText>
      </w:r>
      <w:r>
        <w:rPr>
          <w:color w:val="auto"/>
          <w:highlight w:val="none"/>
        </w:rPr>
        <w:fldChar w:fldCharType="separate"/>
      </w:r>
      <w:r>
        <w:rPr>
          <w:color w:val="auto"/>
          <w:highlight w:val="none"/>
        </w:rPr>
        <w:t>51</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_Toc5594 </w:instrText>
      </w:r>
      <w:r>
        <w:rPr>
          <w:rFonts w:hAnsi="宋体"/>
          <w:bCs w:val="0"/>
          <w:color w:val="auto"/>
          <w:szCs w:val="28"/>
          <w:highlight w:val="none"/>
        </w:rPr>
        <w:fldChar w:fldCharType="separate"/>
      </w:r>
      <w:r>
        <w:rPr>
          <w:rFonts w:hint="eastAsia" w:ascii="宋体" w:hAnsi="宋体"/>
          <w:color w:val="auto"/>
          <w:szCs w:val="21"/>
          <w:highlight w:val="none"/>
        </w:rPr>
        <w:t>附件9-1</w:t>
      </w:r>
      <w:r>
        <w:rPr>
          <w:rFonts w:hint="eastAsia" w:ascii="宋体" w:hAnsi="宋体" w:cs="宋体"/>
          <w:color w:val="auto"/>
          <w:spacing w:val="6"/>
          <w:kern w:val="0"/>
          <w:szCs w:val="21"/>
          <w:highlight w:val="none"/>
        </w:rPr>
        <w:t>中小企业声明函（货物）</w:t>
      </w:r>
      <w:r>
        <w:rPr>
          <w:color w:val="auto"/>
          <w:highlight w:val="none"/>
        </w:rPr>
        <w:tab/>
      </w:r>
      <w:r>
        <w:rPr>
          <w:color w:val="auto"/>
          <w:highlight w:val="none"/>
        </w:rPr>
        <w:fldChar w:fldCharType="begin"/>
      </w:r>
      <w:r>
        <w:rPr>
          <w:color w:val="auto"/>
          <w:highlight w:val="none"/>
        </w:rPr>
        <w:instrText xml:space="preserve"> PAGEREF _Toc5594 \h </w:instrText>
      </w:r>
      <w:r>
        <w:rPr>
          <w:color w:val="auto"/>
          <w:highlight w:val="none"/>
        </w:rPr>
        <w:fldChar w:fldCharType="separate"/>
      </w:r>
      <w:r>
        <w:rPr>
          <w:color w:val="auto"/>
          <w:highlight w:val="none"/>
        </w:rPr>
        <w:t>52</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_Toc18265 </w:instrText>
      </w:r>
      <w:r>
        <w:rPr>
          <w:rFonts w:hAnsi="宋体"/>
          <w:bCs w:val="0"/>
          <w:color w:val="auto"/>
          <w:szCs w:val="28"/>
          <w:highlight w:val="none"/>
        </w:rPr>
        <w:fldChar w:fldCharType="separate"/>
      </w:r>
      <w:r>
        <w:rPr>
          <w:rFonts w:hint="eastAsia" w:ascii="宋体" w:hAnsi="宋体" w:cs="宋体"/>
          <w:color w:val="auto"/>
          <w:spacing w:val="6"/>
          <w:kern w:val="0"/>
          <w:highlight w:val="none"/>
        </w:rPr>
        <w:t xml:space="preserve">附件9-2 </w:t>
      </w:r>
      <w:r>
        <w:rPr>
          <w:rFonts w:hint="eastAsia" w:ascii="宋体" w:hAnsi="宋体"/>
          <w:color w:val="auto"/>
          <w:spacing w:val="6"/>
          <w:highlight w:val="none"/>
        </w:rPr>
        <w:t>残疾人福利性单位声明函</w:t>
      </w:r>
      <w:r>
        <w:rPr>
          <w:color w:val="auto"/>
          <w:highlight w:val="none"/>
        </w:rPr>
        <w:tab/>
      </w:r>
      <w:r>
        <w:rPr>
          <w:color w:val="auto"/>
          <w:highlight w:val="none"/>
        </w:rPr>
        <w:fldChar w:fldCharType="begin"/>
      </w:r>
      <w:r>
        <w:rPr>
          <w:color w:val="auto"/>
          <w:highlight w:val="none"/>
        </w:rPr>
        <w:instrText xml:space="preserve"> PAGEREF _Toc18265 \h </w:instrText>
      </w:r>
      <w:r>
        <w:rPr>
          <w:color w:val="auto"/>
          <w:highlight w:val="none"/>
        </w:rPr>
        <w:fldChar w:fldCharType="separate"/>
      </w:r>
      <w:r>
        <w:rPr>
          <w:color w:val="auto"/>
          <w:highlight w:val="none"/>
        </w:rPr>
        <w:t>54</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_Toc17898 </w:instrText>
      </w:r>
      <w:r>
        <w:rPr>
          <w:rFonts w:hAnsi="宋体"/>
          <w:bCs w:val="0"/>
          <w:color w:val="auto"/>
          <w:szCs w:val="28"/>
          <w:highlight w:val="none"/>
        </w:rPr>
        <w:fldChar w:fldCharType="separate"/>
      </w:r>
      <w:r>
        <w:rPr>
          <w:rFonts w:hint="eastAsia" w:ascii="宋体" w:hAnsi="宋体" w:cs="宋体"/>
          <w:color w:val="auto"/>
          <w:kern w:val="0"/>
          <w:szCs w:val="21"/>
          <w:highlight w:val="none"/>
        </w:rPr>
        <w:t xml:space="preserve">附件9-3 </w:t>
      </w:r>
      <w:r>
        <w:rPr>
          <w:rFonts w:hint="eastAsia" w:ascii="宋体" w:hAnsi="宋体"/>
          <w:color w:val="auto"/>
          <w:szCs w:val="21"/>
          <w:highlight w:val="none"/>
        </w:rPr>
        <w:t>监狱企业证明资料</w:t>
      </w:r>
      <w:r>
        <w:rPr>
          <w:color w:val="auto"/>
          <w:highlight w:val="none"/>
        </w:rPr>
        <w:tab/>
      </w:r>
      <w:r>
        <w:rPr>
          <w:color w:val="auto"/>
          <w:highlight w:val="none"/>
        </w:rPr>
        <w:fldChar w:fldCharType="begin"/>
      </w:r>
      <w:r>
        <w:rPr>
          <w:color w:val="auto"/>
          <w:highlight w:val="none"/>
        </w:rPr>
        <w:instrText xml:space="preserve"> PAGEREF _Toc17898 \h </w:instrText>
      </w:r>
      <w:r>
        <w:rPr>
          <w:color w:val="auto"/>
          <w:highlight w:val="none"/>
        </w:rPr>
        <w:fldChar w:fldCharType="separate"/>
      </w:r>
      <w:r>
        <w:rPr>
          <w:color w:val="auto"/>
          <w:highlight w:val="none"/>
        </w:rPr>
        <w:t>55</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_Toc7353 </w:instrText>
      </w:r>
      <w:r>
        <w:rPr>
          <w:rFonts w:hAnsi="宋体"/>
          <w:bCs w:val="0"/>
          <w:color w:val="auto"/>
          <w:szCs w:val="28"/>
          <w:highlight w:val="none"/>
        </w:rPr>
        <w:fldChar w:fldCharType="separate"/>
      </w:r>
      <w:r>
        <w:rPr>
          <w:rFonts w:hint="eastAsia" w:ascii="宋体" w:hAnsi="宋体" w:cs="宋体"/>
          <w:color w:val="auto"/>
          <w:spacing w:val="6"/>
          <w:kern w:val="0"/>
          <w:szCs w:val="21"/>
          <w:highlight w:val="none"/>
        </w:rPr>
        <w:t xml:space="preserve">附件9-4 </w:t>
      </w:r>
      <w:r>
        <w:rPr>
          <w:rFonts w:hint="eastAsia" w:ascii="宋体" w:hAnsi="宋体"/>
          <w:color w:val="auto"/>
          <w:szCs w:val="21"/>
          <w:highlight w:val="none"/>
        </w:rPr>
        <w:t>强制采购或者优先采购产品的证明材料</w:t>
      </w:r>
      <w:r>
        <w:rPr>
          <w:color w:val="auto"/>
          <w:highlight w:val="none"/>
        </w:rPr>
        <w:tab/>
      </w:r>
      <w:r>
        <w:rPr>
          <w:color w:val="auto"/>
          <w:highlight w:val="none"/>
        </w:rPr>
        <w:fldChar w:fldCharType="begin"/>
      </w:r>
      <w:r>
        <w:rPr>
          <w:color w:val="auto"/>
          <w:highlight w:val="none"/>
        </w:rPr>
        <w:instrText xml:space="preserve"> PAGEREF _Toc7353 \h </w:instrText>
      </w:r>
      <w:r>
        <w:rPr>
          <w:color w:val="auto"/>
          <w:highlight w:val="none"/>
        </w:rPr>
        <w:fldChar w:fldCharType="separate"/>
      </w:r>
      <w:r>
        <w:rPr>
          <w:color w:val="auto"/>
          <w:highlight w:val="none"/>
        </w:rPr>
        <w:t>56</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_Toc15798 </w:instrText>
      </w:r>
      <w:r>
        <w:rPr>
          <w:rFonts w:hAnsi="宋体"/>
          <w:bCs w:val="0"/>
          <w:color w:val="auto"/>
          <w:szCs w:val="28"/>
          <w:highlight w:val="none"/>
        </w:rPr>
        <w:fldChar w:fldCharType="separate"/>
      </w:r>
      <w:r>
        <w:rPr>
          <w:rFonts w:hint="eastAsia" w:ascii="黑体" w:hAnsi="黑体" w:eastAsia="黑体"/>
          <w:color w:val="auto"/>
          <w:szCs w:val="28"/>
          <w:highlight w:val="none"/>
        </w:rPr>
        <w:t>十、关于资格的说明(格式)</w:t>
      </w:r>
      <w:r>
        <w:rPr>
          <w:color w:val="auto"/>
          <w:highlight w:val="none"/>
        </w:rPr>
        <w:tab/>
      </w:r>
      <w:r>
        <w:rPr>
          <w:color w:val="auto"/>
          <w:highlight w:val="none"/>
        </w:rPr>
        <w:fldChar w:fldCharType="begin"/>
      </w:r>
      <w:r>
        <w:rPr>
          <w:color w:val="auto"/>
          <w:highlight w:val="none"/>
        </w:rPr>
        <w:instrText xml:space="preserve"> PAGEREF _Toc15798 \h </w:instrText>
      </w:r>
      <w:r>
        <w:rPr>
          <w:color w:val="auto"/>
          <w:highlight w:val="none"/>
        </w:rPr>
        <w:fldChar w:fldCharType="separate"/>
      </w:r>
      <w:r>
        <w:rPr>
          <w:color w:val="auto"/>
          <w:highlight w:val="none"/>
        </w:rPr>
        <w:t>58</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_Toc21428 </w:instrText>
      </w:r>
      <w:r>
        <w:rPr>
          <w:rFonts w:hAnsi="宋体"/>
          <w:bCs w:val="0"/>
          <w:color w:val="auto"/>
          <w:szCs w:val="28"/>
          <w:highlight w:val="none"/>
        </w:rPr>
        <w:fldChar w:fldCharType="separate"/>
      </w:r>
      <w:r>
        <w:rPr>
          <w:rFonts w:hint="eastAsia" w:ascii="黑体" w:hAnsi="黑体" w:eastAsia="黑体"/>
          <w:color w:val="auto"/>
          <w:szCs w:val="28"/>
          <w:highlight w:val="none"/>
        </w:rPr>
        <w:t>十一、响应标的符合谈判文件规定的证明文件</w:t>
      </w:r>
      <w:r>
        <w:rPr>
          <w:color w:val="auto"/>
          <w:highlight w:val="none"/>
        </w:rPr>
        <w:tab/>
      </w:r>
      <w:r>
        <w:rPr>
          <w:color w:val="auto"/>
          <w:highlight w:val="none"/>
        </w:rPr>
        <w:fldChar w:fldCharType="begin"/>
      </w:r>
      <w:r>
        <w:rPr>
          <w:color w:val="auto"/>
          <w:highlight w:val="none"/>
        </w:rPr>
        <w:instrText xml:space="preserve"> PAGEREF _Toc21428 \h </w:instrText>
      </w:r>
      <w:r>
        <w:rPr>
          <w:color w:val="auto"/>
          <w:highlight w:val="none"/>
        </w:rPr>
        <w:fldChar w:fldCharType="separate"/>
      </w:r>
      <w:r>
        <w:rPr>
          <w:color w:val="auto"/>
          <w:highlight w:val="none"/>
        </w:rPr>
        <w:t>59</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_Toc11081 </w:instrText>
      </w:r>
      <w:r>
        <w:rPr>
          <w:rFonts w:hAnsi="宋体"/>
          <w:bCs w:val="0"/>
          <w:color w:val="auto"/>
          <w:szCs w:val="28"/>
          <w:highlight w:val="none"/>
        </w:rPr>
        <w:fldChar w:fldCharType="separate"/>
      </w:r>
      <w:r>
        <w:rPr>
          <w:rFonts w:hint="eastAsia" w:ascii="黑体" w:hAnsi="黑体" w:eastAsia="黑体"/>
          <w:color w:val="auto"/>
          <w:szCs w:val="28"/>
          <w:highlight w:val="none"/>
        </w:rPr>
        <w:t>十二、供应商认为需提供的其他资料</w:t>
      </w:r>
      <w:r>
        <w:rPr>
          <w:color w:val="auto"/>
          <w:highlight w:val="none"/>
        </w:rPr>
        <w:tab/>
      </w:r>
      <w:r>
        <w:rPr>
          <w:color w:val="auto"/>
          <w:highlight w:val="none"/>
        </w:rPr>
        <w:fldChar w:fldCharType="begin"/>
      </w:r>
      <w:r>
        <w:rPr>
          <w:color w:val="auto"/>
          <w:highlight w:val="none"/>
        </w:rPr>
        <w:instrText xml:space="preserve"> PAGEREF _Toc11081 \h </w:instrText>
      </w:r>
      <w:r>
        <w:rPr>
          <w:color w:val="auto"/>
          <w:highlight w:val="none"/>
        </w:rPr>
        <w:fldChar w:fldCharType="separate"/>
      </w:r>
      <w:r>
        <w:rPr>
          <w:color w:val="auto"/>
          <w:highlight w:val="none"/>
        </w:rPr>
        <w:t>60</w:t>
      </w:r>
      <w:r>
        <w:rPr>
          <w:color w:val="auto"/>
          <w:highlight w:val="none"/>
        </w:rPr>
        <w:fldChar w:fldCharType="end"/>
      </w:r>
      <w:r>
        <w:rPr>
          <w:rFonts w:hAnsi="宋体"/>
          <w:bCs w:val="0"/>
          <w:color w:val="auto"/>
          <w:szCs w:val="28"/>
          <w:highlight w:val="none"/>
        </w:rPr>
        <w:fldChar w:fldCharType="end"/>
      </w:r>
    </w:p>
    <w:p>
      <w:pPr>
        <w:pStyle w:val="37"/>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_Toc2707 </w:instrText>
      </w:r>
      <w:r>
        <w:rPr>
          <w:rFonts w:hAnsi="宋体"/>
          <w:bCs w:val="0"/>
          <w:color w:val="auto"/>
          <w:szCs w:val="28"/>
          <w:highlight w:val="none"/>
        </w:rPr>
        <w:fldChar w:fldCharType="separate"/>
      </w:r>
      <w:r>
        <w:rPr>
          <w:rFonts w:hint="eastAsia" w:ascii="黑体" w:hAnsi="黑体" w:eastAsia="黑体"/>
          <w:bCs/>
          <w:color w:val="auto"/>
          <w:szCs w:val="28"/>
          <w:highlight w:val="none"/>
          <w:lang w:val="en-US"/>
        </w:rPr>
        <w:t>十三、最后报价</w:t>
      </w:r>
      <w:r>
        <w:rPr>
          <w:color w:val="auto"/>
          <w:highlight w:val="none"/>
        </w:rPr>
        <w:tab/>
      </w:r>
      <w:r>
        <w:rPr>
          <w:color w:val="auto"/>
          <w:highlight w:val="none"/>
        </w:rPr>
        <w:fldChar w:fldCharType="begin"/>
      </w:r>
      <w:r>
        <w:rPr>
          <w:color w:val="auto"/>
          <w:highlight w:val="none"/>
        </w:rPr>
        <w:instrText xml:space="preserve"> PAGEREF _Toc2707 \h </w:instrText>
      </w:r>
      <w:r>
        <w:rPr>
          <w:color w:val="auto"/>
          <w:highlight w:val="none"/>
        </w:rPr>
        <w:fldChar w:fldCharType="separate"/>
      </w:r>
      <w:r>
        <w:rPr>
          <w:color w:val="auto"/>
          <w:highlight w:val="none"/>
        </w:rPr>
        <w:t>61</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_Toc25225 </w:instrText>
      </w:r>
      <w:r>
        <w:rPr>
          <w:rFonts w:hAnsi="宋体"/>
          <w:bCs w:val="0"/>
          <w:color w:val="auto"/>
          <w:szCs w:val="28"/>
          <w:highlight w:val="none"/>
        </w:rPr>
        <w:fldChar w:fldCharType="separate"/>
      </w:r>
      <w:r>
        <w:rPr>
          <w:rFonts w:hint="eastAsia" w:ascii="宋体" w:hAnsi="宋体" w:cs="宋体"/>
          <w:bCs/>
          <w:color w:val="auto"/>
          <w:szCs w:val="32"/>
          <w:highlight w:val="none"/>
        </w:rPr>
        <w:t>附件1：</w:t>
      </w:r>
      <w:r>
        <w:rPr>
          <w:color w:val="auto"/>
          <w:highlight w:val="none"/>
        </w:rPr>
        <w:tab/>
      </w:r>
      <w:r>
        <w:rPr>
          <w:color w:val="auto"/>
          <w:highlight w:val="none"/>
        </w:rPr>
        <w:fldChar w:fldCharType="begin"/>
      </w:r>
      <w:r>
        <w:rPr>
          <w:color w:val="auto"/>
          <w:highlight w:val="none"/>
        </w:rPr>
        <w:instrText xml:space="preserve"> PAGEREF _Toc25225 \h </w:instrText>
      </w:r>
      <w:r>
        <w:rPr>
          <w:color w:val="auto"/>
          <w:highlight w:val="none"/>
        </w:rPr>
        <w:fldChar w:fldCharType="separate"/>
      </w:r>
      <w:r>
        <w:rPr>
          <w:color w:val="auto"/>
          <w:highlight w:val="none"/>
        </w:rPr>
        <w:t>62</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_Toc16729 </w:instrText>
      </w:r>
      <w:r>
        <w:rPr>
          <w:rFonts w:hAnsi="宋体"/>
          <w:bCs w:val="0"/>
          <w:color w:val="auto"/>
          <w:szCs w:val="28"/>
          <w:highlight w:val="none"/>
        </w:rPr>
        <w:fldChar w:fldCharType="separate"/>
      </w:r>
      <w:r>
        <w:rPr>
          <w:rFonts w:hint="eastAsia" w:ascii="宋体" w:hAnsi="宋体" w:cs="宋体"/>
          <w:bCs/>
          <w:color w:val="auto"/>
          <w:szCs w:val="32"/>
          <w:highlight w:val="none"/>
        </w:rPr>
        <w:t>株洲市政府采购合同线上融资流程</w:t>
      </w:r>
      <w:r>
        <w:rPr>
          <w:color w:val="auto"/>
          <w:highlight w:val="none"/>
        </w:rPr>
        <w:tab/>
      </w:r>
      <w:r>
        <w:rPr>
          <w:color w:val="auto"/>
          <w:highlight w:val="none"/>
        </w:rPr>
        <w:fldChar w:fldCharType="begin"/>
      </w:r>
      <w:r>
        <w:rPr>
          <w:color w:val="auto"/>
          <w:highlight w:val="none"/>
        </w:rPr>
        <w:instrText xml:space="preserve"> PAGEREF _Toc16729 \h </w:instrText>
      </w:r>
      <w:r>
        <w:rPr>
          <w:color w:val="auto"/>
          <w:highlight w:val="none"/>
        </w:rPr>
        <w:fldChar w:fldCharType="separate"/>
      </w:r>
      <w:r>
        <w:rPr>
          <w:color w:val="auto"/>
          <w:highlight w:val="none"/>
        </w:rPr>
        <w:t>62</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_Toc22592 </w:instrText>
      </w:r>
      <w:r>
        <w:rPr>
          <w:rFonts w:hAnsi="宋体"/>
          <w:bCs w:val="0"/>
          <w:color w:val="auto"/>
          <w:szCs w:val="28"/>
          <w:highlight w:val="none"/>
        </w:rPr>
        <w:fldChar w:fldCharType="separate"/>
      </w:r>
      <w:r>
        <w:rPr>
          <w:rFonts w:hint="eastAsia"/>
          <w:bCs/>
          <w:color w:val="auto"/>
          <w:szCs w:val="22"/>
          <w:highlight w:val="none"/>
        </w:rPr>
        <w:t>附件2:</w:t>
      </w:r>
      <w:r>
        <w:rPr>
          <w:color w:val="auto"/>
          <w:highlight w:val="none"/>
        </w:rPr>
        <w:tab/>
      </w:r>
      <w:r>
        <w:rPr>
          <w:color w:val="auto"/>
          <w:highlight w:val="none"/>
        </w:rPr>
        <w:fldChar w:fldCharType="begin"/>
      </w:r>
      <w:r>
        <w:rPr>
          <w:color w:val="auto"/>
          <w:highlight w:val="none"/>
        </w:rPr>
        <w:instrText xml:space="preserve"> PAGEREF _Toc22592 \h </w:instrText>
      </w:r>
      <w:r>
        <w:rPr>
          <w:color w:val="auto"/>
          <w:highlight w:val="none"/>
        </w:rPr>
        <w:fldChar w:fldCharType="separate"/>
      </w:r>
      <w:r>
        <w:rPr>
          <w:color w:val="auto"/>
          <w:highlight w:val="none"/>
        </w:rPr>
        <w:t>64</w:t>
      </w:r>
      <w:r>
        <w:rPr>
          <w:color w:val="auto"/>
          <w:highlight w:val="none"/>
        </w:rPr>
        <w:fldChar w:fldCharType="end"/>
      </w:r>
      <w:r>
        <w:rPr>
          <w:rFonts w:hAnsi="宋体"/>
          <w:bCs w:val="0"/>
          <w:color w:val="auto"/>
          <w:szCs w:val="28"/>
          <w:highlight w:val="none"/>
        </w:rPr>
        <w:fldChar w:fldCharType="end"/>
      </w:r>
    </w:p>
    <w:p>
      <w:pPr>
        <w:pStyle w:val="25"/>
        <w:tabs>
          <w:tab w:val="right" w:leader="dot" w:pos="8844"/>
        </w:tabs>
        <w:rPr>
          <w:color w:val="auto"/>
          <w:highlight w:val="none"/>
        </w:rPr>
      </w:pPr>
      <w:r>
        <w:rPr>
          <w:rFonts w:hAnsi="宋体"/>
          <w:bCs w:val="0"/>
          <w:color w:val="auto"/>
          <w:szCs w:val="28"/>
          <w:highlight w:val="none"/>
        </w:rPr>
        <w:fldChar w:fldCharType="begin"/>
      </w:r>
      <w:r>
        <w:rPr>
          <w:rFonts w:hAnsi="宋体"/>
          <w:bCs w:val="0"/>
          <w:color w:val="auto"/>
          <w:szCs w:val="28"/>
          <w:highlight w:val="none"/>
        </w:rPr>
        <w:instrText xml:space="preserve"> HYPERLINK \l _Toc822 </w:instrText>
      </w:r>
      <w:r>
        <w:rPr>
          <w:rFonts w:hAnsi="宋体"/>
          <w:bCs w:val="0"/>
          <w:color w:val="auto"/>
          <w:szCs w:val="28"/>
          <w:highlight w:val="none"/>
        </w:rPr>
        <w:fldChar w:fldCharType="separate"/>
      </w:r>
      <w:r>
        <w:rPr>
          <w:rFonts w:hint="eastAsia" w:ascii="宋体" w:hAnsi="宋体" w:cs="宋体"/>
          <w:bCs/>
          <w:color w:val="auto"/>
          <w:szCs w:val="32"/>
          <w:highlight w:val="none"/>
        </w:rPr>
        <w:t>株洲市政府采购合同线上融资业务办理银行联系表</w:t>
      </w:r>
      <w:r>
        <w:rPr>
          <w:color w:val="auto"/>
          <w:highlight w:val="none"/>
        </w:rPr>
        <w:tab/>
      </w:r>
      <w:r>
        <w:rPr>
          <w:color w:val="auto"/>
          <w:highlight w:val="none"/>
        </w:rPr>
        <w:fldChar w:fldCharType="begin"/>
      </w:r>
      <w:r>
        <w:rPr>
          <w:color w:val="auto"/>
          <w:highlight w:val="none"/>
        </w:rPr>
        <w:instrText xml:space="preserve"> PAGEREF _Toc822 \h </w:instrText>
      </w:r>
      <w:r>
        <w:rPr>
          <w:color w:val="auto"/>
          <w:highlight w:val="none"/>
        </w:rPr>
        <w:fldChar w:fldCharType="separate"/>
      </w:r>
      <w:r>
        <w:rPr>
          <w:color w:val="auto"/>
          <w:highlight w:val="none"/>
        </w:rPr>
        <w:t>64</w:t>
      </w:r>
      <w:r>
        <w:rPr>
          <w:color w:val="auto"/>
          <w:highlight w:val="none"/>
        </w:rPr>
        <w:fldChar w:fldCharType="end"/>
      </w:r>
      <w:r>
        <w:rPr>
          <w:rFonts w:hAnsi="宋体"/>
          <w:bCs w:val="0"/>
          <w:color w:val="auto"/>
          <w:szCs w:val="28"/>
          <w:highlight w:val="none"/>
        </w:rPr>
        <w:fldChar w:fldCharType="end"/>
      </w:r>
    </w:p>
    <w:p>
      <w:pPr>
        <w:pStyle w:val="3"/>
        <w:pageBreakBefore w:val="0"/>
        <w:widowControl w:val="0"/>
        <w:kinsoku/>
        <w:wordWrap/>
        <w:overflowPunct/>
        <w:topLinePunct w:val="0"/>
        <w:autoSpaceDE/>
        <w:autoSpaceDN/>
        <w:bidi w:val="0"/>
        <w:adjustRightInd/>
        <w:snapToGrid/>
        <w:spacing w:line="360" w:lineRule="auto"/>
        <w:textAlignment w:val="auto"/>
        <w:rPr>
          <w:rFonts w:hAnsi="宋体"/>
          <w:bCs w:val="0"/>
          <w:color w:val="auto"/>
          <w:szCs w:val="28"/>
          <w:highlight w:val="none"/>
        </w:rPr>
        <w:sectPr>
          <w:footerReference r:id="rId5" w:type="default"/>
          <w:pgSz w:w="11906" w:h="16838"/>
          <w:pgMar w:top="1474" w:right="1474" w:bottom="1474" w:left="1588" w:header="851" w:footer="992" w:gutter="0"/>
          <w:pgNumType w:start="1"/>
          <w:cols w:space="720" w:num="1"/>
          <w:docGrid w:type="lines" w:linePitch="312" w:charSpace="0"/>
        </w:sectPr>
      </w:pPr>
      <w:r>
        <w:rPr>
          <w:rFonts w:hAnsi="宋体"/>
          <w:bCs w:val="0"/>
          <w:color w:val="auto"/>
          <w:szCs w:val="28"/>
          <w:highlight w:val="none"/>
        </w:rPr>
        <w:fldChar w:fldCharType="end"/>
      </w:r>
      <w:bookmarkStart w:id="0" w:name="_Toc31035"/>
    </w:p>
    <w:p>
      <w:pPr>
        <w:pStyle w:val="3"/>
        <w:pageBreakBefore w:val="0"/>
        <w:widowControl w:val="0"/>
        <w:kinsoku/>
        <w:wordWrap/>
        <w:overflowPunct/>
        <w:topLinePunct w:val="0"/>
        <w:autoSpaceDE/>
        <w:autoSpaceDN/>
        <w:bidi w:val="0"/>
        <w:adjustRightInd/>
        <w:snapToGrid/>
        <w:spacing w:line="360" w:lineRule="auto"/>
        <w:textAlignment w:val="auto"/>
        <w:rPr>
          <w:rFonts w:ascii="黑体" w:hAnsi="黑体" w:eastAsia="黑体"/>
          <w:color w:val="auto"/>
          <w:sz w:val="32"/>
          <w:szCs w:val="32"/>
          <w:highlight w:val="none"/>
        </w:rPr>
      </w:pPr>
      <w:r>
        <w:rPr>
          <w:rFonts w:hint="eastAsia" w:ascii="黑体" w:hAnsi="黑体" w:eastAsia="黑体"/>
          <w:color w:val="auto"/>
          <w:sz w:val="32"/>
          <w:szCs w:val="32"/>
          <w:highlight w:val="none"/>
        </w:rPr>
        <w:t>第一章 谈判邀请</w:t>
      </w:r>
      <w:bookmarkEnd w:id="0"/>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___________________________(被邀请供应商名称)：</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u w:val="single"/>
          <w:lang w:eastAsia="zh-CN"/>
        </w:rPr>
        <w:t xml:space="preserve">株洲市三三一医院 </w:t>
      </w:r>
      <w:r>
        <w:rPr>
          <w:rFonts w:hint="eastAsia" w:ascii="宋体" w:hAnsi="宋体"/>
          <w:color w:val="auto"/>
          <w:szCs w:val="21"/>
          <w:highlight w:val="none"/>
        </w:rPr>
        <w:t>（采购人名称）的</w:t>
      </w:r>
      <w:r>
        <w:rPr>
          <w:rFonts w:hint="eastAsia" w:ascii="宋体" w:hAnsi="宋体"/>
          <w:color w:val="auto"/>
          <w:szCs w:val="21"/>
          <w:highlight w:val="none"/>
          <w:u w:val="single"/>
          <w:lang w:eastAsia="zh-CN"/>
        </w:rPr>
        <w:t>株洲市三三一医院脊柱外科设备一批采购项目</w:t>
      </w:r>
      <w:r>
        <w:rPr>
          <w:rFonts w:hint="eastAsia" w:ascii="宋体" w:hAnsi="宋体"/>
          <w:color w:val="auto"/>
          <w:szCs w:val="21"/>
          <w:highlight w:val="none"/>
        </w:rPr>
        <w:t>(项目名称)进行竞争性谈判采购，邀请你单位参加谈判采购活动。</w:t>
      </w:r>
    </w:p>
    <w:p>
      <w:pPr>
        <w:pStyle w:val="4"/>
        <w:pageBreakBefore w:val="0"/>
        <w:widowControl w:val="0"/>
        <w:kinsoku/>
        <w:wordWrap/>
        <w:overflowPunct/>
        <w:topLinePunct w:val="0"/>
        <w:autoSpaceDE/>
        <w:autoSpaceDN/>
        <w:bidi w:val="0"/>
        <w:adjustRightInd/>
        <w:snapToGrid/>
        <w:textAlignment w:val="auto"/>
        <w:rPr>
          <w:rFonts w:ascii="宋体" w:hAnsi="宋体" w:cs="宋体"/>
          <w:color w:val="auto"/>
          <w:highlight w:val="none"/>
        </w:rPr>
      </w:pPr>
      <w:bookmarkStart w:id="1" w:name="_Toc22201055"/>
      <w:bookmarkStart w:id="2" w:name="_Toc31536"/>
      <w:r>
        <w:rPr>
          <w:rFonts w:hint="eastAsia" w:ascii="宋体" w:hAnsi="宋体" w:cs="宋体"/>
          <w:color w:val="auto"/>
          <w:highlight w:val="none"/>
        </w:rPr>
        <w:t>一、采购项目名称、编号</w:t>
      </w:r>
      <w:bookmarkEnd w:id="1"/>
      <w:bookmarkEnd w:id="2"/>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1、采购项目名称：</w:t>
      </w:r>
      <w:r>
        <w:rPr>
          <w:rFonts w:hint="eastAsia" w:ascii="宋体" w:hAnsi="宋体"/>
          <w:color w:val="auto"/>
          <w:szCs w:val="21"/>
          <w:highlight w:val="none"/>
          <w:u w:val="single"/>
          <w:lang w:eastAsia="zh-CN"/>
        </w:rPr>
        <w:t>株洲市三三一医院脊柱外科设备一批采购项目</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olor w:val="auto"/>
          <w:szCs w:val="21"/>
          <w:highlight w:val="none"/>
          <w:u w:val="single"/>
          <w:lang w:eastAsia="zh-CN"/>
        </w:rPr>
      </w:pPr>
      <w:r>
        <w:rPr>
          <w:rFonts w:hint="eastAsia" w:ascii="宋体" w:hAnsi="宋体"/>
          <w:color w:val="auto"/>
          <w:szCs w:val="21"/>
          <w:highlight w:val="none"/>
        </w:rPr>
        <w:t>2、政府采购编号：</w:t>
      </w:r>
      <w:r>
        <w:rPr>
          <w:rFonts w:hint="eastAsia" w:ascii="宋体" w:hAnsi="宋体"/>
          <w:color w:val="auto"/>
          <w:szCs w:val="21"/>
          <w:highlight w:val="none"/>
          <w:u w:val="single"/>
          <w:lang w:eastAsia="zh-CN"/>
        </w:rPr>
        <w:t>(2026)430200000077-1</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i/>
          <w:color w:val="auto"/>
          <w:szCs w:val="21"/>
          <w:highlight w:val="none"/>
          <w:lang w:val="en-US" w:eastAsia="zh-CN"/>
        </w:rPr>
      </w:pPr>
      <w:r>
        <w:rPr>
          <w:rFonts w:hint="eastAsia" w:ascii="宋体" w:hAnsi="宋体"/>
          <w:color w:val="auto"/>
          <w:szCs w:val="21"/>
          <w:highlight w:val="none"/>
        </w:rPr>
        <w:t>3、</w:t>
      </w:r>
      <w:r>
        <w:rPr>
          <w:rFonts w:hint="eastAsia" w:ascii="宋体" w:hAnsi="宋体"/>
          <w:color w:val="auto"/>
          <w:szCs w:val="21"/>
          <w:highlight w:val="none"/>
          <w:lang w:val="en-US" w:eastAsia="zh-CN"/>
        </w:rPr>
        <w:t>委托</w:t>
      </w:r>
      <w:r>
        <w:rPr>
          <w:rFonts w:hint="eastAsia" w:ascii="宋体" w:hAnsi="宋体"/>
          <w:color w:val="auto"/>
          <w:szCs w:val="21"/>
          <w:highlight w:val="none"/>
        </w:rPr>
        <w:t>代理编号：</w:t>
      </w:r>
      <w:r>
        <w:rPr>
          <w:rFonts w:hint="eastAsia" w:ascii="宋体" w:hAnsi="宋体"/>
          <w:color w:val="auto"/>
          <w:szCs w:val="21"/>
          <w:highlight w:val="none"/>
          <w:u w:val="single"/>
          <w:lang w:val="en-US" w:eastAsia="zh-CN"/>
        </w:rPr>
        <w:t xml:space="preserve">HNZZ-ZF-20261034  </w:t>
      </w:r>
    </w:p>
    <w:p>
      <w:pPr>
        <w:pStyle w:val="4"/>
        <w:pageBreakBefore w:val="0"/>
        <w:widowControl w:val="0"/>
        <w:kinsoku/>
        <w:wordWrap/>
        <w:overflowPunct/>
        <w:topLinePunct w:val="0"/>
        <w:autoSpaceDE/>
        <w:autoSpaceDN/>
        <w:bidi w:val="0"/>
        <w:adjustRightInd/>
        <w:snapToGrid/>
        <w:textAlignment w:val="auto"/>
        <w:rPr>
          <w:rFonts w:ascii="宋体" w:hAnsi="宋体" w:cs="宋体"/>
          <w:color w:val="auto"/>
          <w:highlight w:val="none"/>
        </w:rPr>
      </w:pPr>
      <w:bookmarkStart w:id="3" w:name="_Toc22201056"/>
      <w:bookmarkStart w:id="4" w:name="_Toc4103"/>
      <w:r>
        <w:rPr>
          <w:rFonts w:hint="eastAsia" w:ascii="宋体" w:hAnsi="宋体" w:cs="宋体"/>
          <w:color w:val="auto"/>
          <w:highlight w:val="none"/>
        </w:rPr>
        <w:t>二、采购人的采购需求</w:t>
      </w:r>
      <w:bookmarkEnd w:id="3"/>
      <w:bookmarkEnd w:id="4"/>
    </w:p>
    <w:tbl>
      <w:tblPr>
        <w:tblStyle w:val="47"/>
        <w:tblW w:w="5309" w:type="pct"/>
        <w:tblCellSpacing w:w="0" w:type="dxa"/>
        <w:tblInd w:w="-4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35"/>
        <w:gridCol w:w="2184"/>
        <w:gridCol w:w="1357"/>
        <w:gridCol w:w="810"/>
        <w:gridCol w:w="1197"/>
        <w:gridCol w:w="1104"/>
        <w:gridCol w:w="1036"/>
        <w:gridCol w:w="9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00" w:hRule="atLeast"/>
          <w:tblCellSpacing w:w="0" w:type="dxa"/>
        </w:trPr>
        <w:tc>
          <w:tcPr>
            <w:tcW w:w="86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包名称</w:t>
            </w:r>
          </w:p>
        </w:tc>
        <w:tc>
          <w:tcPr>
            <w:tcW w:w="22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标的名称</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简要技术要求</w:t>
            </w:r>
          </w:p>
        </w:tc>
        <w:tc>
          <w:tcPr>
            <w:tcW w:w="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数量</w:t>
            </w:r>
          </w:p>
        </w:tc>
        <w:tc>
          <w:tcPr>
            <w:tcW w:w="12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最高限价（元）</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标的预算    （元）</w:t>
            </w:r>
          </w:p>
        </w:tc>
        <w:tc>
          <w:tcPr>
            <w:tcW w:w="106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节能产品</w:t>
            </w:r>
          </w:p>
        </w:tc>
        <w:tc>
          <w:tcPr>
            <w:tcW w:w="96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进口产品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tblCellSpacing w:w="0" w:type="dxa"/>
        </w:trPr>
        <w:tc>
          <w:tcPr>
            <w:tcW w:w="86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包</w:t>
            </w:r>
            <w:r>
              <w:rPr>
                <w:rFonts w:hint="eastAsia" w:ascii="宋体" w:hAnsi="宋体" w:cs="宋体"/>
                <w:color w:val="auto"/>
                <w:kern w:val="0"/>
                <w:sz w:val="21"/>
                <w:szCs w:val="21"/>
                <w:highlight w:val="none"/>
                <w:lang w:val="en-US" w:eastAsia="zh-CN" w:bidi="ar"/>
              </w:rPr>
              <w:t>1</w:t>
            </w:r>
          </w:p>
        </w:tc>
        <w:tc>
          <w:tcPr>
            <w:tcW w:w="22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脊柱UBE手术器械系统</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套</w:t>
            </w:r>
          </w:p>
        </w:tc>
        <w:tc>
          <w:tcPr>
            <w:tcW w:w="12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730000</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730000</w:t>
            </w:r>
          </w:p>
        </w:tc>
        <w:tc>
          <w:tcPr>
            <w:tcW w:w="106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c>
          <w:tcPr>
            <w:tcW w:w="96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tblCellSpacing w:w="0" w:type="dxa"/>
        </w:trPr>
        <w:tc>
          <w:tcPr>
            <w:tcW w:w="862"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p>
        </w:tc>
        <w:tc>
          <w:tcPr>
            <w:tcW w:w="2254" w:type="dxa"/>
            <w:tcBorders>
              <w:bottom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电生理参数监测仪</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836"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套</w:t>
            </w:r>
          </w:p>
        </w:tc>
        <w:tc>
          <w:tcPr>
            <w:tcW w:w="1235"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260000</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260000</w:t>
            </w:r>
          </w:p>
        </w:tc>
        <w:tc>
          <w:tcPr>
            <w:tcW w:w="1069"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c>
          <w:tcPr>
            <w:tcW w:w="9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r>
    </w:tbl>
    <w:p>
      <w:pPr>
        <w:pageBreakBefore w:val="0"/>
        <w:widowControl w:val="0"/>
        <w:kinsoku/>
        <w:wordWrap/>
        <w:overflowPunct/>
        <w:topLinePunct w:val="0"/>
        <w:autoSpaceDE/>
        <w:autoSpaceDN/>
        <w:bidi w:val="0"/>
        <w:adjustRightInd/>
        <w:snapToGrid/>
        <w:spacing w:line="360" w:lineRule="auto"/>
        <w:textAlignment w:val="auto"/>
        <w:rPr>
          <w:rFonts w:ascii="宋体" w:hAnsi="宋体"/>
          <w:b/>
          <w:color w:val="auto"/>
          <w:szCs w:val="21"/>
          <w:highlight w:val="none"/>
        </w:rPr>
      </w:pPr>
      <w:r>
        <w:rPr>
          <w:rFonts w:hint="eastAsia" w:ascii="宋体" w:hAnsi="宋体"/>
          <w:color w:val="auto"/>
          <w:szCs w:val="21"/>
          <w:highlight w:val="none"/>
          <w:lang w:val="en-US" w:eastAsia="zh-CN"/>
        </w:rPr>
        <w:t>三、</w:t>
      </w:r>
      <w:r>
        <w:rPr>
          <w:rFonts w:hint="eastAsia" w:ascii="宋体" w:hAnsi="宋体"/>
          <w:b/>
          <w:color w:val="auto"/>
          <w:szCs w:val="21"/>
          <w:highlight w:val="none"/>
        </w:rPr>
        <w:t>采购项目需要落实的政府采购政策</w:t>
      </w:r>
      <w:r>
        <w:rPr>
          <w:rFonts w:hint="eastAsia" w:ascii="宋体" w:hAnsi="宋体"/>
          <w:color w:val="auto"/>
          <w:szCs w:val="21"/>
          <w:highlight w:val="none"/>
        </w:rPr>
        <w:t>：</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Cs w:val="21"/>
          <w:highlight w:val="none"/>
        </w:rPr>
      </w:pPr>
      <w:bookmarkStart w:id="5" w:name="_Toc22201057"/>
      <w:bookmarkStart w:id="6" w:name="_Toc20180"/>
      <w:r>
        <w:rPr>
          <w:rFonts w:hint="eastAsia" w:ascii="宋体" w:hAnsi="宋体" w:cs="宋体"/>
          <w:color w:val="auto"/>
          <w:highlight w:val="none"/>
          <w:lang w:val="en-US" w:eastAsia="zh-CN"/>
        </w:rPr>
        <w:t>1</w:t>
      </w:r>
      <w:r>
        <w:rPr>
          <w:rFonts w:hint="eastAsia" w:ascii="宋体" w:hAnsi="宋体"/>
          <w:color w:val="auto"/>
          <w:szCs w:val="21"/>
          <w:highlight w:val="none"/>
          <w:lang w:val="en-US" w:eastAsia="zh-CN"/>
        </w:rPr>
        <w:t>、优先采购：节能产品、环境标志产品享受加分或价格折扣。</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2、支持中小企业：中小企业享受预留采购份额或价格折扣。</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r>
        <w:rPr>
          <w:rFonts w:hint="eastAsia" w:ascii="宋体" w:hAnsi="宋体" w:cs="宋体"/>
          <w:color w:val="auto"/>
          <w:highlight w:val="none"/>
          <w:lang w:val="en-US" w:eastAsia="zh-CN"/>
        </w:rPr>
        <w:t>四</w:t>
      </w:r>
      <w:r>
        <w:rPr>
          <w:rFonts w:hint="eastAsia" w:ascii="宋体" w:hAnsi="宋体" w:cs="宋体"/>
          <w:color w:val="auto"/>
          <w:highlight w:val="none"/>
        </w:rPr>
        <w:t>、供应商的资格要求</w:t>
      </w:r>
      <w:bookmarkEnd w:id="5"/>
      <w:bookmarkEnd w:id="6"/>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1、供应商的基本资格条件：供应商必须是在中华人民共和国境内注册登记的法人、其他组织或者自然人，且应当符合《政府采购法》第二十二条第一款的规定，即：</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（1）具有独立承担民事责任的能力；</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（2）具有良好的商业信誉和健全的财务会计制度；</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（3）具有履行合同所必需的设备和专业技术能力；</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（4）有依法缴纳税收和社会保障资金的良好记录；</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（5）参加政府采购活动前三年内，在经营活动中没有重大违法记录；</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（6）法律、行政法规规定的其他条件。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2、采购项目的特定资格条件：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Times New Roman"/>
          <w:color w:val="auto"/>
          <w:szCs w:val="21"/>
          <w:highlight w:val="none"/>
        </w:rPr>
      </w:pPr>
      <w:r>
        <w:rPr>
          <w:rFonts w:hint="eastAsia" w:ascii="宋体" w:hAnsi="宋体" w:cs="宋体"/>
          <w:color w:val="auto"/>
          <w:kern w:val="0"/>
          <w:szCs w:val="21"/>
          <w:highlight w:val="none"/>
          <w:lang w:val="en-US" w:eastAsia="zh-CN"/>
        </w:rPr>
        <w:t>（1）</w:t>
      </w:r>
      <w:r>
        <w:rPr>
          <w:rFonts w:hint="eastAsia" w:ascii="宋体" w:hAnsi="宋体" w:cs="Times New Roman"/>
          <w:color w:val="auto"/>
          <w:szCs w:val="21"/>
          <w:highlight w:val="none"/>
          <w:lang w:val="en-US" w:eastAsia="zh-CN"/>
        </w:rPr>
        <w:t>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r>
        <w:rPr>
          <w:rFonts w:hint="eastAsia" w:ascii="宋体" w:hAnsi="宋体" w:cs="Times New Roman"/>
          <w:color w:val="auto"/>
          <w:szCs w:val="21"/>
          <w:highlight w:val="none"/>
        </w:rPr>
        <w:t>。</w:t>
      </w:r>
    </w:p>
    <w:p>
      <w:pPr>
        <w:keepNext w:val="0"/>
        <w:keepLines w:val="0"/>
        <w:widowControl/>
        <w:suppressLineNumbers w:val="0"/>
        <w:spacing w:before="75" w:beforeAutospacing="0" w:line="420" w:lineRule="atLeast"/>
        <w:ind w:firstLine="420" w:firstLineChars="200"/>
        <w:jc w:val="left"/>
        <w:rPr>
          <w:rFonts w:hint="eastAsia" w:ascii="宋体" w:hAnsi="宋体"/>
          <w:color w:val="auto"/>
          <w:szCs w:val="21"/>
          <w:highlight w:val="none"/>
          <w:lang w:val="en-US" w:eastAsia="zh-CN"/>
        </w:rPr>
      </w:pPr>
      <w:r>
        <w:rPr>
          <w:rFonts w:hint="eastAsia" w:ascii="宋体" w:hAnsi="宋体" w:cs="宋体"/>
          <w:color w:val="auto"/>
          <w:kern w:val="0"/>
          <w:szCs w:val="21"/>
          <w:highlight w:val="none"/>
          <w:lang w:val="en-US" w:eastAsia="zh-CN"/>
        </w:rPr>
        <w:t>（2）</w:t>
      </w:r>
      <w:r>
        <w:rPr>
          <w:rFonts w:hint="eastAsia" w:ascii="宋体" w:hAnsi="宋体"/>
          <w:color w:val="auto"/>
          <w:szCs w:val="21"/>
          <w:highlight w:val="none"/>
          <w:lang w:val="en-US" w:eastAsia="zh-CN"/>
        </w:rPr>
        <w:t>所投设备若纳入中华人民共和国医疗器械监督管理的，第一类医疗器械必须具备食品药品监督管理部门颁发的医疗器械备案凭证；第二、三类医疗器械必须具备食品药品监督管理部门颁发的医疗器械注册证。</w:t>
      </w:r>
    </w:p>
    <w:p>
      <w:pPr>
        <w:keepNext w:val="0"/>
        <w:keepLines w:val="0"/>
        <w:widowControl/>
        <w:suppressLineNumbers w:val="0"/>
        <w:spacing w:before="75" w:beforeAutospacing="0" w:line="420" w:lineRule="atLeas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（3）所投第二（三）类医疗器械不是自行生产，必须具备食品药品监督管理部门颁发的相应医疗器械经营备案凭证（医疗器械经营许可证）。</w:t>
      </w:r>
    </w:p>
    <w:p>
      <w:pPr>
        <w:pStyle w:val="2"/>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（4）所投医疗器械均为自行生产的，必须具备食品药品监督管理部门颁发的相应医疗器械生产备案凭证（医疗器械生产许可证）。</w:t>
      </w:r>
    </w:p>
    <w:p>
      <w:pPr>
        <w:pStyle w:val="39"/>
        <w:numPr>
          <w:ilvl w:val="0"/>
          <w:numId w:val="0"/>
        </w:numPr>
        <w:spacing w:line="360" w:lineRule="auto"/>
        <w:ind w:firstLine="420" w:firstLineChars="200"/>
        <w:rPr>
          <w:rFonts w:hint="default" w:ascii="宋体" w:hAnsi="宋体"/>
          <w:color w:val="auto"/>
          <w:szCs w:val="21"/>
          <w:highlight w:val="none"/>
          <w:lang w:val="en-US" w:eastAsia="zh-CN"/>
        </w:rPr>
      </w:pPr>
      <w:r>
        <w:rPr>
          <w:rFonts w:hint="default" w:ascii="宋体" w:hAnsi="宋体"/>
          <w:color w:val="auto"/>
          <w:szCs w:val="21"/>
          <w:highlight w:val="none"/>
          <w:lang w:val="en-US" w:eastAsia="zh-CN"/>
        </w:rPr>
        <w:t>（5）本项目为专门面向中小企业采购，所属行业为“工业”，中小微企规模认定按照《中小企业划型标准规定》（工信部联企业〔2011〕300号）执行，供应商须提供《中小企业声明函（货物）》</w:t>
      </w:r>
      <w:r>
        <w:rPr>
          <w:rFonts w:hint="eastAsia" w:ascii="宋体" w:hAnsi="宋体"/>
          <w:color w:val="auto"/>
          <w:szCs w:val="21"/>
          <w:highlight w:val="none"/>
          <w:lang w:val="en-US" w:eastAsia="zh-CN"/>
        </w:rPr>
        <w:t>。</w:t>
      </w:r>
    </w:p>
    <w:p>
      <w:pPr>
        <w:pStyle w:val="39"/>
        <w:numPr>
          <w:ilvl w:val="0"/>
          <w:numId w:val="0"/>
        </w:numPr>
        <w:spacing w:line="360" w:lineRule="auto"/>
        <w:ind w:firstLine="420" w:firstLineChars="20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（6）供应商须提供《湖南省政府采购资格承诺函》。</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3、单位负责人为同一人或者存在直接控股、管理关系的不同投标人，不得参加同一合同项下的政府采购活动。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4、为本采购项目提供整体设计、规范编制或者项目管理、监理、检测等服务的，不得再参加此项目的其他政府采购活动。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5、列入失信被执行人、重大税收违法案件当事人名单，列入政府采购严重违法失信行为记录名单的，拒绝其参与政府采购活动。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6、联合体。本次采购不接受联合体形式。接受联合体形式的，联合体应当具备下列条件：</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bookmarkStart w:id="7" w:name="_Toc29221"/>
      <w:r>
        <w:rPr>
          <w:rFonts w:hint="eastAsia" w:ascii="宋体" w:hAnsi="宋体" w:cs="宋体"/>
          <w:color w:val="auto"/>
          <w:highlight w:val="none"/>
          <w:lang w:val="en-US" w:eastAsia="zh-CN"/>
        </w:rPr>
        <w:t>五</w:t>
      </w:r>
      <w:r>
        <w:rPr>
          <w:rFonts w:hint="eastAsia" w:ascii="宋体" w:hAnsi="宋体" w:cs="宋体"/>
          <w:color w:val="auto"/>
          <w:highlight w:val="none"/>
        </w:rPr>
        <w:t>、供应商应提交的证明材料及说明</w:t>
      </w:r>
      <w:bookmarkEnd w:id="7"/>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1、供应商应按下列规定提供资格证明文件。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（2）供应商资格声明(格式) 原件；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（3）符合特定资格条件证明材料复印件或者情况说明原件；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（4）联合体协议书（格式）原件（申请人为联合体形式的提供）；</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（5）其他说明；</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ascii="宋体" w:hAnsi="宋体"/>
          <w:color w:val="auto"/>
          <w:szCs w:val="21"/>
          <w:highlight w:val="none"/>
        </w:rPr>
        <w:t>2、供应商为联合体形式的，除应提交联合协议(格式)外，参加联合体的各方均应提交上款资格证明材料。</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3、单位负责人为同一人或者存在直接控股、管理关系的不同供应商，不得参加同一合同项下的政府采购活动。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4、为本采购项目提供整体设计、规范编制或者项目管理、监理、检测等服务的，不得再参加此项目的其他采购活动。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5、列入失信被执行人、重大税收违法案件当事人名单，列入政府采购严重违法失信行为记录名单的，拒绝其参与政府采购活动。</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6、供应商为联合体形式的。本次谈判采购</w:t>
      </w:r>
      <w:r>
        <w:rPr>
          <w:rFonts w:hint="eastAsia" w:ascii="宋体" w:hAnsi="宋体"/>
          <w:color w:val="auto"/>
          <w:szCs w:val="21"/>
          <w:highlight w:val="none"/>
          <w:u w:val="single"/>
        </w:rPr>
        <w:t xml:space="preserve"> 不接受 </w:t>
      </w:r>
      <w:r>
        <w:rPr>
          <w:rFonts w:hint="eastAsia" w:ascii="宋体" w:hAnsi="宋体"/>
          <w:color w:val="auto"/>
          <w:szCs w:val="21"/>
          <w:highlight w:val="none"/>
        </w:rPr>
        <w:t>供应商为联合体形式。接受联合体形式的，联合体应当具备下列条件：</w:t>
      </w:r>
      <w:r>
        <w:rPr>
          <w:rFonts w:ascii="宋体" w:hAnsi="宋体"/>
          <w:color w:val="auto"/>
          <w:szCs w:val="21"/>
          <w:highlight w:val="none"/>
          <w:u w:val="single"/>
        </w:rPr>
        <w:t>/</w:t>
      </w:r>
      <w:r>
        <w:rPr>
          <w:rFonts w:hint="eastAsia" w:ascii="宋体" w:hAnsi="宋体"/>
          <w:color w:val="auto"/>
          <w:szCs w:val="21"/>
          <w:highlight w:val="none"/>
        </w:rPr>
        <w:t>。</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bookmarkStart w:id="8" w:name="_Toc22201058"/>
      <w:bookmarkStart w:id="9" w:name="_Toc8692"/>
      <w:r>
        <w:rPr>
          <w:rFonts w:hint="eastAsia" w:ascii="宋体" w:hAnsi="宋体" w:cs="宋体"/>
          <w:color w:val="auto"/>
          <w:highlight w:val="none"/>
          <w:lang w:val="en-US" w:eastAsia="zh-CN"/>
        </w:rPr>
        <w:t>六</w:t>
      </w:r>
      <w:r>
        <w:rPr>
          <w:rFonts w:hint="eastAsia" w:ascii="宋体" w:hAnsi="宋体" w:cs="宋体"/>
          <w:color w:val="auto"/>
          <w:highlight w:val="none"/>
        </w:rPr>
        <w:t>、获取谈判文件的时间、地点及方式</w:t>
      </w:r>
      <w:bookmarkEnd w:id="8"/>
      <w:bookmarkEnd w:id="9"/>
    </w:p>
    <w:p>
      <w:pPr>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rFonts w:hint="eastAsia"/>
          <w:color w:val="auto"/>
          <w:highlight w:val="none"/>
        </w:rPr>
        <w:t>1、获本采购邀请供应商，请于</w:t>
      </w:r>
      <w:r>
        <w:rPr>
          <w:rFonts w:hint="eastAsia" w:ascii="宋体" w:hAnsi="宋体"/>
          <w:color w:val="auto"/>
          <w:szCs w:val="21"/>
          <w:highlight w:val="none"/>
          <w:u w:val="single"/>
          <w:lang w:val="en-US" w:eastAsia="zh-CN"/>
        </w:rPr>
        <w:t xml:space="preserve">2026年 10 月 20 日至2026年 10 月 23 </w:t>
      </w:r>
      <w:r>
        <w:rPr>
          <w:rFonts w:hint="eastAsia"/>
          <w:color w:val="auto"/>
          <w:highlight w:val="none"/>
        </w:rPr>
        <w:t>日，每日上午0</w:t>
      </w:r>
      <w:r>
        <w:rPr>
          <w:color w:val="auto"/>
          <w:highlight w:val="none"/>
        </w:rPr>
        <w:t>8</w:t>
      </w:r>
      <w:r>
        <w:rPr>
          <w:rFonts w:hint="eastAsia"/>
          <w:color w:val="auto"/>
          <w:highlight w:val="none"/>
        </w:rPr>
        <w:t>时3</w:t>
      </w:r>
      <w:r>
        <w:rPr>
          <w:color w:val="auto"/>
          <w:highlight w:val="none"/>
        </w:rPr>
        <w:t>0</w:t>
      </w:r>
      <w:r>
        <w:rPr>
          <w:rFonts w:hint="eastAsia"/>
          <w:color w:val="auto"/>
          <w:highlight w:val="none"/>
        </w:rPr>
        <w:t>至</w:t>
      </w:r>
      <w:r>
        <w:rPr>
          <w:color w:val="auto"/>
          <w:highlight w:val="none"/>
        </w:rPr>
        <w:t>12</w:t>
      </w:r>
      <w:r>
        <w:rPr>
          <w:rFonts w:hint="eastAsia"/>
          <w:color w:val="auto"/>
          <w:highlight w:val="none"/>
        </w:rPr>
        <w:t>时，下午</w:t>
      </w:r>
      <w:r>
        <w:rPr>
          <w:color w:val="auto"/>
          <w:highlight w:val="none"/>
        </w:rPr>
        <w:t>14</w:t>
      </w:r>
      <w:r>
        <w:rPr>
          <w:rFonts w:hint="eastAsia"/>
          <w:color w:val="auto"/>
          <w:highlight w:val="none"/>
        </w:rPr>
        <w:t>时至</w:t>
      </w:r>
      <w:r>
        <w:rPr>
          <w:color w:val="auto"/>
          <w:highlight w:val="none"/>
        </w:rPr>
        <w:t>17</w:t>
      </w:r>
      <w:r>
        <w:rPr>
          <w:rFonts w:hint="eastAsia"/>
          <w:color w:val="auto"/>
          <w:highlight w:val="none"/>
        </w:rPr>
        <w:t>时（北京时间），在</w:t>
      </w:r>
      <w:r>
        <w:rPr>
          <w:rFonts w:hint="eastAsia"/>
          <w:color w:val="auto"/>
          <w:highlight w:val="none"/>
          <w:u w:val="single"/>
          <w:lang w:eastAsia="zh-CN"/>
        </w:rPr>
        <w:t>湖南省中方项目管理有限公司</w:t>
      </w:r>
      <w:r>
        <w:rPr>
          <w:rFonts w:hint="eastAsia"/>
          <w:color w:val="auto"/>
          <w:highlight w:val="none"/>
          <w:u w:val="single"/>
        </w:rPr>
        <w:t>（地址：株洲市天元区庐山路69号庐山恋铭逸酒店21楼）</w:t>
      </w:r>
      <w:r>
        <w:rPr>
          <w:rFonts w:hint="eastAsia"/>
          <w:color w:val="auto"/>
          <w:highlight w:val="none"/>
        </w:rPr>
        <w:t>持本采购邀请获取谈判文件。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color w:val="auto"/>
          <w:highlight w:val="none"/>
        </w:rPr>
      </w:pPr>
      <w:r>
        <w:rPr>
          <w:color w:val="auto"/>
          <w:highlight w:val="none"/>
        </w:rPr>
        <w:t>2</w:t>
      </w:r>
      <w:r>
        <w:rPr>
          <w:rFonts w:hint="eastAsia"/>
          <w:color w:val="auto"/>
          <w:highlight w:val="none"/>
        </w:rPr>
        <w:t>、谈判文件每套售价</w:t>
      </w:r>
      <w:r>
        <w:rPr>
          <w:rFonts w:hint="eastAsia"/>
          <w:color w:val="auto"/>
          <w:highlight w:val="none"/>
          <w:u w:val="single"/>
        </w:rPr>
        <w:t>0</w:t>
      </w:r>
      <w:r>
        <w:rPr>
          <w:rFonts w:hint="eastAsia"/>
          <w:color w:val="auto"/>
          <w:highlight w:val="none"/>
        </w:rPr>
        <w:t>元，售后不退。</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bookmarkStart w:id="10" w:name="_Toc22201059"/>
      <w:bookmarkStart w:id="11" w:name="_Toc23150"/>
      <w:r>
        <w:rPr>
          <w:rFonts w:hint="eastAsia" w:ascii="宋体" w:hAnsi="宋体" w:cs="宋体"/>
          <w:color w:val="auto"/>
          <w:highlight w:val="none"/>
          <w:lang w:val="en-US" w:eastAsia="zh-CN"/>
        </w:rPr>
        <w:t>七</w:t>
      </w:r>
      <w:r>
        <w:rPr>
          <w:rFonts w:hint="eastAsia" w:ascii="宋体" w:hAnsi="宋体" w:cs="宋体"/>
          <w:color w:val="auto"/>
          <w:highlight w:val="none"/>
        </w:rPr>
        <w:t>、提交首次响应文件的截止时间、谈判时间及地点</w:t>
      </w:r>
      <w:bookmarkEnd w:id="10"/>
      <w:bookmarkEnd w:id="11"/>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1、提交首次响应文件的截止时间：</w:t>
      </w:r>
      <w:r>
        <w:rPr>
          <w:rFonts w:hint="eastAsia" w:ascii="宋体" w:hAnsi="宋体"/>
          <w:color w:val="auto"/>
          <w:szCs w:val="21"/>
          <w:highlight w:val="none"/>
          <w:u w:val="single"/>
          <w:lang w:eastAsia="zh-CN"/>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single"/>
          <w:lang w:eastAsia="zh-CN"/>
        </w:rPr>
        <w:t>年</w:t>
      </w:r>
      <w:r>
        <w:rPr>
          <w:rFonts w:hint="eastAsia" w:ascii="宋体" w:hAnsi="宋体"/>
          <w:color w:val="auto"/>
          <w:szCs w:val="21"/>
          <w:highlight w:val="none"/>
          <w:u w:val="single"/>
          <w:lang w:val="en-US" w:eastAsia="zh-CN"/>
        </w:rPr>
        <w:t xml:space="preserve"> 10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26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09 </w:t>
      </w:r>
      <w:r>
        <w:rPr>
          <w:rFonts w:hint="eastAsia" w:ascii="宋体" w:hAnsi="宋体"/>
          <w:color w:val="auto"/>
          <w:szCs w:val="21"/>
          <w:highlight w:val="none"/>
        </w:rPr>
        <w:t>时</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3</w:t>
      </w:r>
      <w:r>
        <w:rPr>
          <w:rFonts w:hint="eastAsia" w:ascii="宋体" w:hAnsi="宋体"/>
          <w:color w:val="auto"/>
          <w:szCs w:val="21"/>
          <w:highlight w:val="none"/>
          <w:u w:val="single"/>
        </w:rPr>
        <w:t xml:space="preserve">0 </w:t>
      </w:r>
      <w:r>
        <w:rPr>
          <w:rFonts w:hint="eastAsia" w:ascii="宋体" w:hAnsi="宋体"/>
          <w:color w:val="auto"/>
          <w:szCs w:val="21"/>
          <w:highlight w:val="none"/>
        </w:rPr>
        <w:t>分（北京时间）</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2、谈判时间：</w:t>
      </w:r>
      <w:r>
        <w:rPr>
          <w:rFonts w:hint="eastAsia" w:ascii="宋体" w:hAnsi="宋体"/>
          <w:color w:val="auto"/>
          <w:szCs w:val="21"/>
          <w:highlight w:val="none"/>
          <w:u w:val="single"/>
          <w:lang w:eastAsia="zh-CN"/>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none"/>
          <w:lang w:eastAsia="zh-CN"/>
        </w:rPr>
        <w:t>年</w:t>
      </w:r>
      <w:r>
        <w:rPr>
          <w:rFonts w:hint="eastAsia" w:ascii="宋体" w:hAnsi="宋体"/>
          <w:color w:val="auto"/>
          <w:szCs w:val="21"/>
          <w:highlight w:val="none"/>
          <w:u w:val="single"/>
          <w:lang w:val="en-US" w:eastAsia="zh-CN"/>
        </w:rPr>
        <w:t xml:space="preserve"> 10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26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09 </w:t>
      </w:r>
      <w:r>
        <w:rPr>
          <w:rFonts w:hint="eastAsia" w:ascii="宋体" w:hAnsi="宋体"/>
          <w:color w:val="auto"/>
          <w:szCs w:val="21"/>
          <w:highlight w:val="none"/>
        </w:rPr>
        <w:t>时</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3</w:t>
      </w:r>
      <w:r>
        <w:rPr>
          <w:rFonts w:hint="eastAsia" w:ascii="宋体" w:hAnsi="宋体"/>
          <w:color w:val="auto"/>
          <w:szCs w:val="21"/>
          <w:highlight w:val="none"/>
          <w:u w:val="single"/>
        </w:rPr>
        <w:t xml:space="preserve">0 </w:t>
      </w:r>
      <w:r>
        <w:rPr>
          <w:rFonts w:hint="eastAsia" w:ascii="宋体" w:hAnsi="宋体"/>
          <w:color w:val="auto"/>
          <w:szCs w:val="21"/>
          <w:highlight w:val="none"/>
        </w:rPr>
        <w:t>分（北京时间）。</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3、谈判地点：</w:t>
      </w:r>
      <w:r>
        <w:rPr>
          <w:rFonts w:hint="eastAsia" w:ascii="宋体" w:hAnsi="宋体" w:cs="宋体"/>
          <w:color w:val="auto"/>
          <w:highlight w:val="none"/>
          <w:u w:val="single"/>
          <w:lang w:eastAsia="zh-CN"/>
        </w:rPr>
        <w:t>株洲市天元区庐山路69号铭逸酒店21楼</w:t>
      </w:r>
      <w:r>
        <w:rPr>
          <w:rFonts w:hint="eastAsia" w:ascii="宋体" w:hAnsi="宋体" w:cs="宋体"/>
          <w:color w:val="auto"/>
          <w:highlight w:val="none"/>
          <w:u w:val="single"/>
        </w:rPr>
        <w:t>。</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bookmarkStart w:id="12" w:name="_Toc22201060"/>
      <w:bookmarkStart w:id="13" w:name="_Toc22977"/>
      <w:r>
        <w:rPr>
          <w:rFonts w:hint="eastAsia" w:ascii="宋体" w:hAnsi="宋体" w:cs="宋体"/>
          <w:color w:val="auto"/>
          <w:highlight w:val="none"/>
          <w:lang w:val="en-US" w:eastAsia="zh-CN"/>
        </w:rPr>
        <w:t>八</w:t>
      </w:r>
      <w:r>
        <w:rPr>
          <w:rFonts w:hint="eastAsia" w:ascii="宋体" w:hAnsi="宋体" w:cs="宋体"/>
          <w:color w:val="auto"/>
          <w:highlight w:val="none"/>
        </w:rPr>
        <w:t>、确认</w:t>
      </w:r>
      <w:bookmarkEnd w:id="12"/>
      <w:bookmarkEnd w:id="13"/>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你单位收到本采购邀请后，请于</w:t>
      </w:r>
      <w:r>
        <w:rPr>
          <w:rFonts w:hint="eastAsia" w:ascii="宋体" w:hAnsi="宋体"/>
          <w:color w:val="auto"/>
          <w:szCs w:val="21"/>
          <w:highlight w:val="none"/>
          <w:u w:val="single"/>
          <w:lang w:eastAsia="zh-CN"/>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u w:val="none"/>
          <w:lang w:eastAsia="zh-CN"/>
        </w:rPr>
        <w:t>年</w:t>
      </w:r>
      <w:r>
        <w:rPr>
          <w:rFonts w:hint="eastAsia" w:ascii="宋体" w:hAnsi="宋体"/>
          <w:color w:val="auto"/>
          <w:szCs w:val="21"/>
          <w:highlight w:val="none"/>
          <w:u w:val="single"/>
          <w:lang w:val="en-US" w:eastAsia="zh-CN"/>
        </w:rPr>
        <w:t xml:space="preserve"> 10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23 </w:t>
      </w:r>
      <w:r>
        <w:rPr>
          <w:rFonts w:hint="eastAsia" w:ascii="宋体" w:hAnsi="宋体"/>
          <w:color w:val="auto"/>
          <w:szCs w:val="21"/>
          <w:highlight w:val="none"/>
        </w:rPr>
        <w:t>日</w:t>
      </w:r>
      <w:r>
        <w:rPr>
          <w:rFonts w:hint="eastAsia" w:ascii="宋体" w:hAnsi="宋体"/>
          <w:color w:val="auto"/>
          <w:szCs w:val="21"/>
          <w:highlight w:val="none"/>
          <w:u w:val="single"/>
        </w:rPr>
        <w:t xml:space="preserve"> 17 </w:t>
      </w:r>
      <w:r>
        <w:rPr>
          <w:rFonts w:hint="eastAsia" w:ascii="宋体" w:hAnsi="宋体"/>
          <w:color w:val="auto"/>
          <w:szCs w:val="21"/>
          <w:highlight w:val="none"/>
        </w:rPr>
        <w:t>时</w:t>
      </w:r>
      <w:r>
        <w:rPr>
          <w:rFonts w:hint="eastAsia" w:ascii="宋体" w:hAnsi="宋体"/>
          <w:color w:val="auto"/>
          <w:szCs w:val="21"/>
          <w:highlight w:val="none"/>
          <w:u w:val="single"/>
        </w:rPr>
        <w:t xml:space="preserve"> 00 </w:t>
      </w:r>
      <w:r>
        <w:rPr>
          <w:rFonts w:hint="eastAsia" w:ascii="宋体" w:hAnsi="宋体"/>
          <w:color w:val="auto"/>
          <w:szCs w:val="21"/>
          <w:highlight w:val="none"/>
        </w:rPr>
        <w:t>分前，以书面形式确认是否参加谈判采购。</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bookmarkStart w:id="14" w:name="_Toc8247"/>
      <w:bookmarkStart w:id="15" w:name="_Toc22201061"/>
      <w:r>
        <w:rPr>
          <w:rFonts w:hint="eastAsia" w:ascii="宋体" w:hAnsi="宋体" w:cs="宋体"/>
          <w:color w:val="auto"/>
          <w:highlight w:val="none"/>
          <w:lang w:val="en-US" w:eastAsia="zh-CN"/>
        </w:rPr>
        <w:t>九</w:t>
      </w:r>
      <w:r>
        <w:rPr>
          <w:rFonts w:hint="eastAsia" w:ascii="宋体" w:hAnsi="宋体" w:cs="宋体"/>
          <w:color w:val="auto"/>
          <w:highlight w:val="none"/>
        </w:rPr>
        <w:t>、询问及质疑</w:t>
      </w:r>
      <w:bookmarkEnd w:id="14"/>
      <w:bookmarkEnd w:id="15"/>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1、供应商对政府采购活动事项如有疑问的，可以向采购人、采购代理机构提出询问。采购人、采购代理机构将在3个工作日内作出答复。</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供应商认为谈判文件使自己的合法权益受到损害的，可以在收到谈判文件之日起7个工作日内，按《湖南省财政厅关于印发＜政府采购质疑答复和投诉处理操作规程＞的通知》(湘财购〔2019〕20号)规定，以书面形式向采购人、采购代理机构提出质疑。</w:t>
      </w:r>
    </w:p>
    <w:p>
      <w:pPr>
        <w:pStyle w:val="4"/>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auto"/>
          <w:highlight w:val="none"/>
        </w:rPr>
      </w:pPr>
      <w:bookmarkStart w:id="16" w:name="_Toc22201062"/>
      <w:bookmarkStart w:id="17" w:name="_Toc885"/>
      <w:r>
        <w:rPr>
          <w:rFonts w:hint="eastAsia" w:ascii="宋体" w:hAnsi="宋体" w:cs="宋体"/>
          <w:color w:val="auto"/>
          <w:highlight w:val="none"/>
          <w:lang w:val="en-US" w:eastAsia="zh-CN"/>
        </w:rPr>
        <w:t>十</w:t>
      </w:r>
      <w:r>
        <w:rPr>
          <w:rFonts w:hint="eastAsia" w:ascii="宋体" w:hAnsi="宋体" w:cs="宋体"/>
          <w:color w:val="auto"/>
          <w:highlight w:val="none"/>
        </w:rPr>
        <w:t>、</w:t>
      </w:r>
      <w:bookmarkEnd w:id="16"/>
      <w:bookmarkStart w:id="18" w:name="_Toc22201063"/>
      <w:r>
        <w:rPr>
          <w:rFonts w:hint="eastAsia" w:ascii="宋体" w:hAnsi="宋体" w:cs="宋体"/>
          <w:color w:val="auto"/>
          <w:highlight w:val="none"/>
        </w:rPr>
        <w:t>采购人及其委托的采购代理机构的名称、地址和联系方法</w:t>
      </w:r>
      <w:bookmarkEnd w:id="17"/>
      <w:bookmarkEnd w:id="18"/>
    </w:p>
    <w:p>
      <w:pPr>
        <w:keepNext w:val="0"/>
        <w:keepLines w:val="0"/>
        <w:pageBreakBefore w:val="0"/>
        <w:kinsoku/>
        <w:overflowPunct/>
        <w:topLinePunct w:val="0"/>
        <w:bidi w:val="0"/>
        <w:adjustRightInd/>
        <w:snapToGrid/>
        <w:spacing w:line="360" w:lineRule="auto"/>
        <w:ind w:right="0" w:firstLine="413" w:firstLineChars="196"/>
        <w:rPr>
          <w:rFonts w:ascii="宋体" w:hAnsi="宋体"/>
          <w:b/>
          <w:bCs/>
          <w:color w:val="auto"/>
          <w:sz w:val="21"/>
          <w:szCs w:val="21"/>
          <w:highlight w:val="none"/>
        </w:rPr>
      </w:pPr>
      <w:bookmarkStart w:id="19" w:name="_Toc22201064"/>
      <w:r>
        <w:rPr>
          <w:rFonts w:hint="eastAsia" w:ascii="宋体" w:hAnsi="宋体"/>
          <w:b/>
          <w:bCs/>
          <w:color w:val="auto"/>
          <w:sz w:val="21"/>
          <w:szCs w:val="21"/>
          <w:highlight w:val="none"/>
          <w:lang w:val="en-US" w:eastAsia="zh-CN"/>
        </w:rPr>
        <w:t>1</w:t>
      </w:r>
      <w:r>
        <w:rPr>
          <w:rFonts w:hint="eastAsia" w:ascii="宋体" w:hAnsi="宋体"/>
          <w:color w:val="auto"/>
          <w:sz w:val="21"/>
          <w:szCs w:val="21"/>
          <w:highlight w:val="none"/>
        </w:rPr>
        <w:t>、</w:t>
      </w:r>
      <w:r>
        <w:rPr>
          <w:rFonts w:hint="eastAsia" w:ascii="宋体" w:hAnsi="宋体"/>
          <w:b/>
          <w:bCs/>
          <w:color w:val="auto"/>
          <w:sz w:val="21"/>
          <w:szCs w:val="21"/>
          <w:highlight w:val="none"/>
        </w:rPr>
        <w:t>采购人</w:t>
      </w:r>
    </w:p>
    <w:p>
      <w:pPr>
        <w:keepNext w:val="0"/>
        <w:keepLines w:val="0"/>
        <w:pageBreakBefore w:val="0"/>
        <w:kinsoku/>
        <w:overflowPunct/>
        <w:topLinePunct w:val="0"/>
        <w:bidi w:val="0"/>
        <w:adjustRightInd/>
        <w:snapToGrid/>
        <w:spacing w:line="360" w:lineRule="auto"/>
        <w:ind w:right="0" w:firstLine="411" w:firstLineChars="196"/>
        <w:rPr>
          <w:rFonts w:ascii="宋体" w:hAnsi="宋体"/>
          <w:color w:val="auto"/>
          <w:sz w:val="21"/>
          <w:szCs w:val="21"/>
          <w:highlight w:val="none"/>
        </w:rPr>
      </w:pPr>
      <w:r>
        <w:rPr>
          <w:rFonts w:hint="eastAsia" w:ascii="宋体" w:hAnsi="宋体"/>
          <w:color w:val="auto"/>
          <w:sz w:val="21"/>
          <w:szCs w:val="21"/>
          <w:highlight w:val="none"/>
        </w:rPr>
        <w:t>（1）</w:t>
      </w:r>
      <w:r>
        <w:rPr>
          <w:rFonts w:hint="eastAsia" w:ascii="宋体" w:hAnsi="宋体"/>
          <w:b/>
          <w:bCs/>
          <w:color w:val="auto"/>
          <w:sz w:val="21"/>
          <w:szCs w:val="21"/>
          <w:highlight w:val="none"/>
        </w:rPr>
        <w:t>名 称：</w:t>
      </w:r>
      <w:r>
        <w:rPr>
          <w:rFonts w:hint="eastAsia" w:ascii="宋体" w:hAnsi="宋体"/>
          <w:color w:val="auto"/>
          <w:sz w:val="21"/>
          <w:szCs w:val="21"/>
          <w:highlight w:val="none"/>
          <w:lang w:eastAsia="zh-CN"/>
        </w:rPr>
        <w:t xml:space="preserve">株洲市三三一医院 </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color w:val="auto"/>
          <w:sz w:val="21"/>
          <w:szCs w:val="21"/>
          <w:highlight w:val="none"/>
          <w:lang w:eastAsia="zh-CN"/>
        </w:rPr>
      </w:pPr>
      <w:r>
        <w:rPr>
          <w:rFonts w:hint="eastAsia" w:ascii="宋体" w:hAnsi="宋体"/>
          <w:color w:val="auto"/>
          <w:sz w:val="21"/>
          <w:szCs w:val="21"/>
          <w:highlight w:val="none"/>
        </w:rPr>
        <w:t>（2）地  址：</w:t>
      </w:r>
      <w:r>
        <w:rPr>
          <w:rFonts w:hint="eastAsia" w:ascii="宋体" w:hAnsi="宋体"/>
          <w:color w:val="auto"/>
          <w:sz w:val="21"/>
          <w:szCs w:val="21"/>
          <w:highlight w:val="none"/>
          <w:lang w:eastAsia="zh-CN"/>
        </w:rPr>
        <w:t>株洲市芦淞区株董路1398号</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eastAsia="宋体"/>
          <w:bCs/>
          <w:color w:val="auto"/>
          <w:sz w:val="21"/>
          <w:szCs w:val="21"/>
          <w:highlight w:val="none"/>
          <w:lang w:eastAsia="zh-CN"/>
        </w:rPr>
      </w:pPr>
      <w:r>
        <w:rPr>
          <w:rFonts w:hint="eastAsia" w:ascii="宋体" w:hAnsi="宋体"/>
          <w:color w:val="auto"/>
          <w:sz w:val="21"/>
          <w:szCs w:val="21"/>
          <w:highlight w:val="none"/>
        </w:rPr>
        <w:t>（3）</w:t>
      </w:r>
      <w:r>
        <w:rPr>
          <w:rFonts w:hint="eastAsia" w:ascii="宋体" w:hAnsi="宋体"/>
          <w:bCs/>
          <w:color w:val="auto"/>
          <w:sz w:val="21"/>
          <w:szCs w:val="21"/>
          <w:highlight w:val="none"/>
        </w:rPr>
        <w:t>联系人：</w:t>
      </w:r>
      <w:r>
        <w:rPr>
          <w:rFonts w:hint="eastAsia" w:ascii="宋体" w:hAnsi="宋体"/>
          <w:color w:val="auto"/>
          <w:sz w:val="21"/>
          <w:szCs w:val="21"/>
          <w:highlight w:val="none"/>
          <w:lang w:val="en-US" w:eastAsia="zh-CN"/>
        </w:rPr>
        <w:t>汤如意</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（4）</w:t>
      </w:r>
      <w:r>
        <w:rPr>
          <w:rFonts w:hint="eastAsia" w:ascii="宋体" w:hAnsi="宋体"/>
          <w:bCs/>
          <w:color w:val="auto"/>
          <w:sz w:val="21"/>
          <w:szCs w:val="21"/>
          <w:highlight w:val="none"/>
        </w:rPr>
        <w:t>电  话：</w:t>
      </w:r>
      <w:r>
        <w:rPr>
          <w:rFonts w:hint="eastAsia" w:ascii="宋体" w:hAnsi="宋体"/>
          <w:color w:val="auto"/>
          <w:sz w:val="21"/>
          <w:szCs w:val="21"/>
          <w:highlight w:val="none"/>
          <w:lang w:eastAsia="zh-CN"/>
        </w:rPr>
        <w:t>0731-22896883</w:t>
      </w:r>
    </w:p>
    <w:p>
      <w:pPr>
        <w:keepNext w:val="0"/>
        <w:keepLines w:val="0"/>
        <w:pageBreakBefore w:val="0"/>
        <w:kinsoku/>
        <w:overflowPunct/>
        <w:topLinePunct w:val="0"/>
        <w:bidi w:val="0"/>
        <w:adjustRightInd/>
        <w:snapToGrid/>
        <w:spacing w:line="360" w:lineRule="auto"/>
        <w:ind w:right="0" w:firstLine="420" w:firstLineChars="20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（5）采购人电子邮箱：/</w:t>
      </w:r>
    </w:p>
    <w:p>
      <w:pPr>
        <w:keepNext w:val="0"/>
        <w:keepLines w:val="0"/>
        <w:pageBreakBefore w:val="0"/>
        <w:kinsoku/>
        <w:overflowPunct/>
        <w:topLinePunct w:val="0"/>
        <w:bidi w:val="0"/>
        <w:adjustRightInd/>
        <w:snapToGrid/>
        <w:spacing w:line="360" w:lineRule="auto"/>
        <w:ind w:right="0" w:firstLine="413" w:firstLineChars="196"/>
        <w:rPr>
          <w:rFonts w:ascii="宋体" w:hAnsi="宋体"/>
          <w:b/>
          <w:bCs/>
          <w:color w:val="auto"/>
          <w:sz w:val="21"/>
          <w:szCs w:val="21"/>
          <w:highlight w:val="none"/>
        </w:rPr>
      </w:pPr>
      <w:r>
        <w:rPr>
          <w:rFonts w:hint="eastAsia" w:ascii="宋体" w:hAnsi="宋体"/>
          <w:b/>
          <w:bCs/>
          <w:color w:val="auto"/>
          <w:sz w:val="21"/>
          <w:szCs w:val="21"/>
          <w:highlight w:val="none"/>
          <w:lang w:val="en-US" w:eastAsia="zh-CN"/>
        </w:rPr>
        <w:t>2</w:t>
      </w:r>
      <w:r>
        <w:rPr>
          <w:rFonts w:hint="eastAsia" w:ascii="宋体" w:hAnsi="宋体"/>
          <w:color w:val="auto"/>
          <w:sz w:val="21"/>
          <w:szCs w:val="21"/>
          <w:highlight w:val="none"/>
        </w:rPr>
        <w:t>、</w:t>
      </w:r>
      <w:r>
        <w:rPr>
          <w:rFonts w:hint="eastAsia" w:ascii="宋体" w:hAnsi="宋体"/>
          <w:b/>
          <w:bCs/>
          <w:color w:val="auto"/>
          <w:sz w:val="21"/>
          <w:szCs w:val="21"/>
          <w:highlight w:val="none"/>
        </w:rPr>
        <w:t>采购代理机构</w:t>
      </w:r>
    </w:p>
    <w:p>
      <w:pPr>
        <w:keepNext w:val="0"/>
        <w:keepLines w:val="0"/>
        <w:pageBreakBefore w:val="0"/>
        <w:kinsoku/>
        <w:overflowPunct/>
        <w:topLinePunct w:val="0"/>
        <w:bidi w:val="0"/>
        <w:adjustRightInd/>
        <w:snapToGrid/>
        <w:spacing w:line="360" w:lineRule="auto"/>
        <w:ind w:right="0" w:firstLine="411" w:firstLineChars="196"/>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（1）</w:t>
      </w:r>
      <w:r>
        <w:rPr>
          <w:rFonts w:hint="eastAsia" w:ascii="宋体" w:hAnsi="宋体"/>
          <w:bCs/>
          <w:color w:val="auto"/>
          <w:sz w:val="21"/>
          <w:szCs w:val="21"/>
          <w:highlight w:val="none"/>
        </w:rPr>
        <w:t>名  称：</w:t>
      </w:r>
      <w:r>
        <w:rPr>
          <w:rFonts w:hint="eastAsia" w:ascii="宋体" w:hAnsi="宋体" w:cs="宋体"/>
          <w:snapToGrid w:val="0"/>
          <w:color w:val="auto"/>
          <w:sz w:val="21"/>
          <w:szCs w:val="21"/>
          <w:highlight w:val="none"/>
          <w:lang w:val="en-US" w:eastAsia="zh-CN"/>
        </w:rPr>
        <w:t>湖南省中方项目管理有限公司</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（2）地  址：</w:t>
      </w:r>
      <w:r>
        <w:rPr>
          <w:rFonts w:hint="eastAsia" w:ascii="宋体" w:hAnsi="宋体"/>
          <w:color w:val="auto"/>
          <w:sz w:val="21"/>
          <w:szCs w:val="21"/>
          <w:highlight w:val="none"/>
          <w:lang w:eastAsia="zh-CN"/>
        </w:rPr>
        <w:t>株洲市天元区庐山路69号铭逸酒店21楼</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eastAsia="宋体" w:cs="宋体"/>
          <w:color w:val="auto"/>
          <w:sz w:val="21"/>
          <w:szCs w:val="21"/>
          <w:highlight w:val="none"/>
          <w:lang w:eastAsia="zh-CN"/>
        </w:rPr>
      </w:pPr>
      <w:r>
        <w:rPr>
          <w:rFonts w:hint="eastAsia" w:ascii="宋体" w:hAnsi="宋体"/>
          <w:color w:val="auto"/>
          <w:sz w:val="21"/>
          <w:szCs w:val="21"/>
          <w:highlight w:val="none"/>
        </w:rPr>
        <w:t>（3）联系人：</w:t>
      </w:r>
      <w:r>
        <w:rPr>
          <w:rFonts w:hint="eastAsia" w:ascii="宋体" w:hAnsi="宋体"/>
          <w:color w:val="auto"/>
          <w:sz w:val="21"/>
          <w:szCs w:val="21"/>
          <w:highlight w:val="none"/>
          <w:lang w:val="en-US" w:eastAsia="zh-CN"/>
        </w:rPr>
        <w:t>刘俪璐、</w:t>
      </w:r>
      <w:r>
        <w:rPr>
          <w:rFonts w:hint="eastAsia" w:ascii="宋体" w:hAnsi="宋体" w:cs="宋体"/>
          <w:color w:val="auto"/>
          <w:sz w:val="21"/>
          <w:szCs w:val="21"/>
          <w:highlight w:val="none"/>
          <w:lang w:eastAsia="zh-CN"/>
        </w:rPr>
        <w:t>姜柳</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rPr>
        <w:t>（4）电  话：</w:t>
      </w:r>
      <w:r>
        <w:rPr>
          <w:rFonts w:hint="eastAsia" w:ascii="宋体" w:hAnsi="宋体" w:cs="宋体"/>
          <w:snapToGrid w:val="0"/>
          <w:color w:val="auto"/>
          <w:sz w:val="21"/>
          <w:szCs w:val="21"/>
          <w:highlight w:val="none"/>
          <w:lang w:eastAsia="zh-CN"/>
        </w:rPr>
        <w:t>18907338868</w:t>
      </w:r>
    </w:p>
    <w:p>
      <w:pPr>
        <w:keepNext w:val="0"/>
        <w:keepLines w:val="0"/>
        <w:pageBreakBefore w:val="0"/>
        <w:kinsoku/>
        <w:overflowPunct/>
        <w:topLinePunct w:val="0"/>
        <w:bidi w:val="0"/>
        <w:adjustRightInd/>
        <w:snapToGrid/>
        <w:spacing w:line="360" w:lineRule="auto"/>
        <w:ind w:right="0" w:firstLine="420" w:firstLineChars="200"/>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（5）邮  编：</w:t>
      </w:r>
      <w:r>
        <w:rPr>
          <w:rFonts w:hint="eastAsia" w:ascii="宋体" w:hAnsi="宋体"/>
          <w:color w:val="auto"/>
          <w:sz w:val="21"/>
          <w:szCs w:val="21"/>
          <w:highlight w:val="none"/>
          <w:lang w:eastAsia="zh-CN"/>
        </w:rPr>
        <w:t>412000</w:t>
      </w:r>
    </w:p>
    <w:p>
      <w:pPr>
        <w:keepNext w:val="0"/>
        <w:keepLines w:val="0"/>
        <w:pageBreakBefore w:val="0"/>
        <w:kinsoku/>
        <w:overflowPunct/>
        <w:topLinePunct w:val="0"/>
        <w:bidi w:val="0"/>
        <w:adjustRightInd/>
        <w:snapToGrid/>
        <w:spacing w:line="360" w:lineRule="auto"/>
        <w:ind w:right="0" w:firstLine="420" w:firstLineChars="200"/>
        <w:rPr>
          <w:rFonts w:hint="default" w:eastAsia="宋体"/>
          <w:color w:val="auto"/>
          <w:sz w:val="21"/>
          <w:szCs w:val="21"/>
          <w:highlight w:val="none"/>
          <w:lang w:val="en-US" w:eastAsia="zh-CN"/>
        </w:rPr>
      </w:pPr>
      <w:r>
        <w:rPr>
          <w:rFonts w:hint="eastAsia" w:ascii="宋体" w:hAnsi="宋体"/>
          <w:color w:val="auto"/>
          <w:sz w:val="21"/>
          <w:szCs w:val="21"/>
          <w:highlight w:val="none"/>
        </w:rPr>
        <w:t>（6）</w:t>
      </w:r>
      <w:r>
        <w:rPr>
          <w:rFonts w:hint="eastAsia"/>
          <w:color w:val="auto"/>
          <w:sz w:val="21"/>
          <w:szCs w:val="21"/>
          <w:highlight w:val="none"/>
        </w:rPr>
        <w:t>电子邮箱</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w:t>
      </w:r>
    </w:p>
    <w:bookmarkEnd w:id="19"/>
    <w:p>
      <w:pPr>
        <w:pStyle w:val="46"/>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ascii="宋体" w:hAnsi="宋体"/>
          <w:color w:val="auto"/>
          <w:highlight w:val="none"/>
        </w:rPr>
      </w:pPr>
      <w:bookmarkStart w:id="20" w:name="_Toc22201065"/>
    </w:p>
    <w:p>
      <w:pPr>
        <w:pStyle w:val="46"/>
        <w:adjustRightInd w:val="0"/>
        <w:snapToGrid w:val="0"/>
        <w:spacing w:after="0" w:line="360" w:lineRule="auto"/>
        <w:ind w:left="0" w:leftChars="0" w:firstLine="422"/>
        <w:rPr>
          <w:color w:val="auto"/>
          <w:highlight w:val="none"/>
        </w:rPr>
      </w:pPr>
      <w:r>
        <w:rPr>
          <w:rFonts w:ascii="黑体" w:hAnsi="黑体" w:eastAsia="黑体"/>
          <w:b/>
          <w:color w:val="auto"/>
          <w:szCs w:val="21"/>
          <w:highlight w:val="none"/>
        </w:rPr>
        <w:br w:type="page"/>
      </w:r>
      <w:r>
        <w:rPr>
          <w:rFonts w:hint="eastAsia" w:ascii="宋体" w:hAnsi="宋体"/>
          <w:color w:val="auto"/>
          <w:szCs w:val="21"/>
          <w:highlight w:val="none"/>
        </w:rPr>
        <w:t>附件：</w:t>
      </w:r>
      <w:r>
        <w:rPr>
          <w:rFonts w:hint="eastAsia" w:ascii="宋体" w:hAnsi="宋体"/>
          <w:color w:val="auto"/>
          <w:spacing w:val="-3"/>
          <w:szCs w:val="21"/>
          <w:highlight w:val="none"/>
        </w:rPr>
        <w:t>确</w:t>
      </w:r>
      <w:r>
        <w:rPr>
          <w:rFonts w:hint="eastAsia" w:ascii="宋体" w:hAnsi="宋体"/>
          <w:color w:val="auto"/>
          <w:szCs w:val="21"/>
          <w:highlight w:val="none"/>
        </w:rPr>
        <w:t>认通知</w:t>
      </w:r>
      <w:bookmarkEnd w:id="20"/>
    </w:p>
    <w:p>
      <w:pPr>
        <w:pStyle w:val="4"/>
        <w:adjustRightInd w:val="0"/>
        <w:snapToGrid w:val="0"/>
        <w:spacing w:line="360" w:lineRule="exact"/>
        <w:jc w:val="center"/>
        <w:rPr>
          <w:rFonts w:ascii="宋体" w:hAnsi="宋体" w:cs="宋体"/>
          <w:color w:val="auto"/>
          <w:highlight w:val="none"/>
        </w:rPr>
      </w:pPr>
      <w:bookmarkStart w:id="21" w:name="_Toc27148"/>
      <w:r>
        <w:rPr>
          <w:rFonts w:hint="eastAsia" w:ascii="宋体" w:hAnsi="宋体" w:cs="宋体"/>
          <w:color w:val="auto"/>
          <w:highlight w:val="none"/>
        </w:rPr>
        <w:t>确认通知</w:t>
      </w:r>
      <w:bookmarkEnd w:id="21"/>
    </w:p>
    <w:p>
      <w:pPr>
        <w:tabs>
          <w:tab w:val="left" w:pos="1980"/>
        </w:tabs>
        <w:autoSpaceDE w:val="0"/>
        <w:autoSpaceDN w:val="0"/>
        <w:adjustRightInd w:val="0"/>
        <w:snapToGrid w:val="0"/>
        <w:spacing w:before="156" w:beforeLines="50" w:line="360" w:lineRule="auto"/>
        <w:ind w:right="-20"/>
        <w:jc w:val="left"/>
        <w:rPr>
          <w:rFonts w:ascii="宋体" w:hAnsi="宋体" w:cs="微软雅黑"/>
          <w:color w:val="auto"/>
          <w:spacing w:val="-108"/>
          <w:kern w:val="0"/>
          <w:position w:val="-2"/>
          <w:szCs w:val="21"/>
          <w:highlight w:val="none"/>
        </w:rPr>
      </w:pPr>
      <w:r>
        <w:rPr>
          <w:rFonts w:hint="eastAsia" w:ascii="宋体" w:hAnsi="宋体" w:cs="微软雅黑"/>
          <w:color w:val="auto"/>
          <w:kern w:val="0"/>
          <w:position w:val="-2"/>
          <w:szCs w:val="21"/>
          <w:highlight w:val="none"/>
        </w:rPr>
        <w:t>_______________________（采购人、采购代理机构</w:t>
      </w:r>
      <w:r>
        <w:rPr>
          <w:rFonts w:hint="eastAsia" w:ascii="宋体" w:hAnsi="宋体" w:cs="微软雅黑"/>
          <w:color w:val="auto"/>
          <w:spacing w:val="-2"/>
          <w:kern w:val="0"/>
          <w:szCs w:val="21"/>
          <w:highlight w:val="none"/>
        </w:rPr>
        <w:t>）：</w:t>
      </w:r>
    </w:p>
    <w:p>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color w:val="auto"/>
          <w:kern w:val="0"/>
          <w:szCs w:val="21"/>
          <w:highlight w:val="none"/>
        </w:rPr>
      </w:pPr>
      <w:r>
        <w:rPr>
          <w:rFonts w:hint="eastAsia" w:ascii="宋体" w:hAnsi="宋体" w:cs="微软雅黑"/>
          <w:color w:val="auto"/>
          <w:kern w:val="0"/>
          <w:position w:val="-2"/>
          <w:szCs w:val="21"/>
          <w:highlight w:val="none"/>
        </w:rPr>
        <w:t>我单位</w:t>
      </w:r>
      <w:r>
        <w:rPr>
          <w:rFonts w:hint="eastAsia" w:ascii="宋体" w:hAnsi="宋体" w:cs="微软雅黑"/>
          <w:color w:val="auto"/>
          <w:spacing w:val="-2"/>
          <w:kern w:val="0"/>
          <w:position w:val="-2"/>
          <w:szCs w:val="21"/>
          <w:highlight w:val="none"/>
        </w:rPr>
        <w:t>已</w:t>
      </w:r>
      <w:r>
        <w:rPr>
          <w:rFonts w:hint="eastAsia" w:ascii="宋体" w:hAnsi="宋体" w:cs="微软雅黑"/>
          <w:color w:val="auto"/>
          <w:kern w:val="0"/>
          <w:position w:val="-2"/>
          <w:szCs w:val="21"/>
          <w:highlight w:val="none"/>
        </w:rPr>
        <w:t>于</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spacing w:val="1"/>
          <w:kern w:val="0"/>
          <w:position w:val="-2"/>
          <w:szCs w:val="21"/>
          <w:highlight w:val="none"/>
        </w:rPr>
        <w:t>年</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kern w:val="0"/>
          <w:position w:val="-2"/>
          <w:szCs w:val="21"/>
          <w:highlight w:val="none"/>
        </w:rPr>
        <w:t>月</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spacing w:val="-2"/>
          <w:kern w:val="0"/>
          <w:position w:val="-2"/>
          <w:szCs w:val="21"/>
          <w:highlight w:val="none"/>
        </w:rPr>
        <w:t>日</w:t>
      </w:r>
      <w:r>
        <w:rPr>
          <w:rFonts w:hint="eastAsia" w:ascii="宋体" w:hAnsi="宋体" w:cs="微软雅黑"/>
          <w:color w:val="auto"/>
          <w:kern w:val="0"/>
          <w:position w:val="-2"/>
          <w:szCs w:val="21"/>
          <w:highlight w:val="none"/>
        </w:rPr>
        <w:t>收</w:t>
      </w:r>
      <w:r>
        <w:rPr>
          <w:rFonts w:hint="eastAsia" w:ascii="宋体" w:hAnsi="宋体" w:cs="微软雅黑"/>
          <w:color w:val="auto"/>
          <w:spacing w:val="-2"/>
          <w:kern w:val="0"/>
          <w:position w:val="-2"/>
          <w:szCs w:val="21"/>
          <w:highlight w:val="none"/>
        </w:rPr>
        <w:t>到</w:t>
      </w:r>
      <w:r>
        <w:rPr>
          <w:rFonts w:hint="eastAsia" w:ascii="宋体" w:hAnsi="宋体" w:cs="微软雅黑"/>
          <w:color w:val="auto"/>
          <w:kern w:val="0"/>
          <w:position w:val="-2"/>
          <w:szCs w:val="21"/>
          <w:highlight w:val="none"/>
        </w:rPr>
        <w:t>你单位</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kern w:val="0"/>
          <w:position w:val="-2"/>
          <w:szCs w:val="21"/>
          <w:highlight w:val="none"/>
        </w:rPr>
        <w:t>年</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spacing w:val="1"/>
          <w:kern w:val="0"/>
          <w:position w:val="-2"/>
          <w:szCs w:val="21"/>
          <w:highlight w:val="none"/>
        </w:rPr>
        <w:t>月</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kern w:val="0"/>
          <w:position w:val="-2"/>
          <w:szCs w:val="21"/>
          <w:highlight w:val="none"/>
        </w:rPr>
        <w:t>日发</w:t>
      </w:r>
      <w:r>
        <w:rPr>
          <w:rFonts w:hint="eastAsia" w:ascii="宋体" w:hAnsi="宋体" w:cs="微软雅黑"/>
          <w:color w:val="auto"/>
          <w:spacing w:val="-2"/>
          <w:kern w:val="0"/>
          <w:position w:val="-2"/>
          <w:szCs w:val="21"/>
          <w:highlight w:val="none"/>
        </w:rPr>
        <w:t>出</w:t>
      </w:r>
      <w:r>
        <w:rPr>
          <w:rFonts w:hint="eastAsia" w:ascii="宋体" w:hAnsi="宋体" w:cs="微软雅黑"/>
          <w:color w:val="auto"/>
          <w:kern w:val="0"/>
          <w:position w:val="-2"/>
          <w:szCs w:val="21"/>
          <w:highlight w:val="none"/>
        </w:rPr>
        <w:t>的</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项</w:t>
      </w:r>
      <w:r>
        <w:rPr>
          <w:rFonts w:hint="eastAsia" w:ascii="宋体" w:hAnsi="宋体" w:cs="微软雅黑"/>
          <w:color w:val="auto"/>
          <w:spacing w:val="-2"/>
          <w:kern w:val="0"/>
          <w:position w:val="-2"/>
          <w:szCs w:val="21"/>
          <w:highlight w:val="none"/>
        </w:rPr>
        <w:t>目</w:t>
      </w:r>
      <w:r>
        <w:rPr>
          <w:rFonts w:hint="eastAsia" w:ascii="宋体" w:hAnsi="宋体" w:cs="微软雅黑"/>
          <w:color w:val="auto"/>
          <w:kern w:val="0"/>
          <w:position w:val="-2"/>
          <w:szCs w:val="21"/>
          <w:highlight w:val="none"/>
        </w:rPr>
        <w:t>名称</w:t>
      </w:r>
      <w:r>
        <w:rPr>
          <w:rFonts w:hint="eastAsia" w:ascii="宋体" w:hAnsi="宋体" w:cs="微软雅黑"/>
          <w:color w:val="auto"/>
          <w:spacing w:val="-22"/>
          <w:kern w:val="0"/>
          <w:position w:val="-2"/>
          <w:szCs w:val="21"/>
          <w:highlight w:val="none"/>
        </w:rPr>
        <w:t>）</w:t>
      </w:r>
      <w:r>
        <w:rPr>
          <w:rFonts w:hint="eastAsia" w:ascii="宋体" w:hAnsi="宋体" w:cs="微软雅黑"/>
          <w:color w:val="auto"/>
          <w:kern w:val="0"/>
          <w:position w:val="-2"/>
          <w:szCs w:val="21"/>
          <w:highlight w:val="none"/>
        </w:rPr>
        <w:t>谈判邀</w:t>
      </w:r>
      <w:r>
        <w:rPr>
          <w:rFonts w:hint="eastAsia" w:ascii="宋体" w:hAnsi="宋体" w:cs="微软雅黑"/>
          <w:color w:val="auto"/>
          <w:spacing w:val="-2"/>
          <w:kern w:val="0"/>
          <w:position w:val="-2"/>
          <w:szCs w:val="21"/>
          <w:highlight w:val="none"/>
        </w:rPr>
        <w:t>请</w:t>
      </w:r>
      <w:r>
        <w:rPr>
          <w:rFonts w:hint="eastAsia" w:ascii="宋体" w:hAnsi="宋体" w:cs="微软雅黑"/>
          <w:color w:val="auto"/>
          <w:spacing w:val="-22"/>
          <w:kern w:val="0"/>
          <w:position w:val="-2"/>
          <w:szCs w:val="21"/>
          <w:highlight w:val="none"/>
        </w:rPr>
        <w:t>，</w:t>
      </w:r>
      <w:r>
        <w:rPr>
          <w:rFonts w:hint="eastAsia" w:ascii="宋体" w:hAnsi="宋体" w:cs="微软雅黑"/>
          <w:color w:val="auto"/>
          <w:spacing w:val="-2"/>
          <w:kern w:val="0"/>
          <w:position w:val="-2"/>
          <w:szCs w:val="21"/>
          <w:highlight w:val="none"/>
        </w:rPr>
        <w:t>确</w:t>
      </w:r>
      <w:r>
        <w:rPr>
          <w:rFonts w:hint="eastAsia" w:ascii="宋体" w:hAnsi="宋体" w:cs="微软雅黑"/>
          <w:color w:val="auto"/>
          <w:kern w:val="0"/>
          <w:position w:val="-2"/>
          <w:szCs w:val="21"/>
          <w:highlight w:val="none"/>
        </w:rPr>
        <w:t>认</w:t>
      </w:r>
      <w:r>
        <w:rPr>
          <w:rFonts w:hint="eastAsia" w:ascii="宋体" w:hAnsi="宋体" w:cs="微软雅黑"/>
          <w:color w:val="auto"/>
          <w:spacing w:val="-2"/>
          <w:kern w:val="0"/>
          <w:position w:val="-2"/>
          <w:szCs w:val="21"/>
          <w:highlight w:val="none"/>
        </w:rPr>
        <w:t>（参</w:t>
      </w:r>
      <w:r>
        <w:rPr>
          <w:rFonts w:hint="eastAsia" w:ascii="宋体" w:hAnsi="宋体" w:cs="微软雅黑"/>
          <w:color w:val="auto"/>
          <w:kern w:val="0"/>
          <w:szCs w:val="21"/>
          <w:highlight w:val="none"/>
        </w:rPr>
        <w:t>加</w:t>
      </w:r>
      <w:r>
        <w:rPr>
          <w:rFonts w:ascii="宋体" w:hAnsi="宋体"/>
          <w:color w:val="auto"/>
          <w:spacing w:val="-1"/>
          <w:kern w:val="0"/>
          <w:szCs w:val="21"/>
          <w:highlight w:val="none"/>
        </w:rPr>
        <w:t>/</w:t>
      </w:r>
      <w:r>
        <w:rPr>
          <w:rFonts w:hint="eastAsia" w:ascii="宋体" w:hAnsi="宋体" w:cs="微软雅黑"/>
          <w:color w:val="auto"/>
          <w:kern w:val="0"/>
          <w:szCs w:val="21"/>
          <w:highlight w:val="none"/>
        </w:rPr>
        <w:t>不</w:t>
      </w:r>
      <w:r>
        <w:rPr>
          <w:rFonts w:hint="eastAsia" w:ascii="宋体" w:hAnsi="宋体" w:cs="微软雅黑"/>
          <w:color w:val="auto"/>
          <w:spacing w:val="-2"/>
          <w:kern w:val="0"/>
          <w:szCs w:val="21"/>
          <w:highlight w:val="none"/>
        </w:rPr>
        <w:t>参</w:t>
      </w:r>
      <w:r>
        <w:rPr>
          <w:rFonts w:hint="eastAsia" w:ascii="宋体" w:hAnsi="宋体" w:cs="微软雅黑"/>
          <w:color w:val="auto"/>
          <w:kern w:val="0"/>
          <w:szCs w:val="21"/>
          <w:highlight w:val="none"/>
        </w:rPr>
        <w:t>加</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rPr>
        <w:t>谈判采购。</w:t>
      </w:r>
    </w:p>
    <w:p>
      <w:pPr>
        <w:autoSpaceDE w:val="0"/>
        <w:autoSpaceDN w:val="0"/>
        <w:adjustRightInd w:val="0"/>
        <w:snapToGrid w:val="0"/>
        <w:spacing w:before="156" w:beforeLines="50" w:line="360" w:lineRule="auto"/>
        <w:ind w:left="487" w:right="7230"/>
        <w:jc w:val="center"/>
        <w:rPr>
          <w:rFonts w:ascii="宋体" w:hAnsi="宋体" w:cs="微软雅黑"/>
          <w:color w:val="auto"/>
          <w:kern w:val="0"/>
          <w:szCs w:val="21"/>
          <w:highlight w:val="none"/>
        </w:rPr>
      </w:pPr>
      <w:r>
        <w:rPr>
          <w:rFonts w:hint="eastAsia" w:ascii="宋体" w:hAnsi="宋体" w:cs="微软雅黑"/>
          <w:color w:val="auto"/>
          <w:spacing w:val="-2"/>
          <w:kern w:val="0"/>
          <w:position w:val="-4"/>
          <w:szCs w:val="21"/>
          <w:highlight w:val="none"/>
        </w:rPr>
        <w:t>特</w:t>
      </w:r>
      <w:r>
        <w:rPr>
          <w:rFonts w:hint="eastAsia" w:ascii="宋体" w:hAnsi="宋体" w:cs="微软雅黑"/>
          <w:color w:val="auto"/>
          <w:kern w:val="0"/>
          <w:position w:val="-4"/>
          <w:szCs w:val="21"/>
          <w:highlight w:val="none"/>
        </w:rPr>
        <w:t>此</w:t>
      </w:r>
      <w:r>
        <w:rPr>
          <w:rFonts w:hint="eastAsia" w:ascii="宋体" w:hAnsi="宋体" w:cs="微软雅黑"/>
          <w:color w:val="auto"/>
          <w:spacing w:val="-2"/>
          <w:kern w:val="0"/>
          <w:position w:val="-4"/>
          <w:szCs w:val="21"/>
          <w:highlight w:val="none"/>
        </w:rPr>
        <w:t>确</w:t>
      </w:r>
      <w:r>
        <w:rPr>
          <w:rFonts w:hint="eastAsia" w:ascii="宋体" w:hAnsi="宋体" w:cs="微软雅黑"/>
          <w:color w:val="auto"/>
          <w:kern w:val="0"/>
          <w:position w:val="-4"/>
          <w:szCs w:val="21"/>
          <w:highlight w:val="none"/>
        </w:rPr>
        <w:t>认。</w:t>
      </w:r>
    </w:p>
    <w:p>
      <w:pPr>
        <w:autoSpaceDE w:val="0"/>
        <w:autoSpaceDN w:val="0"/>
        <w:adjustRightInd w:val="0"/>
        <w:snapToGrid w:val="0"/>
        <w:spacing w:before="156" w:beforeLines="50" w:line="360" w:lineRule="auto"/>
        <w:jc w:val="left"/>
        <w:rPr>
          <w:rFonts w:ascii="宋体" w:hAnsi="宋体" w:cs="微软雅黑"/>
          <w:color w:val="auto"/>
          <w:kern w:val="0"/>
          <w:sz w:val="20"/>
          <w:szCs w:val="20"/>
          <w:highlight w:val="none"/>
        </w:rPr>
      </w:pPr>
    </w:p>
    <w:p>
      <w:pPr>
        <w:tabs>
          <w:tab w:val="left" w:pos="7220"/>
        </w:tabs>
        <w:autoSpaceDE w:val="0"/>
        <w:autoSpaceDN w:val="0"/>
        <w:adjustRightInd w:val="0"/>
        <w:snapToGrid w:val="0"/>
        <w:spacing w:before="156" w:beforeLines="50" w:line="360" w:lineRule="auto"/>
        <w:ind w:left="3041" w:right="-20"/>
        <w:jc w:val="left"/>
        <w:rPr>
          <w:rFonts w:ascii="宋体" w:hAnsi="宋体" w:cs="微软雅黑"/>
          <w:color w:val="auto"/>
          <w:kern w:val="0"/>
          <w:szCs w:val="21"/>
          <w:highlight w:val="none"/>
        </w:rPr>
      </w:pPr>
      <w:r>
        <w:rPr>
          <w:rFonts w:hint="eastAsia" w:ascii="宋体" w:hAnsi="宋体" w:cs="微软雅黑"/>
          <w:color w:val="auto"/>
          <w:kern w:val="0"/>
          <w:position w:val="-2"/>
          <w:szCs w:val="21"/>
          <w:highlight w:val="none"/>
        </w:rPr>
        <w:t>单</w:t>
      </w:r>
      <w:r>
        <w:rPr>
          <w:rFonts w:hint="eastAsia" w:ascii="宋体" w:hAnsi="宋体" w:cs="微软雅黑"/>
          <w:color w:val="auto"/>
          <w:spacing w:val="-2"/>
          <w:kern w:val="0"/>
          <w:position w:val="-2"/>
          <w:szCs w:val="21"/>
          <w:highlight w:val="none"/>
        </w:rPr>
        <w:t>位</w:t>
      </w:r>
      <w:r>
        <w:rPr>
          <w:rFonts w:hint="eastAsia" w:ascii="宋体" w:hAnsi="宋体" w:cs="微软雅黑"/>
          <w:color w:val="auto"/>
          <w:kern w:val="0"/>
          <w:position w:val="-2"/>
          <w:szCs w:val="21"/>
          <w:highlight w:val="none"/>
        </w:rPr>
        <w:t>名</w:t>
      </w:r>
      <w:r>
        <w:rPr>
          <w:rFonts w:hint="eastAsia" w:ascii="宋体" w:hAnsi="宋体" w:cs="微软雅黑"/>
          <w:color w:val="auto"/>
          <w:spacing w:val="-2"/>
          <w:kern w:val="0"/>
          <w:position w:val="-2"/>
          <w:szCs w:val="21"/>
          <w:highlight w:val="none"/>
        </w:rPr>
        <w:t>称（盖单位公章）</w:t>
      </w:r>
      <w:r>
        <w:rPr>
          <w:rFonts w:hint="eastAsia" w:ascii="宋体" w:hAnsi="宋体" w:cs="微软雅黑"/>
          <w:color w:val="auto"/>
          <w:kern w:val="0"/>
          <w:position w:val="-2"/>
          <w:szCs w:val="21"/>
          <w:highlight w:val="none"/>
        </w:rPr>
        <w:t>：</w:t>
      </w:r>
      <w:r>
        <w:rPr>
          <w:rFonts w:hint="eastAsia" w:ascii="宋体" w:hAnsi="宋体" w:cs="微软雅黑"/>
          <w:color w:val="auto"/>
          <w:kern w:val="0"/>
          <w:position w:val="-2"/>
          <w:szCs w:val="21"/>
          <w:highlight w:val="none"/>
          <w:u w:val="single"/>
        </w:rPr>
        <w:t xml:space="preserve">                           </w:t>
      </w:r>
    </w:p>
    <w:p>
      <w:pPr>
        <w:tabs>
          <w:tab w:val="left" w:pos="7760"/>
        </w:tabs>
        <w:autoSpaceDE w:val="0"/>
        <w:autoSpaceDN w:val="0"/>
        <w:adjustRightInd w:val="0"/>
        <w:snapToGrid w:val="0"/>
        <w:spacing w:before="156" w:beforeLines="50" w:line="360" w:lineRule="auto"/>
        <w:ind w:left="3041" w:right="-20"/>
        <w:jc w:val="left"/>
        <w:rPr>
          <w:rFonts w:ascii="宋体" w:hAnsi="宋体" w:cs="微软雅黑"/>
          <w:color w:val="auto"/>
          <w:kern w:val="0"/>
          <w:szCs w:val="21"/>
          <w:highlight w:val="none"/>
        </w:rPr>
      </w:pPr>
      <w:r>
        <w:rPr>
          <w:rFonts w:hint="eastAsia" w:ascii="宋体" w:hAnsi="宋体" w:cs="微软雅黑"/>
          <w:color w:val="auto"/>
          <w:kern w:val="0"/>
          <w:position w:val="-2"/>
          <w:szCs w:val="21"/>
          <w:highlight w:val="none"/>
        </w:rPr>
        <w:t>法定</w:t>
      </w:r>
      <w:r>
        <w:rPr>
          <w:rFonts w:hint="eastAsia" w:ascii="宋体" w:hAnsi="宋体" w:cs="微软雅黑"/>
          <w:color w:val="auto"/>
          <w:spacing w:val="-2"/>
          <w:kern w:val="0"/>
          <w:position w:val="-2"/>
          <w:szCs w:val="21"/>
          <w:highlight w:val="none"/>
        </w:rPr>
        <w:t>代</w:t>
      </w:r>
      <w:r>
        <w:rPr>
          <w:rFonts w:hint="eastAsia" w:ascii="宋体" w:hAnsi="宋体" w:cs="微软雅黑"/>
          <w:color w:val="auto"/>
          <w:kern w:val="0"/>
          <w:position w:val="-2"/>
          <w:szCs w:val="21"/>
          <w:highlight w:val="none"/>
        </w:rPr>
        <w:t>表</w:t>
      </w:r>
      <w:r>
        <w:rPr>
          <w:rFonts w:hint="eastAsia" w:ascii="宋体" w:hAnsi="宋体" w:cs="微软雅黑"/>
          <w:color w:val="auto"/>
          <w:spacing w:val="-2"/>
          <w:kern w:val="0"/>
          <w:position w:val="-2"/>
          <w:szCs w:val="21"/>
          <w:highlight w:val="none"/>
        </w:rPr>
        <w:t>人</w:t>
      </w:r>
      <w:r>
        <w:rPr>
          <w:rFonts w:hint="eastAsia" w:ascii="宋体" w:hAnsi="宋体" w:cs="微软雅黑"/>
          <w:color w:val="auto"/>
          <w:kern w:val="0"/>
          <w:position w:val="-2"/>
          <w:szCs w:val="21"/>
          <w:highlight w:val="none"/>
        </w:rPr>
        <w:t>（或</w:t>
      </w:r>
      <w:r>
        <w:rPr>
          <w:rFonts w:hint="eastAsia" w:ascii="宋体" w:hAnsi="宋体" w:cs="微软雅黑"/>
          <w:color w:val="auto"/>
          <w:spacing w:val="-2"/>
          <w:kern w:val="0"/>
          <w:position w:val="-2"/>
          <w:szCs w:val="21"/>
          <w:highlight w:val="none"/>
        </w:rPr>
        <w:t>授权代表人）</w:t>
      </w:r>
      <w:r>
        <w:rPr>
          <w:rFonts w:hint="eastAsia"/>
          <w:color w:val="auto"/>
          <w:highlight w:val="none"/>
        </w:rPr>
        <w:t>（签字或印章）：</w:t>
      </w:r>
      <w:r>
        <w:rPr>
          <w:rFonts w:hint="eastAsia" w:ascii="宋体" w:hAnsi="宋体" w:cs="微软雅黑"/>
          <w:color w:val="auto"/>
          <w:kern w:val="0"/>
          <w:position w:val="-2"/>
          <w:szCs w:val="21"/>
          <w:highlight w:val="none"/>
          <w:u w:val="single"/>
        </w:rPr>
        <w:t xml:space="preserve">         </w:t>
      </w:r>
    </w:p>
    <w:p>
      <w:pPr>
        <w:tabs>
          <w:tab w:val="left" w:pos="5380"/>
          <w:tab w:val="left" w:pos="6520"/>
          <w:tab w:val="left" w:pos="7680"/>
        </w:tabs>
        <w:autoSpaceDE w:val="0"/>
        <w:autoSpaceDN w:val="0"/>
        <w:adjustRightInd w:val="0"/>
        <w:snapToGrid w:val="0"/>
        <w:spacing w:before="156" w:beforeLines="50" w:line="360" w:lineRule="auto"/>
        <w:ind w:right="-20"/>
        <w:jc w:val="right"/>
        <w:rPr>
          <w:rFonts w:ascii="宋体" w:hAnsi="宋体" w:cs="微软雅黑"/>
          <w:color w:val="auto"/>
          <w:kern w:val="0"/>
          <w:szCs w:val="21"/>
          <w:highlight w:val="none"/>
        </w:rPr>
      </w:pP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kern w:val="0"/>
          <w:szCs w:val="21"/>
          <w:highlight w:val="none"/>
        </w:rPr>
        <w:t>年</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spacing w:val="-2"/>
          <w:kern w:val="0"/>
          <w:szCs w:val="21"/>
          <w:highlight w:val="none"/>
        </w:rPr>
        <w:t>月</w:t>
      </w:r>
      <w:r>
        <w:rPr>
          <w:rFonts w:hint="eastAsia" w:ascii="宋体" w:hAnsi="宋体" w:cs="微软雅黑"/>
          <w:color w:val="auto"/>
          <w:kern w:val="0"/>
          <w:position w:val="-2"/>
          <w:szCs w:val="21"/>
          <w:highlight w:val="none"/>
          <w:u w:val="single"/>
        </w:rPr>
        <w:t xml:space="preserve">   </w:t>
      </w:r>
      <w:r>
        <w:rPr>
          <w:rFonts w:hint="eastAsia" w:ascii="宋体" w:hAnsi="宋体" w:cs="微软雅黑"/>
          <w:color w:val="auto"/>
          <w:kern w:val="0"/>
          <w:szCs w:val="21"/>
          <w:highlight w:val="none"/>
        </w:rPr>
        <w:t>日</w:t>
      </w:r>
    </w:p>
    <w:p>
      <w:pPr>
        <w:adjustRightInd w:val="0"/>
        <w:snapToGrid w:val="0"/>
        <w:spacing w:before="156" w:beforeLines="50" w:line="360" w:lineRule="auto"/>
        <w:ind w:firstLine="6510" w:firstLineChars="3100"/>
        <w:rPr>
          <w:rFonts w:ascii="宋体" w:hAnsi="宋体"/>
          <w:color w:val="auto"/>
          <w:szCs w:val="21"/>
          <w:highlight w:val="none"/>
        </w:rPr>
      </w:pPr>
    </w:p>
    <w:p>
      <w:pPr>
        <w:adjustRightInd w:val="0"/>
        <w:snapToGrid w:val="0"/>
        <w:spacing w:before="156" w:beforeLines="50" w:line="360" w:lineRule="auto"/>
        <w:ind w:firstLine="6535" w:firstLineChars="3100"/>
        <w:rPr>
          <w:rFonts w:ascii="宋体" w:hAnsi="宋体"/>
          <w:b/>
          <w:color w:val="auto"/>
          <w:szCs w:val="21"/>
          <w:highlight w:val="none"/>
          <w:u w:val="single"/>
        </w:rPr>
      </w:pPr>
    </w:p>
    <w:p>
      <w:pPr>
        <w:pStyle w:val="3"/>
        <w:keepNext/>
        <w:pageBreakBefore w:val="0"/>
        <w:widowControl w:val="0"/>
        <w:kinsoku/>
        <w:wordWrap/>
        <w:overflowPunct/>
        <w:topLinePunct w:val="0"/>
        <w:autoSpaceDE/>
        <w:autoSpaceDN/>
        <w:bidi w:val="0"/>
        <w:adjustRightInd/>
        <w:snapToGrid/>
        <w:spacing w:line="360" w:lineRule="auto"/>
        <w:textAlignment w:val="auto"/>
        <w:rPr>
          <w:rFonts w:ascii="黑体" w:hAnsi="黑体" w:eastAsia="黑体"/>
          <w:color w:val="auto"/>
          <w:sz w:val="32"/>
          <w:szCs w:val="32"/>
          <w:highlight w:val="none"/>
        </w:rPr>
      </w:pPr>
      <w:r>
        <w:rPr>
          <w:rFonts w:ascii="黑体" w:hAnsi="黑体" w:eastAsia="黑体"/>
          <w:color w:val="auto"/>
          <w:sz w:val="32"/>
          <w:szCs w:val="32"/>
          <w:highlight w:val="none"/>
        </w:rPr>
        <w:br w:type="page"/>
      </w:r>
      <w:bookmarkStart w:id="22" w:name="_Toc10433"/>
      <w:r>
        <w:rPr>
          <w:rFonts w:hint="eastAsia" w:ascii="黑体" w:hAnsi="黑体" w:eastAsia="黑体"/>
          <w:color w:val="auto"/>
          <w:sz w:val="32"/>
          <w:szCs w:val="32"/>
          <w:highlight w:val="none"/>
        </w:rPr>
        <w:t>第二章 谈判须知</w:t>
      </w:r>
      <w:bookmarkEnd w:id="22"/>
    </w:p>
    <w:p>
      <w:pPr>
        <w:pStyle w:val="4"/>
        <w:keepNext/>
        <w:pageBreakBefore w:val="0"/>
        <w:widowControl w:val="0"/>
        <w:kinsoku/>
        <w:wordWrap/>
        <w:overflowPunct/>
        <w:topLinePunct w:val="0"/>
        <w:autoSpaceDE/>
        <w:autoSpaceDN/>
        <w:bidi w:val="0"/>
        <w:adjustRightInd/>
        <w:snapToGrid/>
        <w:jc w:val="center"/>
        <w:textAlignment w:val="auto"/>
        <w:rPr>
          <w:rFonts w:ascii="黑体" w:hAnsi="黑体" w:eastAsia="黑体"/>
          <w:color w:val="auto"/>
          <w:sz w:val="28"/>
          <w:szCs w:val="28"/>
          <w:highlight w:val="none"/>
        </w:rPr>
      </w:pPr>
      <w:bookmarkStart w:id="23" w:name="_Toc27366"/>
      <w:r>
        <w:rPr>
          <w:rFonts w:hint="eastAsia" w:ascii="黑体" w:hAnsi="黑体" w:eastAsia="黑体"/>
          <w:color w:val="auto"/>
          <w:sz w:val="28"/>
          <w:szCs w:val="28"/>
          <w:highlight w:val="none"/>
        </w:rPr>
        <w:t>第一节 谈判须知前附表</w:t>
      </w:r>
      <w:bookmarkEnd w:id="23"/>
    </w:p>
    <w:tbl>
      <w:tblPr>
        <w:tblStyle w:val="47"/>
        <w:tblW w:w="95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1727"/>
        <w:gridCol w:w="621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b/>
                <w:color w:val="auto"/>
                <w:szCs w:val="21"/>
                <w:highlight w:val="none"/>
              </w:rPr>
            </w:pPr>
            <w:r>
              <w:rPr>
                <w:rFonts w:hint="eastAsia" w:ascii="宋体" w:hAnsi="宋体"/>
                <w:b/>
                <w:color w:val="auto"/>
                <w:szCs w:val="21"/>
                <w:highlight w:val="none"/>
              </w:rPr>
              <w:t>条款号</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b/>
                <w:color w:val="auto"/>
                <w:szCs w:val="21"/>
                <w:highlight w:val="none"/>
              </w:rPr>
            </w:pPr>
            <w:r>
              <w:rPr>
                <w:rFonts w:hint="eastAsia" w:ascii="宋体" w:hAnsi="宋体"/>
                <w:b/>
                <w:color w:val="auto"/>
                <w:szCs w:val="21"/>
                <w:highlight w:val="none"/>
              </w:rPr>
              <w:t>条款名称</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b/>
                <w:color w:val="auto"/>
                <w:szCs w:val="21"/>
                <w:highlight w:val="none"/>
              </w:rPr>
            </w:pPr>
            <w:r>
              <w:rPr>
                <w:rFonts w:hint="eastAsia" w:ascii="宋体" w:hAnsi="宋体"/>
                <w:b/>
                <w:color w:val="auto"/>
                <w:szCs w:val="21"/>
                <w:highlight w:val="none"/>
              </w:rPr>
              <w:t>编列内容规定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
                <w:color w:val="auto"/>
                <w:szCs w:val="21"/>
                <w:highlight w:val="none"/>
              </w:rPr>
              <w:t>一、说明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采购项目</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株洲市三三一医院脊柱外科设备一批采购项目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第2.1款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采购项目联系人姓名和电话</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hAnsi="宋体" w:eastAsia="宋体"/>
                <w:color w:val="auto"/>
                <w:szCs w:val="21"/>
                <w:highlight w:val="none"/>
                <w:lang w:eastAsia="zh-CN"/>
              </w:rPr>
            </w:pPr>
            <w:r>
              <w:rPr>
                <w:rFonts w:hint="eastAsia" w:hAnsi="宋体"/>
                <w:color w:val="auto"/>
                <w:szCs w:val="21"/>
                <w:highlight w:val="none"/>
              </w:rPr>
              <w:t>采购项目联系人：</w:t>
            </w:r>
            <w:r>
              <w:rPr>
                <w:rFonts w:hint="eastAsia" w:hAnsi="宋体"/>
                <w:color w:val="auto"/>
                <w:szCs w:val="21"/>
                <w:highlight w:val="none"/>
                <w:lang w:eastAsia="zh-CN"/>
              </w:rPr>
              <w:t>姜柳</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hAnsi="宋体" w:eastAsia="宋体"/>
                <w:color w:val="auto"/>
                <w:szCs w:val="21"/>
                <w:highlight w:val="none"/>
                <w:lang w:eastAsia="zh-CN"/>
              </w:rPr>
            </w:pPr>
            <w:r>
              <w:rPr>
                <w:rFonts w:hint="eastAsia" w:hAnsi="宋体"/>
                <w:color w:val="auto"/>
                <w:szCs w:val="21"/>
                <w:highlight w:val="none"/>
              </w:rPr>
              <w:t>联系电话：</w:t>
            </w:r>
            <w:r>
              <w:rPr>
                <w:rFonts w:hint="eastAsia" w:hAnsi="宋体"/>
                <w:color w:val="auto"/>
                <w:szCs w:val="21"/>
                <w:highlight w:val="none"/>
                <w:lang w:eastAsia="zh-CN"/>
              </w:rPr>
              <w:t>18907338868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第2.2款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采购人名称、地址、联系人、电话</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采 购 人：</w:t>
            </w:r>
            <w:r>
              <w:rPr>
                <w:rFonts w:hint="eastAsia" w:ascii="宋体" w:hAnsi="宋体"/>
                <w:color w:val="auto"/>
                <w:szCs w:val="21"/>
                <w:highlight w:val="none"/>
                <w:lang w:eastAsia="zh-CN"/>
              </w:rPr>
              <w:t xml:space="preserve">株洲市三三一医院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szCs w:val="21"/>
                <w:highlight w:val="none"/>
                <w:shd w:val="clear" w:color="auto" w:fill="FFFFFF"/>
                <w:lang w:eastAsia="zh-CN"/>
              </w:rPr>
            </w:pPr>
            <w:r>
              <w:rPr>
                <w:rFonts w:hint="eastAsia" w:ascii="宋体" w:hAnsi="宋体"/>
                <w:color w:val="auto"/>
                <w:szCs w:val="21"/>
                <w:highlight w:val="none"/>
              </w:rPr>
              <w:t>地    址：</w:t>
            </w:r>
            <w:r>
              <w:rPr>
                <w:rFonts w:hint="eastAsia" w:ascii="Arial" w:hAnsi="Arial" w:cs="Arial"/>
                <w:color w:val="auto"/>
                <w:szCs w:val="21"/>
                <w:highlight w:val="none"/>
                <w:shd w:val="clear" w:color="auto" w:fill="FFFFFF"/>
                <w:lang w:eastAsia="zh-CN"/>
              </w:rPr>
              <w:t>株洲市芦淞区株</w:t>
            </w:r>
            <w:r>
              <w:rPr>
                <w:rFonts w:hint="eastAsia" w:ascii="宋体" w:hAnsi="宋体" w:eastAsia="宋体" w:cs="宋体"/>
                <w:color w:val="auto"/>
                <w:szCs w:val="21"/>
                <w:highlight w:val="none"/>
                <w:shd w:val="clear" w:color="auto" w:fill="FFFFFF"/>
                <w:lang w:eastAsia="zh-CN"/>
              </w:rPr>
              <w:t>董路1398号</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0731-22896883</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第2.3款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采购代理机构名称、地址、联系人、电话</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采购代理机构：</w:t>
            </w:r>
            <w:r>
              <w:rPr>
                <w:rFonts w:hint="eastAsia" w:ascii="宋体" w:hAnsi="宋体"/>
                <w:color w:val="auto"/>
                <w:szCs w:val="21"/>
                <w:highlight w:val="none"/>
                <w:lang w:eastAsia="zh-CN"/>
              </w:rPr>
              <w:t>湖南省中方项目管理有限公司</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color w:val="auto"/>
                <w:szCs w:val="21"/>
                <w:highlight w:val="none"/>
              </w:rPr>
            </w:pPr>
            <w:r>
              <w:rPr>
                <w:rFonts w:hint="eastAsia" w:ascii="宋体" w:hAnsi="宋体"/>
                <w:color w:val="auto"/>
                <w:szCs w:val="21"/>
                <w:highlight w:val="none"/>
              </w:rPr>
              <w:t>地    址：株洲市天元区庐山路69号庐山恋铭逸酒店21楼</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联 系 人：</w:t>
            </w:r>
            <w:r>
              <w:rPr>
                <w:rFonts w:hint="eastAsia" w:ascii="宋体" w:hAnsi="宋体"/>
                <w:color w:val="auto"/>
                <w:szCs w:val="21"/>
                <w:highlight w:val="none"/>
                <w:lang w:val="en-US" w:eastAsia="zh-CN"/>
              </w:rPr>
              <w:t>刘俪璐、</w:t>
            </w:r>
            <w:r>
              <w:rPr>
                <w:rFonts w:hint="eastAsia" w:ascii="宋体" w:hAnsi="宋体"/>
                <w:color w:val="auto"/>
                <w:szCs w:val="21"/>
                <w:highlight w:val="none"/>
                <w:lang w:eastAsia="zh-CN"/>
              </w:rPr>
              <w:t>姜柳</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联系电话：</w:t>
            </w:r>
            <w:r>
              <w:rPr>
                <w:rFonts w:hint="eastAsia" w:ascii="宋体" w:hAnsi="宋体"/>
                <w:color w:val="auto"/>
                <w:szCs w:val="21"/>
                <w:highlight w:val="none"/>
                <w:lang w:eastAsia="zh-CN"/>
              </w:rPr>
              <w:t>18907338868</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tcBorders>
              <w:bottom w:val="single" w:color="auto" w:sz="4" w:space="0"/>
            </w:tcBorders>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 xml:space="preserve">1、供应商的基本资格条件：投标人必须是在中华人民共和国境内注册登记的法人、其他组织或者自然人，且应当符合《政府采购法》第二十二条第一款的规定，即：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（1）具有独立承担民事责任的能力；</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（2）具有良好的商业信誉和健全的财务会计制度；</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（3）具有履行合同所必需的设备和专业技术能力；</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（4）有依法缴纳税收和社会保障资金的良好记录；</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（5）参加政府采购活动前三年内，在经营活动中没有重大违法记录；</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（6）法律、行政法规规定的其他条件。</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2、采购项目的特定资格条件：</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1）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r>
              <w:rPr>
                <w:rFonts w:hint="eastAsia" w:ascii="Times New Roman" w:hAnsi="Times New Roman" w:eastAsia="宋体" w:cs="Times New Roman"/>
                <w:color w:val="auto"/>
                <w:highlight w:val="none"/>
              </w:rPr>
              <w:t>。</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所投设备若纳入中华人民共和国医疗器械监督管理的，第一类医疗器械必须具备食品药品监督管理部门颁发的医疗器械备案凭证；第二、三类医疗器械必须具备食品药品监督管理部门颁发的医疗器械注册证。</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（3）所投第二（三）类医疗器械不是自行生产，必须具备食品药品监督管理部门颁发的相应医疗器械经营备案凭证（医疗器械经营许可证）。</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（4）所投医疗器械均为自行生产的，必须具备食品药品监督管理部门颁发的相应医疗器械生产备案凭证（医疗器械生产许可证）</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（5）本项目为专门面向中小企业采购，所属行业为“工业”，中小微企规模认定按照《中小企业划型标准规定》（工信部联企业〔2011〕300号）执行，供应商须提供《中小企业声明函（货物）》</w:t>
            </w:r>
          </w:p>
          <w:p>
            <w:pPr>
              <w:pStyle w:val="2"/>
              <w:rPr>
                <w:rFonts w:hint="default"/>
                <w:highlight w:val="none"/>
                <w:lang w:val="en-US"/>
              </w:rPr>
            </w:pPr>
            <w:r>
              <w:rPr>
                <w:rFonts w:hint="default"/>
                <w:highlight w:val="none"/>
                <w:lang w:val="en-US" w:eastAsia="zh-CN"/>
              </w:rPr>
              <w:t>（6）供应商须提供《湖南省政府采购资格承诺函》。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tcBorders>
              <w:bottom w:val="single" w:color="auto" w:sz="4" w:space="0"/>
            </w:tcBorders>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第3.2款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联合体形式</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zCs w:val="21"/>
                <w:highlight w:val="none"/>
              </w:rPr>
              <w:sym w:font="Wingdings" w:char="00FE"/>
            </w:r>
            <w:r>
              <w:rPr>
                <w:rFonts w:hint="eastAsia" w:ascii="宋体" w:hAnsi="宋体"/>
                <w:color w:val="auto"/>
                <w:szCs w:val="21"/>
                <w:highlight w:val="none"/>
              </w:rPr>
              <w:t xml:space="preserve"> 不接受。</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zCs w:val="21"/>
                <w:highlight w:val="none"/>
              </w:rPr>
              <w:sym w:font="Wingdings" w:char="00A8"/>
            </w:r>
            <w:r>
              <w:rPr>
                <w:rFonts w:hint="eastAsia" w:ascii="宋体" w:hAnsi="宋体"/>
                <w:color w:val="auto"/>
                <w:szCs w:val="21"/>
                <w:highlight w:val="none"/>
              </w:rPr>
              <w:t xml:space="preserve"> 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第3.3款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Cs/>
                <w:color w:val="auto"/>
                <w:szCs w:val="21"/>
                <w:highlight w:val="none"/>
              </w:rPr>
            </w:pPr>
            <w:r>
              <w:rPr>
                <w:rFonts w:hint="eastAsia" w:ascii="宋体" w:hAnsi="宋体" w:cs="宋体"/>
                <w:color w:val="auto"/>
                <w:kern w:val="0"/>
                <w:szCs w:val="21"/>
                <w:highlight w:val="none"/>
              </w:rPr>
              <w:t>供应商的</w:t>
            </w:r>
            <w:r>
              <w:rPr>
                <w:rFonts w:hint="eastAsia" w:ascii="宋体" w:hAnsi="宋体"/>
                <w:color w:val="auto"/>
                <w:szCs w:val="21"/>
                <w:highlight w:val="none"/>
              </w:rPr>
              <w:t>邀请方式</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zCs w:val="21"/>
                <w:highlight w:val="none"/>
              </w:rPr>
              <w:sym w:font="Wingdings" w:char="00FE"/>
            </w:r>
            <w:r>
              <w:rPr>
                <w:rFonts w:hint="eastAsia" w:ascii="宋体" w:hAnsi="宋体"/>
                <w:color w:val="auto"/>
                <w:szCs w:val="21"/>
                <w:highlight w:val="none"/>
              </w:rPr>
              <w:t xml:space="preserve"> </w:t>
            </w:r>
            <w:r>
              <w:rPr>
                <w:rFonts w:hint="eastAsia" w:ascii="宋体" w:hAnsi="宋体"/>
                <w:color w:val="auto"/>
                <w:szCs w:val="21"/>
                <w:highlight w:val="none"/>
                <w:lang w:val="zh-CN"/>
              </w:rPr>
              <w:t>通过发布竞争性谈判邀请公告，</w:t>
            </w:r>
            <w:r>
              <w:rPr>
                <w:rFonts w:hint="eastAsia" w:ascii="宋体" w:hAnsi="宋体"/>
                <w:color w:val="auto"/>
                <w:szCs w:val="21"/>
                <w:highlight w:val="none"/>
              </w:rPr>
              <w:t>邀请</w:t>
            </w:r>
            <w:r>
              <w:rPr>
                <w:rFonts w:hint="eastAsia" w:ascii="宋体" w:hAnsi="宋体"/>
                <w:color w:val="auto"/>
                <w:szCs w:val="21"/>
                <w:highlight w:val="none"/>
                <w:lang w:val="zh-CN"/>
              </w:rPr>
              <w:t>供应商参与谈判</w:t>
            </w:r>
            <w:r>
              <w:rPr>
                <w:rFonts w:hint="eastAsia" w:ascii="宋体" w:hAnsi="宋体"/>
                <w:color w:val="auto"/>
                <w:szCs w:val="21"/>
                <w:highlight w:val="none"/>
              </w:rPr>
              <w:t>。</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zCs w:val="21"/>
                <w:highlight w:val="none"/>
              </w:rPr>
              <w:sym w:font="Wingdings" w:char="00A8"/>
            </w:r>
            <w:r>
              <w:rPr>
                <w:rFonts w:hint="eastAsia" w:ascii="宋体" w:hAnsi="宋体"/>
                <w:color w:val="auto"/>
                <w:szCs w:val="21"/>
                <w:highlight w:val="none"/>
              </w:rPr>
              <w:t xml:space="preserve"> </w:t>
            </w:r>
            <w:r>
              <w:rPr>
                <w:rFonts w:hint="eastAsia" w:ascii="宋体" w:hAnsi="宋体"/>
                <w:color w:val="auto"/>
                <w:szCs w:val="21"/>
                <w:highlight w:val="none"/>
                <w:lang w:val="zh-CN"/>
              </w:rPr>
              <w:t>通过发出竞争性谈判邀请函，</w:t>
            </w:r>
            <w:r>
              <w:rPr>
                <w:rFonts w:hint="eastAsia" w:ascii="宋体" w:hAnsi="宋体"/>
                <w:color w:val="auto"/>
                <w:szCs w:val="21"/>
                <w:highlight w:val="none"/>
              </w:rPr>
              <w:t>邀请</w:t>
            </w:r>
            <w:r>
              <w:rPr>
                <w:rFonts w:hint="eastAsia" w:ascii="宋体" w:hAnsi="宋体"/>
                <w:color w:val="auto"/>
                <w:szCs w:val="21"/>
                <w:highlight w:val="none"/>
                <w:lang w:val="zh-CN"/>
              </w:rPr>
              <w:t>供应商参与谈判</w:t>
            </w:r>
            <w:r>
              <w:rPr>
                <w:rFonts w:hint="eastAsia" w:ascii="宋体" w:hAnsi="宋体"/>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第5.1款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现场勘察</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iCs/>
                <w:color w:val="auto"/>
                <w:szCs w:val="21"/>
                <w:highlight w:val="none"/>
              </w:rPr>
            </w:pPr>
            <w:r>
              <w:rPr>
                <w:rFonts w:hint="eastAsia" w:ascii="宋体" w:hAnsi="宋体" w:cs="宋体"/>
                <w:color w:val="auto"/>
                <w:szCs w:val="21"/>
                <w:highlight w:val="none"/>
              </w:rPr>
              <w:sym w:font="Wingdings" w:char="00FE"/>
            </w:r>
            <w:r>
              <w:rPr>
                <w:rFonts w:hint="eastAsia" w:ascii="宋体" w:hAnsi="宋体"/>
                <w:iCs/>
                <w:color w:val="auto"/>
                <w:szCs w:val="21"/>
                <w:highlight w:val="none"/>
              </w:rPr>
              <w:t xml:space="preserve"> 不统一组织现场勘察。</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iCs/>
                <w:color w:val="auto"/>
                <w:szCs w:val="21"/>
                <w:highlight w:val="none"/>
              </w:rPr>
            </w:pPr>
            <w:r>
              <w:rPr>
                <w:rFonts w:hint="eastAsia" w:ascii="宋体" w:hAnsi="宋体" w:cs="宋体"/>
                <w:color w:val="auto"/>
                <w:szCs w:val="21"/>
                <w:highlight w:val="none"/>
              </w:rPr>
              <w:sym w:font="Wingdings" w:char="00A8"/>
            </w:r>
            <w:r>
              <w:rPr>
                <w:rFonts w:hint="eastAsia" w:ascii="宋体" w:hAnsi="宋体"/>
                <w:iCs/>
                <w:color w:val="auto"/>
                <w:szCs w:val="21"/>
                <w:highlight w:val="none"/>
              </w:rPr>
              <w:t xml:space="preserve"> 统一组织现场勘察，现场勘察时间及地点如下:</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iCs/>
                <w:color w:val="auto"/>
                <w:szCs w:val="21"/>
                <w:highlight w:val="none"/>
              </w:rPr>
            </w:pPr>
            <w:r>
              <w:rPr>
                <w:rFonts w:hint="eastAsia" w:ascii="宋体" w:hAnsi="宋体"/>
                <w:iCs/>
                <w:color w:val="auto"/>
                <w:szCs w:val="21"/>
                <w:highlight w:val="none"/>
              </w:rPr>
              <w:t xml:space="preserve">现场勘察时间：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iCs/>
                <w:color w:val="auto"/>
                <w:szCs w:val="21"/>
                <w:highlight w:val="none"/>
                <w:u w:val="single"/>
              </w:rPr>
            </w:pPr>
            <w:r>
              <w:rPr>
                <w:rFonts w:hint="eastAsia" w:ascii="宋体" w:hAnsi="宋体"/>
                <w:iCs/>
                <w:color w:val="auto"/>
                <w:szCs w:val="21"/>
                <w:highlight w:val="none"/>
              </w:rPr>
              <w:t xml:space="preserve">现场勘察地点：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
                <w:color w:val="auto"/>
                <w:szCs w:val="21"/>
                <w:highlight w:val="none"/>
              </w:rPr>
            </w:pPr>
            <w:r>
              <w:rPr>
                <w:rFonts w:hint="eastAsia" w:ascii="宋体" w:hAnsi="宋体"/>
                <w:b/>
                <w:color w:val="auto"/>
                <w:szCs w:val="21"/>
                <w:highlight w:val="none"/>
              </w:rPr>
              <w:t>二、谈判文件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第6.3款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Cs/>
                <w:color w:val="auto"/>
                <w:szCs w:val="21"/>
                <w:highlight w:val="none"/>
              </w:rPr>
              <w:t>谈判文件的实质性变动内容</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u w:val="single"/>
              </w:rPr>
            </w:pPr>
            <w:r>
              <w:rPr>
                <w:rFonts w:hint="eastAsia" w:ascii="宋体" w:hAnsi="宋体" w:cs="宋体"/>
                <w:color w:val="auto"/>
                <w:szCs w:val="21"/>
                <w:highlight w:val="none"/>
              </w:rPr>
              <w:t>可能含谈判文件的技术、服务、合同草案条款等。如有的话，详见谈判现场出具的《采购需求实质性变动通知书》。</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
                <w:color w:val="auto"/>
                <w:szCs w:val="21"/>
                <w:highlight w:val="none"/>
              </w:rPr>
              <w:t>三、响应文件的编写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Merge w:val="restart"/>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第10.3款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ascii="宋体" w:hAnsi="宋体"/>
                <w:color w:val="auto"/>
                <w:szCs w:val="21"/>
                <w:highlight w:val="none"/>
              </w:rPr>
            </w:pPr>
            <w:r>
              <w:rPr>
                <w:rFonts w:hint="eastAsia" w:ascii="宋体" w:hAnsi="宋体"/>
                <w:color w:val="auto"/>
                <w:szCs w:val="21"/>
                <w:highlight w:val="none"/>
              </w:rPr>
              <w:t>采购项目预算</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highlight w:val="none"/>
              </w:rPr>
            </w:pPr>
            <w:r>
              <w:rPr>
                <w:rFonts w:hint="eastAsia"/>
                <w:highlight w:val="none"/>
              </w:rPr>
              <w:t>人民币</w:t>
            </w:r>
            <w:r>
              <w:rPr>
                <w:rFonts w:hint="eastAsia"/>
                <w:b/>
                <w:bCs/>
                <w:highlight w:val="none"/>
                <w:lang w:val="en-US" w:eastAsia="zh-CN"/>
              </w:rPr>
              <w:t>990000</w:t>
            </w:r>
            <w:r>
              <w:rPr>
                <w:rFonts w:hint="eastAsia"/>
                <w:b/>
                <w:bCs/>
                <w:highlight w:val="none"/>
                <w:lang w:eastAsia="zh-CN"/>
              </w:rPr>
              <w:t>.00</w:t>
            </w:r>
            <w:r>
              <w:rPr>
                <w:rFonts w:hint="eastAsia"/>
                <w:highlight w:val="none"/>
              </w:rPr>
              <w:t>元</w:t>
            </w:r>
          </w:p>
          <w:p>
            <w:pPr>
              <w:keepNext w:val="0"/>
              <w:keepLines w:val="0"/>
              <w:pageBreakBefore w:val="0"/>
              <w:widowControl w:val="0"/>
              <w:kinsoku/>
              <w:overflowPunct/>
              <w:topLinePunct w:val="0"/>
              <w:autoSpaceDE/>
              <w:autoSpaceDN/>
              <w:bidi w:val="0"/>
              <w:adjustRightInd w:val="0"/>
              <w:snapToGrid w:val="0"/>
              <w:spacing w:line="360" w:lineRule="exact"/>
              <w:textAlignment w:val="auto"/>
              <w:rPr>
                <w:rFonts w:hint="default"/>
                <w:highlight w:val="none"/>
                <w:lang w:val="en-US" w:eastAsia="zh-CN"/>
              </w:rPr>
            </w:pPr>
            <w:r>
              <w:rPr>
                <w:rFonts w:hint="eastAsia" w:ascii="宋体" w:hAnsi="宋体" w:eastAsia="宋体" w:cs="宋体"/>
                <w:b/>
                <w:bCs/>
                <w:color w:val="auto"/>
                <w:highlight w:val="none"/>
                <w:lang w:val="en-US" w:eastAsia="zh-CN"/>
              </w:rPr>
              <w:t>其中：脊柱UBE手术器械系统：</w:t>
            </w:r>
            <w:r>
              <w:rPr>
                <w:rFonts w:hint="eastAsia" w:ascii="宋体" w:hAnsi="宋体" w:cs="宋体"/>
                <w:b/>
                <w:bCs/>
                <w:color w:val="auto"/>
                <w:highlight w:val="none"/>
                <w:lang w:val="en-US" w:eastAsia="zh-CN"/>
              </w:rPr>
              <w:t>73</w:t>
            </w:r>
            <w:r>
              <w:rPr>
                <w:rFonts w:hint="eastAsia" w:ascii="宋体" w:hAnsi="宋体" w:eastAsia="宋体" w:cs="宋体"/>
                <w:b/>
                <w:bCs/>
                <w:color w:val="auto"/>
                <w:highlight w:val="none"/>
                <w:lang w:val="en-US" w:eastAsia="zh-CN"/>
              </w:rPr>
              <w:t>万元</w:t>
            </w:r>
            <w:r>
              <w:rPr>
                <w:rFonts w:hint="eastAsia" w:ascii="宋体" w:hAnsi="宋体" w:cs="宋体"/>
                <w:b/>
                <w:bCs/>
                <w:color w:val="auto"/>
                <w:highlight w:val="none"/>
                <w:lang w:val="en-US" w:eastAsia="zh-CN"/>
              </w:rPr>
              <w:t>、</w:t>
            </w:r>
            <w:r>
              <w:rPr>
                <w:rFonts w:hint="eastAsia" w:ascii="宋体" w:hAnsi="宋体" w:eastAsia="宋体" w:cs="宋体"/>
                <w:b/>
                <w:bCs/>
                <w:kern w:val="0"/>
                <w:szCs w:val="21"/>
                <w:highlight w:val="none"/>
                <w:lang w:bidi="ar"/>
              </w:rPr>
              <w:t>电生理参数监测仪</w:t>
            </w:r>
            <w:r>
              <w:rPr>
                <w:rFonts w:hint="eastAsia" w:ascii="宋体" w:hAnsi="宋体" w:eastAsia="宋体" w:cs="宋体"/>
                <w:b/>
                <w:bCs/>
                <w:color w:val="auto"/>
                <w:highlight w:val="none"/>
                <w:lang w:val="en-US" w:eastAsia="zh-CN"/>
              </w:rPr>
              <w:t>：</w:t>
            </w:r>
            <w:r>
              <w:rPr>
                <w:rFonts w:hint="eastAsia" w:ascii="宋体" w:hAnsi="宋体" w:cs="宋体"/>
                <w:b/>
                <w:bCs/>
                <w:color w:val="auto"/>
                <w:highlight w:val="none"/>
                <w:lang w:val="en-US" w:eastAsia="zh-CN"/>
              </w:rPr>
              <w:t>26</w:t>
            </w:r>
            <w:r>
              <w:rPr>
                <w:rFonts w:hint="eastAsia" w:ascii="宋体" w:hAnsi="宋体" w:eastAsia="宋体" w:cs="宋体"/>
                <w:b/>
                <w:bCs/>
                <w:color w:val="auto"/>
                <w:highlight w:val="none"/>
                <w:lang w:val="en-US" w:eastAsia="zh-CN"/>
              </w:rPr>
              <w:t>万元</w:t>
            </w:r>
            <w:r>
              <w:rPr>
                <w:rFonts w:hint="eastAsia" w:ascii="宋体" w:hAnsi="宋体" w:cs="宋体"/>
                <w:b/>
                <w:bCs/>
                <w:color w:val="auto"/>
                <w:highlight w:val="none"/>
                <w:lang w:val="en-US" w:eastAsia="zh-CN"/>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Merge w:val="continue"/>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hint="eastAsia" w:ascii="宋体" w:hAnsi="宋体"/>
                <w:color w:val="auto"/>
                <w:szCs w:val="21"/>
                <w:highlight w:val="none"/>
              </w:rPr>
            </w:pP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宋体" w:hAnsi="宋体"/>
                <w:color w:val="auto"/>
                <w:szCs w:val="21"/>
                <w:highlight w:val="none"/>
              </w:rPr>
            </w:pPr>
            <w:r>
              <w:rPr>
                <w:rFonts w:hint="eastAsia" w:ascii="宋体" w:hAnsi="宋体" w:eastAsia="宋体" w:cs="宋体"/>
                <w:color w:val="auto"/>
                <w:szCs w:val="21"/>
                <w:highlight w:val="none"/>
              </w:rPr>
              <w:t>最高限价</w:t>
            </w:r>
          </w:p>
        </w:tc>
        <w:tc>
          <w:tcPr>
            <w:tcW w:w="6211" w:type="dxa"/>
            <w:vAlign w:val="center"/>
          </w:tcPr>
          <w:p>
            <w:pPr>
              <w:adjustRightInd w:val="0"/>
              <w:snapToGrid w:val="0"/>
              <w:spacing w:before="90" w:beforeLines="2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本项目未设定最高限价。</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default" w:ascii="宋体" w:hAnsi="宋体" w:eastAsia="宋体"/>
                <w:b/>
                <w:bCs/>
                <w:color w:val="auto"/>
                <w:szCs w:val="21"/>
                <w:highlight w:val="none"/>
                <w:lang w:val="en-US" w:eastAsia="zh-CN"/>
              </w:rPr>
            </w:pPr>
            <w:r>
              <w:rPr>
                <w:rFonts w:hint="eastAsia" w:ascii="宋体" w:hAnsi="宋体" w:cs="宋体"/>
                <w:color w:val="auto"/>
                <w:szCs w:val="21"/>
                <w:highlight w:val="none"/>
              </w:rPr>
              <w:sym w:font="Wingdings" w:char="00FE"/>
            </w:r>
            <w:r>
              <w:rPr>
                <w:rFonts w:hint="eastAsia" w:ascii="宋体" w:hAnsi="宋体" w:eastAsia="宋体" w:cs="宋体"/>
                <w:color w:val="auto"/>
                <w:szCs w:val="21"/>
                <w:highlight w:val="none"/>
              </w:rPr>
              <w:t>本项目设定了最高限价为：</w:t>
            </w:r>
            <w:r>
              <w:rPr>
                <w:rFonts w:hint="eastAsia" w:ascii="宋体" w:hAnsi="宋体" w:eastAsia="宋体" w:cs="宋体"/>
                <w:b/>
                <w:bCs/>
                <w:color w:val="auto"/>
                <w:szCs w:val="21"/>
                <w:highlight w:val="none"/>
                <w:u w:val="single"/>
              </w:rPr>
              <w:t>人民币</w:t>
            </w:r>
            <w:r>
              <w:rPr>
                <w:rFonts w:hint="eastAsia" w:ascii="宋体" w:hAnsi="宋体" w:cs="宋体"/>
                <w:b/>
                <w:bCs/>
                <w:color w:val="auto"/>
                <w:szCs w:val="21"/>
                <w:highlight w:val="none"/>
                <w:u w:val="single"/>
                <w:lang w:val="en-US" w:eastAsia="zh-CN"/>
              </w:rPr>
              <w:t>990000</w:t>
            </w:r>
            <w:r>
              <w:rPr>
                <w:rFonts w:hint="eastAsia" w:ascii="宋体" w:hAnsi="宋体" w:eastAsia="宋体" w:cs="宋体"/>
                <w:b/>
                <w:bCs/>
                <w:color w:val="auto"/>
                <w:szCs w:val="21"/>
                <w:highlight w:val="none"/>
                <w:u w:val="single"/>
                <w:lang w:val="en-US" w:eastAsia="zh-CN"/>
              </w:rPr>
              <w:t>.00</w:t>
            </w:r>
            <w:r>
              <w:rPr>
                <w:rFonts w:hint="eastAsia" w:ascii="宋体" w:hAnsi="宋体" w:eastAsia="宋体" w:cs="宋体"/>
                <w:b/>
                <w:bCs/>
                <w:color w:val="auto"/>
                <w:szCs w:val="21"/>
                <w:highlight w:val="none"/>
                <w:u w:val="single"/>
              </w:rPr>
              <w:t>元</w:t>
            </w:r>
            <w:r>
              <w:rPr>
                <w:rFonts w:hint="eastAsia" w:ascii="宋体" w:hAnsi="宋体" w:eastAsia="宋体" w:cs="宋体"/>
                <w:b/>
                <w:bCs/>
                <w:color w:val="auto"/>
                <w:szCs w:val="21"/>
                <w:highlight w:val="none"/>
                <w:u w:val="single"/>
                <w:lang w:eastAsia="zh-CN"/>
              </w:rPr>
              <w:t>，</w:t>
            </w:r>
            <w:r>
              <w:rPr>
                <w:rFonts w:hint="eastAsia" w:ascii="宋体" w:hAnsi="宋体" w:eastAsia="宋体" w:cs="宋体"/>
                <w:b/>
                <w:bCs/>
                <w:color w:val="auto"/>
                <w:highlight w:val="none"/>
                <w:u w:val="single"/>
                <w:lang w:val="en-US" w:eastAsia="zh-CN"/>
              </w:rPr>
              <w:t>其中：脊柱UBE手术器械系统：</w:t>
            </w:r>
            <w:r>
              <w:rPr>
                <w:rFonts w:hint="eastAsia" w:ascii="宋体" w:hAnsi="宋体" w:cs="宋体"/>
                <w:b/>
                <w:bCs/>
                <w:color w:val="auto"/>
                <w:highlight w:val="none"/>
                <w:u w:val="single"/>
                <w:lang w:val="en-US" w:eastAsia="zh-CN"/>
              </w:rPr>
              <w:t>73</w:t>
            </w:r>
            <w:r>
              <w:rPr>
                <w:rFonts w:hint="eastAsia" w:ascii="宋体" w:hAnsi="宋体" w:eastAsia="宋体" w:cs="宋体"/>
                <w:b/>
                <w:bCs/>
                <w:color w:val="auto"/>
                <w:highlight w:val="none"/>
                <w:u w:val="single"/>
                <w:lang w:val="en-US" w:eastAsia="zh-CN"/>
              </w:rPr>
              <w:t>万元</w:t>
            </w:r>
            <w:r>
              <w:rPr>
                <w:rFonts w:hint="eastAsia" w:ascii="宋体" w:hAnsi="宋体" w:cs="宋体"/>
                <w:b/>
                <w:bCs/>
                <w:color w:val="auto"/>
                <w:highlight w:val="none"/>
                <w:u w:val="single"/>
                <w:lang w:val="en-US" w:eastAsia="zh-CN"/>
              </w:rPr>
              <w:t>、</w:t>
            </w:r>
            <w:r>
              <w:rPr>
                <w:rFonts w:hint="eastAsia" w:ascii="宋体" w:hAnsi="宋体" w:eastAsia="宋体" w:cs="宋体"/>
                <w:b/>
                <w:bCs/>
                <w:kern w:val="0"/>
                <w:szCs w:val="21"/>
                <w:highlight w:val="none"/>
                <w:u w:val="single"/>
                <w:lang w:bidi="ar"/>
              </w:rPr>
              <w:t>电生理参数监测仪</w:t>
            </w:r>
            <w:r>
              <w:rPr>
                <w:rFonts w:hint="eastAsia" w:ascii="宋体" w:hAnsi="宋体" w:eastAsia="宋体" w:cs="宋体"/>
                <w:b/>
                <w:bCs/>
                <w:color w:val="auto"/>
                <w:highlight w:val="none"/>
                <w:u w:val="single"/>
                <w:lang w:val="en-US" w:eastAsia="zh-CN"/>
              </w:rPr>
              <w:t>：</w:t>
            </w:r>
            <w:r>
              <w:rPr>
                <w:rFonts w:hint="eastAsia" w:ascii="宋体" w:hAnsi="宋体" w:cs="宋体"/>
                <w:b/>
                <w:bCs/>
                <w:color w:val="auto"/>
                <w:highlight w:val="none"/>
                <w:u w:val="single"/>
                <w:lang w:val="en-US" w:eastAsia="zh-CN"/>
              </w:rPr>
              <w:t>26</w:t>
            </w:r>
            <w:r>
              <w:rPr>
                <w:rFonts w:hint="eastAsia" w:ascii="宋体" w:hAnsi="宋体" w:eastAsia="宋体" w:cs="宋体"/>
                <w:b/>
                <w:bCs/>
                <w:color w:val="auto"/>
                <w:highlight w:val="none"/>
                <w:u w:val="single"/>
                <w:lang w:val="en-US" w:eastAsia="zh-CN"/>
              </w:rPr>
              <w:t>万元</w:t>
            </w:r>
            <w:r>
              <w:rPr>
                <w:rFonts w:hint="eastAsia" w:ascii="宋体" w:hAnsi="宋体" w:cs="宋体"/>
                <w:b/>
                <w:bCs/>
                <w:color w:val="auto"/>
                <w:highlight w:val="none"/>
                <w:u w:val="single"/>
                <w:lang w:val="en-US" w:eastAsia="zh-CN"/>
              </w:rPr>
              <w:t>。</w:t>
            </w:r>
            <w:r>
              <w:rPr>
                <w:rFonts w:hint="eastAsia" w:ascii="宋体" w:hAnsi="宋体" w:eastAsia="宋体" w:cs="宋体"/>
                <w:b/>
                <w:bCs/>
                <w:color w:val="auto"/>
                <w:szCs w:val="21"/>
                <w:highlight w:val="none"/>
                <w:u w:val="single"/>
                <w:lang w:val="en-US" w:eastAsia="zh-CN"/>
              </w:rPr>
              <w:t>超过最高限价视为无效投标。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第10.6款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ascii="宋体" w:hAnsi="宋体"/>
                <w:color w:val="auto"/>
                <w:szCs w:val="21"/>
                <w:highlight w:val="none"/>
              </w:rPr>
            </w:pPr>
            <w:r>
              <w:rPr>
                <w:rFonts w:hint="eastAsia" w:ascii="宋体" w:hAnsi="宋体"/>
                <w:color w:val="auto"/>
                <w:szCs w:val="21"/>
                <w:highlight w:val="none"/>
              </w:rPr>
              <w:t>报价的其他要求</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1、总价金额与按单价汇总金额不一致的，以单价金额计算结果为准；</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2、用文字表示的数值与用数字表示的数值不一致，以文字表示的数值为准；</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3、大写金额与小写金额不一致的，以大写金额为准。</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如果供应商不接受对其错误的更正，视为无效响应。</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b/>
                <w:bCs/>
                <w:highlight w:val="none"/>
              </w:rPr>
            </w:pPr>
            <w:r>
              <w:rPr>
                <w:rFonts w:hint="eastAsia" w:ascii="Times New Roman" w:hAnsi="Times New Roman" w:eastAsia="宋体" w:cs="Times New Roman"/>
                <w:b/>
                <w:bCs/>
                <w:highlight w:val="none"/>
                <w:lang w:val="en-US" w:eastAsia="zh-CN"/>
              </w:rPr>
              <w:t>4、</w:t>
            </w:r>
            <w:r>
              <w:rPr>
                <w:rFonts w:hint="eastAsia" w:ascii="Times New Roman" w:hAnsi="Times New Roman" w:eastAsia="宋体" w:cs="Times New Roman"/>
                <w:b/>
                <w:bCs/>
                <w:highlight w:val="none"/>
              </w:rPr>
              <w:t>投标人的报价符合下列情形之一的，评标委员会应当启动异常低价投标审查程序：</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（1）投标（响应）报价低于全部通过符合性审查供应商投标（响应）报价平均值65%的，即投标（响应）报价&lt;全部通过符合性审查供应商投标（响应）报价平均值×65%；</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（2）投标（响应）报价低于通过符合性审查的次低报价供应商投标（响应）报价65%的，即投标（响应）报价&lt;通过符合性审查的次低报价供应商投标（响应）报价×65%；</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（3）投标（响应）报价低于采购项目最高限价65%的，即投标（响应）报价&lt;采购项目最高限价×65%；</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（4）评审委员会基于专业判断，认为供应商报价过低，有可能影响产品质量或者不能诚信履约的其他情形。</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b/>
                <w:bCs/>
                <w:highlight w:val="none"/>
                <w:lang w:val="en-US" w:eastAsia="zh-CN"/>
              </w:rPr>
            </w:pPr>
            <w:r>
              <w:rPr>
                <w:rFonts w:hint="eastAsia" w:ascii="Times New Roman" w:hAnsi="Times New Roman" w:eastAsia="宋体" w:cs="Times New Roman"/>
                <w:b/>
                <w:bCs/>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投标人提交证明材料的时间不得超过60分钟。其中，属于第3项情形，供应商已随投标（响应）文件一并提交相关书面说明及必要的证明材料的，在评审现场可不再重复提交。</w:t>
            </w:r>
          </w:p>
          <w:p>
            <w:pPr>
              <w:keepNext w:val="0"/>
              <w:keepLines w:val="0"/>
              <w:pageBreakBefore w:val="0"/>
              <w:widowControl w:val="0"/>
              <w:overflowPunct/>
              <w:topLinePunct w:val="0"/>
              <w:autoSpaceDE/>
              <w:autoSpaceDN/>
              <w:bidi w:val="0"/>
              <w:adjustRightInd/>
              <w:snapToGrid/>
              <w:spacing w:line="240" w:lineRule="auto"/>
              <w:ind w:firstLine="0" w:firstLineChars="0"/>
              <w:jc w:val="left"/>
              <w:textAlignment w:val="auto"/>
              <w:rPr>
                <w:rFonts w:hint="eastAsia" w:ascii="Times New Roman" w:hAnsi="Times New Roman" w:eastAsia="宋体" w:cs="Times New Roman"/>
                <w:highlight w:val="none"/>
              </w:rPr>
            </w:pPr>
            <w:r>
              <w:rPr>
                <w:rFonts w:hint="eastAsia" w:ascii="Times New Roman" w:hAnsi="Times New Roman" w:eastAsia="宋体" w:cs="Times New Roman"/>
                <w:b/>
                <w:bCs/>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Times New Roman" w:hAnsi="Times New Roman" w:eastAsia="宋体" w:cs="Times New Roman"/>
                <w:b/>
                <w:bCs/>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第11.1款</w:t>
            </w:r>
          </w:p>
        </w:tc>
        <w:tc>
          <w:tcPr>
            <w:tcW w:w="1727" w:type="dxa"/>
            <w:shd w:val="clear" w:color="auto" w:fill="auto"/>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保证金</w:t>
            </w:r>
          </w:p>
        </w:tc>
        <w:tc>
          <w:tcPr>
            <w:tcW w:w="6211" w:type="dxa"/>
            <w:shd w:val="clear" w:color="auto" w:fill="auto"/>
            <w:vAlign w:val="center"/>
          </w:tcPr>
          <w:p>
            <w:pPr>
              <w:keepNext w:val="0"/>
              <w:keepLines w:val="0"/>
              <w:pageBreakBefore w:val="0"/>
              <w:widowControl w:val="0"/>
              <w:overflowPunct/>
              <w:topLinePunct w:val="0"/>
              <w:autoSpaceDE/>
              <w:autoSpaceDN/>
              <w:bidi w:val="0"/>
              <w:adjustRightInd/>
              <w:snapToGrid/>
              <w:spacing w:line="240" w:lineRule="auto"/>
              <w:textAlignment w:val="auto"/>
              <w:rPr>
                <w:rFonts w:hint="eastAsia" w:ascii="宋体" w:hAnsi="宋体" w:eastAsia="宋体"/>
                <w:b/>
                <w:bCs/>
                <w:color w:val="auto"/>
                <w:szCs w:val="21"/>
                <w:highlight w:val="none"/>
              </w:rPr>
            </w:pPr>
            <w:r>
              <w:rPr>
                <w:rFonts w:hint="eastAsia" w:ascii="宋体" w:hAnsi="宋体" w:eastAsia="宋体"/>
                <w:b/>
                <w:bCs/>
                <w:color w:val="auto"/>
                <w:szCs w:val="21"/>
                <w:highlight w:val="none"/>
              </w:rPr>
              <w:t>要求提供：人民币</w:t>
            </w:r>
            <w:r>
              <w:rPr>
                <w:rFonts w:hint="eastAsia" w:ascii="宋体" w:hAnsi="宋体" w:eastAsia="宋体"/>
                <w:b/>
                <w:bCs/>
                <w:color w:val="auto"/>
                <w:szCs w:val="21"/>
                <w:highlight w:val="none"/>
                <w:lang w:val="en-US" w:eastAsia="zh-CN"/>
              </w:rPr>
              <w:t>玖</w:t>
            </w:r>
            <w:r>
              <w:rPr>
                <w:rFonts w:hint="eastAsia" w:ascii="宋体" w:hAnsi="宋体" w:eastAsia="宋体"/>
                <w:b/>
                <w:bCs/>
                <w:color w:val="auto"/>
                <w:szCs w:val="21"/>
                <w:highlight w:val="none"/>
              </w:rPr>
              <w:t>仟元整。</w:t>
            </w:r>
          </w:p>
          <w:p>
            <w:pPr>
              <w:keepNext w:val="0"/>
              <w:keepLines w:val="0"/>
              <w:pageBreakBefore w:val="0"/>
              <w:widowControl w:val="0"/>
              <w:overflowPunct/>
              <w:topLinePunct w:val="0"/>
              <w:autoSpaceDE/>
              <w:autoSpaceDN/>
              <w:bidi w:val="0"/>
              <w:adjustRightInd/>
              <w:snapToGrid/>
              <w:spacing w:line="240" w:lineRule="auto"/>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递交方式：投标保证金必须是从投标人单位基本账户转（汇）入投标保证金的托管账户管理，以现金方式和非投标人单位账户提交的投标保证金无效；投标保证金托管账户如下：</w:t>
            </w:r>
          </w:p>
          <w:p>
            <w:pPr>
              <w:keepNext w:val="0"/>
              <w:keepLines w:val="0"/>
              <w:pageBreakBefore w:val="0"/>
              <w:widowControl w:val="0"/>
              <w:overflowPunct/>
              <w:topLinePunct w:val="0"/>
              <w:autoSpaceDE/>
              <w:autoSpaceDN/>
              <w:bidi w:val="0"/>
              <w:adjustRightInd/>
              <w:snapToGrid/>
              <w:spacing w:line="240" w:lineRule="auto"/>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账户名称：</w:t>
            </w:r>
            <w:r>
              <w:rPr>
                <w:rFonts w:hint="eastAsia" w:ascii="宋体" w:hAnsi="宋体" w:eastAsia="宋体" w:cs="宋体"/>
                <w:b/>
                <w:bCs/>
                <w:color w:val="auto"/>
                <w:highlight w:val="none"/>
              </w:rPr>
              <w:t>湖南省中方项目管理有限公司政府采购保证金专户</w:t>
            </w:r>
          </w:p>
          <w:p>
            <w:pPr>
              <w:keepNext w:val="0"/>
              <w:keepLines w:val="0"/>
              <w:pageBreakBefore w:val="0"/>
              <w:widowControl w:val="0"/>
              <w:overflowPunct/>
              <w:topLinePunct w:val="0"/>
              <w:autoSpaceDE/>
              <w:autoSpaceDN/>
              <w:bidi w:val="0"/>
              <w:adjustRightInd/>
              <w:snapToGrid/>
              <w:spacing w:line="240" w:lineRule="auto"/>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开户银行：</w:t>
            </w:r>
            <w:r>
              <w:rPr>
                <w:rFonts w:hint="eastAsia" w:ascii="宋体" w:hAnsi="宋体" w:eastAsia="宋体" w:cs="宋体"/>
                <w:b/>
                <w:bCs/>
                <w:color w:val="auto"/>
                <w:highlight w:val="none"/>
              </w:rPr>
              <w:t>广发银行股份有限公司长沙分行营业部</w:t>
            </w:r>
          </w:p>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eastAsia="宋体"/>
                <w:color w:val="auto"/>
                <w:szCs w:val="21"/>
                <w:highlight w:val="none"/>
              </w:rPr>
            </w:pPr>
            <w:r>
              <w:rPr>
                <w:rFonts w:hint="eastAsia" w:ascii="宋体" w:hAnsi="宋体" w:eastAsia="宋体"/>
                <w:color w:val="auto"/>
                <w:szCs w:val="21"/>
                <w:highlight w:val="none"/>
              </w:rPr>
              <w:t>银行账号：</w:t>
            </w:r>
            <w:r>
              <w:rPr>
                <w:rFonts w:hint="eastAsia" w:ascii="宋体" w:hAnsi="宋体" w:eastAsia="宋体" w:cs="宋体"/>
                <w:b/>
                <w:bCs/>
                <w:color w:val="auto"/>
                <w:highlight w:val="none"/>
              </w:rPr>
              <w:t>9550880221839500369</w:t>
            </w:r>
          </w:p>
          <w:p>
            <w:pPr>
              <w:keepNext w:val="0"/>
              <w:keepLines w:val="0"/>
              <w:pageBreakBefore w:val="0"/>
              <w:widowControl w:val="0"/>
              <w:overflowPunct/>
              <w:topLinePunct w:val="0"/>
              <w:autoSpaceDE/>
              <w:autoSpaceDN/>
              <w:bidi w:val="0"/>
              <w:adjustRightInd/>
              <w:snapToGrid/>
              <w:spacing w:line="240" w:lineRule="auto"/>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该账号仅为此项目的保证金托管账户，请勿与其它项目的账号混淆，发生串户则视为无效保证金。</w:t>
            </w:r>
          </w:p>
          <w:p>
            <w:pPr>
              <w:keepNext w:val="0"/>
              <w:keepLines w:val="0"/>
              <w:pageBreakBefore w:val="0"/>
              <w:widowControl w:val="0"/>
              <w:overflowPunct/>
              <w:topLinePunct w:val="0"/>
              <w:autoSpaceDE/>
              <w:autoSpaceDN/>
              <w:bidi w:val="0"/>
              <w:adjustRightInd/>
              <w:snapToGrid/>
              <w:spacing w:line="240" w:lineRule="auto"/>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（1）在转账票据摘要处须注明：“</w:t>
            </w:r>
            <w:r>
              <w:rPr>
                <w:rFonts w:hint="eastAsia" w:ascii="宋体" w:hAnsi="宋体" w:eastAsia="宋体"/>
                <w:color w:val="auto"/>
                <w:szCs w:val="21"/>
                <w:highlight w:val="none"/>
                <w:u w:val="single"/>
              </w:rPr>
              <w:t xml:space="preserve"> </w:t>
            </w:r>
            <w:r>
              <w:rPr>
                <w:rFonts w:hint="eastAsia" w:ascii="宋体" w:hAnsi="宋体"/>
                <w:color w:val="auto"/>
                <w:szCs w:val="21"/>
                <w:highlight w:val="none"/>
                <w:u w:val="single"/>
                <w:lang w:eastAsia="zh-CN"/>
              </w:rPr>
              <w:t>株洲市三三一医院脊柱外科设备一批采购项目</w:t>
            </w:r>
            <w:r>
              <w:rPr>
                <w:rFonts w:hint="eastAsia" w:ascii="宋体" w:hAnsi="宋体" w:eastAsia="宋体"/>
                <w:color w:val="auto"/>
                <w:szCs w:val="21"/>
                <w:highlight w:val="none"/>
              </w:rPr>
              <w:t xml:space="preserve"> 投标保证金”。（如“项目名称”字符过多，转账票据摘要处填写不下的，则“取‘项目名称’前面字符”填入。）</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eastAsia="宋体"/>
                <w:color w:val="auto"/>
                <w:szCs w:val="21"/>
                <w:highlight w:val="none"/>
              </w:rPr>
              <w:t>（2）投标保证金到帐截止时间为投标截止时间。（为确保投标保证金按时到账，请投标人于开标日前一个工作日下午3：00前提交。）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第12.1款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Cs/>
                <w:color w:val="auto"/>
                <w:szCs w:val="21"/>
                <w:highlight w:val="none"/>
              </w:rPr>
            </w:pPr>
            <w:r>
              <w:rPr>
                <w:rFonts w:hint="eastAsia" w:ascii="宋体" w:hAnsi="宋体"/>
                <w:bCs/>
                <w:color w:val="auto"/>
                <w:szCs w:val="21"/>
                <w:highlight w:val="none"/>
              </w:rPr>
              <w:t>响应文件有效期</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Cs/>
                <w:color w:val="auto"/>
                <w:szCs w:val="21"/>
                <w:highlight w:val="none"/>
              </w:rPr>
            </w:pPr>
            <w:r>
              <w:rPr>
                <w:rFonts w:hint="eastAsia" w:ascii="宋体" w:hAnsi="宋体" w:cs="宋体"/>
                <w:color w:val="auto"/>
                <w:szCs w:val="21"/>
                <w:highlight w:val="none"/>
                <w:u w:val="single"/>
              </w:rPr>
              <w:t xml:space="preserve">  90 </w:t>
            </w:r>
            <w:r>
              <w:rPr>
                <w:rFonts w:hint="eastAsia" w:ascii="宋体" w:hAnsi="宋体" w:cs="宋体"/>
                <w:color w:val="auto"/>
                <w:szCs w:val="21"/>
                <w:highlight w:val="none"/>
              </w:rPr>
              <w:t>日（日历天）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第13.1款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Cs/>
                <w:color w:val="auto"/>
                <w:szCs w:val="21"/>
                <w:highlight w:val="none"/>
              </w:rPr>
            </w:pPr>
            <w:r>
              <w:rPr>
                <w:rFonts w:hint="eastAsia" w:ascii="宋体" w:hAnsi="宋体"/>
                <w:bCs/>
                <w:color w:val="auto"/>
                <w:szCs w:val="21"/>
                <w:highlight w:val="none"/>
              </w:rPr>
              <w:t>分包</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cs="宋体"/>
                <w:color w:val="auto"/>
                <w:szCs w:val="21"/>
                <w:highlight w:val="none"/>
              </w:rPr>
              <w:sym w:font="Wingdings" w:char="00FE"/>
            </w:r>
            <w:r>
              <w:rPr>
                <w:rFonts w:hint="eastAsia" w:ascii="宋体" w:hAnsi="宋体" w:cs="宋体"/>
                <w:color w:val="auto"/>
                <w:szCs w:val="21"/>
                <w:highlight w:val="none"/>
              </w:rPr>
              <w:t xml:space="preserve"> 不允许</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cs="宋体"/>
                <w:color w:val="auto"/>
                <w:szCs w:val="21"/>
                <w:highlight w:val="none"/>
              </w:rPr>
              <w:sym w:font="Wingdings" w:char="00A8"/>
            </w:r>
            <w:r>
              <w:rPr>
                <w:rFonts w:hint="eastAsia" w:ascii="宋体" w:hAnsi="宋体" w:cs="宋体"/>
                <w:color w:val="auto"/>
                <w:szCs w:val="21"/>
                <w:highlight w:val="none"/>
              </w:rPr>
              <w:t xml:space="preserve"> 允许</w:t>
            </w:r>
            <w:r>
              <w:rPr>
                <w:rFonts w:hint="eastAsia" w:ascii="宋体" w:hAnsi="宋体"/>
                <w:color w:val="auto"/>
                <w:highlight w:val="none"/>
              </w:rPr>
              <w:t>在中标后将中</w:t>
            </w:r>
            <w:r>
              <w:rPr>
                <w:rFonts w:hint="eastAsia" w:ascii="宋体" w:hAnsi="宋体"/>
                <w:color w:val="auto"/>
                <w:szCs w:val="21"/>
                <w:highlight w:val="none"/>
              </w:rPr>
              <w:t>标项目的非主体、非关键性工作进行分包，但须满足下列条件：</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u w:val="single"/>
              </w:rPr>
            </w:pPr>
            <w:r>
              <w:rPr>
                <w:rFonts w:hint="eastAsia" w:ascii="宋体" w:hAnsi="宋体"/>
                <w:color w:val="auto"/>
                <w:szCs w:val="21"/>
                <w:highlight w:val="none"/>
              </w:rPr>
              <w:t>1、分包内容：</w:t>
            </w:r>
            <w:r>
              <w:rPr>
                <w:rFonts w:hint="eastAsia" w:ascii="宋体" w:hAnsi="宋体"/>
                <w:color w:val="auto"/>
                <w:szCs w:val="21"/>
                <w:highlight w:val="none"/>
                <w:u w:val="single"/>
              </w:rPr>
              <w:t xml:space="preserve">               /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u w:val="single"/>
              </w:rPr>
            </w:pPr>
            <w:r>
              <w:rPr>
                <w:rFonts w:hint="eastAsia" w:ascii="宋体" w:hAnsi="宋体"/>
                <w:color w:val="auto"/>
                <w:szCs w:val="21"/>
                <w:highlight w:val="none"/>
              </w:rPr>
              <w:t>2、分包金额：</w:t>
            </w:r>
            <w:r>
              <w:rPr>
                <w:rFonts w:hint="eastAsia" w:ascii="宋体" w:hAnsi="宋体"/>
                <w:color w:val="auto"/>
                <w:szCs w:val="21"/>
                <w:highlight w:val="none"/>
                <w:u w:val="single"/>
              </w:rPr>
              <w:t xml:space="preserve">               /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
                <w:bCs/>
                <w:color w:val="auto"/>
                <w:szCs w:val="21"/>
                <w:highlight w:val="none"/>
                <w:u w:val="single"/>
              </w:rPr>
            </w:pPr>
            <w:r>
              <w:rPr>
                <w:rFonts w:hint="eastAsia" w:ascii="宋体" w:hAnsi="宋体"/>
                <w:color w:val="auto"/>
                <w:szCs w:val="21"/>
                <w:highlight w:val="none"/>
              </w:rPr>
              <w:t>3、分包单位资质要求：</w:t>
            </w:r>
            <w:r>
              <w:rPr>
                <w:rFonts w:hint="eastAsia" w:ascii="宋体" w:hAnsi="宋体"/>
                <w:color w:val="auto"/>
                <w:szCs w:val="21"/>
                <w:highlight w:val="none"/>
                <w:u w:val="single"/>
              </w:rPr>
              <w:t xml:space="preserve">       /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第14.2款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Cs/>
                <w:color w:val="auto"/>
                <w:szCs w:val="21"/>
                <w:highlight w:val="none"/>
              </w:rPr>
              <w:t>响应</w:t>
            </w:r>
            <w:r>
              <w:rPr>
                <w:rFonts w:hint="eastAsia" w:ascii="宋体" w:hAnsi="宋体"/>
                <w:color w:val="auto"/>
                <w:szCs w:val="21"/>
                <w:highlight w:val="none"/>
              </w:rPr>
              <w:t>文件份数</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eastAsia="宋体"/>
                <w:color w:val="auto"/>
                <w:szCs w:val="21"/>
                <w:highlight w:val="none"/>
                <w:u w:val="single"/>
              </w:rPr>
            </w:pPr>
            <w:r>
              <w:rPr>
                <w:rFonts w:hint="eastAsia" w:ascii="宋体" w:hAnsi="宋体" w:eastAsia="宋体"/>
                <w:color w:val="auto"/>
                <w:szCs w:val="21"/>
                <w:highlight w:val="none"/>
              </w:rPr>
              <w:t>纸质档</w:t>
            </w:r>
            <w:r>
              <w:rPr>
                <w:rFonts w:hint="eastAsia" w:ascii="宋体" w:hAnsi="宋体" w:eastAsia="宋体"/>
                <w:color w:val="auto"/>
                <w:szCs w:val="21"/>
                <w:highlight w:val="none"/>
                <w:u w:val="single"/>
              </w:rPr>
              <w:t xml:space="preserve"> 3 </w:t>
            </w:r>
            <w:r>
              <w:rPr>
                <w:rFonts w:hint="eastAsia" w:ascii="宋体" w:hAnsi="宋体" w:eastAsia="宋体"/>
                <w:color w:val="auto"/>
                <w:szCs w:val="21"/>
                <w:highlight w:val="none"/>
              </w:rPr>
              <w:t>份，电子档1份（即：响应文件：一正二副；电子文档：一份。）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
                <w:bCs/>
                <w:color w:val="auto"/>
                <w:szCs w:val="21"/>
                <w:highlight w:val="none"/>
              </w:rPr>
            </w:pPr>
            <w:r>
              <w:rPr>
                <w:rFonts w:hint="eastAsia" w:ascii="宋体" w:hAnsi="宋体"/>
                <w:b/>
                <w:color w:val="auto"/>
                <w:szCs w:val="21"/>
                <w:highlight w:val="none"/>
              </w:rPr>
              <w:t>四、响应文件的递交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第15.2款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封套上应载明的信息</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u w:val="single"/>
              </w:rPr>
              <w:t xml:space="preserve">       （项目名称）      </w:t>
            </w:r>
            <w:r>
              <w:rPr>
                <w:rFonts w:hint="eastAsia" w:ascii="宋体" w:hAnsi="宋体"/>
                <w:color w:val="auto"/>
                <w:szCs w:val="21"/>
                <w:highlight w:val="none"/>
              </w:rPr>
              <w:t>响应文件</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u w:val="single"/>
              </w:rPr>
            </w:pPr>
            <w:r>
              <w:rPr>
                <w:rFonts w:hint="eastAsia" w:ascii="宋体" w:hAnsi="宋体"/>
                <w:color w:val="auto"/>
                <w:szCs w:val="21"/>
                <w:highlight w:val="none"/>
              </w:rPr>
              <w:t>政府采购编号：</w:t>
            </w:r>
            <w:r>
              <w:rPr>
                <w:rFonts w:hint="eastAsia" w:ascii="宋体" w:hAnsi="宋体"/>
                <w:color w:val="auto"/>
                <w:szCs w:val="21"/>
                <w:highlight w:val="none"/>
                <w:u w:val="single"/>
              </w:rPr>
              <w:t xml:space="preserve">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委托代理编号：</w:t>
            </w:r>
            <w:r>
              <w:rPr>
                <w:rFonts w:hint="eastAsia" w:ascii="宋体" w:hAnsi="宋体"/>
                <w:color w:val="auto"/>
                <w:szCs w:val="21"/>
                <w:highlight w:val="none"/>
                <w:u w:val="single"/>
              </w:rPr>
              <w:t xml:space="preserve">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包或品目名：</w:t>
            </w:r>
            <w:r>
              <w:rPr>
                <w:rFonts w:hint="eastAsia" w:ascii="宋体" w:hAnsi="宋体"/>
                <w:color w:val="auto"/>
                <w:szCs w:val="21"/>
                <w:highlight w:val="none"/>
                <w:u w:val="single"/>
              </w:rPr>
              <w:t xml:space="preserve">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在</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hint="eastAsia" w:ascii="宋体" w:hAnsi="宋体"/>
                <w:color w:val="auto"/>
                <w:szCs w:val="21"/>
                <w:highlight w:val="none"/>
                <w:u w:val="single"/>
              </w:rPr>
              <w:t xml:space="preserve">   </w:t>
            </w:r>
            <w:r>
              <w:rPr>
                <w:rFonts w:hint="eastAsia" w:ascii="宋体" w:hAnsi="宋体"/>
                <w:color w:val="auto"/>
                <w:szCs w:val="21"/>
                <w:highlight w:val="none"/>
              </w:rPr>
              <w:t>时</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分之前不得启封 </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u w:val="single"/>
              </w:rPr>
            </w:pPr>
            <w:r>
              <w:rPr>
                <w:rFonts w:hint="eastAsia" w:ascii="宋体" w:hAnsi="宋体"/>
                <w:color w:val="auto"/>
                <w:szCs w:val="21"/>
                <w:highlight w:val="none"/>
              </w:rPr>
              <w:t>法人或授权代表签字：</w:t>
            </w:r>
            <w:r>
              <w:rPr>
                <w:rFonts w:hint="eastAsia" w:ascii="宋体" w:hAnsi="宋体"/>
                <w:color w:val="auto"/>
                <w:szCs w:val="21"/>
                <w:highlight w:val="none"/>
                <w:u w:val="singl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第17.1款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响应文件的递交</w:t>
            </w:r>
            <w:r>
              <w:rPr>
                <w:rFonts w:hint="eastAsia" w:ascii="宋体" w:hAnsi="宋体"/>
                <w:bCs/>
                <w:color w:val="auto"/>
                <w:szCs w:val="21"/>
                <w:highlight w:val="none"/>
              </w:rPr>
              <w:t>时间和</w:t>
            </w:r>
            <w:r>
              <w:rPr>
                <w:rFonts w:hint="eastAsia" w:ascii="宋体" w:hAnsi="宋体"/>
                <w:color w:val="auto"/>
                <w:szCs w:val="21"/>
                <w:highlight w:val="none"/>
              </w:rPr>
              <w:t>地点</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cs="宋体"/>
                <w:color w:val="auto"/>
                <w:szCs w:val="21"/>
                <w:highlight w:val="none"/>
              </w:rPr>
              <w:t>1、递交响应文件的截止时间：</w:t>
            </w:r>
            <w:r>
              <w:rPr>
                <w:rFonts w:hint="eastAsia" w:ascii="宋体" w:hAnsi="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 xml:space="preserve">分 </w:t>
            </w:r>
            <w:r>
              <w:rPr>
                <w:rFonts w:hint="eastAsia" w:ascii="宋体" w:hAnsi="宋体" w:cs="宋体"/>
                <w:color w:val="auto"/>
                <w:szCs w:val="21"/>
                <w:highlight w:val="none"/>
              </w:rPr>
              <w:t>（北京时间）。</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ascii="宋体" w:hAnsi="宋体" w:eastAsia="宋体"/>
                <w:color w:val="auto"/>
                <w:szCs w:val="21"/>
                <w:highlight w:val="none"/>
                <w:lang w:eastAsia="zh-CN"/>
              </w:rPr>
            </w:pPr>
            <w:r>
              <w:rPr>
                <w:rFonts w:hint="eastAsia" w:ascii="宋体" w:hAnsi="宋体" w:cs="宋体"/>
                <w:color w:val="auto"/>
                <w:szCs w:val="21"/>
                <w:highlight w:val="none"/>
              </w:rPr>
              <w:t>2、响应文件的递交地点：</w:t>
            </w:r>
            <w:r>
              <w:rPr>
                <w:rFonts w:hint="eastAsia" w:ascii="宋体" w:hAnsi="宋体" w:cs="宋体"/>
                <w:bCs/>
                <w:color w:val="auto"/>
                <w:szCs w:val="21"/>
                <w:highlight w:val="none"/>
                <w:lang w:eastAsia="zh-CN"/>
              </w:rPr>
              <w:t>株洲市天元区庐山路69号铭逸酒店21楼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
                <w:bCs/>
                <w:color w:val="auto"/>
                <w:szCs w:val="21"/>
                <w:highlight w:val="none"/>
              </w:rPr>
            </w:pPr>
            <w:r>
              <w:rPr>
                <w:rFonts w:hint="eastAsia" w:ascii="宋体" w:hAnsi="宋体"/>
                <w:b/>
                <w:bCs/>
                <w:color w:val="auto"/>
                <w:szCs w:val="21"/>
                <w:highlight w:val="none"/>
              </w:rPr>
              <w:t>五、响应文件的评审与谈判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第21.4款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
                <w:bCs/>
                <w:color w:val="auto"/>
                <w:szCs w:val="21"/>
                <w:highlight w:val="none"/>
              </w:rPr>
              <w:t>谈判文件规定的实质性要求和条件</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eastAsia="宋体" w:cs="宋体"/>
                <w:b/>
                <w:bCs/>
                <w:color w:val="auto"/>
                <w:sz w:val="21"/>
                <w:szCs w:val="21"/>
                <w:highlight w:val="none"/>
              </w:rPr>
              <w:t>实质性响应是指响应文件(包括首次响应文件、重新提交的响应文件)与谈判文件要求的所有条款、条件和规格相符，没有</w:t>
            </w:r>
            <w:r>
              <w:rPr>
                <w:rFonts w:hint="eastAsia" w:ascii="宋体" w:hAnsi="宋体" w:eastAsia="宋体" w:cs="宋体"/>
                <w:b/>
                <w:bCs/>
                <w:color w:val="auto"/>
                <w:sz w:val="21"/>
                <w:szCs w:val="21"/>
                <w:highlight w:val="none"/>
                <w:lang w:val="en-US" w:eastAsia="zh-CN"/>
              </w:rPr>
              <w:t>负</w:t>
            </w:r>
            <w:r>
              <w:rPr>
                <w:rFonts w:hint="eastAsia" w:ascii="宋体" w:hAnsi="宋体" w:eastAsia="宋体" w:cs="宋体"/>
                <w:b/>
                <w:bCs/>
                <w:color w:val="auto"/>
                <w:sz w:val="21"/>
                <w:szCs w:val="21"/>
                <w:highlight w:val="none"/>
              </w:rPr>
              <w:t>偏离。偏离指不满足、或不响应谈判文件的要求。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第27.2款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最后报价的算术修正</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cs="宋体"/>
                <w:color w:val="auto"/>
                <w:szCs w:val="21"/>
                <w:highlight w:val="none"/>
              </w:rPr>
              <w:t>1、总价金额与按单价汇总金额不一致的，以单价金额计算结果为准；</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cs="宋体"/>
                <w:color w:val="auto"/>
                <w:szCs w:val="21"/>
                <w:highlight w:val="none"/>
              </w:rPr>
              <w:t>2、用文字表示的数值与用数字表示的数值不一致，以文字表示的数值为准；</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s="宋体"/>
                <w:color w:val="auto"/>
                <w:szCs w:val="21"/>
                <w:highlight w:val="none"/>
              </w:rPr>
            </w:pPr>
            <w:r>
              <w:rPr>
                <w:rFonts w:hint="eastAsia" w:ascii="宋体" w:hAnsi="宋体" w:cs="宋体"/>
                <w:color w:val="auto"/>
                <w:szCs w:val="21"/>
                <w:highlight w:val="none"/>
              </w:rPr>
              <w:t>3、大写金额与小写金额不一致的，以大写金额为准。</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zCs w:val="21"/>
                <w:highlight w:val="none"/>
              </w:rPr>
              <w:t>如果供应商不接受对其错误的更正，其投标将被拒绝。</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b/>
                <w:color w:val="auto"/>
                <w:szCs w:val="21"/>
                <w:highlight w:val="none"/>
              </w:rPr>
              <w:t>六、成交结果信息公布与供应商质疑</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第33.1款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财政部门指定的媒体</w:t>
            </w:r>
          </w:p>
        </w:tc>
        <w:tc>
          <w:tcPr>
            <w:tcW w:w="6211" w:type="dxa"/>
            <w:vAlign w:val="center"/>
          </w:tcPr>
          <w:p>
            <w:pPr>
              <w:keepNext w:val="0"/>
              <w:keepLines w:val="0"/>
              <w:pageBreakBefore w:val="0"/>
              <w:widowControl w:val="0"/>
              <w:kinsoku w:val="0"/>
              <w:wordWrap w:val="0"/>
              <w:overflowPunct/>
              <w:topLinePunct w:val="0"/>
              <w:autoSpaceDE/>
              <w:autoSpaceDN/>
              <w:bidi w:val="0"/>
              <w:adjustRightInd/>
              <w:snapToGrid/>
              <w:spacing w:line="240" w:lineRule="auto"/>
              <w:ind w:firstLine="0" w:firstLineChars="0"/>
              <w:jc w:val="left"/>
              <w:textAlignment w:val="auto"/>
              <w:rPr>
                <w:rFonts w:ascii="宋体" w:hAnsi="宋体"/>
                <w:color w:val="auto"/>
                <w:szCs w:val="21"/>
                <w:highlight w:val="none"/>
              </w:rPr>
            </w:pPr>
            <w:r>
              <w:rPr>
                <w:rFonts w:hint="eastAsia" w:ascii="宋体" w:hAnsi="宋体"/>
                <w:color w:val="auto"/>
                <w:szCs w:val="21"/>
                <w:highlight w:val="none"/>
              </w:rPr>
              <w:t>湖南省株洲市政府采购网网址：http://www.ccgp-hunan.gov.cn/portal_city.jsp?areaCode=zzs#</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第35.3款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履约担保</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zCs w:val="21"/>
                <w:highlight w:val="none"/>
              </w:rPr>
              <w:sym w:font="Wingdings" w:char="00FE"/>
            </w:r>
            <w:r>
              <w:rPr>
                <w:rFonts w:hint="eastAsia" w:ascii="宋体" w:hAnsi="宋体"/>
                <w:color w:val="auto"/>
                <w:szCs w:val="21"/>
                <w:highlight w:val="none"/>
              </w:rPr>
              <w:t xml:space="preserve"> 不要求提供</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default" w:ascii="宋体" w:hAnsi="宋体" w:eastAsia="宋体"/>
                <w:color w:val="auto"/>
                <w:szCs w:val="21"/>
                <w:highlight w:val="none"/>
                <w:lang w:val="en-US" w:eastAsia="zh-CN"/>
              </w:rPr>
            </w:pPr>
            <w:r>
              <w:rPr>
                <w:rFonts w:hint="eastAsia" w:ascii="宋体" w:hAnsi="宋体" w:cs="宋体"/>
                <w:color w:val="auto"/>
                <w:szCs w:val="21"/>
                <w:highlight w:val="none"/>
              </w:rPr>
              <w:sym w:font="Wingdings" w:char="00A8"/>
            </w:r>
            <w:r>
              <w:rPr>
                <w:rFonts w:hint="eastAsia" w:ascii="宋体" w:hAnsi="宋体"/>
                <w:color w:val="auto"/>
                <w:szCs w:val="21"/>
                <w:highlight w:val="none"/>
              </w:rPr>
              <w:t xml:space="preserve"> 要求提供，履约担保的金额为</w:t>
            </w:r>
            <w:r>
              <w:rPr>
                <w:rFonts w:hint="eastAsia" w:ascii="宋体" w:hAnsi="宋体"/>
                <w:b/>
                <w:bCs/>
                <w:color w:val="auto"/>
                <w:szCs w:val="21"/>
                <w:highlight w:val="none"/>
                <w:u w:val="single"/>
              </w:rPr>
              <w:t>：</w:t>
            </w:r>
            <w:r>
              <w:rPr>
                <w:rFonts w:hint="eastAsia" w:ascii="宋体" w:hAnsi="宋体"/>
                <w:b/>
                <w:bCs/>
                <w:color w:val="auto"/>
                <w:szCs w:val="21"/>
                <w:highlight w:val="none"/>
                <w:u w:val="single"/>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
                <w:color w:val="auto"/>
                <w:szCs w:val="21"/>
                <w:highlight w:val="none"/>
              </w:rPr>
            </w:pPr>
            <w:r>
              <w:rPr>
                <w:rFonts w:hint="eastAsia" w:ascii="宋体" w:hAnsi="宋体"/>
                <w:b/>
                <w:color w:val="auto"/>
                <w:szCs w:val="21"/>
                <w:highlight w:val="none"/>
              </w:rPr>
              <w:t>七、政府采购政策</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Merge w:val="restart"/>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第37.2（1）项</w:t>
            </w:r>
          </w:p>
        </w:tc>
        <w:tc>
          <w:tcPr>
            <w:tcW w:w="1727" w:type="dxa"/>
            <w:tcBorders>
              <w:bottom w:val="single" w:color="auto" w:sz="4" w:space="0"/>
            </w:tcBorders>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节能产品</w:t>
            </w:r>
            <w:r>
              <w:rPr>
                <w:rFonts w:hint="eastAsia" w:ascii="宋体" w:hAnsi="宋体"/>
                <w:color w:val="auto"/>
                <w:szCs w:val="21"/>
                <w:highlight w:val="none"/>
              </w:rPr>
              <w:t>的价格折扣比例</w:t>
            </w:r>
          </w:p>
        </w:tc>
        <w:tc>
          <w:tcPr>
            <w:tcW w:w="6211" w:type="dxa"/>
            <w:tcBorders>
              <w:bottom w:val="single" w:color="auto" w:sz="4" w:space="0"/>
            </w:tcBorders>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color w:val="auto"/>
                <w:highlight w:val="none"/>
              </w:rPr>
              <w:t>符合节能产品优先采购政策的，对于投标报价，</w:t>
            </w:r>
            <w:r>
              <w:rPr>
                <w:rFonts w:hint="eastAsia" w:ascii="宋体" w:hAnsi="宋体" w:cs="宋体"/>
                <w:snapToGrid w:val="0"/>
                <w:color w:val="auto"/>
                <w:kern w:val="0"/>
                <w:szCs w:val="21"/>
                <w:highlight w:val="none"/>
              </w:rPr>
              <w:t>应给予5%-10%的价格扣除，本项目具体扣除比例为</w:t>
            </w:r>
            <w:r>
              <w:rPr>
                <w:rFonts w:ascii="宋体" w:hAnsi="宋体" w:cs="宋体"/>
                <w:snapToGrid w:val="0"/>
                <w:color w:val="auto"/>
                <w:kern w:val="0"/>
                <w:szCs w:val="21"/>
                <w:highlight w:val="none"/>
                <w:u w:val="single"/>
              </w:rPr>
              <w:t>5</w:t>
            </w:r>
            <w:r>
              <w:rPr>
                <w:rFonts w:hint="eastAsia" w:ascii="宋体" w:hAnsi="宋体" w:cs="宋体"/>
                <w:snapToGrid w:val="0"/>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Merge w:val="continue"/>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p>
        </w:tc>
        <w:tc>
          <w:tcPr>
            <w:tcW w:w="1727" w:type="dxa"/>
            <w:tcBorders>
              <w:top w:val="single" w:color="auto" w:sz="4" w:space="0"/>
            </w:tcBorders>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环境标志产品</w:t>
            </w:r>
            <w:r>
              <w:rPr>
                <w:rFonts w:hint="eastAsia" w:ascii="宋体" w:hAnsi="宋体"/>
                <w:color w:val="auto"/>
                <w:szCs w:val="21"/>
                <w:highlight w:val="none"/>
              </w:rPr>
              <w:t>的价格折扣比例</w:t>
            </w:r>
          </w:p>
        </w:tc>
        <w:tc>
          <w:tcPr>
            <w:tcW w:w="6211" w:type="dxa"/>
            <w:tcBorders>
              <w:top w:val="single" w:color="auto" w:sz="4" w:space="0"/>
            </w:tcBorders>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color w:val="auto"/>
                <w:highlight w:val="none"/>
              </w:rPr>
              <w:t>符合环境标志产品优先采购政策的，对于投标报价，</w:t>
            </w:r>
            <w:r>
              <w:rPr>
                <w:rFonts w:hint="eastAsia" w:ascii="宋体" w:hAnsi="宋体" w:cs="宋体"/>
                <w:snapToGrid w:val="0"/>
                <w:color w:val="auto"/>
                <w:kern w:val="0"/>
                <w:szCs w:val="21"/>
                <w:highlight w:val="none"/>
              </w:rPr>
              <w:t>应给予5%-10%的价格扣除，本项目具体扣除比例为</w:t>
            </w:r>
            <w:r>
              <w:rPr>
                <w:rFonts w:ascii="宋体" w:hAnsi="宋体" w:cs="宋体"/>
                <w:snapToGrid w:val="0"/>
                <w:color w:val="auto"/>
                <w:kern w:val="0"/>
                <w:szCs w:val="21"/>
                <w:highlight w:val="none"/>
                <w:u w:val="single"/>
              </w:rPr>
              <w:t xml:space="preserve">5 </w:t>
            </w:r>
            <w:r>
              <w:rPr>
                <w:rFonts w:hint="eastAsia" w:ascii="宋体" w:hAnsi="宋体" w:cs="宋体"/>
                <w:snapToGrid w:val="0"/>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第37.2（2）项</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两型产品的价格折扣比例</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color w:val="auto"/>
                <w:highlight w:val="none"/>
              </w:rPr>
              <w:t>符合两型产品优先采购政策的，对于投标报价，</w:t>
            </w:r>
            <w:r>
              <w:rPr>
                <w:rFonts w:hint="eastAsia" w:ascii="宋体" w:hAnsi="宋体" w:cs="宋体"/>
                <w:snapToGrid w:val="0"/>
                <w:color w:val="auto"/>
                <w:kern w:val="0"/>
                <w:szCs w:val="21"/>
                <w:highlight w:val="none"/>
              </w:rPr>
              <w:t>应给予5%-10%的价格扣除，本项目具体扣除比例为</w:t>
            </w:r>
            <w:r>
              <w:rPr>
                <w:rFonts w:ascii="宋体" w:hAnsi="宋体" w:cs="宋体"/>
                <w:snapToGrid w:val="0"/>
                <w:color w:val="auto"/>
                <w:kern w:val="0"/>
                <w:szCs w:val="21"/>
                <w:highlight w:val="none"/>
                <w:u w:val="single"/>
              </w:rPr>
              <w:t>5</w:t>
            </w:r>
            <w:r>
              <w:rPr>
                <w:rFonts w:hint="eastAsia" w:ascii="宋体" w:hAnsi="宋体" w:cs="宋体"/>
                <w:snapToGrid w:val="0"/>
                <w:color w:val="auto"/>
                <w:kern w:val="0"/>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第37.3（1）项</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小型、微型企业的价格折扣比例</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符合小型、微型企业优惠政策的：给予小型和微型企业产品的价格10%-20%的扣除，用扣除后的价格参与评审，本项目具体扣除比例为</w:t>
            </w:r>
            <w:r>
              <w:rPr>
                <w:rFonts w:hint="eastAsia"/>
                <w:b/>
                <w:bCs/>
                <w:color w:val="auto"/>
                <w:highlight w:val="none"/>
                <w:u w:val="single"/>
                <w:lang w:val="en-US" w:eastAsia="zh-CN"/>
              </w:rPr>
              <w:t xml:space="preserve"> </w:t>
            </w:r>
            <w:r>
              <w:rPr>
                <w:rFonts w:hint="eastAsia" w:ascii="宋体" w:hAnsi="宋体"/>
                <w:b/>
                <w:bCs/>
                <w:color w:val="auto"/>
                <w:szCs w:val="21"/>
                <w:highlight w:val="none"/>
                <w:u w:val="single"/>
                <w:lang w:val="en-US" w:eastAsia="zh-CN"/>
              </w:rPr>
              <w:t>/</w:t>
            </w:r>
            <w:r>
              <w:rPr>
                <w:rFonts w:hint="eastAsia"/>
                <w:b/>
                <w:bCs/>
                <w:color w:val="auto"/>
                <w:highlight w:val="none"/>
                <w:u w:val="single"/>
                <w:lang w:val="en-US" w:eastAsia="zh-CN"/>
              </w:rPr>
              <w:t xml:space="preserve"> </w:t>
            </w:r>
            <w:r>
              <w:rPr>
                <w:rFonts w:hint="eastAsia"/>
                <w:color w:val="auto"/>
                <w:highlight w:val="none"/>
              </w:rPr>
              <w:t>；</w:t>
            </w:r>
          </w:p>
          <w:p>
            <w:pPr>
              <w:pStyle w:val="32"/>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bCs/>
                <w:color w:val="auto"/>
                <w:sz w:val="21"/>
                <w:highlight w:val="none"/>
              </w:rPr>
              <w:t>注：本项目对应的中小企业划分标准所属行业：</w:t>
            </w:r>
            <w:r>
              <w:rPr>
                <w:rFonts w:hint="eastAsia"/>
                <w:bCs/>
                <w:color w:val="auto"/>
                <w:sz w:val="21"/>
                <w:highlight w:val="none"/>
                <w:u w:val="single"/>
                <w:lang w:val="en-US" w:eastAsia="zh-CN"/>
              </w:rPr>
              <w:t>工业</w:t>
            </w:r>
            <w:r>
              <w:rPr>
                <w:rFonts w:hint="eastAsia"/>
                <w:bCs/>
                <w:color w:val="auto"/>
                <w:sz w:val="21"/>
                <w:highlight w:val="none"/>
                <w:u w:val="single"/>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第37.3（2）项</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小型、微型企业参加联合体的价格折扣比例</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s="宋体"/>
                <w:color w:val="auto"/>
                <w:spacing w:val="-8"/>
                <w:szCs w:val="21"/>
                <w:highlight w:val="none"/>
              </w:rPr>
              <w:t>给予联合体2%-3%的价格扣除。本项目具体扣除比例为</w:t>
            </w:r>
            <w:r>
              <w:rPr>
                <w:rFonts w:hint="eastAsia" w:ascii="宋体" w:hAnsi="宋体" w:cs="宋体"/>
                <w:color w:val="auto"/>
                <w:spacing w:val="-6"/>
                <w:szCs w:val="21"/>
                <w:highlight w:val="none"/>
                <w:u w:val="single"/>
              </w:rPr>
              <w:t xml:space="preserve"> / </w:t>
            </w:r>
            <w:r>
              <w:rPr>
                <w:rFonts w:hint="eastAsia" w:ascii="宋体" w:hAnsi="宋体" w:cs="宋体"/>
                <w:color w:val="auto"/>
                <w:spacing w:val="-6"/>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第37.7款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进口产品</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Ansi="宋体"/>
                <w:color w:val="auto"/>
                <w:szCs w:val="21"/>
                <w:highlight w:val="none"/>
              </w:rPr>
            </w:pPr>
            <w:r>
              <w:rPr>
                <w:rFonts w:hint="eastAsia" w:ascii="宋体" w:hAnsi="宋体" w:cs="宋体"/>
                <w:color w:val="auto"/>
                <w:szCs w:val="21"/>
                <w:highlight w:val="none"/>
              </w:rPr>
              <w:sym w:font="Wingdings" w:char="00FE"/>
            </w:r>
            <w:r>
              <w:rPr>
                <w:rFonts w:hint="eastAsia" w:ascii="宋体" w:hAnsi="宋体" w:cs="宋体"/>
                <w:color w:val="auto"/>
                <w:szCs w:val="21"/>
                <w:highlight w:val="none"/>
              </w:rPr>
              <w:t xml:space="preserve"> 本采购项目拒绝进口产品参加投标</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Ansi="宋体"/>
                <w:color w:val="auto"/>
                <w:szCs w:val="21"/>
                <w:highlight w:val="none"/>
              </w:rPr>
            </w:pPr>
            <w:bookmarkStart w:id="24" w:name="_Hlk25417283"/>
            <w:r>
              <w:rPr>
                <w:rFonts w:hAnsi="宋体"/>
                <w:color w:val="auto"/>
                <w:szCs w:val="21"/>
                <w:highlight w:val="none"/>
              </w:rPr>
              <w:sym w:font="Wingdings" w:char="00A8"/>
            </w:r>
            <w:r>
              <w:rPr>
                <w:rFonts w:hint="eastAsia" w:hAnsi="宋体"/>
                <w:color w:val="auto"/>
                <w:szCs w:val="21"/>
                <w:highlight w:val="none"/>
              </w:rPr>
              <w:t xml:space="preserve"> </w:t>
            </w:r>
            <w:r>
              <w:rPr>
                <w:rFonts w:hint="eastAsia" w:ascii="宋体" w:hAnsi="宋体"/>
                <w:iCs/>
                <w:color w:val="auto"/>
                <w:szCs w:val="21"/>
                <w:highlight w:val="none"/>
              </w:rPr>
              <w:t>本采购项目已经财政部门审核同意购买进口产品</w:t>
            </w:r>
            <w:bookmarkEnd w:id="24"/>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60" w:type="dxa"/>
            <w:gridSpan w:val="3"/>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b/>
                <w:color w:val="auto"/>
                <w:szCs w:val="21"/>
                <w:highlight w:val="none"/>
              </w:rPr>
            </w:pPr>
            <w:r>
              <w:rPr>
                <w:rFonts w:hint="eastAsia" w:ascii="宋体" w:hAnsi="宋体"/>
                <w:b/>
                <w:color w:val="auto"/>
                <w:szCs w:val="21"/>
                <w:highlight w:val="none"/>
              </w:rPr>
              <w:t>八、其他规定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第38.1款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代理服务费</w:t>
            </w:r>
          </w:p>
        </w:tc>
        <w:tc>
          <w:tcPr>
            <w:tcW w:w="6211" w:type="dxa"/>
            <w:vAlign w:val="center"/>
          </w:tcPr>
          <w:p>
            <w:pPr>
              <w:keepNext w:val="0"/>
              <w:keepLines w:val="0"/>
              <w:pageBreakBefore w:val="0"/>
              <w:widowControl w:val="0"/>
              <w:numPr>
                <w:ilvl w:val="0"/>
                <w:numId w:val="0"/>
              </w:numPr>
              <w:overflowPunct/>
              <w:topLinePunct w:val="0"/>
              <w:autoSpaceDE/>
              <w:autoSpaceDN/>
              <w:bidi w:val="0"/>
              <w:adjustRightInd/>
              <w:snapToGrid/>
              <w:spacing w:line="240" w:lineRule="auto"/>
              <w:ind w:firstLine="0" w:firstLineChars="0"/>
              <w:textAlignment w:val="auto"/>
              <w:rPr>
                <w:color w:val="auto"/>
                <w:highlight w:val="none"/>
              </w:rPr>
            </w:pPr>
            <w:r>
              <w:rPr>
                <w:rFonts w:ascii="Times New Roman" w:hAnsi="Times New Roman" w:eastAsia="宋体" w:cs="Times New Roman"/>
                <w:color w:val="auto"/>
                <w:kern w:val="2"/>
                <w:sz w:val="21"/>
                <w:szCs w:val="24"/>
                <w:highlight w:val="none"/>
                <w:lang w:val="en-US" w:eastAsia="zh-CN" w:bidi="ar-SA"/>
              </w:rPr>
              <w:t>1.</w:t>
            </w:r>
            <w:r>
              <w:rPr>
                <w:rFonts w:hint="eastAsia"/>
                <w:color w:val="auto"/>
                <w:highlight w:val="none"/>
              </w:rPr>
              <w:t>服务费收取方式及标准：本项目由采购人向代理机构支付招标代理服务费。</w:t>
            </w:r>
          </w:p>
          <w:p>
            <w:pPr>
              <w:keepNext w:val="0"/>
              <w:keepLines w:val="0"/>
              <w:pageBreakBefore w:val="0"/>
              <w:widowControl w:val="0"/>
              <w:numPr>
                <w:ilvl w:val="0"/>
                <w:numId w:val="0"/>
              </w:numPr>
              <w:overflowPunct/>
              <w:topLinePunct w:val="0"/>
              <w:autoSpaceDE/>
              <w:autoSpaceDN/>
              <w:bidi w:val="0"/>
              <w:adjustRightInd/>
              <w:snapToGrid/>
              <w:spacing w:line="240" w:lineRule="auto"/>
              <w:ind w:firstLine="0" w:firstLineChars="0"/>
              <w:textAlignment w:val="auto"/>
              <w:rPr>
                <w:color w:val="auto"/>
                <w:highlight w:val="none"/>
              </w:rPr>
            </w:pPr>
            <w:r>
              <w:rPr>
                <w:rFonts w:ascii="Times New Roman" w:hAnsi="Times New Roman" w:eastAsia="宋体" w:cs="Times New Roman"/>
                <w:color w:val="auto"/>
                <w:kern w:val="2"/>
                <w:sz w:val="21"/>
                <w:szCs w:val="24"/>
                <w:highlight w:val="none"/>
                <w:lang w:val="en-US" w:eastAsia="zh-CN" w:bidi="ar-SA"/>
              </w:rPr>
              <w:t>2.</w:t>
            </w:r>
            <w:r>
              <w:rPr>
                <w:rFonts w:hint="eastAsia"/>
                <w:color w:val="auto"/>
                <w:highlight w:val="none"/>
              </w:rPr>
              <w:t>招标代理机构服务费账号：</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default" w:eastAsia="宋体"/>
                <w:color w:val="auto"/>
                <w:highlight w:val="none"/>
                <w:lang w:val="en-US" w:eastAsia="zh-CN"/>
              </w:rPr>
            </w:pPr>
            <w:r>
              <w:rPr>
                <w:rFonts w:hint="eastAsia"/>
                <w:color w:val="auto"/>
                <w:highlight w:val="none"/>
              </w:rPr>
              <w:t>户  名：</w:t>
            </w:r>
            <w:r>
              <w:rPr>
                <w:rFonts w:hint="eastAsia"/>
                <w:color w:val="auto"/>
                <w:highlight w:val="none"/>
                <w:lang w:eastAsia="zh-CN"/>
              </w:rPr>
              <w:t>湖南省中方项目管理有限公司</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开户行</w:t>
            </w:r>
            <w:r>
              <w:rPr>
                <w:rFonts w:hint="eastAsia" w:eastAsia="宋体"/>
                <w:color w:val="auto"/>
                <w:highlight w:val="none"/>
                <w:lang w:eastAsia="zh-CN"/>
              </w:rPr>
              <w:t>：广发银行股份有限公司株洲支行</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default" w:ascii="宋体" w:hAnsi="宋体" w:eastAsia="宋体"/>
                <w:color w:val="auto"/>
                <w:szCs w:val="21"/>
                <w:highlight w:val="none"/>
                <w:lang w:val="en-US" w:eastAsia="zh-CN"/>
              </w:rPr>
            </w:pPr>
            <w:r>
              <w:rPr>
                <w:rFonts w:hint="eastAsia"/>
                <w:color w:val="auto"/>
                <w:highlight w:val="none"/>
              </w:rPr>
              <w:t>账  号：9550880221839500189</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622"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jc w:val="center"/>
              <w:textAlignment w:val="auto"/>
              <w:rPr>
                <w:rFonts w:ascii="宋体" w:hAnsi="宋体"/>
                <w:color w:val="auto"/>
                <w:szCs w:val="21"/>
                <w:highlight w:val="none"/>
              </w:rPr>
            </w:pPr>
            <w:r>
              <w:rPr>
                <w:rFonts w:hint="eastAsia" w:ascii="宋体" w:hAnsi="宋体"/>
                <w:color w:val="auto"/>
                <w:szCs w:val="21"/>
                <w:highlight w:val="none"/>
              </w:rPr>
              <w:t>第39.1款</w:t>
            </w:r>
          </w:p>
        </w:tc>
        <w:tc>
          <w:tcPr>
            <w:tcW w:w="1727"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ascii="宋体" w:hAnsi="宋体"/>
                <w:color w:val="auto"/>
                <w:szCs w:val="21"/>
                <w:highlight w:val="none"/>
              </w:rPr>
            </w:pPr>
            <w:r>
              <w:rPr>
                <w:rFonts w:hint="eastAsia" w:ascii="宋体" w:hAnsi="宋体"/>
                <w:color w:val="auto"/>
                <w:szCs w:val="21"/>
                <w:highlight w:val="none"/>
              </w:rPr>
              <w:t>其他规定</w:t>
            </w:r>
          </w:p>
        </w:tc>
        <w:tc>
          <w:tcPr>
            <w:tcW w:w="6211" w:type="dxa"/>
            <w:vAlign w:val="center"/>
          </w:tcPr>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1、本【谈判须知前附表】与谈判文件的其他描述如有矛盾，以本【谈判须知前附表】为准。</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color w:val="auto"/>
                <w:highlight w:val="none"/>
              </w:rPr>
            </w:pPr>
            <w:r>
              <w:rPr>
                <w:rFonts w:hint="eastAsia"/>
                <w:color w:val="auto"/>
                <w:highlight w:val="none"/>
              </w:rPr>
              <w:t>2、本【谈判须知前附表】中用“</w:t>
            </w:r>
            <w:r>
              <w:rPr>
                <w:rFonts w:hint="eastAsia"/>
                <w:color w:val="auto"/>
                <w:highlight w:val="none"/>
              </w:rPr>
              <w:sym w:font="Wingdings" w:char="00FE"/>
            </w:r>
            <w:r>
              <w:rPr>
                <w:rFonts w:hint="eastAsia"/>
                <w:color w:val="auto"/>
                <w:highlight w:val="none"/>
              </w:rPr>
              <w:t>”表示的为“选用”；用“</w:t>
            </w:r>
            <w:r>
              <w:rPr>
                <w:rFonts w:hint="eastAsia"/>
                <w:color w:val="auto"/>
                <w:highlight w:val="none"/>
              </w:rPr>
              <w:sym w:font="Wingdings" w:char="00A8"/>
            </w:r>
            <w:r>
              <w:rPr>
                <w:rFonts w:hint="eastAsia"/>
                <w:color w:val="auto"/>
                <w:highlight w:val="none"/>
              </w:rPr>
              <w:t>”表示的为“不选用”。</w:t>
            </w:r>
          </w:p>
          <w:p>
            <w:pPr>
              <w:keepNext w:val="0"/>
              <w:keepLines w:val="0"/>
              <w:pageBreakBefore w:val="0"/>
              <w:widowControl w:val="0"/>
              <w:overflowPunct/>
              <w:topLinePunct w:val="0"/>
              <w:autoSpaceDE/>
              <w:autoSpaceDN/>
              <w:bidi w:val="0"/>
              <w:adjustRightInd/>
              <w:snapToGrid/>
              <w:spacing w:line="240" w:lineRule="auto"/>
              <w:ind w:firstLine="0" w:firstLineChars="0"/>
              <w:textAlignment w:val="auto"/>
              <w:rPr>
                <w:rFonts w:hint="eastAsia"/>
                <w:color w:val="auto"/>
                <w:highlight w:val="none"/>
              </w:rPr>
            </w:pPr>
            <w:r>
              <w:rPr>
                <w:rFonts w:hint="eastAsia"/>
                <w:color w:val="auto"/>
                <w:highlight w:val="none"/>
              </w:rPr>
              <w:t>3、复印件在《电子文档》中要求提供的企业及人员证件图片均为原件彩色扫描件或者影印件；而在纸质文件中复印件的打印不受限制，例如可以采用彩色和/或单色和/或黑白的打印件和/或复印件等均有效。</w:t>
            </w:r>
          </w:p>
          <w:p>
            <w:pPr>
              <w:pStyle w:val="46"/>
              <w:ind w:left="0" w:leftChars="0" w:firstLine="0" w:firstLineChars="0"/>
              <w:rPr>
                <w:rFonts w:hint="eastAsia" w:ascii="Times New Roman" w:hAnsi="Times New Roman" w:eastAsia="宋体" w:cs="Times New Roman"/>
                <w:color w:val="auto"/>
                <w:highlight w:val="none"/>
                <w:lang w:val="en-US" w:eastAsia="zh-CN"/>
              </w:rPr>
            </w:pPr>
            <w:r>
              <w:rPr>
                <w:rFonts w:hint="eastAsia"/>
                <w:color w:val="auto"/>
                <w:highlight w:val="none"/>
                <w:lang w:val="en-US" w:eastAsia="zh-CN"/>
              </w:rPr>
              <w:t>4、若两家及以上供应商提供同一品牌产品，仅允许通过资格审查、符合性审查且最终报价最低的一家参与评标。报价相同时，可由采购人</w:t>
            </w:r>
            <w:r>
              <w:rPr>
                <w:rFonts w:hint="eastAsia" w:ascii="Times New Roman" w:hAnsi="Times New Roman" w:eastAsia="宋体" w:cs="Times New Roman"/>
                <w:color w:val="auto"/>
                <w:highlight w:val="none"/>
                <w:lang w:val="en-US" w:eastAsia="zh-CN"/>
              </w:rPr>
              <w:t>随机抽取一家，其他响应文件作无效处理。</w:t>
            </w:r>
          </w:p>
          <w:p>
            <w:pPr>
              <w:pStyle w:val="46"/>
              <w:ind w:left="0" w:leftChars="0" w:firstLine="0" w:firstLineChars="0"/>
              <w:rPr>
                <w:rFonts w:hint="default"/>
                <w:color w:val="auto"/>
                <w:highlight w:val="none"/>
                <w:lang w:val="en-US" w:eastAsia="zh-CN"/>
              </w:rPr>
            </w:pPr>
            <w:r>
              <w:rPr>
                <w:rFonts w:hint="eastAsia" w:ascii="Times New Roman" w:hAnsi="Times New Roman" w:eastAsia="宋体" w:cs="Times New Roman"/>
                <w:color w:val="auto"/>
                <w:highlight w:val="none"/>
                <w:lang w:val="en-US" w:eastAsia="zh-CN"/>
              </w:rPr>
              <w:t>5、若因同一品牌产品导致有效投标人不足三家，采购人有权终止谈判并重新招标。</w:t>
            </w:r>
          </w:p>
        </w:tc>
      </w:tr>
    </w:tbl>
    <w:p>
      <w:pPr>
        <w:adjustRightInd w:val="0"/>
        <w:snapToGrid w:val="0"/>
        <w:spacing w:line="360" w:lineRule="auto"/>
        <w:rPr>
          <w:rFonts w:ascii="宋体" w:hAnsi="宋体"/>
          <w:b/>
          <w:bCs/>
          <w:color w:val="auto"/>
          <w:szCs w:val="21"/>
          <w:highlight w:val="none"/>
        </w:rPr>
      </w:pPr>
    </w:p>
    <w:p>
      <w:pPr>
        <w:pStyle w:val="4"/>
        <w:keepNext w:val="0"/>
        <w:keepLines w:val="0"/>
        <w:adjustRightInd w:val="0"/>
        <w:snapToGrid w:val="0"/>
        <w:spacing w:before="156" w:beforeLines="50"/>
        <w:jc w:val="center"/>
        <w:rPr>
          <w:rFonts w:ascii="黑体" w:hAnsi="黑体" w:eastAsia="黑体"/>
          <w:color w:val="auto"/>
          <w:sz w:val="32"/>
          <w:highlight w:val="none"/>
        </w:rPr>
      </w:pPr>
      <w:r>
        <w:rPr>
          <w:color w:val="auto"/>
          <w:highlight w:val="none"/>
        </w:rPr>
        <w:br w:type="page"/>
      </w:r>
      <w:bookmarkStart w:id="25" w:name="_Toc26780"/>
      <w:r>
        <w:rPr>
          <w:rFonts w:hint="eastAsia" w:ascii="黑体" w:hAnsi="黑体" w:eastAsia="黑体"/>
          <w:color w:val="auto"/>
          <w:sz w:val="32"/>
          <w:highlight w:val="none"/>
        </w:rPr>
        <w:t>第二节 谈判须知正文</w:t>
      </w:r>
      <w:bookmarkEnd w:id="25"/>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26" w:name="_Toc9783"/>
      <w:r>
        <w:rPr>
          <w:rFonts w:hint="eastAsia" w:ascii="黑体" w:hAnsi="黑体" w:eastAsia="黑体"/>
          <w:color w:val="auto"/>
          <w:sz w:val="28"/>
          <w:szCs w:val="28"/>
          <w:highlight w:val="none"/>
        </w:rPr>
        <w:t>一、说明</w:t>
      </w:r>
      <w:bookmarkEnd w:id="26"/>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1.适用范围</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1.1本竞争性谈判文件仅适用于本章第一节“谈判须知前附表”（以下简称</w:t>
      </w:r>
      <w:r>
        <w:rPr>
          <w:rFonts w:hint="eastAsia" w:ascii="宋体" w:hAnsi="宋体"/>
          <w:b/>
          <w:color w:val="auto"/>
          <w:szCs w:val="21"/>
          <w:highlight w:val="none"/>
        </w:rPr>
        <w:t>【谈判须知前附表】</w:t>
      </w:r>
      <w:r>
        <w:rPr>
          <w:rFonts w:hint="eastAsia" w:ascii="宋体" w:hAnsi="宋体"/>
          <w:color w:val="auto"/>
          <w:szCs w:val="21"/>
          <w:highlight w:val="none"/>
        </w:rPr>
        <w:t>）中所叙述的采购项目。</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2.定义</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2.1采购项目联系人姓名和电话见</w:t>
      </w:r>
      <w:r>
        <w:rPr>
          <w:rFonts w:hint="eastAsia" w:ascii="宋体" w:hAnsi="宋体"/>
          <w:b/>
          <w:color w:val="auto"/>
          <w:szCs w:val="21"/>
          <w:highlight w:val="none"/>
        </w:rPr>
        <w:t>【谈判须知前附表】</w:t>
      </w:r>
      <w:r>
        <w:rPr>
          <w:rFonts w:hint="eastAsia" w:ascii="宋体" w:hAnsi="宋体"/>
          <w:color w:val="auto"/>
          <w:szCs w:val="21"/>
          <w:highlight w:val="none"/>
        </w:rPr>
        <w:t>。</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2.2采购人名称、地址、电话、联系人见</w:t>
      </w:r>
      <w:r>
        <w:rPr>
          <w:rFonts w:hint="eastAsia" w:ascii="宋体" w:hAnsi="宋体"/>
          <w:b/>
          <w:color w:val="auto"/>
          <w:szCs w:val="21"/>
          <w:highlight w:val="none"/>
        </w:rPr>
        <w:t>【谈判须知前附表】</w:t>
      </w:r>
      <w:r>
        <w:rPr>
          <w:rFonts w:hint="eastAsia" w:ascii="宋体" w:hAnsi="宋体"/>
          <w:color w:val="auto"/>
          <w:szCs w:val="21"/>
          <w:highlight w:val="none"/>
        </w:rPr>
        <w:t>。</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2.3采购代理机构名称、地址、电话、联系人见</w:t>
      </w:r>
      <w:r>
        <w:rPr>
          <w:rFonts w:hint="eastAsia" w:ascii="宋体" w:hAnsi="宋体"/>
          <w:b/>
          <w:color w:val="auto"/>
          <w:szCs w:val="21"/>
          <w:highlight w:val="none"/>
        </w:rPr>
        <w:t>【谈判须知前附表】。</w:t>
      </w:r>
    </w:p>
    <w:p>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2.4供应商是指响应谈判文件要求、参加竞争性谈判采购的法人、其他组织或者自然人</w:t>
      </w:r>
      <w:r>
        <w:rPr>
          <w:rFonts w:hint="eastAsia" w:ascii="宋体" w:hAnsi="宋体"/>
          <w:b/>
          <w:color w:val="auto"/>
          <w:szCs w:val="21"/>
          <w:highlight w:val="none"/>
        </w:rPr>
        <w:t>。</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3.供应商的资格要求</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3.1供应商应当符合</w:t>
      </w:r>
      <w:r>
        <w:rPr>
          <w:rFonts w:hint="eastAsia" w:ascii="宋体" w:hAnsi="宋体"/>
          <w:b/>
          <w:color w:val="auto"/>
          <w:szCs w:val="21"/>
          <w:highlight w:val="none"/>
        </w:rPr>
        <w:t>【谈判须知前附表】</w:t>
      </w:r>
      <w:r>
        <w:rPr>
          <w:rFonts w:hint="eastAsia" w:ascii="宋体" w:hAnsi="宋体"/>
          <w:color w:val="auto"/>
          <w:szCs w:val="21"/>
          <w:highlight w:val="none"/>
        </w:rPr>
        <w:t>规定的供应商资格条件。</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w:t>
      </w:r>
      <w:r>
        <w:rPr>
          <w:rFonts w:hint="eastAsia" w:ascii="宋体" w:hAnsi="宋体"/>
          <w:b/>
          <w:color w:val="auto"/>
          <w:szCs w:val="21"/>
          <w:highlight w:val="none"/>
        </w:rPr>
        <w:t>【谈判须知前附表】</w:t>
      </w:r>
      <w:r>
        <w:rPr>
          <w:rFonts w:hint="eastAsia" w:ascii="宋体" w:hAnsi="宋体"/>
          <w:color w:val="auto"/>
          <w:szCs w:val="21"/>
          <w:highlight w:val="none"/>
        </w:rPr>
        <w:t>规定接受联合体形式的，供应商除应符合本章第3.1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 xml:space="preserve">规定外，还应遵守以下规定： </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（l）联合体中有同类资质的供应商按照联合体分工承担相同工作的，应当按照资质等级较低的供应商确定资质等级。</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（2）联合体各方应按谈判文件提供的格式签订联合体协议书，明确联合体牵头人和各方的权利义务、合同工作量比例；</w:t>
      </w:r>
    </w:p>
    <w:p>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（3）联合体各方签订联合体协议书后，</w:t>
      </w:r>
      <w:r>
        <w:rPr>
          <w:rFonts w:hint="eastAsia" w:ascii="宋体" w:hAnsi="宋体" w:cs="宋体"/>
          <w:color w:val="auto"/>
          <w:kern w:val="0"/>
          <w:szCs w:val="21"/>
          <w:highlight w:val="none"/>
          <w:lang w:val="zh-CN"/>
        </w:rPr>
        <w:t>不得再单独参加或者与其他供应商组成新的联合体参加同一合同项下的采购活动。</w:t>
      </w:r>
    </w:p>
    <w:p>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s="宋体"/>
          <w:color w:val="auto"/>
          <w:kern w:val="0"/>
          <w:szCs w:val="21"/>
          <w:highlight w:val="none"/>
          <w:lang w:val="zh-CN"/>
        </w:rPr>
        <w:t>3.3采购人、采购代理机构通过发布竞争性谈判邀请公告（附录1）或竞争性谈判邀请函（附录2）邀请供应商参与谈判。</w:t>
      </w:r>
      <w:r>
        <w:rPr>
          <w:rFonts w:hint="eastAsia" w:ascii="宋体" w:hAnsi="宋体"/>
          <w:color w:val="auto"/>
          <w:szCs w:val="21"/>
          <w:highlight w:val="none"/>
        </w:rPr>
        <w:t>供应商邀请方式见</w:t>
      </w:r>
      <w:r>
        <w:rPr>
          <w:rFonts w:hint="eastAsia" w:ascii="宋体" w:hAnsi="宋体"/>
          <w:b/>
          <w:color w:val="auto"/>
          <w:szCs w:val="21"/>
          <w:highlight w:val="none"/>
        </w:rPr>
        <w:t>【谈判须知前附表】</w:t>
      </w:r>
    </w:p>
    <w:p>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3.4</w:t>
      </w:r>
      <w:r>
        <w:rPr>
          <w:rFonts w:hint="eastAsia" w:ascii="宋体" w:hAnsi="宋体" w:cs="宋体"/>
          <w:color w:val="auto"/>
          <w:kern w:val="0"/>
          <w:szCs w:val="21"/>
          <w:highlight w:val="none"/>
          <w:lang w:val="zh-CN"/>
        </w:rPr>
        <w:t>采购人、采购代理机构负责对参与谈判的供应商进行资格审查，并按照第一章的格式向通过资格审查的供应商发出“谈判邀请”。</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4.参与谈判的费用 </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4.1无论谈判的结果如何，供应商应自行承担所有与竞争性谈判采购活动有关的全部费用。</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5.现场勘察</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5.1供应商应按</w:t>
      </w:r>
      <w:r>
        <w:rPr>
          <w:rFonts w:hint="eastAsia" w:ascii="宋体" w:hAnsi="宋体"/>
          <w:b/>
          <w:color w:val="auto"/>
          <w:szCs w:val="21"/>
          <w:highlight w:val="none"/>
        </w:rPr>
        <w:t>【谈判须知前附表】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5.2勘察现场的费用由供应商自己承担，勘察期间所发生的人身伤害及财产损失由供应商自己负责。</w:t>
      </w:r>
    </w:p>
    <w:p>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5.3采购人不对供应商据此而做出的推论、理解和结论负责。一旦成交，供应商不得以任何借口，而提出额外补偿，或延长合同期限的要求。</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27" w:name="_Toc32678"/>
      <w:r>
        <w:rPr>
          <w:rFonts w:hint="eastAsia" w:ascii="黑体" w:hAnsi="黑体" w:eastAsia="黑体"/>
          <w:color w:val="auto"/>
          <w:sz w:val="28"/>
          <w:szCs w:val="28"/>
          <w:highlight w:val="none"/>
        </w:rPr>
        <w:t>二、谈判文件</w:t>
      </w:r>
      <w:bookmarkEnd w:id="27"/>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6.谈判文件的组成</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6.1谈判文件由下列文件组成：</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第一章 采购邀请</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第二章 谈判须知</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第三章 合同草案条款</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第四章 采购需求</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第五章 响应文件组成</w:t>
      </w:r>
    </w:p>
    <w:p>
      <w:pPr>
        <w:pStyle w:val="26"/>
        <w:adjustRightInd w:val="0"/>
        <w:snapToGrid w:val="0"/>
        <w:spacing w:line="360" w:lineRule="auto"/>
        <w:ind w:firstLine="420" w:firstLineChars="200"/>
        <w:rPr>
          <w:rFonts w:hAnsi="宋体" w:cs="宋体"/>
          <w:color w:val="auto"/>
          <w:kern w:val="0"/>
          <w:highlight w:val="none"/>
        </w:rPr>
      </w:pPr>
      <w:r>
        <w:rPr>
          <w:rFonts w:hint="eastAsia"/>
          <w:color w:val="auto"/>
          <w:highlight w:val="none"/>
        </w:rPr>
        <w:t>6.2</w:t>
      </w:r>
      <w:r>
        <w:rPr>
          <w:rFonts w:hint="eastAsia" w:hAnsi="宋体" w:cs="宋体"/>
          <w:color w:val="auto"/>
          <w:kern w:val="0"/>
          <w:highlight w:val="none"/>
        </w:rPr>
        <w:t>采购人、采购代理机构或者谈判小组在提交首次响应文件截止之日前对已发出的谈判文件进行的澄清或者修改，构成谈判文件的组成部分。</w:t>
      </w:r>
    </w:p>
    <w:p>
      <w:pPr>
        <w:pStyle w:val="26"/>
        <w:adjustRightInd w:val="0"/>
        <w:snapToGrid w:val="0"/>
        <w:spacing w:line="360" w:lineRule="auto"/>
        <w:ind w:firstLine="420" w:firstLineChars="200"/>
        <w:rPr>
          <w:color w:val="auto"/>
          <w:highlight w:val="none"/>
        </w:rPr>
      </w:pPr>
      <w:r>
        <w:rPr>
          <w:rFonts w:hint="eastAsia" w:hAnsi="宋体" w:cs="宋体"/>
          <w:color w:val="auto"/>
          <w:kern w:val="0"/>
          <w:highlight w:val="none"/>
        </w:rPr>
        <w:t>6.3谈判文件中，谈判小组根据与供应商谈判情况可能实质性变动的内容见</w:t>
      </w:r>
      <w:r>
        <w:rPr>
          <w:rFonts w:hint="eastAsia" w:hAnsi="宋体"/>
          <w:b/>
          <w:color w:val="auto"/>
          <w:highlight w:val="none"/>
        </w:rPr>
        <w:t>【谈判须知前附表】</w:t>
      </w:r>
      <w:r>
        <w:rPr>
          <w:rFonts w:hint="eastAsia" w:hAnsi="宋体" w:cs="宋体"/>
          <w:color w:val="auto"/>
          <w:kern w:val="0"/>
          <w:highlight w:val="none"/>
        </w:rPr>
        <w:t>。对谈判文件作出的实质性变动是谈判文件的有效组成部分。</w:t>
      </w:r>
    </w:p>
    <w:p>
      <w:pPr>
        <w:pStyle w:val="26"/>
        <w:adjustRightInd w:val="0"/>
        <w:snapToGrid w:val="0"/>
        <w:spacing w:line="360" w:lineRule="auto"/>
        <w:ind w:firstLine="420" w:firstLineChars="200"/>
        <w:rPr>
          <w:rFonts w:hAnsi="宋体"/>
          <w:color w:val="auto"/>
          <w:highlight w:val="none"/>
        </w:rPr>
      </w:pPr>
      <w:r>
        <w:rPr>
          <w:rFonts w:hint="eastAsia"/>
          <w:color w:val="auto"/>
          <w:highlight w:val="none"/>
        </w:rPr>
        <w:t>6.4</w:t>
      </w:r>
      <w:r>
        <w:rPr>
          <w:rFonts w:hint="eastAsia" w:hAnsi="宋体"/>
          <w:color w:val="auto"/>
          <w:highlight w:val="none"/>
        </w:rPr>
        <w:t>供应商应仔细阅读</w:t>
      </w:r>
      <w:r>
        <w:rPr>
          <w:rFonts w:hint="eastAsia" w:hAnsi="宋体"/>
          <w:bCs/>
          <w:color w:val="auto"/>
          <w:highlight w:val="none"/>
        </w:rPr>
        <w:t>谈判</w:t>
      </w:r>
      <w:r>
        <w:rPr>
          <w:rFonts w:hint="eastAsia" w:hAnsi="宋体"/>
          <w:color w:val="auto"/>
          <w:highlight w:val="none"/>
        </w:rPr>
        <w:t>文件的全部内容，按照</w:t>
      </w:r>
      <w:r>
        <w:rPr>
          <w:rFonts w:hint="eastAsia" w:hAnsi="宋体"/>
          <w:bCs/>
          <w:color w:val="auto"/>
          <w:highlight w:val="none"/>
        </w:rPr>
        <w:t>谈判</w:t>
      </w:r>
      <w:r>
        <w:rPr>
          <w:rFonts w:hint="eastAsia" w:hAnsi="宋体"/>
          <w:color w:val="auto"/>
          <w:highlight w:val="none"/>
        </w:rPr>
        <w:t>文件要求编制</w:t>
      </w:r>
      <w:r>
        <w:rPr>
          <w:rFonts w:hint="eastAsia"/>
          <w:color w:val="auto"/>
          <w:highlight w:val="none"/>
        </w:rPr>
        <w:t>响应</w:t>
      </w:r>
      <w:r>
        <w:rPr>
          <w:rFonts w:hint="eastAsia" w:hAnsi="宋体"/>
          <w:color w:val="auto"/>
          <w:highlight w:val="none"/>
        </w:rPr>
        <w:t>文件。任何对</w:t>
      </w:r>
      <w:r>
        <w:rPr>
          <w:rFonts w:hint="eastAsia" w:hAnsi="宋体"/>
          <w:bCs/>
          <w:color w:val="auto"/>
          <w:highlight w:val="none"/>
        </w:rPr>
        <w:t>谈判</w:t>
      </w:r>
      <w:r>
        <w:rPr>
          <w:rFonts w:hint="eastAsia" w:hAnsi="宋体"/>
          <w:color w:val="auto"/>
          <w:highlight w:val="none"/>
        </w:rPr>
        <w:t>文件的忽略或误解不能作为</w:t>
      </w:r>
      <w:r>
        <w:rPr>
          <w:rFonts w:hint="eastAsia"/>
          <w:color w:val="auto"/>
          <w:highlight w:val="none"/>
        </w:rPr>
        <w:t>响应</w:t>
      </w:r>
      <w:r>
        <w:rPr>
          <w:rFonts w:hint="eastAsia" w:hAnsi="宋体"/>
          <w:color w:val="auto"/>
          <w:highlight w:val="none"/>
        </w:rPr>
        <w:t>文件存在缺陷或瑕疵的理由，其风险由供应商承担。</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7.谈判文件的澄清</w:t>
      </w:r>
      <w:r>
        <w:rPr>
          <w:rFonts w:hint="eastAsia" w:ascii="宋体" w:hAnsi="宋体" w:eastAsia="宋体" w:cs="宋体"/>
          <w:color w:val="auto"/>
          <w:sz w:val="24"/>
          <w:szCs w:val="24"/>
          <w:highlight w:val="none"/>
          <w:lang w:val="zh-CN"/>
        </w:rPr>
        <w:t>或者</w:t>
      </w:r>
      <w:r>
        <w:rPr>
          <w:rFonts w:hint="eastAsia" w:ascii="宋体" w:hAnsi="宋体" w:eastAsia="宋体" w:cs="宋体"/>
          <w:color w:val="auto"/>
          <w:sz w:val="24"/>
          <w:szCs w:val="24"/>
          <w:highlight w:val="none"/>
        </w:rPr>
        <w:t>修改</w:t>
      </w:r>
    </w:p>
    <w:p>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7.1在</w:t>
      </w:r>
      <w:r>
        <w:rPr>
          <w:rFonts w:hint="eastAsia" w:ascii="宋体" w:hAnsi="宋体" w:cs="宋体"/>
          <w:color w:val="auto"/>
          <w:kern w:val="0"/>
          <w:szCs w:val="21"/>
          <w:highlight w:val="none"/>
        </w:rPr>
        <w:t>提交首次响应文件截止之日前，采购人、采购代理机构或者谈判小组可以对已发出的谈判文件进行必要的澄清或者修改。</w:t>
      </w:r>
    </w:p>
    <w:p>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7.2</w:t>
      </w:r>
      <w:r>
        <w:rPr>
          <w:rFonts w:hint="eastAsia" w:ascii="宋体" w:hAnsi="宋体" w:cs="宋体"/>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28" w:name="_Toc22858"/>
      <w:r>
        <w:rPr>
          <w:rFonts w:hint="eastAsia" w:ascii="黑体" w:hAnsi="黑体" w:eastAsia="黑体"/>
          <w:color w:val="auto"/>
          <w:sz w:val="28"/>
          <w:szCs w:val="28"/>
          <w:highlight w:val="none"/>
        </w:rPr>
        <w:t>三、响应文件</w:t>
      </w:r>
      <w:bookmarkEnd w:id="28"/>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8.一般要求</w:t>
      </w:r>
    </w:p>
    <w:p>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8.1供应商应仔细阅读谈判文件的所有内容，按谈判文件的要求编制响应文件，并保证所提供的全部资料的真实性，以使其响应文件对谈判文件做出实质性的响应。</w:t>
      </w:r>
    </w:p>
    <w:p>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8.2</w:t>
      </w:r>
      <w:r>
        <w:rPr>
          <w:rFonts w:hint="eastAsia" w:ascii="宋体" w:hAnsi="宋体"/>
          <w:color w:val="auto"/>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pPr>
        <w:pStyle w:val="26"/>
        <w:adjustRightInd w:val="0"/>
        <w:snapToGrid w:val="0"/>
        <w:spacing w:line="360" w:lineRule="auto"/>
        <w:ind w:firstLine="420" w:firstLineChars="200"/>
        <w:rPr>
          <w:rFonts w:hAnsi="宋体"/>
          <w:color w:val="auto"/>
          <w:highlight w:val="none"/>
        </w:rPr>
      </w:pPr>
      <w:r>
        <w:rPr>
          <w:rFonts w:hint="eastAsia" w:hAnsi="宋体"/>
          <w:bCs/>
          <w:color w:val="auto"/>
          <w:highlight w:val="none"/>
        </w:rPr>
        <w:t>8.3</w:t>
      </w:r>
      <w:r>
        <w:rPr>
          <w:rFonts w:hint="eastAsia" w:hAnsi="宋体"/>
          <w:color w:val="auto"/>
          <w:highlight w:val="none"/>
        </w:rPr>
        <w:t>计量单位应使用我国法定计量单位，未列明时应默认为我国法定计量单位。</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8.4响应文件应采用书面形式，电报、传真、电子邮件形式的响应文件概不接受。</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8.5供应商应按谈判文件中提供的响应文件格式填写。</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9.响应文件的组成</w:t>
      </w:r>
    </w:p>
    <w:p>
      <w:pPr>
        <w:pStyle w:val="167"/>
        <w:ind w:firstLine="480"/>
        <w:rPr>
          <w:rFonts w:ascii="宋体"/>
          <w:color w:val="auto"/>
          <w:szCs w:val="21"/>
          <w:highlight w:val="none"/>
        </w:rPr>
      </w:pPr>
      <w:r>
        <w:rPr>
          <w:rFonts w:hint="eastAsia" w:ascii="宋体"/>
          <w:color w:val="auto"/>
          <w:highlight w:val="none"/>
        </w:rPr>
        <w:t>9.1</w:t>
      </w:r>
      <w:r>
        <w:rPr>
          <w:rFonts w:hint="eastAsia"/>
          <w:color w:val="auto"/>
          <w:highlight w:val="none"/>
        </w:rPr>
        <w:t>响应文件包括下列内容：</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（1）谈判响应声明(格式)</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（2）法定代表人（单位负责人）身份证明(格式)</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（3）授权委托书(格式)</w:t>
      </w:r>
    </w:p>
    <w:p>
      <w:pPr>
        <w:tabs>
          <w:tab w:val="left" w:pos="753"/>
        </w:tabs>
        <w:adjustRightInd w:val="0"/>
        <w:snapToGrid w:val="0"/>
        <w:spacing w:line="360" w:lineRule="auto"/>
        <w:ind w:firstLine="420" w:firstLineChars="200"/>
        <w:rPr>
          <w:rFonts w:ascii="宋体"/>
          <w:color w:val="auto"/>
          <w:szCs w:val="21"/>
          <w:highlight w:val="none"/>
        </w:rPr>
      </w:pPr>
      <w:r>
        <w:rPr>
          <w:rFonts w:hint="eastAsia" w:ascii="宋体" w:hAnsi="宋体"/>
          <w:color w:val="auto"/>
          <w:szCs w:val="21"/>
          <w:highlight w:val="none"/>
        </w:rPr>
        <w:t>（4）保证金</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（5）报价表及报价文件(格式)</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（6）采购需求响应</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（7）合同条款偏离表</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（8）采购需求偏离表</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（9）享受政府采购政策优惠的证明资料</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（10）</w:t>
      </w:r>
      <w:r>
        <w:rPr>
          <w:rFonts w:hint="eastAsia" w:ascii="宋体" w:hAnsi="宋体"/>
          <w:color w:val="auto"/>
          <w:kern w:val="32"/>
          <w:szCs w:val="21"/>
          <w:highlight w:val="none"/>
        </w:rPr>
        <w:t>关于资格的声明(格式)</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（11）响应标的符合谈判文件规定的证明文件</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（12）供应商认为需提供的其他资料</w:t>
      </w:r>
    </w:p>
    <w:p>
      <w:pPr>
        <w:tabs>
          <w:tab w:val="left" w:pos="753"/>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（13）代理服务费承诺书</w:t>
      </w:r>
    </w:p>
    <w:p>
      <w:pPr>
        <w:tabs>
          <w:tab w:val="left" w:pos="753"/>
        </w:tabs>
        <w:adjustRightInd w:val="0"/>
        <w:snapToGrid w:val="0"/>
        <w:spacing w:line="360" w:lineRule="auto"/>
        <w:ind w:firstLine="420" w:firstLineChars="200"/>
        <w:rPr>
          <w:color w:val="auto"/>
          <w:highlight w:val="none"/>
        </w:rPr>
      </w:pPr>
      <w:r>
        <w:rPr>
          <w:rFonts w:hint="eastAsia" w:ascii="宋体" w:hAnsi="宋体"/>
          <w:color w:val="auto"/>
          <w:szCs w:val="21"/>
          <w:highlight w:val="none"/>
        </w:rPr>
        <w:t>（14）最终报价</w:t>
      </w:r>
    </w:p>
    <w:p>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9.2在谈判过程中，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谈判小组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9.3</w:t>
      </w:r>
      <w:r>
        <w:rPr>
          <w:rFonts w:hint="eastAsia" w:ascii="宋体" w:hAnsi="宋体"/>
          <w:color w:val="auto"/>
          <w:szCs w:val="21"/>
          <w:highlight w:val="none"/>
        </w:rPr>
        <w:t>根据《政府采购法》第四十二条的规定，供应商无论成交与否，其响应文件不予退还。</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10.报价要求</w:t>
      </w:r>
    </w:p>
    <w:p>
      <w:pPr>
        <w:adjustRightInd w:val="0"/>
        <w:snapToGrid w:val="0"/>
        <w:spacing w:line="360" w:lineRule="auto"/>
        <w:ind w:firstLine="420" w:firstLineChars="200"/>
        <w:rPr>
          <w:rFonts w:ascii="宋体" w:hAnsi="宋体" w:eastAsia="宋体"/>
          <w:color w:val="auto"/>
          <w:szCs w:val="21"/>
          <w:highlight w:val="none"/>
        </w:rPr>
      </w:pPr>
      <w:r>
        <w:rPr>
          <w:rFonts w:hint="eastAsia" w:ascii="宋体" w:hAnsi="宋体"/>
          <w:color w:val="auto"/>
          <w:szCs w:val="21"/>
          <w:highlight w:val="none"/>
        </w:rPr>
        <w:t>10.1</w:t>
      </w:r>
      <w:r>
        <w:rPr>
          <w:rFonts w:hint="eastAsia" w:ascii="宋体" w:hAnsi="宋体" w:eastAsia="宋体"/>
          <w:color w:val="auto"/>
          <w:szCs w:val="21"/>
          <w:highlight w:val="none"/>
        </w:rPr>
        <w:t>供应商应当根据谈判文件第三章第一节“采购清单一览表”逐一报价。</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eastAsia="宋体"/>
          <w:color w:val="auto"/>
          <w:szCs w:val="21"/>
          <w:highlight w:val="none"/>
        </w:rPr>
        <w:t>10.2</w:t>
      </w:r>
      <w:r>
        <w:rPr>
          <w:rFonts w:hint="eastAsia" w:ascii="宋体" w:hAnsi="宋体"/>
          <w:color w:val="auto"/>
          <w:szCs w:val="21"/>
          <w:highlight w:val="none"/>
        </w:rPr>
        <w:t>在报价表、分项报价表填写报价时应注意下列要求：</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（1）采购需求要求的安装、调试、培训、售后服务及其它附加服务的费用。</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（2）所有根据合同或其它原因应由供应商交纳和支付的税款和费用。</w:t>
      </w:r>
    </w:p>
    <w:p>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（3）谈判文件指定交货地点的运输、保险、装卸费。</w:t>
      </w:r>
    </w:p>
    <w:p>
      <w:pPr>
        <w:pStyle w:val="98"/>
        <w:widowControl w:val="0"/>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10.3</w:t>
      </w:r>
      <w:r>
        <w:rPr>
          <w:rFonts w:hint="eastAsia" w:ascii="宋体" w:hAnsi="宋体" w:cs="宋体"/>
          <w:color w:val="auto"/>
          <w:highlight w:val="none"/>
          <w:lang w:val="zh-CN"/>
        </w:rPr>
        <w:t>供应商</w:t>
      </w:r>
      <w:r>
        <w:rPr>
          <w:rFonts w:hint="eastAsia" w:ascii="宋体" w:hAnsi="宋体"/>
          <w:color w:val="auto"/>
          <w:highlight w:val="none"/>
        </w:rPr>
        <w:t>的最后报价不得超过采购项目预算，采购项目预算见</w:t>
      </w:r>
      <w:r>
        <w:rPr>
          <w:rFonts w:hint="eastAsia" w:ascii="宋体" w:hAnsi="宋体"/>
          <w:b/>
          <w:color w:val="auto"/>
          <w:highlight w:val="none"/>
        </w:rPr>
        <w:t>【谈判须知前附表】</w:t>
      </w:r>
      <w:r>
        <w:rPr>
          <w:rFonts w:hint="eastAsia" w:ascii="宋体" w:hAnsi="宋体"/>
          <w:color w:val="auto"/>
          <w:highlight w:val="none"/>
        </w:rPr>
        <w:t>。</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10.4供应商提交的最后报价在合同执行过程中是固定不变的，不得以任何理由予以变更。以可变动价格提交的报价将被认为是非实质响应而被拒绝。</w:t>
      </w:r>
    </w:p>
    <w:p>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10.5采购人不接受供应商给予的赠品、回扣或者与采购无关的其他商品、服务。</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10.6报价的其他要求见</w:t>
      </w:r>
      <w:r>
        <w:rPr>
          <w:rFonts w:hint="eastAsia" w:hAnsi="宋体"/>
          <w:b/>
          <w:color w:val="auto"/>
          <w:highlight w:val="none"/>
        </w:rPr>
        <w:t>【谈判须知前附表】</w:t>
      </w:r>
      <w:r>
        <w:rPr>
          <w:rFonts w:hint="eastAsia" w:hAnsi="宋体"/>
          <w:color w:val="auto"/>
          <w:highlight w:val="none"/>
        </w:rPr>
        <w:t>。</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11.保证金</w:t>
      </w:r>
    </w:p>
    <w:p>
      <w:pPr>
        <w:pStyle w:val="26"/>
        <w:adjustRightInd w:val="0"/>
        <w:snapToGrid w:val="0"/>
        <w:spacing w:line="360" w:lineRule="auto"/>
        <w:ind w:firstLine="420" w:firstLineChars="200"/>
        <w:rPr>
          <w:rFonts w:hAnsi="宋体"/>
          <w:bCs/>
          <w:color w:val="auto"/>
          <w:highlight w:val="none"/>
        </w:rPr>
      </w:pPr>
      <w:r>
        <w:rPr>
          <w:rFonts w:hint="eastAsia" w:hAnsi="宋体"/>
          <w:color w:val="auto"/>
          <w:highlight w:val="none"/>
        </w:rPr>
        <w:t>11.1</w:t>
      </w:r>
      <w:r>
        <w:rPr>
          <w:rFonts w:hint="eastAsia" w:hAnsi="宋体"/>
          <w:bCs/>
          <w:color w:val="auto"/>
          <w:highlight w:val="none"/>
        </w:rPr>
        <w:t>谈判文件要求供应商提交保证金的，供应商应按</w:t>
      </w:r>
      <w:r>
        <w:rPr>
          <w:rFonts w:hint="eastAsia" w:hAnsi="宋体"/>
          <w:b/>
          <w:bCs/>
          <w:color w:val="auto"/>
          <w:highlight w:val="none"/>
        </w:rPr>
        <w:t>【谈判须知前附表】</w:t>
      </w:r>
      <w:r>
        <w:rPr>
          <w:rFonts w:hint="eastAsia" w:hAnsi="宋体"/>
          <w:bCs/>
          <w:color w:val="auto"/>
          <w:highlight w:val="none"/>
        </w:rPr>
        <w:t>规定，在提交响应文件的截止时间前提交保证金。保证金有效期应当与响应文件有效期一致。</w:t>
      </w:r>
    </w:p>
    <w:p>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11.2</w:t>
      </w:r>
      <w:r>
        <w:rPr>
          <w:rFonts w:hint="eastAsia" w:ascii="宋体" w:hAnsi="宋体" w:cs="宋体"/>
          <w:color w:val="auto"/>
          <w:kern w:val="0"/>
          <w:szCs w:val="21"/>
          <w:highlight w:val="none"/>
          <w:lang w:val="zh-CN"/>
        </w:rPr>
        <w:t>供应商为联合体的，可以由联合体中的一方或者共同交纳保证金，其交纳的保证金，对联合体各方均具有约束力。</w:t>
      </w:r>
    </w:p>
    <w:p>
      <w:pPr>
        <w:pStyle w:val="26"/>
        <w:tabs>
          <w:tab w:val="left" w:pos="6300"/>
        </w:tabs>
        <w:adjustRightInd w:val="0"/>
        <w:snapToGrid w:val="0"/>
        <w:spacing w:line="360" w:lineRule="auto"/>
        <w:ind w:firstLine="420" w:firstLineChars="200"/>
        <w:rPr>
          <w:rFonts w:hAnsi="宋体"/>
          <w:color w:val="auto"/>
          <w:highlight w:val="none"/>
        </w:rPr>
      </w:pPr>
      <w:r>
        <w:rPr>
          <w:rFonts w:hint="eastAsia" w:hAnsi="宋体"/>
          <w:color w:val="auto"/>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11.4保证金的退还按以下规定办理：</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（1）成交供应商的保证金，在政府采购合同签订后5个工作日内退还。</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（2）未成交供应商的保证金，在成交通知书发出后5个工作日内退还。</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（3）终止竞争性谈判采购活动的，在发布项目终止公告后5个工作日内退还。</w:t>
      </w:r>
    </w:p>
    <w:p>
      <w:pPr>
        <w:pStyle w:val="26"/>
        <w:adjustRightInd w:val="0"/>
        <w:snapToGrid w:val="0"/>
        <w:spacing w:line="360" w:lineRule="auto"/>
        <w:ind w:firstLine="420" w:firstLineChars="200"/>
        <w:rPr>
          <w:color w:val="auto"/>
          <w:kern w:val="0"/>
          <w:highlight w:val="none"/>
        </w:rPr>
      </w:pPr>
      <w:r>
        <w:rPr>
          <w:rFonts w:hint="eastAsia"/>
          <w:color w:val="auto"/>
          <w:highlight w:val="none"/>
        </w:rPr>
        <w:t>11.5</w:t>
      </w:r>
      <w:r>
        <w:rPr>
          <w:rFonts w:hint="eastAsia"/>
          <w:color w:val="auto"/>
          <w:kern w:val="0"/>
          <w:highlight w:val="none"/>
        </w:rPr>
        <w:t>有下列情形之一的，保证金不予退还，并上缴本级财政国库：</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（1）供应商在提交响应文件截止时间后撤回响应文件的；</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（2）供应商在响应文件中提供虚假材料的；</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 xml:space="preserve">（3）除因不可抗力或谈判文件认可的情形以外，成交供应商不与采购人签订合同的； </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 xml:space="preserve">（4）供应商与采购人、其他供应商或者采购代理机构恶意串通的； </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（5）谈判文件规定的其他情形。</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12.响应文件有效期</w:t>
      </w:r>
    </w:p>
    <w:p>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12.1响应文件</w:t>
      </w:r>
      <w:r>
        <w:rPr>
          <w:rFonts w:hint="eastAsia" w:ascii="宋体" w:hAnsi="宋体"/>
          <w:color w:val="auto"/>
          <w:szCs w:val="21"/>
          <w:highlight w:val="none"/>
        </w:rPr>
        <w:t>有效期见</w:t>
      </w:r>
      <w:r>
        <w:rPr>
          <w:rFonts w:hint="eastAsia" w:hAnsi="宋体"/>
          <w:b/>
          <w:bCs/>
          <w:color w:val="auto"/>
          <w:highlight w:val="none"/>
        </w:rPr>
        <w:t>【谈判须知前附表】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w:t>
      </w:r>
      <w:r>
        <w:rPr>
          <w:rFonts w:hint="eastAsia" w:hAnsi="宋体"/>
          <w:b/>
          <w:color w:val="auto"/>
          <w:highlight w:val="none"/>
        </w:rPr>
        <w:t>无效响应</w:t>
      </w:r>
      <w:r>
        <w:rPr>
          <w:rFonts w:hint="eastAsia" w:hAnsi="宋体"/>
          <w:color w:val="auto"/>
          <w:highlight w:val="none"/>
        </w:rPr>
        <w:t>。</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13.分包</w:t>
      </w:r>
    </w:p>
    <w:p>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13.1</w:t>
      </w:r>
      <w:r>
        <w:rPr>
          <w:rFonts w:hint="eastAsia" w:ascii="宋体" w:hAnsi="宋体"/>
          <w:color w:val="auto"/>
          <w:szCs w:val="21"/>
          <w:highlight w:val="none"/>
        </w:rPr>
        <w:t>供应商</w:t>
      </w:r>
      <w:r>
        <w:rPr>
          <w:rFonts w:hint="eastAsia" w:ascii="宋体" w:hAnsi="宋体"/>
          <w:color w:val="auto"/>
          <w:highlight w:val="none"/>
        </w:rPr>
        <w:t>拟在成交后将采购</w:t>
      </w:r>
      <w:r>
        <w:rPr>
          <w:rFonts w:hint="eastAsia" w:ascii="宋体" w:hAnsi="宋体"/>
          <w:color w:val="auto"/>
          <w:szCs w:val="21"/>
          <w:highlight w:val="none"/>
        </w:rPr>
        <w:t>项目的非主体、非关键性工作进行分包的，应符合</w:t>
      </w:r>
      <w:r>
        <w:rPr>
          <w:rFonts w:hint="eastAsia" w:hAnsi="宋体"/>
          <w:b/>
          <w:bCs/>
          <w:color w:val="auto"/>
          <w:highlight w:val="none"/>
        </w:rPr>
        <w:t>【谈判须知前附表】</w:t>
      </w:r>
      <w:r>
        <w:rPr>
          <w:rFonts w:hint="eastAsia" w:ascii="宋体" w:hAnsi="宋体"/>
          <w:color w:val="auto"/>
          <w:szCs w:val="21"/>
          <w:highlight w:val="none"/>
        </w:rPr>
        <w:t>规定的分包内容、分包金</w:t>
      </w:r>
      <w:r>
        <w:rPr>
          <w:rFonts w:hint="eastAsia" w:ascii="宋体" w:hAnsi="宋体"/>
          <w:color w:val="auto"/>
          <w:highlight w:val="none"/>
        </w:rPr>
        <w:t>额和资质要求等限制性条件，并在响应文件中载明分包承担主体，且分包承担主体不得再次分包。</w:t>
      </w:r>
    </w:p>
    <w:p>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13.2中小企业依据政府采购政策获取政府采购合同后，小型、微型企业不得分包给大型、中型企业，中型企业不得分包给大型企业。</w:t>
      </w:r>
    </w:p>
    <w:p>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13.3成交</w:t>
      </w:r>
      <w:r>
        <w:rPr>
          <w:rFonts w:hint="eastAsia" w:ascii="宋体" w:hAnsi="宋体"/>
          <w:color w:val="auto"/>
          <w:szCs w:val="21"/>
          <w:highlight w:val="none"/>
        </w:rPr>
        <w:t>供应商</w:t>
      </w:r>
      <w:r>
        <w:rPr>
          <w:rFonts w:hint="eastAsia" w:ascii="宋体" w:hAnsi="宋体"/>
          <w:color w:val="auto"/>
          <w:highlight w:val="none"/>
        </w:rPr>
        <w:t>应当就分包项目向采购人负责，分包承担主体就分包项目承担连带责任。</w:t>
      </w:r>
    </w:p>
    <w:p>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13.4不符合谈判文件中有关分包规定的，其</w:t>
      </w:r>
      <w:r>
        <w:rPr>
          <w:rFonts w:hint="eastAsia" w:hAnsi="宋体"/>
          <w:b/>
          <w:color w:val="auto"/>
          <w:highlight w:val="none"/>
        </w:rPr>
        <w:t>响应无效</w:t>
      </w:r>
      <w:r>
        <w:rPr>
          <w:rFonts w:hint="eastAsia" w:ascii="宋体" w:hAnsi="宋体"/>
          <w:color w:val="auto"/>
          <w:highlight w:val="none"/>
        </w:rPr>
        <w:t>。</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14.响应文件的签署及规定</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14.2响应文件正本一份，副本份数见</w:t>
      </w:r>
      <w:r>
        <w:rPr>
          <w:rFonts w:hint="eastAsia" w:hAnsi="宋体"/>
          <w:b/>
          <w:color w:val="auto"/>
          <w:highlight w:val="none"/>
        </w:rPr>
        <w:t>【谈判须知前附表】</w:t>
      </w:r>
      <w:r>
        <w:rPr>
          <w:rFonts w:hint="eastAsia" w:hAnsi="宋体"/>
          <w:color w:val="auto"/>
          <w:highlight w:val="none"/>
        </w:rPr>
        <w:t>；响应文件电子文档（U盘或光盘形式）</w:t>
      </w:r>
      <w:r>
        <w:rPr>
          <w:rFonts w:hint="eastAsia" w:hAnsi="宋体"/>
          <w:b/>
          <w:color w:val="auto"/>
          <w:highlight w:val="none"/>
        </w:rPr>
        <w:t>。</w:t>
      </w:r>
      <w:r>
        <w:rPr>
          <w:rFonts w:hint="eastAsia" w:hAnsi="宋体"/>
          <w:color w:val="auto"/>
          <w:highlight w:val="none"/>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14.3</w:t>
      </w:r>
      <w:r>
        <w:rPr>
          <w:rFonts w:hint="eastAsia" w:hAnsi="宋体"/>
          <w:color w:val="auto"/>
          <w:highlight w:val="none"/>
        </w:rPr>
        <w:t>响应文件任何加行、涂改、增删等改动，改动之处应由供应商代表签字。否则，将导致</w:t>
      </w:r>
      <w:r>
        <w:rPr>
          <w:rFonts w:hint="eastAsia" w:hAnsi="宋体"/>
          <w:b/>
          <w:color w:val="auto"/>
          <w:highlight w:val="none"/>
        </w:rPr>
        <w:t>响应文件无效。</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14.4在谈判过程中，供应商按谈判文件规定和谈判小组要求</w:t>
      </w:r>
      <w:r>
        <w:rPr>
          <w:rFonts w:hint="eastAsia" w:hAnsi="宋体" w:cs="宋体"/>
          <w:color w:val="auto"/>
          <w:kern w:val="0"/>
          <w:highlight w:val="none"/>
        </w:rPr>
        <w:t>提交的</w:t>
      </w:r>
      <w:r>
        <w:rPr>
          <w:rFonts w:hint="eastAsia" w:hAnsi="宋体"/>
          <w:color w:val="auto"/>
          <w:highlight w:val="none"/>
        </w:rPr>
        <w:t>最后报价(或者</w:t>
      </w:r>
      <w:r>
        <w:rPr>
          <w:rFonts w:hint="eastAsia" w:hAnsi="宋体"/>
          <w:bCs/>
          <w:color w:val="auto"/>
          <w:highlight w:val="none"/>
        </w:rPr>
        <w:t>重</w:t>
      </w:r>
      <w:r>
        <w:rPr>
          <w:rFonts w:hint="eastAsia" w:hAnsi="宋体" w:cs="宋体"/>
          <w:color w:val="auto"/>
          <w:kern w:val="0"/>
          <w:highlight w:val="none"/>
        </w:rPr>
        <w:t>新提交的响应文件和</w:t>
      </w:r>
      <w:r>
        <w:rPr>
          <w:rFonts w:hint="eastAsia" w:hAnsi="宋体"/>
          <w:color w:val="auto"/>
          <w:highlight w:val="none"/>
        </w:rPr>
        <w:t>最后报价)，可打印或用不褪色材料书写，并经供应商代表签字，</w:t>
      </w:r>
      <w:r>
        <w:rPr>
          <w:rFonts w:hint="eastAsia" w:hAnsi="宋体" w:cs="宋体"/>
          <w:color w:val="auto"/>
          <w:kern w:val="0"/>
          <w:highlight w:val="none"/>
        </w:rPr>
        <w:t>或者加盖供应商单位公章</w:t>
      </w:r>
      <w:r>
        <w:rPr>
          <w:rFonts w:hint="eastAsia" w:hAnsi="宋体"/>
          <w:color w:val="auto"/>
          <w:highlight w:val="none"/>
        </w:rPr>
        <w:t>。否则，将导致响应文件无效。</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14.5为便于采购文件保存，</w:t>
      </w:r>
      <w:r>
        <w:rPr>
          <w:rFonts w:hint="eastAsia" w:hAnsi="宋体"/>
          <w:color w:val="auto"/>
          <w:highlight w:val="none"/>
        </w:rPr>
        <w:t>响应文件</w:t>
      </w:r>
      <w:r>
        <w:rPr>
          <w:rFonts w:hint="eastAsia" w:ascii="宋体" w:hAnsi="宋体"/>
          <w:color w:val="auto"/>
          <w:szCs w:val="21"/>
          <w:highlight w:val="none"/>
        </w:rPr>
        <w:t>电子文档建议为PDF格式，内容与纸质</w:t>
      </w:r>
      <w:r>
        <w:rPr>
          <w:rFonts w:hint="eastAsia" w:hAnsi="宋体"/>
          <w:color w:val="auto"/>
          <w:highlight w:val="none"/>
        </w:rPr>
        <w:t>响应文件</w:t>
      </w:r>
      <w:r>
        <w:rPr>
          <w:rFonts w:hint="eastAsia" w:ascii="宋体" w:hAnsi="宋体"/>
          <w:color w:val="auto"/>
          <w:szCs w:val="21"/>
          <w:highlight w:val="none"/>
        </w:rPr>
        <w:t>正本一致。</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29" w:name="_Toc1143"/>
      <w:r>
        <w:rPr>
          <w:rFonts w:hint="eastAsia" w:ascii="黑体" w:hAnsi="黑体" w:eastAsia="黑体"/>
          <w:color w:val="auto"/>
          <w:sz w:val="28"/>
          <w:szCs w:val="28"/>
          <w:highlight w:val="none"/>
        </w:rPr>
        <w:t>四、响应文件的递交</w:t>
      </w:r>
      <w:bookmarkEnd w:id="29"/>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15.响应文件的密封和标记</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15.1响应文件应密封包装，以保证其响应文件信息在提交首次响应文件截止时间前不被透露。</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15.2响应文件封套上应写明的内容见</w:t>
      </w:r>
      <w:r>
        <w:rPr>
          <w:rFonts w:hint="eastAsia" w:ascii="宋体" w:hAnsi="宋体"/>
          <w:b/>
          <w:color w:val="auto"/>
          <w:szCs w:val="21"/>
          <w:highlight w:val="none"/>
        </w:rPr>
        <w:t>【</w:t>
      </w:r>
      <w:r>
        <w:rPr>
          <w:rFonts w:hint="eastAsia" w:hAnsi="宋体"/>
          <w:b/>
          <w:color w:val="auto"/>
          <w:highlight w:val="none"/>
        </w:rPr>
        <w:t>谈判</w:t>
      </w:r>
      <w:r>
        <w:rPr>
          <w:rFonts w:hint="eastAsia" w:ascii="宋体" w:hAnsi="宋体"/>
          <w:b/>
          <w:color w:val="auto"/>
          <w:szCs w:val="21"/>
          <w:highlight w:val="none"/>
        </w:rPr>
        <w:t>须知前附表】。</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15.3响应文件如果未按本章第</w:t>
      </w:r>
      <w:r>
        <w:rPr>
          <w:rFonts w:hint="eastAsia" w:ascii="宋体" w:hAnsi="宋体"/>
          <w:color w:val="auto"/>
          <w:highlight w:val="none"/>
        </w:rPr>
        <w:t>15.1款</w:t>
      </w:r>
      <w:r>
        <w:rPr>
          <w:rFonts w:hint="eastAsia" w:ascii="宋体" w:hAnsi="宋体"/>
          <w:color w:val="auto"/>
          <w:szCs w:val="21"/>
          <w:highlight w:val="none"/>
        </w:rPr>
        <w:t>规定密封，采购人、采购代理机构将拒绝接收。</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16.响应文件的</w:t>
      </w:r>
      <w:r>
        <w:rPr>
          <w:rFonts w:hint="eastAsia" w:ascii="宋体" w:hAnsi="宋体" w:eastAsia="宋体" w:cs="宋体"/>
          <w:color w:val="auto"/>
          <w:sz w:val="24"/>
          <w:szCs w:val="24"/>
          <w:highlight w:val="none"/>
          <w:lang w:val="zh-CN"/>
        </w:rPr>
        <w:t>补充、修改或者撤回</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16.1</w:t>
      </w:r>
      <w:r>
        <w:rPr>
          <w:rFonts w:hint="eastAsia" w:hAnsi="宋体" w:cs="宋体"/>
          <w:color w:val="auto"/>
          <w:kern w:val="0"/>
          <w:highlight w:val="none"/>
        </w:rPr>
        <w:t>供应商在提交首次响应文件截止时间前，可以对所提交的首次响应文件进行补充、修改或者撤回，并书面通知采购人、采购代理机构。</w:t>
      </w:r>
      <w:r>
        <w:rPr>
          <w:rFonts w:hint="eastAsia" w:hAnsi="宋体"/>
          <w:color w:val="auto"/>
          <w:highlight w:val="none"/>
        </w:rPr>
        <w:t>该通知应有供应商代表签字。</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16.2</w:t>
      </w:r>
      <w:r>
        <w:rPr>
          <w:rFonts w:hint="eastAsia" w:hAnsi="宋体" w:cs="宋体"/>
          <w:color w:val="auto"/>
          <w:kern w:val="0"/>
          <w:highlight w:val="none"/>
          <w:lang w:val="zh-CN"/>
        </w:rPr>
        <w:t>补充、修改的内容与响应文件不一致时，以补充、修改的内容为准。</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17.响应文件的递交与接收</w:t>
      </w:r>
    </w:p>
    <w:p>
      <w:pPr>
        <w:adjustRightInd w:val="0"/>
        <w:snapToGrid w:val="0"/>
        <w:spacing w:line="360" w:lineRule="auto"/>
        <w:ind w:firstLine="420" w:firstLineChars="200"/>
        <w:rPr>
          <w:rFonts w:hAnsi="宋体" w:cs="宋体"/>
          <w:color w:val="auto"/>
          <w:kern w:val="0"/>
          <w:highlight w:val="none"/>
        </w:rPr>
      </w:pPr>
      <w:r>
        <w:rPr>
          <w:rFonts w:hint="eastAsia" w:ascii="宋体" w:hAnsi="宋体"/>
          <w:color w:val="auto"/>
          <w:szCs w:val="21"/>
          <w:highlight w:val="none"/>
        </w:rPr>
        <w:t>17.1供应商应在</w:t>
      </w:r>
      <w:r>
        <w:rPr>
          <w:rFonts w:hint="eastAsia" w:ascii="宋体" w:hAnsi="宋体"/>
          <w:b/>
          <w:color w:val="auto"/>
          <w:szCs w:val="21"/>
          <w:highlight w:val="none"/>
        </w:rPr>
        <w:t>【</w:t>
      </w:r>
      <w:r>
        <w:rPr>
          <w:rFonts w:hint="eastAsia" w:hAnsi="宋体"/>
          <w:b/>
          <w:color w:val="auto"/>
          <w:highlight w:val="none"/>
        </w:rPr>
        <w:t>谈判</w:t>
      </w:r>
      <w:r>
        <w:rPr>
          <w:rFonts w:hint="eastAsia" w:ascii="宋体" w:hAnsi="宋体"/>
          <w:b/>
          <w:color w:val="auto"/>
          <w:szCs w:val="21"/>
          <w:highlight w:val="none"/>
        </w:rPr>
        <w:t>须知前附表】</w:t>
      </w:r>
      <w:r>
        <w:rPr>
          <w:rFonts w:hint="eastAsia" w:hAnsi="宋体"/>
          <w:color w:val="auto"/>
          <w:highlight w:val="none"/>
        </w:rPr>
        <w:t>规定的</w:t>
      </w:r>
      <w:r>
        <w:rPr>
          <w:rFonts w:hint="eastAsia" w:ascii="宋体" w:hAnsi="宋体" w:cs="宋体"/>
          <w:color w:val="auto"/>
          <w:kern w:val="0"/>
          <w:szCs w:val="21"/>
          <w:highlight w:val="none"/>
        </w:rPr>
        <w:t>时间和</w:t>
      </w:r>
      <w:r>
        <w:rPr>
          <w:rFonts w:hint="eastAsia" w:ascii="宋体" w:hAnsi="宋体"/>
          <w:color w:val="auto"/>
          <w:szCs w:val="21"/>
          <w:highlight w:val="none"/>
        </w:rPr>
        <w:t>地点提交响应文件。</w:t>
      </w:r>
      <w:r>
        <w:rPr>
          <w:rFonts w:hint="eastAsia" w:hAnsi="宋体" w:cs="宋体"/>
          <w:color w:val="auto"/>
          <w:kern w:val="0"/>
          <w:highlight w:val="none"/>
        </w:rPr>
        <w:t>采购人、采购代理机构或者谈判小组拒收逾期送达的响应文件。</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（1）项目名称、采购代理编号；</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（2）供应商名称；</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（3）响应文件送达时间、地址；</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（4）响应文件密封情况；</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（5）采购人、采购代理机构名称；</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（6）采购人、采购代理机构接收人签字。</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17.3采购人、</w:t>
      </w:r>
      <w:r>
        <w:rPr>
          <w:rFonts w:hint="eastAsia" w:hAnsi="宋体"/>
          <w:bCs/>
          <w:color w:val="auto"/>
          <w:highlight w:val="none"/>
        </w:rPr>
        <w:t>采购代理机构</w:t>
      </w:r>
      <w:r>
        <w:rPr>
          <w:rFonts w:hint="eastAsia" w:hAnsi="宋体"/>
          <w:color w:val="auto"/>
          <w:highlight w:val="none"/>
        </w:rPr>
        <w:t>在按本章第25.3款规定公布供应商的最后报价前，不公开供应商的技术资料、价格和其他信息。</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30" w:name="_Toc23761"/>
      <w:r>
        <w:rPr>
          <w:rFonts w:hint="eastAsia" w:ascii="黑体" w:hAnsi="黑体" w:eastAsia="黑体"/>
          <w:color w:val="auto"/>
          <w:sz w:val="28"/>
          <w:szCs w:val="28"/>
          <w:highlight w:val="none"/>
        </w:rPr>
        <w:t>五、响应文件的评审与谈判</w:t>
      </w:r>
      <w:bookmarkEnd w:id="30"/>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18.供应商资格复核</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highlight w:val="none"/>
          <w:lang w:val="zh-CN"/>
        </w:rPr>
        <w:t>18.1</w:t>
      </w:r>
      <w:r>
        <w:rPr>
          <w:rFonts w:hint="eastAsia" w:ascii="宋体" w:hAnsi="宋体"/>
          <w:color w:val="auto"/>
          <w:szCs w:val="21"/>
          <w:highlight w:val="none"/>
        </w:rPr>
        <w:t>被邀请的供应商在提交资格证明材料</w:t>
      </w:r>
      <w:r>
        <w:rPr>
          <w:rFonts w:hint="eastAsia" w:ascii="宋体" w:hAnsi="宋体"/>
          <w:bCs/>
          <w:color w:val="auto"/>
          <w:szCs w:val="21"/>
          <w:highlight w:val="none"/>
        </w:rPr>
        <w:t>起</w:t>
      </w:r>
      <w:r>
        <w:rPr>
          <w:rFonts w:hint="eastAsia" w:ascii="宋体" w:hAnsi="宋体"/>
          <w:color w:val="auto"/>
          <w:szCs w:val="21"/>
          <w:highlight w:val="none"/>
        </w:rPr>
        <w:t>至</w:t>
      </w:r>
      <w:r>
        <w:rPr>
          <w:rFonts w:hint="eastAsia" w:hAnsi="宋体" w:cs="宋体"/>
          <w:color w:val="auto"/>
          <w:kern w:val="0"/>
          <w:highlight w:val="none"/>
        </w:rPr>
        <w:t>提交首次响应文件</w:t>
      </w:r>
      <w:r>
        <w:rPr>
          <w:rFonts w:hint="eastAsia" w:ascii="宋体" w:hAnsi="宋体"/>
          <w:color w:val="auto"/>
          <w:szCs w:val="21"/>
          <w:highlight w:val="none"/>
        </w:rPr>
        <w:t>止，其资格条件发生变化，影响或者可能影响资格条件的，应随响应文件提供更新或者补充的资格证明材料，以证实其各项条件仍能继续满足本章第3.1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规定的供应商资格条件要求。</w:t>
      </w:r>
    </w:p>
    <w:p>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18.2除上</w:t>
      </w:r>
      <w:r>
        <w:rPr>
          <w:rFonts w:hint="eastAsia" w:ascii="宋体" w:hAnsi="宋体" w:cs="宋体"/>
          <w:color w:val="auto"/>
          <w:kern w:val="0"/>
          <w:szCs w:val="21"/>
          <w:highlight w:val="none"/>
          <w:lang w:val="zh-CN"/>
        </w:rPr>
        <w:t>款规定的</w:t>
      </w:r>
      <w:r>
        <w:rPr>
          <w:rFonts w:hint="eastAsia" w:ascii="宋体" w:hAnsi="宋体"/>
          <w:color w:val="auto"/>
          <w:highlight w:val="none"/>
        </w:rPr>
        <w:t>情形外，采购人、采购代理机构</w:t>
      </w:r>
      <w:r>
        <w:rPr>
          <w:rFonts w:hint="eastAsia" w:hAnsi="宋体"/>
          <w:color w:val="auto"/>
          <w:highlight w:val="none"/>
        </w:rPr>
        <w:t>不再对供应商进行资格审查。</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19.谈判小组</w:t>
      </w:r>
    </w:p>
    <w:p>
      <w:pPr>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19.1谈判小组由采购人代表和评审专家组成。</w:t>
      </w:r>
    </w:p>
    <w:p>
      <w:pPr>
        <w:adjustRightInd w:val="0"/>
        <w:snapToGrid w:val="0"/>
        <w:spacing w:line="360" w:lineRule="auto"/>
        <w:ind w:firstLine="420"/>
        <w:jc w:val="left"/>
        <w:rPr>
          <w:rFonts w:ascii="宋体" w:hAnsi="宋体"/>
          <w:color w:val="auto"/>
          <w:szCs w:val="21"/>
          <w:highlight w:val="none"/>
        </w:rPr>
      </w:pPr>
      <w:r>
        <w:rPr>
          <w:rFonts w:hint="eastAsia" w:ascii="宋体" w:hAnsi="宋体"/>
          <w:bCs/>
          <w:color w:val="auto"/>
          <w:szCs w:val="21"/>
          <w:highlight w:val="none"/>
        </w:rPr>
        <w:t>19.2谈判小组</w:t>
      </w:r>
      <w:r>
        <w:rPr>
          <w:rFonts w:ascii="宋体" w:hAnsi="宋体"/>
          <w:color w:val="auto"/>
          <w:szCs w:val="21"/>
          <w:highlight w:val="none"/>
        </w:rPr>
        <w:t>成员有下列情形之一的，应当回避：</w:t>
      </w:r>
    </w:p>
    <w:p>
      <w:pPr>
        <w:adjustRightInd w:val="0"/>
        <w:snapToGrid w:val="0"/>
        <w:spacing w:line="360" w:lineRule="auto"/>
        <w:ind w:firstLine="420"/>
        <w:jc w:val="left"/>
        <w:rPr>
          <w:color w:val="auto"/>
          <w:szCs w:val="21"/>
          <w:highlight w:val="none"/>
        </w:rPr>
      </w:pPr>
      <w:r>
        <w:rPr>
          <w:rFonts w:ascii="宋体" w:hAnsi="宋体"/>
          <w:color w:val="auto"/>
          <w:szCs w:val="21"/>
          <w:highlight w:val="none"/>
        </w:rPr>
        <w:t>（1）参加采购活动前 3 年内与供应商存在劳动关系</w:t>
      </w:r>
      <w:r>
        <w:rPr>
          <w:rFonts w:hint="eastAsia" w:ascii="宋体" w:hAnsi="宋体"/>
          <w:color w:val="auto"/>
          <w:szCs w:val="21"/>
          <w:highlight w:val="none"/>
        </w:rPr>
        <w:t>；</w:t>
      </w:r>
    </w:p>
    <w:p>
      <w:pPr>
        <w:adjustRightInd w:val="0"/>
        <w:snapToGrid w:val="0"/>
        <w:spacing w:line="360" w:lineRule="auto"/>
        <w:ind w:firstLine="420"/>
        <w:jc w:val="left"/>
        <w:rPr>
          <w:color w:val="auto"/>
          <w:szCs w:val="21"/>
          <w:highlight w:val="none"/>
        </w:rPr>
      </w:pPr>
      <w:r>
        <w:rPr>
          <w:rFonts w:ascii="宋体" w:hAnsi="宋体"/>
          <w:color w:val="auto"/>
          <w:szCs w:val="21"/>
          <w:highlight w:val="none"/>
        </w:rPr>
        <w:t>（2）参加采购活动前 3 年内担任供应商的董事、监事；</w:t>
      </w:r>
    </w:p>
    <w:p>
      <w:pPr>
        <w:adjustRightInd w:val="0"/>
        <w:snapToGrid w:val="0"/>
        <w:spacing w:line="360" w:lineRule="auto"/>
        <w:ind w:firstLine="420"/>
        <w:jc w:val="left"/>
        <w:rPr>
          <w:color w:val="auto"/>
          <w:szCs w:val="21"/>
          <w:highlight w:val="none"/>
        </w:rPr>
      </w:pPr>
      <w:r>
        <w:rPr>
          <w:rFonts w:ascii="宋体" w:hAnsi="宋体"/>
          <w:color w:val="auto"/>
          <w:szCs w:val="21"/>
          <w:highlight w:val="none"/>
        </w:rPr>
        <w:t>（3）参加采购活动前 3 年内是供应商的控股股东或者实际控制人；</w:t>
      </w:r>
    </w:p>
    <w:p>
      <w:pPr>
        <w:adjustRightInd w:val="0"/>
        <w:snapToGrid w:val="0"/>
        <w:spacing w:line="360" w:lineRule="auto"/>
        <w:ind w:firstLine="420"/>
        <w:jc w:val="left"/>
        <w:rPr>
          <w:color w:val="auto"/>
          <w:szCs w:val="21"/>
          <w:highlight w:val="none"/>
        </w:rPr>
      </w:pPr>
      <w:r>
        <w:rPr>
          <w:rFonts w:ascii="宋体" w:hAnsi="宋体"/>
          <w:color w:val="auto"/>
          <w:szCs w:val="21"/>
          <w:highlight w:val="none"/>
        </w:rPr>
        <w:t>（4）与供应商的法定代表人或者负责人有夫妻、直系血亲、三代以内旁系血亲或者近姻亲关系；</w:t>
      </w:r>
    </w:p>
    <w:p>
      <w:pPr>
        <w:adjustRightInd w:val="0"/>
        <w:snapToGrid w:val="0"/>
        <w:spacing w:line="360" w:lineRule="auto"/>
        <w:ind w:firstLine="420"/>
        <w:jc w:val="left"/>
        <w:rPr>
          <w:rFonts w:ascii="宋体" w:hAnsi="宋体"/>
          <w:color w:val="auto"/>
          <w:szCs w:val="21"/>
          <w:highlight w:val="none"/>
        </w:rPr>
      </w:pPr>
      <w:r>
        <w:rPr>
          <w:rFonts w:ascii="宋体" w:hAnsi="宋体"/>
          <w:color w:val="auto"/>
          <w:szCs w:val="21"/>
          <w:highlight w:val="none"/>
        </w:rPr>
        <w:t>（5）与供应商有其他可能影响政府采购活动公平、公正进行的关系。</w:t>
      </w:r>
    </w:p>
    <w:p>
      <w:pPr>
        <w:adjustRightInd w:val="0"/>
        <w:snapToGrid w:val="0"/>
        <w:spacing w:line="360" w:lineRule="auto"/>
        <w:ind w:firstLine="420"/>
        <w:jc w:val="left"/>
        <w:rPr>
          <w:color w:val="auto"/>
          <w:szCs w:val="21"/>
          <w:highlight w:val="none"/>
        </w:rPr>
      </w:pPr>
      <w:r>
        <w:rPr>
          <w:rFonts w:hint="eastAsia" w:ascii="宋体" w:hAnsi="宋体"/>
          <w:color w:val="auto"/>
          <w:szCs w:val="21"/>
          <w:highlight w:val="none"/>
        </w:rPr>
        <w:t>19</w:t>
      </w:r>
      <w:r>
        <w:rPr>
          <w:rFonts w:ascii="宋体" w:hAnsi="宋体"/>
          <w:color w:val="auto"/>
          <w:szCs w:val="21"/>
          <w:highlight w:val="none"/>
        </w:rPr>
        <w:t>.</w:t>
      </w:r>
      <w:r>
        <w:rPr>
          <w:rFonts w:hint="eastAsia" w:ascii="宋体" w:hAnsi="宋体"/>
          <w:color w:val="auto"/>
          <w:szCs w:val="21"/>
          <w:highlight w:val="none"/>
        </w:rPr>
        <w:t>3谈判小组成员应当按照客观、公正、审慎的原则，根据谈判文件规定的评审程序、评审方法和评审标准进行独立评审。</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20.谈判程序</w:t>
      </w:r>
    </w:p>
    <w:p>
      <w:pPr>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20.1</w:t>
      </w:r>
      <w:r>
        <w:rPr>
          <w:rFonts w:hint="eastAsia" w:ascii="宋体" w:hAnsi="宋体"/>
          <w:bCs/>
          <w:color w:val="auto"/>
          <w:szCs w:val="21"/>
          <w:highlight w:val="none"/>
        </w:rPr>
        <w:t>谈判程序：谈判（响应文件审查、澄清）、最后报价、提出成交供应商。其中，谈判按本章第23条进行。</w:t>
      </w:r>
    </w:p>
    <w:p>
      <w:pPr>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20.2谈判小组应当对响应文件进行评审，并根据谈判文件规定的程序、评定成交的标准等事项与实质性响应谈判文件要求的供应商进行谈判。</w:t>
      </w:r>
    </w:p>
    <w:p>
      <w:pPr>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20.3在谈判过程中谈判的任何一方不得向他人透露与谈判有关的技术资料、价格或其他信息。</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21.响应文件审查</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21.1谈判小组对响应文件(包括首次提交的响应文件、重新提交的响应文件)的有效性、完整性和对谈判文件的响应程度进行审查。</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21.2响应文件有下列情况之一，响应文件按无效处理，谈判小组应当告知有关供应商。</w:t>
      </w:r>
    </w:p>
    <w:p>
      <w:pPr>
        <w:adjustRightInd w:val="0"/>
        <w:snapToGrid w:val="0"/>
        <w:spacing w:line="360" w:lineRule="auto"/>
        <w:ind w:firstLine="420" w:firstLineChars="200"/>
        <w:rPr>
          <w:rFonts w:ascii="宋体" w:hAnsi="宋体"/>
          <w:bCs/>
          <w:color w:val="auto"/>
          <w:szCs w:val="21"/>
          <w:highlight w:val="none"/>
        </w:rPr>
      </w:pPr>
      <w:r>
        <w:rPr>
          <w:rFonts w:hint="eastAsia" w:ascii="宋体" w:hAnsi="宋体" w:cs="宋体"/>
          <w:color w:val="auto"/>
          <w:kern w:val="0"/>
          <w:szCs w:val="21"/>
          <w:highlight w:val="none"/>
        </w:rPr>
        <w:t>（1）</w:t>
      </w:r>
      <w:r>
        <w:rPr>
          <w:rFonts w:hint="eastAsia" w:ascii="宋体" w:hAnsi="宋体"/>
          <w:color w:val="auto"/>
          <w:szCs w:val="21"/>
          <w:highlight w:val="none"/>
        </w:rPr>
        <w:t>应交未交保证金或</w:t>
      </w:r>
      <w:r>
        <w:rPr>
          <w:rFonts w:hint="eastAsia"/>
          <w:color w:val="auto"/>
          <w:szCs w:val="21"/>
          <w:highlight w:val="none"/>
        </w:rPr>
        <w:t>金额不足、保证金形式不符合谈判文件要求的</w:t>
      </w:r>
      <w:r>
        <w:rPr>
          <w:rFonts w:hint="eastAsia" w:ascii="宋体" w:hAnsi="宋体"/>
          <w:color w:val="auto"/>
          <w:szCs w:val="21"/>
          <w:highlight w:val="none"/>
        </w:rPr>
        <w:t>；</w:t>
      </w:r>
    </w:p>
    <w:p>
      <w:pPr>
        <w:tabs>
          <w:tab w:val="left" w:pos="735"/>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（2）</w:t>
      </w:r>
      <w:r>
        <w:rPr>
          <w:rFonts w:hint="eastAsia" w:ascii="宋体" w:hAnsi="宋体"/>
          <w:color w:val="auto"/>
          <w:szCs w:val="21"/>
          <w:highlight w:val="none"/>
        </w:rPr>
        <w:t>未按照谈判文件规定要求签署、盖章的；</w:t>
      </w:r>
    </w:p>
    <w:p>
      <w:pPr>
        <w:tabs>
          <w:tab w:val="left" w:pos="735"/>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（3）不满足谈判文件规定的实质性要求和条件的；</w:t>
      </w:r>
    </w:p>
    <w:p>
      <w:pPr>
        <w:tabs>
          <w:tab w:val="left" w:pos="735"/>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（4）法律、法规和谈判文件规定的其他响应无效情形。</w:t>
      </w:r>
    </w:p>
    <w:p>
      <w:pPr>
        <w:tabs>
          <w:tab w:val="left" w:pos="735"/>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21.3响应文件按无效处理的，谈判小组应拒绝其参与谈判，但属于谈判文件规定的实质性变动内容的除外。</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21.4谈判文件规定的实质性要求和条件见【</w:t>
      </w:r>
      <w:r>
        <w:rPr>
          <w:rFonts w:hint="eastAsia" w:ascii="宋体" w:hAnsi="宋体" w:cs="宋体"/>
          <w:b/>
          <w:color w:val="auto"/>
          <w:kern w:val="0"/>
          <w:szCs w:val="21"/>
          <w:highlight w:val="none"/>
        </w:rPr>
        <w:t>谈判须知前附表</w:t>
      </w:r>
      <w:r>
        <w:rPr>
          <w:rFonts w:hint="eastAsia" w:ascii="宋体" w:hAnsi="宋体" w:cs="宋体"/>
          <w:color w:val="auto"/>
          <w:kern w:val="0"/>
          <w:szCs w:val="21"/>
          <w:highlight w:val="none"/>
        </w:rPr>
        <w:t>】。</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22.澄清</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22.1谈判小组在对响应文件(包括</w:t>
      </w:r>
      <w:r>
        <w:rPr>
          <w:rFonts w:hint="eastAsia" w:hAnsi="宋体" w:cs="宋体"/>
          <w:color w:val="auto"/>
          <w:kern w:val="0"/>
          <w:highlight w:val="none"/>
        </w:rPr>
        <w:t>首次提交的</w:t>
      </w:r>
      <w:r>
        <w:rPr>
          <w:rFonts w:hint="eastAsia" w:ascii="宋体" w:hAnsi="宋体" w:cs="宋体"/>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23.谈判的规定</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23.1</w:t>
      </w:r>
      <w:r>
        <w:rPr>
          <w:rFonts w:hint="eastAsia" w:ascii="宋体" w:hAnsi="宋体" w:cs="宋体"/>
          <w:color w:val="auto"/>
          <w:kern w:val="0"/>
          <w:szCs w:val="21"/>
          <w:highlight w:val="none"/>
        </w:rPr>
        <w:t>在谈判过程中，谈判小组所有成员集中与单一供应商分别进行谈判，并给予所有参加谈判的供应商平等的谈判机会。供应商应派其代表参加谈判。</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23.2</w:t>
      </w:r>
      <w:r>
        <w:rPr>
          <w:rFonts w:hint="eastAsia" w:ascii="宋体" w:hAnsi="宋体" w:cs="宋体"/>
          <w:color w:val="auto"/>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pPr>
        <w:adjustRightInd w:val="0"/>
        <w:snapToGrid w:val="0"/>
        <w:spacing w:line="360" w:lineRule="auto"/>
        <w:ind w:firstLine="420"/>
        <w:jc w:val="left"/>
        <w:rPr>
          <w:rFonts w:ascii="宋体" w:hAnsi="宋体" w:cs="宋体"/>
          <w:color w:val="auto"/>
          <w:kern w:val="0"/>
          <w:szCs w:val="21"/>
          <w:highlight w:val="none"/>
        </w:rPr>
      </w:pPr>
      <w:r>
        <w:rPr>
          <w:rFonts w:ascii="宋体" w:hAnsi="宋体" w:cs="宋体"/>
          <w:color w:val="auto"/>
          <w:kern w:val="0"/>
          <w:szCs w:val="21"/>
          <w:highlight w:val="none"/>
        </w:rPr>
        <w:t>2</w:t>
      </w:r>
      <w:r>
        <w:rPr>
          <w:rFonts w:hint="eastAsia" w:ascii="宋体" w:hAnsi="宋体" w:cs="宋体"/>
          <w:color w:val="auto"/>
          <w:kern w:val="0"/>
          <w:szCs w:val="21"/>
          <w:highlight w:val="none"/>
        </w:rPr>
        <w:t>3</w:t>
      </w:r>
      <w:r>
        <w:rPr>
          <w:rFonts w:ascii="宋体" w:hAnsi="宋体" w:cs="宋体"/>
          <w:color w:val="auto"/>
          <w:kern w:val="0"/>
          <w:szCs w:val="21"/>
          <w:highlight w:val="none"/>
        </w:rPr>
        <w:t>.</w:t>
      </w:r>
      <w:r>
        <w:rPr>
          <w:rFonts w:hint="eastAsia" w:ascii="宋体" w:hAnsi="宋体" w:cs="宋体"/>
          <w:color w:val="auto"/>
          <w:kern w:val="0"/>
          <w:szCs w:val="21"/>
          <w:highlight w:val="none"/>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24.退出谈判</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24.1供应商在提交最后报价之前，可以根据谈判情况退出谈判，</w:t>
      </w:r>
      <w:r>
        <w:rPr>
          <w:rFonts w:hint="eastAsia" w:ascii="宋体" w:hAnsi="宋体" w:cs="宋体"/>
          <w:color w:val="auto"/>
          <w:kern w:val="0"/>
          <w:highlight w:val="none"/>
        </w:rPr>
        <w:t>并书面通知采购人、采购代理机构或者谈判小组。</w:t>
      </w:r>
      <w:r>
        <w:rPr>
          <w:rFonts w:hint="eastAsia" w:ascii="宋体" w:hAnsi="宋体"/>
          <w:color w:val="auto"/>
          <w:highlight w:val="none"/>
        </w:rPr>
        <w:t>该通知由供应商代表签字。采购人、</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11.4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退还退出谈判的供应商的保证金。</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24.2供应商参与谈判，但未提交最后报价又未按前款规定退出谈判的，保证金不予退还。</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25.最后报价</w:t>
      </w:r>
    </w:p>
    <w:p>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（1）谈判文件能够详细列明采购需求的技术、服务要求的，谈判结束后，谈判小组应当要求所有供应商在规定时间内提交最后报价。</w:t>
      </w:r>
    </w:p>
    <w:p>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（1）谈判文件未明确可能实质性变动的；</w:t>
      </w:r>
    </w:p>
    <w:p>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25.3谈判小组应召集所有提交最后报价的供应商，逐一</w:t>
      </w:r>
      <w:r>
        <w:rPr>
          <w:rFonts w:hint="eastAsia" w:ascii="宋体" w:hAnsi="宋体"/>
          <w:bCs/>
          <w:color w:val="auto"/>
          <w:szCs w:val="21"/>
          <w:highlight w:val="none"/>
        </w:rPr>
        <w:t>公布</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w:t>
      </w:r>
      <w:r>
        <w:rPr>
          <w:rFonts w:hint="eastAsia" w:ascii="宋体" w:hAnsi="宋体" w:cs="宋体"/>
          <w:color w:val="auto"/>
          <w:kern w:val="0"/>
          <w:szCs w:val="21"/>
          <w:highlight w:val="none"/>
        </w:rPr>
        <w:t>，由采购人、采购代理机构负责记录，并由供应商代表签字确认后随采购文件一并存档。</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26.不合理报价</w:t>
      </w:r>
    </w:p>
    <w:p>
      <w:pPr>
        <w:adjustRightInd w:val="0"/>
        <w:snapToGrid w:val="0"/>
        <w:spacing w:line="360" w:lineRule="auto"/>
        <w:ind w:firstLine="420" w:firstLineChars="200"/>
        <w:jc w:val="left"/>
        <w:rPr>
          <w:rFonts w:hint="eastAsia" w:ascii="宋体" w:hAnsi="宋体"/>
          <w:b/>
          <w:bCs w:val="0"/>
          <w:color w:val="auto"/>
          <w:szCs w:val="21"/>
          <w:highlight w:val="none"/>
        </w:rPr>
      </w:pPr>
      <w:r>
        <w:rPr>
          <w:rFonts w:hint="eastAsia" w:ascii="宋体" w:hAnsi="宋体"/>
          <w:bCs/>
          <w:color w:val="auto"/>
          <w:szCs w:val="21"/>
          <w:highlight w:val="none"/>
        </w:rPr>
        <w:t>26．1</w:t>
      </w:r>
      <w:r>
        <w:rPr>
          <w:rFonts w:hint="eastAsia" w:ascii="宋体" w:hAnsi="宋体"/>
          <w:b/>
          <w:bCs w:val="0"/>
          <w:color w:val="auto"/>
          <w:szCs w:val="21"/>
          <w:highlight w:val="none"/>
        </w:rPr>
        <w:t>投标人的报价符合下列情形之一的，评标委员会应当启动异常低价投标审查程序：</w:t>
      </w:r>
    </w:p>
    <w:p>
      <w:pPr>
        <w:adjustRightInd w:val="0"/>
        <w:snapToGrid w:val="0"/>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（1）投标（响应）报价低于全部通过符合性审查供应商投标（响应）报价平均值65%的，即投标（响应）报价&lt;全部通过符合性审查供应商投标（响应）报价平均值×65%；</w:t>
      </w:r>
    </w:p>
    <w:p>
      <w:pPr>
        <w:adjustRightInd w:val="0"/>
        <w:snapToGrid w:val="0"/>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（2）投标（响应）报价低于通过符合性审查的次低报价供应商投标（响应）报价65%的，即投标（响应）报价&lt;通过符合性审查的次低报价供应商投标（响应）报价×65%；</w:t>
      </w:r>
    </w:p>
    <w:p>
      <w:pPr>
        <w:adjustRightInd w:val="0"/>
        <w:snapToGrid w:val="0"/>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（3）投标（响应）报价低于采购项目最高限价65%的，即投标（响应）报价&lt;采购项目最高限价×65%；</w:t>
      </w:r>
    </w:p>
    <w:p>
      <w:pPr>
        <w:adjustRightInd w:val="0"/>
        <w:snapToGrid w:val="0"/>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（4）评审委员会基于专业判断，认为供应商报价过低，有可能影响产品质量或者不能诚信履约的其他情形。</w:t>
      </w:r>
    </w:p>
    <w:p>
      <w:pPr>
        <w:adjustRightInd w:val="0"/>
        <w:snapToGrid w:val="0"/>
        <w:spacing w:line="360" w:lineRule="auto"/>
        <w:ind w:firstLine="422" w:firstLineChars="200"/>
        <w:jc w:val="left"/>
        <w:rPr>
          <w:rFonts w:hint="eastAsia"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投标人提交证明材料的时间不得超过60分钟。其中，属于第3项情形，供应商已随投标（响应）文件一并提交相关书面说明及必要的证明材料的，在评审现场可不再重复提交。</w:t>
      </w:r>
    </w:p>
    <w:p>
      <w:pPr>
        <w:adjustRightInd w:val="0"/>
        <w:snapToGrid w:val="0"/>
        <w:spacing w:line="360" w:lineRule="auto"/>
        <w:ind w:firstLine="422" w:firstLineChars="200"/>
        <w:jc w:val="left"/>
        <w:rPr>
          <w:rFonts w:ascii="宋体" w:hAnsi="宋体" w:cs="宋体"/>
          <w:color w:val="auto"/>
          <w:kern w:val="0"/>
          <w:szCs w:val="21"/>
          <w:highlight w:val="none"/>
        </w:rPr>
      </w:pPr>
      <w:r>
        <w:rPr>
          <w:rFonts w:hint="eastAsia" w:ascii="宋体" w:hAnsi="宋体"/>
          <w:b/>
          <w:bCs w:val="0"/>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27.提出成交供应商</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27.1谈判小组应当从质量和服务均能满足采购文件实质性响应要求的供应商中，按照最后报价由低到高的顺序提出3名以上成交候选人，并编写评审报告。</w:t>
      </w:r>
    </w:p>
    <w:p>
      <w:pPr>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供应商最后报价涉及算术修正、需落实政府采购政策的，按上款规定由低到高的顺序排序。</w:t>
      </w:r>
      <w:r>
        <w:rPr>
          <w:rFonts w:hint="eastAsia"/>
          <w:color w:val="auto"/>
          <w:szCs w:val="21"/>
          <w:highlight w:val="none"/>
        </w:rPr>
        <w:t>最后报价排序</w:t>
      </w:r>
      <w:r>
        <w:rPr>
          <w:color w:val="auto"/>
          <w:szCs w:val="21"/>
          <w:highlight w:val="none"/>
        </w:rPr>
        <w:t>相同的</w:t>
      </w:r>
      <w:r>
        <w:rPr>
          <w:rFonts w:hint="eastAsia"/>
          <w:color w:val="auto"/>
          <w:szCs w:val="21"/>
          <w:highlight w:val="none"/>
        </w:rPr>
        <w:t>并列</w:t>
      </w:r>
      <w:r>
        <w:rPr>
          <w:rFonts w:hint="eastAsia" w:ascii="宋体" w:hAnsi="宋体"/>
          <w:bCs/>
          <w:color w:val="auto"/>
          <w:szCs w:val="21"/>
          <w:highlight w:val="none"/>
        </w:rPr>
        <w:t>。</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bCs/>
          <w:color w:val="auto"/>
          <w:szCs w:val="21"/>
          <w:highlight w:val="none"/>
        </w:rPr>
        <w:t>27.2</w:t>
      </w:r>
      <w:r>
        <w:rPr>
          <w:rFonts w:hint="eastAsia" w:ascii="宋体" w:hAnsi="宋体" w:cs="宋体"/>
          <w:color w:val="auto"/>
          <w:kern w:val="0"/>
          <w:szCs w:val="21"/>
          <w:highlight w:val="none"/>
        </w:rPr>
        <w:t>最后报价有算术错误的，除</w:t>
      </w:r>
      <w:r>
        <w:rPr>
          <w:rFonts w:hint="eastAsia" w:ascii="宋体" w:hAnsi="宋体"/>
          <w:b/>
          <w:color w:val="auto"/>
          <w:szCs w:val="21"/>
          <w:highlight w:val="none"/>
        </w:rPr>
        <w:t>【谈判须知前附表】</w:t>
      </w:r>
      <w:r>
        <w:rPr>
          <w:rFonts w:hint="eastAsia" w:ascii="宋体" w:hAnsi="宋体" w:cs="宋体"/>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（1）大写金额与小写金额不一致的，以大写金额为准。</w:t>
      </w:r>
    </w:p>
    <w:p>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（2）总价金额与按单价汇总金额不一致的，以单价金额计算结果为准。</w:t>
      </w:r>
    </w:p>
    <w:p>
      <w:pPr>
        <w:adjustRightInd w:val="0"/>
        <w:snapToGrid w:val="0"/>
        <w:spacing w:line="360" w:lineRule="auto"/>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修正后的报价由供应商代表签字或者加盖单位公章确认后产生约束力，不确认的，其报价无效。</w:t>
      </w:r>
    </w:p>
    <w:p>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27.3最后报价的评审</w:t>
      </w:r>
    </w:p>
    <w:p>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（1）如果有算术错误，最后报价将按上款规定进行算术修正。</w:t>
      </w:r>
    </w:p>
    <w:p>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（2）需落实政府采购政策（优先采购、价格评审优惠）的，按本章本节第39、40条等相关规定进行价格扣除。</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28.确定成交供应商</w:t>
      </w:r>
    </w:p>
    <w:p>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28.1采购代理机构应当在评审结束后2个工作日内将评审报告送采购人确认。</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pPr>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28.3成交候选人并列的，由采购人自行确定成交供应商。</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29.谈判的特殊情形</w:t>
      </w:r>
    </w:p>
    <w:p>
      <w:pPr>
        <w:adjustRightInd w:val="0"/>
        <w:snapToGrid w:val="0"/>
        <w:spacing w:line="360" w:lineRule="auto"/>
        <w:ind w:firstLine="420" w:firstLineChars="200"/>
        <w:rPr>
          <w:rFonts w:ascii="宋体" w:hAnsi="宋体"/>
          <w:color w:val="auto"/>
          <w:kern w:val="0"/>
          <w:highlight w:val="none"/>
          <w:lang w:val="zh-CN"/>
        </w:rPr>
      </w:pPr>
      <w:r>
        <w:rPr>
          <w:rFonts w:hint="eastAsia" w:ascii="宋体" w:hAnsi="宋体"/>
          <w:color w:val="auto"/>
          <w:kern w:val="0"/>
          <w:highlight w:val="none"/>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pPr>
        <w:adjustRightInd w:val="0"/>
        <w:snapToGrid w:val="0"/>
        <w:spacing w:line="360" w:lineRule="auto"/>
        <w:ind w:firstLine="420" w:firstLineChars="200"/>
        <w:rPr>
          <w:rFonts w:ascii="宋体" w:hAnsi="宋体"/>
          <w:color w:val="auto"/>
          <w:kern w:val="0"/>
          <w:highlight w:val="none"/>
          <w:lang w:val="zh-CN"/>
        </w:rPr>
      </w:pPr>
      <w:r>
        <w:rPr>
          <w:rFonts w:hint="eastAsia" w:ascii="宋体" w:hAnsi="宋体"/>
          <w:color w:val="auto"/>
          <w:kern w:val="0"/>
          <w:highlight w:val="none"/>
          <w:lang w:val="zh-CN"/>
        </w:rPr>
        <w:t>29.2</w:t>
      </w:r>
      <w:r>
        <w:rPr>
          <w:rFonts w:hint="eastAsia" w:ascii="宋体" w:hAnsi="宋体" w:cs="宋体"/>
          <w:color w:val="auto"/>
          <w:kern w:val="0"/>
          <w:szCs w:val="21"/>
          <w:highlight w:val="none"/>
        </w:rPr>
        <w:t>符合上款情形的，本章本节相关条款规定的供应商最低数量可以为两家。</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30.谈判终止</w:t>
      </w:r>
    </w:p>
    <w:p>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30.1</w:t>
      </w:r>
      <w:r>
        <w:rPr>
          <w:rFonts w:hint="eastAsia" w:ascii="宋体" w:hAnsi="宋体" w:cs="宋体"/>
          <w:color w:val="auto"/>
          <w:kern w:val="0"/>
          <w:szCs w:val="21"/>
          <w:highlight w:val="none"/>
        </w:rPr>
        <w:t>出现下列情形之一的，采购人、采购代理机构应当终止竞争性谈判采购活动，</w:t>
      </w:r>
      <w:r>
        <w:rPr>
          <w:rFonts w:hint="eastAsia" w:hAnsi="宋体"/>
          <w:color w:val="auto"/>
          <w:highlight w:val="none"/>
        </w:rPr>
        <w:t>在指定的媒体上</w:t>
      </w:r>
      <w:r>
        <w:rPr>
          <w:rFonts w:hint="eastAsia" w:ascii="宋体" w:hAnsi="宋体" w:cs="宋体"/>
          <w:color w:val="auto"/>
          <w:kern w:val="0"/>
          <w:szCs w:val="21"/>
          <w:highlight w:val="none"/>
        </w:rPr>
        <w:t xml:space="preserve">发布项目终止公告并说明原因，重新开展采购活动： </w:t>
      </w:r>
    </w:p>
    <w:p>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（1）因情况变化，不再符合规定的竞争性谈判采购方式适用情形的；</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（3）在采购过程中符合竞争要求的供应商或者报价未超过采购预算的供应商不足3家的，或者提交最后报价的供应商少于3家的；</w:t>
      </w:r>
    </w:p>
    <w:p>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bCs/>
          <w:color w:val="auto"/>
          <w:szCs w:val="21"/>
          <w:highlight w:val="none"/>
        </w:rPr>
        <w:t>因重大变故，采购任务取消的。</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31.重新评审</w:t>
      </w:r>
    </w:p>
    <w:p>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31.1除资格性审查认定错误和价格计算错误外，采购人、采购代理机构不以任何理由组织重新评审。</w:t>
      </w:r>
    </w:p>
    <w:p>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采购人、采购代理机构发现谈判小组未按照谈判文件规定的评定成交的标准进行评审的，应当重新开展采购活动，并同时书面报告本级财政部门。</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32.保密及串通行为</w:t>
      </w:r>
    </w:p>
    <w:p>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32.1谈判小组成员以及与评审工作有关的人员不得泄露评审情况以及评审过程中获悉的国家秘密、商业秘密。</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32.2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或者谈判小组成员行贿或者提供其他不正当利益；不得提供虚假材料谋取成交；不得以任何方式干扰、影响采购工作。</w:t>
      </w:r>
    </w:p>
    <w:p>
      <w:pPr>
        <w:pStyle w:val="41"/>
        <w:widowControl w:val="0"/>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s="Arial"/>
          <w:color w:val="auto"/>
          <w:sz w:val="21"/>
          <w:szCs w:val="21"/>
          <w:highlight w:val="none"/>
        </w:rPr>
        <w:t>32.3</w:t>
      </w:r>
      <w:r>
        <w:rPr>
          <w:rFonts w:cs="Arial"/>
          <w:color w:val="auto"/>
          <w:sz w:val="21"/>
          <w:szCs w:val="21"/>
          <w:highlight w:val="none"/>
        </w:rPr>
        <w:t>有下列情形之一的，</w:t>
      </w:r>
      <w:r>
        <w:rPr>
          <w:color w:val="auto"/>
          <w:sz w:val="21"/>
          <w:szCs w:val="21"/>
          <w:highlight w:val="none"/>
          <w:lang w:val="zh-CN"/>
        </w:rPr>
        <w:t>属于恶意串通，</w:t>
      </w:r>
      <w:r>
        <w:rPr>
          <w:color w:val="auto"/>
          <w:sz w:val="21"/>
          <w:szCs w:val="21"/>
          <w:highlight w:val="none"/>
        </w:rPr>
        <w:t>成交无效，并</w:t>
      </w:r>
      <w:r>
        <w:rPr>
          <w:color w:val="auto"/>
          <w:sz w:val="21"/>
          <w:szCs w:val="21"/>
          <w:highlight w:val="none"/>
          <w:lang w:val="zh-CN"/>
        </w:rPr>
        <w:t>依照《政府采购法》第七十七条的规定追究法律责任：</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（1）供应商直接或者间接从</w:t>
      </w:r>
      <w:r>
        <w:rPr>
          <w:rFonts w:hint="eastAsia" w:ascii="宋体" w:hAnsi="宋体"/>
          <w:bCs/>
          <w:color w:val="auto"/>
          <w:szCs w:val="21"/>
          <w:highlight w:val="none"/>
        </w:rPr>
        <w:t>采购人、采购代理机构</w:t>
      </w:r>
      <w:r>
        <w:rPr>
          <w:rFonts w:hint="eastAsia" w:ascii="宋体" w:hAnsi="宋体"/>
          <w:color w:val="auto"/>
          <w:szCs w:val="21"/>
          <w:highlight w:val="none"/>
        </w:rPr>
        <w:t>获得其他供应商的响应情况，并修改其响应文件</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szCs w:val="21"/>
          <w:highlight w:val="none"/>
        </w:rPr>
        <w:t>采购人、采购代理机构</w:t>
      </w:r>
      <w:r>
        <w:rPr>
          <w:rFonts w:hint="eastAsia" w:ascii="宋体" w:hAnsi="宋体"/>
          <w:color w:val="auto"/>
          <w:szCs w:val="21"/>
          <w:highlight w:val="none"/>
        </w:rPr>
        <w:t>授意供应商撤换、修改响应文件</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（3）供应商之间协商技术方案、合同条款以及报价等响应文件实质性内容</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（4）属于同一集团、协会、商会等组织成员的供应商按照该组织要求协同参加竞争性谈判政府采购活动</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（5）供应商之间事先约定由某一特定供应商成交</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（6）供应商之间商定部分供应商放弃</w:t>
      </w:r>
      <w:r>
        <w:rPr>
          <w:rFonts w:hint="eastAsia" w:ascii="宋体" w:hAnsi="宋体"/>
          <w:color w:val="auto"/>
          <w:highlight w:val="none"/>
        </w:rPr>
        <w:t>提</w:t>
      </w:r>
      <w:r>
        <w:rPr>
          <w:rFonts w:hint="eastAsia" w:ascii="宋体" w:hAnsi="宋体"/>
          <w:color w:val="auto"/>
          <w:szCs w:val="21"/>
          <w:highlight w:val="none"/>
        </w:rPr>
        <w:t>交响应文件或者退出谈判或者放弃成交</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（7）供应商与</w:t>
      </w:r>
      <w:r>
        <w:rPr>
          <w:rFonts w:hint="eastAsia" w:ascii="宋体" w:hAnsi="宋体"/>
          <w:bCs/>
          <w:color w:val="auto"/>
          <w:szCs w:val="21"/>
          <w:highlight w:val="none"/>
        </w:rPr>
        <w:t>采购人、采购代理机构以及</w:t>
      </w:r>
      <w:r>
        <w:rPr>
          <w:rFonts w:hint="eastAsia" w:ascii="宋体" w:hAnsi="宋体"/>
          <w:color w:val="auto"/>
          <w:szCs w:val="21"/>
          <w:highlight w:val="none"/>
        </w:rPr>
        <w:t>谈判小组成员之间、供应商相互之间，为谋求特定供应商成交或者排斥其他供应商的其他串通行为</w:t>
      </w:r>
      <w:r>
        <w:rPr>
          <w:rFonts w:hint="eastAsia" w:ascii="宋体" w:hAnsi="宋体"/>
          <w:color w:val="auto"/>
          <w:highlight w:val="none"/>
        </w:rPr>
        <w:t>的</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ascii="宋体" w:hAnsi="宋体" w:cs="Arial"/>
          <w:color w:val="auto"/>
          <w:szCs w:val="21"/>
          <w:highlight w:val="none"/>
        </w:rPr>
        <w:t>（</w:t>
      </w:r>
      <w:r>
        <w:rPr>
          <w:rFonts w:hint="eastAsia" w:ascii="宋体" w:hAnsi="宋体" w:cs="Arial"/>
          <w:color w:val="auto"/>
          <w:szCs w:val="21"/>
          <w:highlight w:val="none"/>
        </w:rPr>
        <w:t>8</w:t>
      </w:r>
      <w:r>
        <w:rPr>
          <w:rFonts w:ascii="宋体" w:hAnsi="宋体" w:cs="Arial"/>
          <w:color w:val="auto"/>
          <w:szCs w:val="21"/>
          <w:highlight w:val="none"/>
        </w:rPr>
        <w:t>）</w:t>
      </w:r>
      <w:r>
        <w:rPr>
          <w:rFonts w:ascii="宋体" w:hAnsi="宋体"/>
          <w:color w:val="auto"/>
          <w:szCs w:val="21"/>
          <w:highlight w:val="none"/>
        </w:rPr>
        <w:t>法律、行政法规或规章规定的其他串通行为。</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31" w:name="_Toc32659"/>
      <w:r>
        <w:rPr>
          <w:rFonts w:hint="eastAsia" w:ascii="黑体" w:hAnsi="黑体" w:eastAsia="黑体"/>
          <w:color w:val="auto"/>
          <w:sz w:val="28"/>
          <w:szCs w:val="28"/>
          <w:highlight w:val="none"/>
        </w:rPr>
        <w:t>六、成交结果信息公布与授予合同</w:t>
      </w:r>
      <w:bookmarkEnd w:id="31"/>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33.成交信息的公布</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33.1成交供应商确定后2个工作日内，采购人、采购代理机构应将成交结果信息在</w:t>
      </w:r>
      <w:r>
        <w:rPr>
          <w:rFonts w:hint="eastAsia" w:hAnsi="宋体"/>
          <w:b/>
          <w:color w:val="auto"/>
          <w:highlight w:val="none"/>
        </w:rPr>
        <w:t>【谈判须知前附表】</w:t>
      </w:r>
      <w:r>
        <w:rPr>
          <w:rFonts w:hint="eastAsia" w:hAnsi="宋体"/>
          <w:color w:val="auto"/>
          <w:highlight w:val="none"/>
        </w:rPr>
        <w:t>指定的媒体上公布。</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34.询问及质疑</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34.1供应商对政府采购活动事项有疑问的，可以向采购人、采购代理机构提出询问。</w:t>
      </w:r>
    </w:p>
    <w:p>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35.成交通知</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35.1成交供应商确定后，采购人、采购代理机构将以书面形式向成交供应商发出成交通知书。成交通知书对采购人和成交供应商具有同等法律效力。</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35.2成交通知书是合同文件的组成部分。</w:t>
      </w:r>
    </w:p>
    <w:p>
      <w:pPr>
        <w:tabs>
          <w:tab w:val="left" w:pos="7560"/>
          <w:tab w:val="left" w:pos="7740"/>
          <w:tab w:val="left" w:pos="7920"/>
        </w:tabs>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35.3</w:t>
      </w:r>
      <w:r>
        <w:rPr>
          <w:rFonts w:hint="eastAsia" w:ascii="宋体" w:hAnsi="宋体"/>
          <w:color w:val="auto"/>
          <w:szCs w:val="21"/>
          <w:highlight w:val="none"/>
        </w:rPr>
        <w:t>谈判文件要求成交供应商向采购人提交履约担保的，成交供应商应按照</w:t>
      </w:r>
      <w:r>
        <w:rPr>
          <w:rFonts w:hint="eastAsia" w:ascii="宋体" w:hAnsi="宋体"/>
          <w:b/>
          <w:color w:val="auto"/>
          <w:szCs w:val="21"/>
          <w:highlight w:val="none"/>
        </w:rPr>
        <w:t>【谈判须知前附表】</w:t>
      </w:r>
      <w:r>
        <w:rPr>
          <w:rFonts w:hint="eastAsia" w:ascii="宋体" w:hAnsi="宋体"/>
          <w:color w:val="auto"/>
          <w:szCs w:val="21"/>
          <w:highlight w:val="none"/>
        </w:rPr>
        <w:t>的规定提交。联合体成交的，履约担保由联合体各方或联合体中牵头人的名义提交。</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35.4成交供应商</w:t>
      </w:r>
      <w:r>
        <w:rPr>
          <w:rFonts w:hint="eastAsia" w:hAnsi="宋体"/>
          <w:color w:val="auto"/>
          <w:spacing w:val="4"/>
          <w:highlight w:val="none"/>
        </w:rPr>
        <w:t>没有按照本章第35.3</w:t>
      </w:r>
      <w:r>
        <w:rPr>
          <w:rFonts w:hint="eastAsia" w:hAnsi="宋体" w:cs="宋体"/>
          <w:color w:val="auto"/>
          <w:kern w:val="0"/>
          <w:highlight w:val="none"/>
          <w:lang w:val="zh-CN"/>
        </w:rPr>
        <w:t>款</w:t>
      </w:r>
      <w:r>
        <w:rPr>
          <w:rFonts w:hint="eastAsia" w:hAnsi="宋体"/>
          <w:color w:val="auto"/>
          <w:spacing w:val="4"/>
          <w:highlight w:val="none"/>
        </w:rPr>
        <w:t>规定</w:t>
      </w:r>
      <w:r>
        <w:rPr>
          <w:rFonts w:hint="eastAsia" w:hAnsi="宋体"/>
          <w:color w:val="auto"/>
          <w:highlight w:val="none"/>
        </w:rPr>
        <w:t>提交履约担保的</w:t>
      </w:r>
      <w:r>
        <w:rPr>
          <w:rFonts w:hint="eastAsia" w:hAnsi="宋体"/>
          <w:color w:val="auto"/>
          <w:spacing w:val="4"/>
          <w:highlight w:val="none"/>
        </w:rPr>
        <w:t>，视为放弃</w:t>
      </w:r>
      <w:r>
        <w:rPr>
          <w:rFonts w:hint="eastAsia" w:hAnsi="宋体"/>
          <w:color w:val="auto"/>
          <w:highlight w:val="none"/>
        </w:rPr>
        <w:t>成交资格</w:t>
      </w:r>
      <w:r>
        <w:rPr>
          <w:rFonts w:hint="eastAsia" w:hAnsi="宋体"/>
          <w:color w:val="auto"/>
          <w:spacing w:val="4"/>
          <w:highlight w:val="none"/>
        </w:rPr>
        <w:t>，</w:t>
      </w:r>
      <w:r>
        <w:rPr>
          <w:rFonts w:hint="eastAsia" w:hAnsi="宋体"/>
          <w:color w:val="auto"/>
          <w:spacing w:val="2"/>
          <w:highlight w:val="none"/>
        </w:rPr>
        <w:t>其保证金不予退还。</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36.签订合同</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36.1谈判文件、成交供应商的响应文件及其补充的响应文件等均为签订政府采购合同的依据。</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36.2成交供应商应当在成交通知书发出之日起30日内与采购人签订政府采购合同。</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36.3成交供应商应当按照合同约定履行义务。成交供应商不得向他人转让成交项目，也不得将成交项目分包后分别向他人转让。</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36.4成交供应商有下列情形之一的，责令限期改正，情节严重的，列入不良行为记录名单，在1至3年内禁止参加政府采购活动，并予以通报：</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（一）成交后无正当理由不与采购人签订合同的；</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（二）未按照采购文件确定的事项签订政府采购合同，或者与采购人另行订立背离合同实质性内容的协议的；</w:t>
      </w:r>
    </w:p>
    <w:p>
      <w:pPr>
        <w:pStyle w:val="26"/>
        <w:adjustRightInd w:val="0"/>
        <w:snapToGrid w:val="0"/>
        <w:spacing w:line="360" w:lineRule="auto"/>
        <w:ind w:firstLine="420" w:firstLineChars="200"/>
        <w:rPr>
          <w:rFonts w:hAnsi="宋体"/>
          <w:color w:val="auto"/>
          <w:highlight w:val="none"/>
        </w:rPr>
      </w:pPr>
      <w:r>
        <w:rPr>
          <w:rFonts w:hint="eastAsia" w:hAnsi="宋体"/>
          <w:color w:val="auto"/>
          <w:highlight w:val="none"/>
        </w:rPr>
        <w:t>（三）拒绝履行合同义务的；</w:t>
      </w:r>
    </w:p>
    <w:p>
      <w:pPr>
        <w:pStyle w:val="26"/>
        <w:adjustRightInd w:val="0"/>
        <w:snapToGrid w:val="0"/>
        <w:spacing w:line="360" w:lineRule="auto"/>
        <w:ind w:firstLine="420" w:firstLineChars="200"/>
        <w:rPr>
          <w:rFonts w:hAnsi="宋体" w:cs="宋体"/>
          <w:color w:val="auto"/>
          <w:kern w:val="0"/>
          <w:highlight w:val="none"/>
        </w:rPr>
      </w:pPr>
      <w:r>
        <w:rPr>
          <w:rFonts w:hint="eastAsia" w:hAnsi="宋体"/>
          <w:color w:val="auto"/>
          <w:highlight w:val="none"/>
        </w:rPr>
        <w:t>（四）</w:t>
      </w:r>
      <w:r>
        <w:rPr>
          <w:rFonts w:hint="eastAsia" w:hAnsi="宋体" w:cs="宋体"/>
          <w:color w:val="auto"/>
          <w:kern w:val="0"/>
          <w:highlight w:val="none"/>
        </w:rPr>
        <w:t>违反法律、规章、规范性文件规定的。</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32" w:name="_Toc10123"/>
      <w:bookmarkStart w:id="33" w:name="_Toc22201076"/>
      <w:r>
        <w:rPr>
          <w:rFonts w:hint="eastAsia" w:ascii="黑体" w:hAnsi="黑体" w:eastAsia="黑体"/>
          <w:color w:val="auto"/>
          <w:sz w:val="28"/>
          <w:szCs w:val="28"/>
          <w:highlight w:val="none"/>
        </w:rPr>
        <w:t>七、政府采购政策</w:t>
      </w:r>
      <w:bookmarkEnd w:id="32"/>
      <w:bookmarkEnd w:id="33"/>
    </w:p>
    <w:p>
      <w:pPr>
        <w:pStyle w:val="6"/>
        <w:adjustRightInd w:val="0"/>
        <w:snapToGrid w:val="0"/>
        <w:spacing w:before="0" w:after="0"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37.政府采购政策</w:t>
      </w:r>
    </w:p>
    <w:p>
      <w:pPr>
        <w:adjustRightInd w:val="0"/>
        <w:snapToGrid w:val="0"/>
        <w:spacing w:line="360" w:lineRule="auto"/>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37.1强制采购：</w:t>
      </w:r>
    </w:p>
    <w:p>
      <w:pPr>
        <w:adjustRightInd w:val="0"/>
        <w:snapToGrid w:val="0"/>
        <w:spacing w:line="360" w:lineRule="auto"/>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（1）纳入财政部会同国务院有关部门发布的节能产品政府采购品目清单，实施政府强制采购的（品目清单标注</w:t>
      </w:r>
      <w:r>
        <w:rPr>
          <w:rFonts w:hint="eastAsia" w:ascii="宋体" w:hAnsi="宋体" w:eastAsia="宋体" w:cs="宋体"/>
          <w:color w:val="auto"/>
          <w:kern w:val="0"/>
          <w:highlight w:val="none"/>
        </w:rPr>
        <w:sym w:font="Wingdings" w:char="F0AB"/>
      </w:r>
      <w:r>
        <w:rPr>
          <w:rFonts w:hint="eastAsia" w:ascii="宋体" w:hAnsi="宋体" w:eastAsia="宋体" w:cs="宋体"/>
          <w:color w:val="auto"/>
          <w:kern w:val="0"/>
          <w:highlight w:val="none"/>
        </w:rPr>
        <w:t>符号产品），供应商提供的产品应当取得国家确定的认证机构出具的、处于有效期之内的节能产品认证证书，否则其</w:t>
      </w:r>
      <w:r>
        <w:rPr>
          <w:rFonts w:hint="eastAsia" w:ascii="宋体" w:hAnsi="宋体" w:eastAsia="宋体" w:cs="宋体"/>
          <w:b/>
          <w:color w:val="auto"/>
          <w:kern w:val="0"/>
          <w:highlight w:val="none"/>
        </w:rPr>
        <w:t>响应</w:t>
      </w:r>
      <w:r>
        <w:rPr>
          <w:rFonts w:hint="eastAsia" w:ascii="宋体" w:hAnsi="宋体" w:eastAsia="宋体" w:cs="宋体"/>
          <w:b/>
          <w:color w:val="auto"/>
          <w:kern w:val="0"/>
          <w:szCs w:val="21"/>
          <w:highlight w:val="none"/>
        </w:rPr>
        <w:t>无效</w:t>
      </w:r>
      <w:r>
        <w:rPr>
          <w:rFonts w:hint="eastAsia" w:ascii="宋体" w:hAnsi="宋体" w:eastAsia="宋体" w:cs="宋体"/>
          <w:color w:val="auto"/>
          <w:kern w:val="0"/>
          <w:highlight w:val="none"/>
        </w:rPr>
        <w:t>。</w:t>
      </w:r>
    </w:p>
    <w:p>
      <w:pPr>
        <w:adjustRightInd w:val="0"/>
        <w:snapToGrid w:val="0"/>
        <w:spacing w:line="360" w:lineRule="auto"/>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37.2优先采购：</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（1）</w:t>
      </w:r>
      <w:r>
        <w:rPr>
          <w:rFonts w:hint="eastAsia" w:ascii="宋体" w:hAnsi="宋体"/>
          <w:color w:val="auto"/>
          <w:highlight w:val="none"/>
        </w:rPr>
        <w:t>对</w:t>
      </w:r>
      <w:r>
        <w:rPr>
          <w:rFonts w:hint="eastAsia" w:ascii="宋体" w:hAnsi="宋体"/>
          <w:color w:val="auto"/>
          <w:szCs w:val="21"/>
          <w:highlight w:val="none"/>
        </w:rPr>
        <w:t>纳入财政部会同国务院有关部门发布的节能产品、环境标志产品政府采购品目清单，实施政府优先采购的，评审时按</w:t>
      </w:r>
      <w:r>
        <w:rPr>
          <w:rFonts w:hint="eastAsia" w:ascii="宋体" w:hAnsi="宋体"/>
          <w:b/>
          <w:color w:val="auto"/>
          <w:szCs w:val="21"/>
          <w:highlight w:val="none"/>
        </w:rPr>
        <w:t>【谈判须知前附表】</w:t>
      </w:r>
      <w:r>
        <w:rPr>
          <w:rFonts w:hint="eastAsia" w:ascii="宋体" w:hAnsi="宋体"/>
          <w:color w:val="auto"/>
          <w:szCs w:val="21"/>
          <w:highlight w:val="none"/>
        </w:rPr>
        <w:t>规定给予价格折扣；</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（2）</w:t>
      </w:r>
      <w:r>
        <w:rPr>
          <w:rFonts w:hint="eastAsia" w:ascii="宋体" w:hAnsi="宋体"/>
          <w:color w:val="auto"/>
          <w:highlight w:val="none"/>
        </w:rPr>
        <w:t>对纳入湖南省财政厅等有关部门发布的湖南省两型产品政府采购目录的，实施政府优先采购，评审时按</w:t>
      </w:r>
      <w:r>
        <w:rPr>
          <w:rFonts w:hint="eastAsia" w:ascii="宋体" w:hAnsi="宋体"/>
          <w:b/>
          <w:color w:val="auto"/>
          <w:szCs w:val="21"/>
          <w:highlight w:val="none"/>
        </w:rPr>
        <w:t>【谈判须知前附表】</w:t>
      </w:r>
      <w:r>
        <w:rPr>
          <w:rFonts w:hint="eastAsia" w:ascii="宋体" w:hAnsi="宋体"/>
          <w:color w:val="auto"/>
          <w:szCs w:val="21"/>
          <w:highlight w:val="none"/>
        </w:rPr>
        <w:t>规定</w:t>
      </w:r>
      <w:r>
        <w:rPr>
          <w:rFonts w:hint="eastAsia" w:ascii="宋体" w:hAnsi="宋体"/>
          <w:color w:val="auto"/>
          <w:highlight w:val="none"/>
        </w:rPr>
        <w:t>给予价格折扣。</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37.3价格评审优惠：</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（1）</w:t>
      </w:r>
      <w:r>
        <w:rPr>
          <w:rFonts w:hint="eastAsia" w:ascii="宋体" w:hAnsi="宋体"/>
          <w:color w:val="auto"/>
          <w:highlight w:val="none"/>
        </w:rPr>
        <w:t>供应商为小型、微型企业，且提供本企业生产的货物或者提供其他小型、微型企业生产的货物，价格按</w:t>
      </w:r>
      <w:r>
        <w:rPr>
          <w:rFonts w:hint="eastAsia" w:ascii="宋体" w:hAnsi="宋体"/>
          <w:b/>
          <w:color w:val="auto"/>
          <w:szCs w:val="21"/>
          <w:highlight w:val="none"/>
        </w:rPr>
        <w:t>【谈判须知前附表】</w:t>
      </w:r>
      <w:r>
        <w:rPr>
          <w:rFonts w:hint="eastAsia" w:ascii="宋体" w:hAnsi="宋体"/>
          <w:color w:val="auto"/>
          <w:szCs w:val="21"/>
          <w:highlight w:val="none"/>
        </w:rPr>
        <w:t>规定</w:t>
      </w:r>
      <w:r>
        <w:rPr>
          <w:rFonts w:hint="eastAsia" w:ascii="宋体" w:hAnsi="宋体"/>
          <w:color w:val="auto"/>
          <w:highlight w:val="none"/>
        </w:rPr>
        <w:t>给予价格折扣，用扣除后的价格参与评审。本项所称货物不包括使用大型企业注册商标的货物；</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（2）</w:t>
      </w:r>
      <w:r>
        <w:rPr>
          <w:rFonts w:hint="eastAsia" w:ascii="宋体" w:hAnsi="宋体"/>
          <w:color w:val="auto"/>
          <w:highlight w:val="none"/>
        </w:rPr>
        <w:t>小型、微型企业参加联合体并在联合体协议中明确其在合同金额占联合体合同总金额 30%以上的，该联合体价格按</w:t>
      </w:r>
      <w:r>
        <w:rPr>
          <w:rFonts w:hint="eastAsia" w:ascii="宋体" w:hAnsi="宋体"/>
          <w:b/>
          <w:color w:val="auto"/>
          <w:szCs w:val="21"/>
          <w:highlight w:val="none"/>
        </w:rPr>
        <w:t>【谈判须知前附表】</w:t>
      </w:r>
      <w:r>
        <w:rPr>
          <w:rFonts w:hint="eastAsia" w:ascii="宋体" w:hAnsi="宋体"/>
          <w:color w:val="auto"/>
          <w:szCs w:val="21"/>
          <w:highlight w:val="none"/>
        </w:rPr>
        <w:t>规定</w:t>
      </w:r>
      <w:r>
        <w:rPr>
          <w:rFonts w:hint="eastAsia" w:ascii="宋体" w:hAnsi="宋体"/>
          <w:color w:val="auto"/>
          <w:highlight w:val="none"/>
        </w:rPr>
        <w:t>给予价格折扣，用扣除后的价格参与评审。联合体各方均为小型、微型企业的，联合体视同为小型、微型企业；</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eastAsia="宋体"/>
          <w:color w:val="auto"/>
          <w:highlight w:val="none"/>
        </w:rPr>
        <w:t>（3）</w:t>
      </w:r>
      <w:r>
        <w:rPr>
          <w:rFonts w:hint="eastAsia" w:ascii="宋体" w:hAnsi="宋体"/>
          <w:color w:val="auto"/>
          <w:highlight w:val="none"/>
        </w:rPr>
        <w:t>监狱企业、残</w:t>
      </w:r>
      <w:r>
        <w:rPr>
          <w:rFonts w:hint="eastAsia" w:ascii="宋体" w:hAnsi="宋体"/>
          <w:color w:val="auto"/>
          <w:szCs w:val="21"/>
          <w:highlight w:val="none"/>
        </w:rPr>
        <w:t>疾人福利性单位视同小型、微型企业，享受评审中价格扣除等促进中小企业发展的政府采购政策。</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37.4政府采购政策交叉与叠加</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（1）</w:t>
      </w:r>
      <w:r>
        <w:rPr>
          <w:rFonts w:hint="eastAsia" w:ascii="宋体" w:hAnsi="宋体"/>
          <w:color w:val="auto"/>
          <w:highlight w:val="none"/>
        </w:rPr>
        <w:t>供应商提供的产品取得两个及以上优先采购产品认证的，评审时只有其中一项产品能够享受优先采购优惠（供应商自行选择，并在响应文件中并填报相关信息及数据）</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（2）</w:t>
      </w:r>
      <w:r>
        <w:rPr>
          <w:rFonts w:hint="eastAsia" w:ascii="宋体" w:hAnsi="宋体"/>
          <w:color w:val="auto"/>
          <w:highlight w:val="none"/>
        </w:rPr>
        <w:t>供应商同时符合小型、微型企业及监狱企业、残疾人福利性单位要求的，评审时只有一种类型享受价格评审优惠政策；</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w:t>
      </w:r>
      <w:r>
        <w:rPr>
          <w:rFonts w:hint="eastAsia" w:ascii="宋体" w:hAnsi="宋体"/>
          <w:color w:val="auto"/>
          <w:highlight w:val="none"/>
        </w:rPr>
        <w:t>小型和微型企业的价格评审优惠可以与同时属于“节能产品”、“环境标志产品”及“两型产品”中的一项优先采购优惠累加计算。</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37.5</w:t>
      </w:r>
      <w:r>
        <w:rPr>
          <w:rFonts w:hint="eastAsia" w:ascii="宋体" w:hAnsi="宋体"/>
          <w:color w:val="auto"/>
          <w:highlight w:val="none"/>
        </w:rPr>
        <w:t>小型、微型企业的供应商提供部分小型、微型企业制造的产品，以及部分产品属于优先采购的，评审时只对该部分产品的报价实行价格扣除。</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37.6响应文件符合本章第37.1款、第37.2款、第37.3款规定的，供应商应提供相关证明资料。</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（1）</w:t>
      </w:r>
      <w:r>
        <w:rPr>
          <w:rFonts w:hint="eastAsia" w:ascii="宋体" w:hAnsi="宋体"/>
          <w:color w:val="auto"/>
          <w:highlight w:val="none"/>
        </w:rPr>
        <w:t>节能产品、环境标志产品：提供国家确定的认证机构出具的、处于有效期之内的节能产品、环境标志产品认证证书（复印件）。</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（2）</w:t>
      </w:r>
      <w:r>
        <w:rPr>
          <w:rFonts w:hint="eastAsia" w:ascii="宋体" w:hAnsi="宋体"/>
          <w:color w:val="auto"/>
          <w:highlight w:val="none"/>
        </w:rPr>
        <w:t>两型产品：提供《湖南省两型产品政府采购目录》（最新一期）文件首页和产品所在页（截图）。</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w:t>
      </w:r>
      <w:r>
        <w:rPr>
          <w:rFonts w:hint="eastAsia" w:ascii="宋体" w:hAnsi="宋体"/>
          <w:color w:val="auto"/>
          <w:highlight w:val="none"/>
        </w:rPr>
        <w:t>中小企业：按《关于印发＜政府采购促进中小企业发展暂行办法＞的通知》(财库[2011]181号)规定，提供《小型、微型企业声明函》（格式）。</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（4）监狱企业：按《关于政府采购支持监狱企业发展有关问题的通知》(财库〔2014〕68号)文件规定提供证明文件（复印件）。</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（5）残疾人福利性单位：按《关于促进残疾人就业政府采购政策的通知》(财库〔2017〕141号)文件规定提供《残疾人福利性单位声明函》（格式）。</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37.7进口产品是指符合《政府采购进口产品管理办法》（财库〔2007〕119号）和《关于政府采购进口产品管理有关问题的通知》（财办库〔2008〕248号）文件规定的产品。除</w:t>
      </w:r>
      <w:r>
        <w:rPr>
          <w:rFonts w:hint="eastAsia" w:ascii="宋体" w:hAnsi="宋体" w:eastAsia="宋体"/>
          <w:b/>
          <w:color w:val="auto"/>
          <w:highlight w:val="none"/>
        </w:rPr>
        <w:t>【谈判须知前附表】</w:t>
      </w:r>
      <w:r>
        <w:rPr>
          <w:rFonts w:hint="eastAsia" w:ascii="宋体" w:hAnsi="宋体" w:eastAsia="宋体"/>
          <w:color w:val="auto"/>
          <w:highlight w:val="none"/>
        </w:rPr>
        <w:t>另有规定外，采购项目拒绝进口产品参加谈判。本款规定同意购买进口产品的，不限制满足谈判文件要求的国内产品参与谈判竞争。</w:t>
      </w:r>
    </w:p>
    <w:p>
      <w:pPr>
        <w:adjustRightInd w:val="0"/>
        <w:snapToGrid w:val="0"/>
        <w:spacing w:line="360" w:lineRule="auto"/>
        <w:ind w:firstLine="420" w:firstLineChars="200"/>
        <w:jc w:val="left"/>
        <w:rPr>
          <w:rFonts w:ascii="宋体" w:hAnsi="宋体" w:eastAsia="宋体"/>
          <w:color w:val="auto"/>
          <w:highlight w:val="none"/>
        </w:rPr>
      </w:pPr>
      <w:r>
        <w:rPr>
          <w:rFonts w:hint="eastAsia" w:ascii="宋体" w:hAnsi="宋体" w:eastAsia="宋体"/>
          <w:color w:val="auto"/>
          <w:highlight w:val="none"/>
        </w:rPr>
        <w:t>37.8供应商有融资、担保需求的，可登陆中国湖南政府采购网查询相关银行、担保机构业务。</w:t>
      </w:r>
    </w:p>
    <w:p>
      <w:pPr>
        <w:pStyle w:val="5"/>
        <w:keepNext w:val="0"/>
        <w:keepLines w:val="0"/>
        <w:adjustRightInd w:val="0"/>
        <w:snapToGrid w:val="0"/>
        <w:spacing w:before="156" w:beforeLines="50" w:after="0" w:line="360" w:lineRule="auto"/>
        <w:jc w:val="center"/>
        <w:rPr>
          <w:rFonts w:ascii="黑体" w:hAnsi="黑体" w:eastAsia="黑体"/>
          <w:color w:val="auto"/>
          <w:sz w:val="28"/>
          <w:szCs w:val="28"/>
          <w:highlight w:val="none"/>
        </w:rPr>
      </w:pPr>
      <w:bookmarkStart w:id="34" w:name="_Toc990"/>
      <w:r>
        <w:rPr>
          <w:rFonts w:hint="eastAsia" w:ascii="黑体" w:hAnsi="黑体" w:eastAsia="黑体"/>
          <w:color w:val="auto"/>
          <w:sz w:val="28"/>
          <w:szCs w:val="28"/>
          <w:highlight w:val="none"/>
        </w:rPr>
        <w:t>八、其他规定</w:t>
      </w:r>
      <w:bookmarkEnd w:id="34"/>
    </w:p>
    <w:p>
      <w:pPr>
        <w:pStyle w:val="6"/>
        <w:keepNext w:val="0"/>
        <w:keepLines w:val="0"/>
        <w:adjustRightInd w:val="0"/>
        <w:snapToGrid w:val="0"/>
        <w:spacing w:before="0" w:after="0"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38.代理服务费</w:t>
      </w:r>
    </w:p>
    <w:p>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38.1采购代理服务费由采购人支付的，采购人应按</w:t>
      </w:r>
      <w:r>
        <w:rPr>
          <w:rFonts w:hint="eastAsia" w:ascii="宋体" w:hAnsi="宋体"/>
          <w:b/>
          <w:color w:val="auto"/>
          <w:szCs w:val="21"/>
          <w:highlight w:val="none"/>
        </w:rPr>
        <w:t>【谈判须知前附表】</w:t>
      </w:r>
      <w:r>
        <w:rPr>
          <w:rFonts w:hint="eastAsia" w:ascii="宋体" w:hAnsi="宋体"/>
          <w:color w:val="auto"/>
          <w:szCs w:val="21"/>
          <w:highlight w:val="none"/>
        </w:rPr>
        <w:t>规定向采购代理机构交纳代理服务费。</w:t>
      </w:r>
    </w:p>
    <w:p>
      <w:pPr>
        <w:pStyle w:val="6"/>
        <w:adjustRightInd w:val="0"/>
        <w:snapToGrid w:val="0"/>
        <w:spacing w:before="0" w:after="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39.其他规定</w:t>
      </w:r>
    </w:p>
    <w:p>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39.1</w:t>
      </w:r>
      <w:r>
        <w:rPr>
          <w:rFonts w:hint="eastAsia" w:ascii="宋体" w:hAnsi="宋体"/>
          <w:color w:val="auto"/>
          <w:szCs w:val="21"/>
          <w:highlight w:val="none"/>
        </w:rPr>
        <w:t>谈判文件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【谈判须知前附表】</w:t>
      </w:r>
      <w:r>
        <w:rPr>
          <w:rFonts w:hint="eastAsia" w:ascii="宋体" w:hAnsi="宋体"/>
          <w:color w:val="auto"/>
          <w:szCs w:val="21"/>
          <w:highlight w:val="none"/>
        </w:rPr>
        <w:t>。</w:t>
      </w:r>
    </w:p>
    <w:p>
      <w:pPr>
        <w:pStyle w:val="3"/>
        <w:numPr>
          <w:ilvl w:val="0"/>
          <w:numId w:val="0"/>
        </w:numPr>
        <w:spacing w:line="360" w:lineRule="auto"/>
        <w:rPr>
          <w:rFonts w:ascii="黑体" w:hAnsi="黑体" w:eastAsia="黑体"/>
          <w:color w:val="auto"/>
          <w:sz w:val="32"/>
          <w:szCs w:val="32"/>
          <w:highlight w:val="none"/>
        </w:rPr>
      </w:pPr>
      <w:r>
        <w:rPr>
          <w:rFonts w:ascii="宋体" w:hAnsi="宋体"/>
          <w:color w:val="auto"/>
          <w:szCs w:val="21"/>
          <w:highlight w:val="none"/>
        </w:rPr>
        <w:br w:type="page"/>
      </w:r>
      <w:bookmarkStart w:id="35" w:name="_Toc9061"/>
      <w:r>
        <w:rPr>
          <w:rFonts w:hint="eastAsia" w:ascii="黑体" w:hAnsi="黑体" w:eastAsia="黑体" w:cs="Times New Roman"/>
          <w:color w:val="auto"/>
          <w:sz w:val="32"/>
          <w:szCs w:val="32"/>
          <w:highlight w:val="none"/>
          <w:lang w:eastAsia="zh-CN"/>
        </w:rPr>
        <w:t>第三章</w:t>
      </w:r>
      <w:r>
        <w:rPr>
          <w:rFonts w:hint="eastAsia" w:ascii="黑体" w:hAnsi="黑体" w:eastAsia="黑体" w:cs="Times New Roman"/>
          <w:color w:val="auto"/>
          <w:sz w:val="32"/>
          <w:szCs w:val="32"/>
          <w:highlight w:val="none"/>
          <w:lang w:val="en-US" w:eastAsia="zh-CN"/>
        </w:rPr>
        <w:t xml:space="preserve"> </w:t>
      </w:r>
      <w:r>
        <w:rPr>
          <w:rFonts w:hint="eastAsia" w:ascii="黑体" w:hAnsi="黑体" w:eastAsia="黑体"/>
          <w:color w:val="auto"/>
          <w:sz w:val="32"/>
          <w:szCs w:val="32"/>
          <w:highlight w:val="none"/>
        </w:rPr>
        <w:t>采购需求</w:t>
      </w:r>
      <w:bookmarkEnd w:id="35"/>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21"/>
          <w:szCs w:val="21"/>
          <w:highlight w:val="none"/>
          <w:lang w:val="en-US" w:eastAsia="zh-CN"/>
        </w:rPr>
      </w:pPr>
      <w:bookmarkStart w:id="36" w:name="_Toc11588"/>
      <w:r>
        <w:rPr>
          <w:rFonts w:hint="eastAsia" w:ascii="宋体" w:hAnsi="宋体" w:eastAsia="宋体" w:cs="宋体"/>
          <w:b/>
          <w:bCs/>
          <w:color w:val="auto"/>
          <w:sz w:val="32"/>
          <w:szCs w:val="32"/>
          <w:highlight w:val="none"/>
        </w:rPr>
        <w:t>第一节 采购清单一览表</w:t>
      </w:r>
      <w:bookmarkEnd w:id="36"/>
    </w:p>
    <w:tbl>
      <w:tblPr>
        <w:tblStyle w:val="47"/>
        <w:tblW w:w="5309" w:type="pct"/>
        <w:tblCellSpacing w:w="0" w:type="dxa"/>
        <w:tblInd w:w="-4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35"/>
        <w:gridCol w:w="2184"/>
        <w:gridCol w:w="1357"/>
        <w:gridCol w:w="810"/>
        <w:gridCol w:w="1197"/>
        <w:gridCol w:w="1104"/>
        <w:gridCol w:w="1036"/>
        <w:gridCol w:w="9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00" w:hRule="atLeast"/>
          <w:tblCellSpacing w:w="0" w:type="dxa"/>
        </w:trPr>
        <w:tc>
          <w:tcPr>
            <w:tcW w:w="86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包名称</w:t>
            </w:r>
          </w:p>
        </w:tc>
        <w:tc>
          <w:tcPr>
            <w:tcW w:w="22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标的名称</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简要技术要求</w:t>
            </w:r>
          </w:p>
        </w:tc>
        <w:tc>
          <w:tcPr>
            <w:tcW w:w="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数量</w:t>
            </w:r>
          </w:p>
        </w:tc>
        <w:tc>
          <w:tcPr>
            <w:tcW w:w="123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最高限价（元）</w:t>
            </w:r>
          </w:p>
        </w:tc>
        <w:tc>
          <w:tcPr>
            <w:tcW w:w="1139"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标的预算    （元）</w:t>
            </w:r>
          </w:p>
        </w:tc>
        <w:tc>
          <w:tcPr>
            <w:tcW w:w="106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节能产品</w:t>
            </w:r>
          </w:p>
        </w:tc>
        <w:tc>
          <w:tcPr>
            <w:tcW w:w="96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进口产品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tblCellSpacing w:w="0" w:type="dxa"/>
        </w:trPr>
        <w:tc>
          <w:tcPr>
            <w:tcW w:w="86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包</w:t>
            </w:r>
            <w:r>
              <w:rPr>
                <w:rFonts w:hint="eastAsia" w:ascii="宋体" w:hAnsi="宋体" w:cs="宋体"/>
                <w:color w:val="auto"/>
                <w:kern w:val="0"/>
                <w:sz w:val="21"/>
                <w:szCs w:val="21"/>
                <w:highlight w:val="none"/>
                <w:lang w:val="en-US" w:eastAsia="zh-CN" w:bidi="ar"/>
              </w:rPr>
              <w:t>1</w:t>
            </w:r>
          </w:p>
        </w:tc>
        <w:tc>
          <w:tcPr>
            <w:tcW w:w="225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脊柱UBE手术器械系统</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83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套</w:t>
            </w:r>
          </w:p>
        </w:tc>
        <w:tc>
          <w:tcPr>
            <w:tcW w:w="12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730000</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730000</w:t>
            </w:r>
          </w:p>
        </w:tc>
        <w:tc>
          <w:tcPr>
            <w:tcW w:w="106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c>
          <w:tcPr>
            <w:tcW w:w="96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tblCellSpacing w:w="0" w:type="dxa"/>
        </w:trPr>
        <w:tc>
          <w:tcPr>
            <w:tcW w:w="862"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p>
        </w:tc>
        <w:tc>
          <w:tcPr>
            <w:tcW w:w="2254" w:type="dxa"/>
            <w:tcBorders>
              <w:bottom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电生理参数监测仪</w:t>
            </w:r>
          </w:p>
        </w:tc>
        <w:tc>
          <w:tcPr>
            <w:tcW w:w="14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详见采购需求</w:t>
            </w:r>
          </w:p>
        </w:tc>
        <w:tc>
          <w:tcPr>
            <w:tcW w:w="836"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套</w:t>
            </w:r>
          </w:p>
        </w:tc>
        <w:tc>
          <w:tcPr>
            <w:tcW w:w="1235" w:type="dxa"/>
            <w:tcBorders>
              <w:top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260000</w:t>
            </w:r>
          </w:p>
        </w:tc>
        <w:tc>
          <w:tcPr>
            <w:tcW w:w="113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leftChars="0" w:firstLine="0" w:firstLineChars="0"/>
              <w:jc w:val="center"/>
              <w:textAlignment w:val="auto"/>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260000</w:t>
            </w:r>
          </w:p>
        </w:tc>
        <w:tc>
          <w:tcPr>
            <w:tcW w:w="1069"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c>
          <w:tcPr>
            <w:tcW w:w="9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75" w:beforeAutospacing="0" w:line="400" w:lineRule="exact"/>
              <w:ind w:left="0" w:firstLine="0"/>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sym w:font="Wingdings" w:char="00A8"/>
            </w:r>
          </w:p>
        </w:tc>
      </w:tr>
    </w:tbl>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注：1.“包”为最小合同单位（最小投标单位）。每“包”内容应细化到具体标的。</w:t>
      </w:r>
    </w:p>
    <w:p>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2.投标人必须对一个完整、独立的包进行投标，不得仅对一个包中的部分标的投标，否则</w:t>
      </w:r>
      <w:r>
        <w:rPr>
          <w:rFonts w:hint="eastAsia" w:ascii="宋体" w:hAnsi="宋体"/>
          <w:b/>
          <w:color w:val="auto"/>
          <w:szCs w:val="21"/>
          <w:highlight w:val="none"/>
        </w:rPr>
        <w:t>投标无效。</w:t>
      </w:r>
    </w:p>
    <w:p>
      <w:pPr>
        <w:adjustRightInd w:val="0"/>
        <w:snapToGrid w:val="0"/>
        <w:spacing w:before="156" w:beforeLines="50"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3.货物的主要技术参数或规格：</w:t>
      </w:r>
      <w:r>
        <w:rPr>
          <w:rFonts w:ascii="宋体" w:hAnsi="宋体" w:cs="宋体"/>
          <w:color w:val="auto"/>
          <w:kern w:val="0"/>
          <w:szCs w:val="21"/>
          <w:highlight w:val="none"/>
        </w:rPr>
        <w:t>详见“技术要求”中的具体技术参数</w:t>
      </w:r>
      <w:r>
        <w:rPr>
          <w:rFonts w:hint="eastAsia" w:ascii="宋体" w:hAnsi="宋体" w:cs="宋体"/>
          <w:color w:val="auto"/>
          <w:kern w:val="0"/>
          <w:szCs w:val="21"/>
          <w:highlight w:val="none"/>
        </w:rPr>
        <w:t>。</w:t>
      </w:r>
    </w:p>
    <w:p>
      <w:pPr>
        <w:adjustRightInd w:val="0"/>
        <w:snapToGrid w:val="0"/>
        <w:spacing w:before="156" w:beforeLines="50"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4.投标人应在投标文件《分项报价明细表》中按标的名称顺序逐项填写，且每个标的中的条目均需按招标文件规定报价。如有缺项、漏项，</w:t>
      </w:r>
      <w:r>
        <w:rPr>
          <w:rFonts w:hint="eastAsia" w:ascii="宋体" w:hAnsi="宋体" w:eastAsia="宋体" w:cs="Times New Roman"/>
          <w:b/>
          <w:bCs/>
          <w:color w:val="auto"/>
          <w:szCs w:val="21"/>
          <w:highlight w:val="none"/>
        </w:rPr>
        <w:t>其投标无效</w:t>
      </w:r>
      <w:r>
        <w:rPr>
          <w:rFonts w:hint="eastAsia" w:ascii="宋体" w:hAnsi="宋体" w:eastAsia="宋体" w:cs="Times New Roman"/>
          <w:color w:val="auto"/>
          <w:szCs w:val="21"/>
          <w:highlight w:val="none"/>
        </w:rPr>
        <w:t>。</w:t>
      </w:r>
    </w:p>
    <w:p>
      <w:pP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宋体" w:hAnsi="宋体" w:eastAsia="宋体" w:cs="宋体"/>
          <w:b/>
          <w:color w:val="auto"/>
          <w:sz w:val="21"/>
          <w:szCs w:val="21"/>
          <w:highlight w:val="none"/>
          <w:lang w:val="en-US" w:eastAsia="zh-CN"/>
        </w:rPr>
      </w:pPr>
      <w:r>
        <w:rPr>
          <w:rFonts w:hint="eastAsia" w:ascii="宋体" w:hAnsi="宋体" w:eastAsia="宋体" w:cs="宋体"/>
          <w:b/>
          <w:bCs/>
          <w:color w:val="auto"/>
          <w:kern w:val="2"/>
          <w:sz w:val="32"/>
          <w:szCs w:val="40"/>
          <w:highlight w:val="none"/>
          <w:lang w:val="en-US" w:eastAsia="zh-CN" w:bidi="ar-SA"/>
        </w:rPr>
        <w:t>第二节</w:t>
      </w:r>
      <w:r>
        <w:rPr>
          <w:rFonts w:hint="eastAsia" w:ascii="宋体" w:hAnsi="宋体" w:cs="宋体"/>
          <w:b/>
          <w:bCs/>
          <w:color w:val="auto"/>
          <w:sz w:val="32"/>
          <w:szCs w:val="40"/>
          <w:highlight w:val="none"/>
          <w:lang w:val="en-US" w:eastAsia="zh-CN"/>
        </w:rPr>
        <w:t xml:space="preserve"> </w:t>
      </w:r>
      <w:bookmarkStart w:id="37" w:name="_Toc4980"/>
      <w:r>
        <w:rPr>
          <w:rFonts w:hint="eastAsia" w:ascii="宋体" w:hAnsi="宋体" w:cs="宋体"/>
          <w:b/>
          <w:bCs/>
          <w:color w:val="auto"/>
          <w:sz w:val="32"/>
          <w:szCs w:val="40"/>
          <w:highlight w:val="none"/>
        </w:rPr>
        <w:t>技术参数及功能要求</w:t>
      </w:r>
      <w:bookmarkEnd w:id="37"/>
    </w:p>
    <w:p>
      <w:pPr>
        <w:adjustRightInd w:val="0"/>
        <w:snapToGrid w:val="0"/>
        <w:spacing w:line="460" w:lineRule="exact"/>
        <w:jc w:val="center"/>
        <w:rPr>
          <w:rFonts w:hint="eastAsia" w:ascii="新宋体" w:hAnsi="新宋体" w:eastAsia="新宋体" w:cs="新宋体"/>
          <w:b/>
          <w:bCs/>
          <w:sz w:val="40"/>
          <w:szCs w:val="40"/>
          <w:highlight w:val="none"/>
          <w:lang w:val="en-US" w:eastAsia="zh-CN"/>
        </w:rPr>
      </w:pPr>
      <w:bookmarkStart w:id="38" w:name="_Toc29908"/>
      <w:bookmarkStart w:id="39" w:name="_Toc6464"/>
      <w:r>
        <w:rPr>
          <w:rFonts w:hint="eastAsia" w:ascii="宋体" w:hAnsi="宋体" w:eastAsia="宋体" w:cs="宋体"/>
          <w:b/>
          <w:bCs/>
          <w:color w:val="auto"/>
          <w:sz w:val="28"/>
          <w:szCs w:val="36"/>
          <w:highlight w:val="none"/>
        </w:rPr>
        <w:t>脊柱</w:t>
      </w:r>
      <w:r>
        <w:rPr>
          <w:rFonts w:hint="eastAsia" w:ascii="宋体" w:hAnsi="宋体" w:eastAsia="宋体" w:cs="宋体"/>
          <w:b/>
          <w:bCs/>
          <w:color w:val="auto"/>
          <w:sz w:val="28"/>
          <w:szCs w:val="36"/>
          <w:highlight w:val="none"/>
          <w:lang w:val="en-US" w:eastAsia="zh-CN"/>
        </w:rPr>
        <w:t>UBE</w:t>
      </w:r>
      <w:r>
        <w:rPr>
          <w:rFonts w:hint="eastAsia" w:ascii="宋体" w:hAnsi="宋体" w:eastAsia="宋体" w:cs="宋体"/>
          <w:b/>
          <w:bCs/>
          <w:color w:val="auto"/>
          <w:sz w:val="28"/>
          <w:szCs w:val="36"/>
          <w:highlight w:val="none"/>
        </w:rPr>
        <w:t>手术器械</w:t>
      </w:r>
      <w:r>
        <w:rPr>
          <w:rFonts w:hint="eastAsia" w:ascii="宋体" w:hAnsi="宋体" w:eastAsia="宋体" w:cs="宋体"/>
          <w:b/>
          <w:bCs/>
          <w:color w:val="auto"/>
          <w:sz w:val="28"/>
          <w:szCs w:val="36"/>
          <w:highlight w:val="none"/>
          <w:lang w:val="en-US" w:eastAsia="zh-CN"/>
        </w:rPr>
        <w:t>系统参数</w:t>
      </w:r>
    </w:p>
    <w:p>
      <w:pPr>
        <w:pStyle w:val="3"/>
        <w:numPr>
          <w:ilvl w:val="0"/>
          <w:numId w:val="0"/>
        </w:numPr>
        <w:bidi w:val="0"/>
        <w:spacing w:line="240" w:lineRule="auto"/>
        <w:jc w:val="both"/>
        <w:rPr>
          <w:rFonts w:hint="eastAsia" w:ascii="Times New Roman" w:hAnsi="Times New Roman" w:eastAsia="宋体" w:cs="Times New Roman"/>
          <w:sz w:val="22"/>
          <w:szCs w:val="22"/>
          <w:highlight w:val="none"/>
          <w:lang w:val="en-US" w:eastAsia="zh-CN"/>
        </w:rPr>
      </w:pPr>
      <w:r>
        <w:rPr>
          <w:rFonts w:hint="eastAsia" w:ascii="Times New Roman" w:hAnsi="Times New Roman" w:eastAsia="宋体" w:cs="Times New Roman"/>
          <w:sz w:val="22"/>
          <w:szCs w:val="22"/>
          <w:highlight w:val="none"/>
          <w:lang w:val="en-US" w:eastAsia="zh-CN"/>
        </w:rPr>
        <w:t>一、电动骨组织手术设备参数</w:t>
      </w:r>
    </w:p>
    <w:p>
      <w:pPr>
        <w:numPr>
          <w:ilvl w:val="0"/>
          <w:numId w:val="0"/>
        </w:numPr>
        <w:spacing w:line="360" w:lineRule="auto"/>
        <w:jc w:val="left"/>
        <w:rPr>
          <w:rFonts w:hint="eastAsia" w:ascii="宋体" w:hAnsi="宋体" w:eastAsia="宋体" w:cs="宋体"/>
          <w:sz w:val="20"/>
          <w:szCs w:val="20"/>
          <w:highlight w:val="none"/>
          <w:lang w:eastAsia="zh-CN"/>
        </w:rPr>
      </w:pPr>
      <w:r>
        <w:rPr>
          <w:rFonts w:hint="eastAsia" w:ascii="宋体" w:hAnsi="宋体" w:eastAsia="宋体" w:cs="宋体"/>
          <w:kern w:val="2"/>
          <w:sz w:val="20"/>
          <w:szCs w:val="20"/>
          <w:highlight w:val="none"/>
          <w:lang w:val="en-US" w:eastAsia="zh-CN" w:bidi="ar-SA"/>
        </w:rPr>
        <w:t>1.</w:t>
      </w:r>
      <w:r>
        <w:rPr>
          <w:rFonts w:hint="eastAsia" w:ascii="宋体" w:hAnsi="宋体" w:eastAsia="宋体" w:cs="宋体"/>
          <w:sz w:val="20"/>
          <w:szCs w:val="20"/>
          <w:highlight w:val="none"/>
          <w:lang w:val="en-US" w:eastAsia="zh-CN"/>
        </w:rPr>
        <w:t>临床使用整体要求</w:t>
      </w:r>
      <w:r>
        <w:rPr>
          <w:rFonts w:hint="eastAsia" w:ascii="宋体" w:hAnsi="宋体" w:eastAsia="宋体" w:cs="宋体"/>
          <w:sz w:val="20"/>
          <w:szCs w:val="20"/>
          <w:highlight w:val="none"/>
        </w:rPr>
        <w:t>:骨科手术动力系统，</w:t>
      </w:r>
      <w:r>
        <w:rPr>
          <w:rFonts w:hint="eastAsia" w:ascii="宋体" w:hAnsi="宋体" w:eastAsia="宋体" w:cs="宋体"/>
          <w:sz w:val="20"/>
          <w:szCs w:val="20"/>
          <w:highlight w:val="none"/>
          <w:lang w:val="en-US" w:eastAsia="zh-CN"/>
        </w:rPr>
        <w:t>普通开放手术，</w:t>
      </w:r>
      <w:r>
        <w:rPr>
          <w:rFonts w:hint="eastAsia" w:ascii="宋体" w:hAnsi="宋体" w:cs="宋体"/>
          <w:sz w:val="20"/>
          <w:szCs w:val="20"/>
          <w:highlight w:val="none"/>
          <w:lang w:val="en-US" w:eastAsia="zh-CN"/>
        </w:rPr>
        <w:t>微创</w:t>
      </w:r>
      <w:r>
        <w:rPr>
          <w:rFonts w:hint="eastAsia" w:ascii="宋体" w:hAnsi="宋体" w:eastAsia="宋体" w:cs="宋体"/>
          <w:sz w:val="20"/>
          <w:szCs w:val="20"/>
          <w:highlight w:val="none"/>
          <w:lang w:val="en-US" w:eastAsia="zh-CN"/>
        </w:rPr>
        <w:t>手术中</w:t>
      </w:r>
      <w:r>
        <w:rPr>
          <w:rFonts w:hint="eastAsia" w:ascii="宋体" w:hAnsi="宋体" w:eastAsia="宋体" w:cs="宋体"/>
          <w:sz w:val="20"/>
          <w:szCs w:val="20"/>
          <w:highlight w:val="none"/>
        </w:rPr>
        <w:t>对骨组织的磨削处理功能</w:t>
      </w:r>
      <w:r>
        <w:rPr>
          <w:rFonts w:hint="eastAsia" w:ascii="宋体" w:hAnsi="宋体" w:eastAsia="宋体" w:cs="宋体"/>
          <w:sz w:val="20"/>
          <w:szCs w:val="20"/>
          <w:highlight w:val="none"/>
          <w:lang w:eastAsia="zh-CN"/>
        </w:rPr>
        <w:t>。</w:t>
      </w:r>
    </w:p>
    <w:p>
      <w:pPr>
        <w:numPr>
          <w:ilvl w:val="0"/>
          <w:numId w:val="0"/>
        </w:numPr>
        <w:spacing w:line="360" w:lineRule="auto"/>
        <w:ind w:left="0" w:leftChars="0" w:firstLine="0" w:firstLineChars="0"/>
        <w:jc w:val="left"/>
        <w:rPr>
          <w:rFonts w:hint="eastAsia" w:ascii="宋体" w:hAnsi="宋体" w:eastAsia="宋体" w:cs="宋体"/>
          <w:sz w:val="20"/>
          <w:szCs w:val="20"/>
          <w:highlight w:val="none"/>
        </w:rPr>
      </w:pPr>
      <w:r>
        <w:rPr>
          <w:rFonts w:hint="eastAsia" w:ascii="宋体" w:hAnsi="宋体" w:eastAsia="宋体" w:cs="宋体"/>
          <w:kern w:val="2"/>
          <w:sz w:val="20"/>
          <w:szCs w:val="20"/>
          <w:highlight w:val="none"/>
          <w:lang w:val="en-US" w:eastAsia="zh-CN" w:bidi="ar-SA"/>
        </w:rPr>
        <w:t>2.</w:t>
      </w:r>
      <w:r>
        <w:rPr>
          <w:rFonts w:hint="eastAsia" w:ascii="宋体" w:hAnsi="宋体" w:eastAsia="宋体" w:cs="宋体"/>
          <w:sz w:val="20"/>
          <w:szCs w:val="20"/>
          <w:highlight w:val="none"/>
        </w:rPr>
        <w:t>动力系统整机参数：</w:t>
      </w:r>
    </w:p>
    <w:p>
      <w:pPr>
        <w:numPr>
          <w:ilvl w:val="0"/>
          <w:numId w:val="0"/>
        </w:numPr>
        <w:spacing w:line="360" w:lineRule="auto"/>
        <w:ind w:leftChars="0"/>
        <w:jc w:val="left"/>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2.1</w:t>
      </w:r>
      <w:r>
        <w:rPr>
          <w:rFonts w:hint="eastAsia" w:ascii="宋体" w:hAnsi="宋体" w:eastAsia="宋体" w:cs="宋体"/>
          <w:sz w:val="20"/>
          <w:szCs w:val="20"/>
          <w:highlight w:val="none"/>
        </w:rPr>
        <w:t>主机微电脑控制系统，能智能识别接入手柄、脚踏</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具备</w:t>
      </w:r>
      <w:r>
        <w:rPr>
          <w:rFonts w:hint="eastAsia" w:ascii="宋体" w:hAnsi="宋体" w:eastAsia="宋体" w:cs="宋体"/>
          <w:sz w:val="20"/>
          <w:szCs w:val="20"/>
          <w:highlight w:val="none"/>
          <w:lang w:val="en-US" w:eastAsia="zh-CN"/>
        </w:rPr>
        <w:t>手柄，脚踏</w:t>
      </w:r>
      <w:r>
        <w:rPr>
          <w:rFonts w:hint="eastAsia" w:ascii="宋体" w:hAnsi="宋体" w:eastAsia="宋体" w:cs="宋体"/>
          <w:sz w:val="20"/>
          <w:szCs w:val="20"/>
          <w:highlight w:val="none"/>
        </w:rPr>
        <w:t>连接故障诊断功能，液晶屏显示</w:t>
      </w:r>
      <w:r>
        <w:rPr>
          <w:rFonts w:hint="eastAsia" w:ascii="宋体" w:hAnsi="宋体" w:eastAsia="宋体" w:cs="宋体"/>
          <w:sz w:val="20"/>
          <w:szCs w:val="20"/>
          <w:highlight w:val="none"/>
          <w:lang w:eastAsia="zh-CN"/>
        </w:rPr>
        <w:t>。</w:t>
      </w:r>
    </w:p>
    <w:p>
      <w:pPr>
        <w:numPr>
          <w:ilvl w:val="0"/>
          <w:numId w:val="0"/>
        </w:numPr>
        <w:spacing w:line="360" w:lineRule="auto"/>
        <w:ind w:leftChars="0"/>
        <w:jc w:val="left"/>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2.2</w:t>
      </w:r>
      <w:r>
        <w:rPr>
          <w:rFonts w:hint="eastAsia" w:ascii="宋体" w:hAnsi="宋体" w:eastAsia="宋体" w:cs="宋体"/>
          <w:sz w:val="20"/>
          <w:szCs w:val="20"/>
          <w:highlight w:val="none"/>
        </w:rPr>
        <w:t>脚踏</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rPr>
        <w:t>线缆长≥</w:t>
      </w:r>
      <w:r>
        <w:rPr>
          <w:rFonts w:hint="eastAsia" w:ascii="宋体" w:hAnsi="宋体" w:eastAsia="宋体" w:cs="宋体"/>
          <w:sz w:val="20"/>
          <w:szCs w:val="20"/>
          <w:highlight w:val="none"/>
          <w:lang w:val="en-US" w:eastAsia="zh-CN"/>
        </w:rPr>
        <w:t>3</w:t>
      </w:r>
      <w:r>
        <w:rPr>
          <w:rFonts w:hint="eastAsia" w:ascii="宋体" w:hAnsi="宋体" w:eastAsia="宋体" w:cs="宋体"/>
          <w:sz w:val="20"/>
          <w:szCs w:val="20"/>
          <w:highlight w:val="none"/>
        </w:rPr>
        <w:t>m，具备无级调速功能、</w:t>
      </w:r>
      <w:r>
        <w:rPr>
          <w:rFonts w:hint="eastAsia" w:ascii="宋体" w:hAnsi="宋体" w:eastAsia="宋体" w:cs="宋体"/>
          <w:color w:val="auto"/>
          <w:sz w:val="20"/>
          <w:szCs w:val="20"/>
          <w:highlight w:val="none"/>
        </w:rPr>
        <w:t>IPX8防水等级。</w:t>
      </w:r>
    </w:p>
    <w:p>
      <w:pPr>
        <w:spacing w:line="360" w:lineRule="auto"/>
        <w:jc w:val="left"/>
        <w:rPr>
          <w:rFonts w:hint="eastAsia" w:ascii="宋体" w:hAnsi="宋体" w:eastAsia="宋体" w:cs="宋体"/>
          <w:sz w:val="20"/>
          <w:szCs w:val="20"/>
          <w:highlight w:val="none"/>
        </w:rPr>
      </w:pPr>
      <w:r>
        <w:rPr>
          <w:rFonts w:hint="eastAsia" w:ascii="宋体" w:hAnsi="宋体" w:eastAsia="宋体" w:cs="宋体"/>
          <w:sz w:val="20"/>
          <w:szCs w:val="20"/>
          <w:highlight w:val="none"/>
          <w:lang w:val="en-US" w:eastAsia="zh-CN"/>
        </w:rPr>
        <w:t>2.3配备高速手柄，</w:t>
      </w:r>
      <w:r>
        <w:rPr>
          <w:rFonts w:hint="eastAsia" w:ascii="宋体" w:hAnsi="宋体" w:eastAsia="宋体" w:cs="宋体"/>
          <w:sz w:val="20"/>
          <w:szCs w:val="20"/>
          <w:highlight w:val="none"/>
        </w:rPr>
        <w:t>手柄重量：≤180g（不含线缆），</w:t>
      </w:r>
      <w:r>
        <w:rPr>
          <w:rFonts w:hint="eastAsia" w:ascii="宋体" w:hAnsi="宋体" w:eastAsia="宋体" w:cs="宋体"/>
          <w:sz w:val="20"/>
          <w:szCs w:val="20"/>
          <w:highlight w:val="none"/>
          <w:lang w:val="en-US" w:eastAsia="zh-CN"/>
        </w:rPr>
        <w:t>手柄以及</w:t>
      </w:r>
      <w:r>
        <w:rPr>
          <w:rFonts w:hint="eastAsia" w:ascii="宋体" w:hAnsi="宋体" w:eastAsia="宋体" w:cs="宋体"/>
          <w:sz w:val="20"/>
          <w:szCs w:val="20"/>
          <w:highlight w:val="none"/>
        </w:rPr>
        <w:t>线缆符合高温灭菌消毒规范，可使用高温</w:t>
      </w:r>
      <w:r>
        <w:rPr>
          <w:rFonts w:hint="eastAsia" w:ascii="宋体" w:hAnsi="宋体" w:eastAsia="宋体" w:cs="宋体"/>
          <w:sz w:val="20"/>
          <w:szCs w:val="20"/>
          <w:highlight w:val="none"/>
          <w:lang w:val="en-US" w:eastAsia="zh-CN"/>
        </w:rPr>
        <w:t>消毒</w:t>
      </w:r>
      <w:r>
        <w:rPr>
          <w:rFonts w:hint="eastAsia" w:ascii="宋体" w:hAnsi="宋体" w:cs="宋体"/>
          <w:sz w:val="20"/>
          <w:szCs w:val="20"/>
          <w:highlight w:val="none"/>
          <w:lang w:val="en-US" w:eastAsia="zh-CN"/>
        </w:rPr>
        <w:t>，</w:t>
      </w:r>
      <w:r>
        <w:rPr>
          <w:rFonts w:hint="eastAsia" w:ascii="宋体" w:hAnsi="宋体" w:eastAsia="宋体" w:cs="宋体"/>
          <w:sz w:val="20"/>
          <w:szCs w:val="20"/>
          <w:highlight w:val="none"/>
        </w:rPr>
        <w:t>手柄具备内注水水冷结构，手柄转速≥</w:t>
      </w:r>
      <w:r>
        <w:rPr>
          <w:rFonts w:hint="eastAsia" w:ascii="宋体" w:hAnsi="宋体" w:eastAsia="宋体" w:cs="宋体"/>
          <w:sz w:val="20"/>
          <w:szCs w:val="20"/>
          <w:highlight w:val="none"/>
          <w:lang w:val="en-US" w:eastAsia="zh-CN"/>
        </w:rPr>
        <w:t>60000</w:t>
      </w:r>
      <w:r>
        <w:rPr>
          <w:rFonts w:hint="eastAsia" w:ascii="宋体" w:hAnsi="宋体" w:eastAsia="宋体" w:cs="宋体"/>
          <w:sz w:val="20"/>
          <w:szCs w:val="20"/>
          <w:highlight w:val="none"/>
        </w:rPr>
        <w:t>r/min。</w:t>
      </w:r>
    </w:p>
    <w:p>
      <w:pPr>
        <w:pStyle w:val="2"/>
        <w:spacing w:line="360" w:lineRule="auto"/>
        <w:jc w:val="left"/>
        <w:rPr>
          <w:rFonts w:hint="eastAsia" w:ascii="宋体" w:hAnsi="宋体" w:eastAsia="宋体" w:cs="宋体"/>
          <w:sz w:val="20"/>
          <w:szCs w:val="20"/>
          <w:highlight w:val="none"/>
        </w:rPr>
      </w:pPr>
      <w:r>
        <w:rPr>
          <w:rFonts w:hint="eastAsia" w:ascii="宋体" w:hAnsi="宋体" w:eastAsia="宋体" w:cs="宋体"/>
          <w:b w:val="0"/>
          <w:bCs w:val="0"/>
          <w:kern w:val="0"/>
          <w:sz w:val="20"/>
          <w:szCs w:val="20"/>
          <w:highlight w:val="none"/>
          <w:lang w:val="en-US" w:eastAsia="zh-CN"/>
        </w:rPr>
        <w:t>2.4配</w:t>
      </w:r>
      <w:r>
        <w:rPr>
          <w:rFonts w:hint="eastAsia" w:ascii="宋体" w:hAnsi="宋体" w:eastAsia="宋体" w:cs="宋体"/>
          <w:sz w:val="20"/>
          <w:szCs w:val="20"/>
          <w:highlight w:val="none"/>
        </w:rPr>
        <w:t>备磨钻头</w:t>
      </w:r>
      <w:r>
        <w:rPr>
          <w:rFonts w:hint="eastAsia" w:ascii="宋体" w:hAnsi="宋体" w:eastAsia="宋体" w:cs="宋体"/>
          <w:sz w:val="20"/>
          <w:szCs w:val="20"/>
          <w:highlight w:val="none"/>
          <w:lang w:val="en-US" w:eastAsia="zh-CN"/>
        </w:rPr>
        <w:t>，磨钻头</w:t>
      </w:r>
      <w:r>
        <w:rPr>
          <w:rFonts w:hint="eastAsia" w:ascii="宋体" w:hAnsi="宋体" w:eastAsia="宋体" w:cs="宋体"/>
          <w:sz w:val="20"/>
          <w:szCs w:val="20"/>
          <w:highlight w:val="none"/>
        </w:rPr>
        <w:t>与刀杆一体化设计，刀具外杆无转动，</w:t>
      </w:r>
      <w:r>
        <w:rPr>
          <w:rFonts w:hint="eastAsia" w:ascii="宋体" w:hAnsi="宋体" w:eastAsia="宋体" w:cs="宋体"/>
          <w:sz w:val="20"/>
          <w:szCs w:val="20"/>
          <w:highlight w:val="none"/>
          <w:lang w:val="en-US" w:eastAsia="zh-CN"/>
        </w:rPr>
        <w:t>内注水设计，</w:t>
      </w:r>
      <w:r>
        <w:rPr>
          <w:rFonts w:hint="eastAsia" w:ascii="宋体" w:hAnsi="宋体" w:eastAsia="宋体" w:cs="宋体"/>
          <w:b w:val="0"/>
          <w:bCs w:val="0"/>
          <w:sz w:val="20"/>
          <w:szCs w:val="20"/>
          <w:highlight w:val="none"/>
        </w:rPr>
        <w:t>具有金刚砂球形和不锈钢切削刃球形两种</w:t>
      </w:r>
      <w:r>
        <w:rPr>
          <w:rFonts w:hint="eastAsia" w:ascii="宋体" w:hAnsi="宋体" w:eastAsia="宋体" w:cs="宋体"/>
          <w:b w:val="0"/>
          <w:bCs w:val="0"/>
          <w:sz w:val="20"/>
          <w:szCs w:val="20"/>
          <w:highlight w:val="none"/>
          <w:lang w:val="en-US" w:eastAsia="zh-CN"/>
        </w:rPr>
        <w:t>可选</w:t>
      </w:r>
      <w:r>
        <w:rPr>
          <w:rFonts w:hint="eastAsia" w:ascii="宋体" w:hAnsi="宋体" w:eastAsia="宋体" w:cs="宋体"/>
          <w:b w:val="0"/>
          <w:bCs w:val="0"/>
          <w:sz w:val="20"/>
          <w:szCs w:val="20"/>
          <w:highlight w:val="none"/>
          <w:lang w:eastAsia="zh-CN"/>
        </w:rPr>
        <w:t>，</w:t>
      </w:r>
      <w:r>
        <w:rPr>
          <w:rFonts w:hint="eastAsia" w:ascii="宋体" w:hAnsi="宋体" w:eastAsia="宋体" w:cs="宋体"/>
          <w:b w:val="0"/>
          <w:bCs w:val="0"/>
          <w:sz w:val="20"/>
          <w:szCs w:val="20"/>
          <w:highlight w:val="none"/>
          <w:lang w:val="en-US" w:eastAsia="zh-CN"/>
        </w:rPr>
        <w:t>2.0mm-4.0mm直径可选，</w:t>
      </w:r>
      <w:r>
        <w:rPr>
          <w:rFonts w:hint="eastAsia" w:ascii="宋体" w:hAnsi="宋体" w:eastAsia="宋体" w:cs="宋体"/>
          <w:sz w:val="20"/>
          <w:szCs w:val="20"/>
          <w:highlight w:val="none"/>
        </w:rPr>
        <w:t>转速≥5</w:t>
      </w:r>
      <w:r>
        <w:rPr>
          <w:rFonts w:hint="eastAsia" w:ascii="宋体" w:hAnsi="宋体" w:eastAsia="宋体" w:cs="宋体"/>
          <w:sz w:val="20"/>
          <w:szCs w:val="20"/>
          <w:highlight w:val="none"/>
          <w:lang w:val="en-US" w:eastAsia="zh-CN"/>
        </w:rPr>
        <w:t>0</w:t>
      </w:r>
      <w:r>
        <w:rPr>
          <w:rFonts w:hint="eastAsia" w:ascii="宋体" w:hAnsi="宋体" w:eastAsia="宋体" w:cs="宋体"/>
          <w:sz w:val="20"/>
          <w:szCs w:val="20"/>
          <w:highlight w:val="none"/>
        </w:rPr>
        <w:t>000r/min。</w:t>
      </w:r>
    </w:p>
    <w:p>
      <w:pPr>
        <w:pStyle w:val="2"/>
        <w:spacing w:line="360" w:lineRule="auto"/>
        <w:jc w:val="left"/>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2.</w:t>
      </w:r>
      <w:r>
        <w:rPr>
          <w:rFonts w:hint="eastAsia" w:ascii="宋体" w:hAnsi="宋体" w:cs="宋体"/>
          <w:sz w:val="20"/>
          <w:szCs w:val="20"/>
          <w:highlight w:val="none"/>
          <w:lang w:val="en-US" w:eastAsia="zh-CN"/>
        </w:rPr>
        <w:t>5</w:t>
      </w:r>
      <w:r>
        <w:rPr>
          <w:rFonts w:hint="eastAsia" w:ascii="宋体" w:hAnsi="宋体" w:eastAsia="宋体" w:cs="宋体"/>
          <w:sz w:val="20"/>
          <w:szCs w:val="20"/>
          <w:highlight w:val="none"/>
        </w:rPr>
        <w:t>需配备一体化带保护鞘高速磨钻头，</w:t>
      </w:r>
      <w:r>
        <w:rPr>
          <w:rFonts w:hint="eastAsia" w:ascii="宋体" w:hAnsi="宋体" w:eastAsia="宋体" w:cs="宋体"/>
          <w:b w:val="0"/>
          <w:bCs w:val="0"/>
          <w:sz w:val="20"/>
          <w:szCs w:val="20"/>
          <w:highlight w:val="none"/>
        </w:rPr>
        <w:t>具有金刚砂球形和不锈钢切削刃球形两种</w:t>
      </w:r>
      <w:r>
        <w:rPr>
          <w:rFonts w:hint="eastAsia" w:ascii="宋体" w:hAnsi="宋体" w:eastAsia="宋体" w:cs="宋体"/>
          <w:b w:val="0"/>
          <w:bCs w:val="0"/>
          <w:sz w:val="20"/>
          <w:szCs w:val="20"/>
          <w:highlight w:val="none"/>
          <w:lang w:val="en-US" w:eastAsia="zh-CN"/>
        </w:rPr>
        <w:t>可选，</w:t>
      </w:r>
      <w:r>
        <w:rPr>
          <w:rFonts w:hint="eastAsia" w:ascii="宋体" w:hAnsi="宋体" w:eastAsia="宋体" w:cs="宋体"/>
          <w:sz w:val="20"/>
          <w:szCs w:val="20"/>
          <w:highlight w:val="none"/>
        </w:rPr>
        <w:t>磨钻头前端具备折弯结构，</w:t>
      </w:r>
      <w:r>
        <w:rPr>
          <w:rFonts w:hint="eastAsia" w:ascii="宋体" w:hAnsi="宋体" w:eastAsia="宋体" w:cs="宋体"/>
          <w:kern w:val="2"/>
          <w:sz w:val="20"/>
          <w:szCs w:val="20"/>
          <w:highlight w:val="none"/>
          <w:lang w:val="en-US" w:eastAsia="zh-CN" w:bidi="ar-SA"/>
        </w:rPr>
        <w:t>杆径</w:t>
      </w:r>
      <w:r>
        <w:rPr>
          <w:rFonts w:hint="eastAsia" w:ascii="宋体" w:hAnsi="宋体" w:eastAsia="宋体" w:cs="宋体"/>
          <w:sz w:val="20"/>
          <w:szCs w:val="20"/>
          <w:highlight w:val="none"/>
        </w:rPr>
        <w:t>≤</w:t>
      </w:r>
      <w:r>
        <w:rPr>
          <w:rFonts w:hint="eastAsia" w:ascii="宋体" w:hAnsi="宋体" w:eastAsia="宋体" w:cs="宋体"/>
          <w:kern w:val="2"/>
          <w:sz w:val="20"/>
          <w:szCs w:val="20"/>
          <w:highlight w:val="none"/>
          <w:lang w:val="en-US" w:eastAsia="zh-CN" w:bidi="ar-SA"/>
        </w:rPr>
        <w:t>4mm，</w:t>
      </w:r>
      <w:r>
        <w:rPr>
          <w:rFonts w:hint="eastAsia" w:ascii="宋体" w:hAnsi="宋体" w:eastAsia="宋体" w:cs="宋体"/>
          <w:sz w:val="20"/>
          <w:szCs w:val="20"/>
          <w:highlight w:val="none"/>
        </w:rPr>
        <w:t>转速≥5</w:t>
      </w:r>
      <w:r>
        <w:rPr>
          <w:rFonts w:hint="eastAsia" w:ascii="宋体" w:hAnsi="宋体" w:eastAsia="宋体" w:cs="宋体"/>
          <w:sz w:val="20"/>
          <w:szCs w:val="20"/>
          <w:highlight w:val="none"/>
          <w:lang w:val="en-US" w:eastAsia="zh-CN"/>
        </w:rPr>
        <w:t>0</w:t>
      </w:r>
      <w:r>
        <w:rPr>
          <w:rFonts w:hint="eastAsia" w:ascii="宋体" w:hAnsi="宋体" w:eastAsia="宋体" w:cs="宋体"/>
          <w:sz w:val="20"/>
          <w:szCs w:val="20"/>
          <w:highlight w:val="none"/>
        </w:rPr>
        <w:t>000r/min。</w:t>
      </w:r>
    </w:p>
    <w:p>
      <w:pPr>
        <w:pStyle w:val="2"/>
        <w:numPr>
          <w:ilvl w:val="0"/>
          <w:numId w:val="0"/>
        </w:numPr>
        <w:spacing w:line="360" w:lineRule="auto"/>
        <w:jc w:val="left"/>
        <w:rPr>
          <w:rFonts w:hint="eastAsia" w:ascii="宋体" w:hAnsi="宋体" w:eastAsia="宋体" w:cs="宋体"/>
          <w:sz w:val="20"/>
          <w:szCs w:val="20"/>
          <w:highlight w:val="none"/>
          <w:lang w:eastAsia="zh-CN"/>
        </w:rPr>
      </w:pPr>
      <w:r>
        <w:rPr>
          <w:rFonts w:hint="eastAsia" w:ascii="宋体" w:hAnsi="宋体" w:eastAsia="宋体" w:cs="宋体"/>
          <w:sz w:val="20"/>
          <w:szCs w:val="20"/>
          <w:highlight w:val="none"/>
          <w:lang w:val="en-US" w:eastAsia="zh-CN"/>
        </w:rPr>
        <w:t>2.</w:t>
      </w:r>
      <w:r>
        <w:rPr>
          <w:rFonts w:hint="eastAsia" w:ascii="宋体" w:hAnsi="宋体" w:cs="宋体"/>
          <w:sz w:val="20"/>
          <w:szCs w:val="20"/>
          <w:highlight w:val="none"/>
          <w:lang w:val="en-US" w:eastAsia="zh-CN"/>
        </w:rPr>
        <w:t>6</w:t>
      </w:r>
      <w:r>
        <w:rPr>
          <w:rFonts w:hint="eastAsia" w:ascii="宋体" w:hAnsi="宋体" w:eastAsia="宋体" w:cs="宋体"/>
          <w:sz w:val="20"/>
          <w:szCs w:val="20"/>
          <w:highlight w:val="none"/>
          <w:lang w:val="en-US" w:eastAsia="zh-CN"/>
        </w:rPr>
        <w:t>配备</w:t>
      </w:r>
      <w:r>
        <w:rPr>
          <w:rFonts w:hint="eastAsia" w:ascii="宋体" w:hAnsi="宋体" w:eastAsia="宋体" w:cs="宋体"/>
          <w:sz w:val="20"/>
          <w:szCs w:val="20"/>
          <w:highlight w:val="none"/>
        </w:rPr>
        <w:t>动力骨刀，片状刀头，</w:t>
      </w:r>
      <w:r>
        <w:rPr>
          <w:rFonts w:hint="eastAsia" w:ascii="宋体" w:hAnsi="宋体" w:eastAsia="宋体" w:cs="宋体"/>
          <w:sz w:val="20"/>
          <w:szCs w:val="20"/>
          <w:highlight w:val="none"/>
          <w:lang w:val="en-US" w:eastAsia="zh-CN"/>
        </w:rPr>
        <w:t>内注水设计，可重复使用，</w:t>
      </w:r>
      <w:r>
        <w:rPr>
          <w:rFonts w:hint="eastAsia" w:ascii="宋体" w:hAnsi="宋体" w:eastAsia="宋体" w:cs="宋体"/>
          <w:sz w:val="20"/>
          <w:szCs w:val="20"/>
          <w:highlight w:val="none"/>
        </w:rPr>
        <w:t>前后往复运动，刀头齿部长度≥</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mm</w:t>
      </w:r>
      <w:r>
        <w:rPr>
          <w:rFonts w:hint="eastAsia" w:ascii="宋体" w:hAnsi="宋体" w:eastAsia="宋体" w:cs="宋体"/>
          <w:sz w:val="20"/>
          <w:szCs w:val="20"/>
          <w:highlight w:val="none"/>
          <w:lang w:eastAsia="zh-CN"/>
        </w:rPr>
        <w:t>，</w:t>
      </w:r>
      <w:r>
        <w:rPr>
          <w:rFonts w:hint="eastAsia" w:ascii="宋体" w:hAnsi="宋体" w:eastAsia="宋体" w:cs="宋体"/>
          <w:kern w:val="2"/>
          <w:sz w:val="20"/>
          <w:szCs w:val="20"/>
          <w:highlight w:val="none"/>
          <w:lang w:val="en-US" w:eastAsia="zh-CN" w:bidi="ar-SA"/>
        </w:rPr>
        <w:t>转速</w:t>
      </w:r>
      <w:r>
        <w:rPr>
          <w:rFonts w:hint="eastAsia" w:ascii="宋体" w:hAnsi="宋体" w:eastAsia="宋体" w:cs="宋体"/>
          <w:sz w:val="20"/>
          <w:szCs w:val="20"/>
          <w:highlight w:val="none"/>
        </w:rPr>
        <w:t>≥</w:t>
      </w:r>
      <w:r>
        <w:rPr>
          <w:rFonts w:hint="eastAsia" w:ascii="宋体" w:hAnsi="宋体" w:eastAsia="宋体" w:cs="宋体"/>
          <w:kern w:val="2"/>
          <w:sz w:val="20"/>
          <w:szCs w:val="20"/>
          <w:highlight w:val="none"/>
          <w:lang w:val="en-US" w:eastAsia="zh-CN" w:bidi="ar-SA"/>
        </w:rPr>
        <w:t>50000r/min。</w:t>
      </w:r>
    </w:p>
    <w:p>
      <w:pPr>
        <w:pStyle w:val="2"/>
        <w:spacing w:line="360" w:lineRule="auto"/>
        <w:jc w:val="left"/>
        <w:rPr>
          <w:rFonts w:hint="eastAsia" w:ascii="宋体" w:hAnsi="宋体" w:eastAsia="宋体" w:cs="宋体"/>
          <w:sz w:val="20"/>
          <w:szCs w:val="20"/>
          <w:highlight w:val="none"/>
        </w:rPr>
      </w:pPr>
      <w:r>
        <w:rPr>
          <w:rFonts w:hint="eastAsia" w:ascii="宋体" w:hAnsi="宋体" w:eastAsia="宋体" w:cs="宋体"/>
          <w:kern w:val="2"/>
          <w:sz w:val="20"/>
          <w:szCs w:val="20"/>
          <w:highlight w:val="none"/>
          <w:lang w:val="en-US" w:eastAsia="zh-CN" w:bidi="ar-SA"/>
        </w:rPr>
        <w:t>2</w:t>
      </w:r>
      <w:r>
        <w:rPr>
          <w:rFonts w:hint="eastAsia" w:ascii="宋体" w:hAnsi="宋体" w:eastAsia="宋体" w:cs="宋体"/>
          <w:sz w:val="20"/>
          <w:szCs w:val="20"/>
          <w:highlight w:val="none"/>
          <w:lang w:val="en-US" w:eastAsia="zh-CN"/>
        </w:rPr>
        <w:t>.</w:t>
      </w:r>
      <w:r>
        <w:rPr>
          <w:rFonts w:hint="eastAsia" w:ascii="宋体" w:hAnsi="宋体" w:cs="宋体"/>
          <w:sz w:val="20"/>
          <w:szCs w:val="20"/>
          <w:highlight w:val="none"/>
          <w:lang w:val="en-US" w:eastAsia="zh-CN"/>
        </w:rPr>
        <w:t>7</w:t>
      </w:r>
      <w:r>
        <w:rPr>
          <w:rFonts w:hint="eastAsia" w:ascii="宋体" w:hAnsi="宋体" w:eastAsia="宋体" w:cs="宋体"/>
          <w:sz w:val="20"/>
          <w:szCs w:val="20"/>
          <w:highlight w:val="none"/>
          <w:lang w:val="en-US" w:eastAsia="zh-CN"/>
        </w:rPr>
        <w:t>需配备</w:t>
      </w:r>
      <w:r>
        <w:rPr>
          <w:rFonts w:hint="eastAsia" w:ascii="宋体" w:hAnsi="宋体" w:eastAsia="宋体" w:cs="宋体"/>
          <w:kern w:val="2"/>
          <w:sz w:val="20"/>
          <w:szCs w:val="20"/>
          <w:highlight w:val="none"/>
          <w:lang w:val="en-US" w:eastAsia="zh-CN" w:bidi="ar-SA"/>
        </w:rPr>
        <w:t>锥度型磨头，弯曲一体式锥度形状的金刚砂，刀具内注水设计，工作转速</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12</w:t>
      </w:r>
      <w:r>
        <w:rPr>
          <w:rFonts w:hint="eastAsia" w:ascii="宋体" w:hAnsi="宋体" w:eastAsia="宋体" w:cs="宋体"/>
          <w:kern w:val="2"/>
          <w:sz w:val="20"/>
          <w:szCs w:val="20"/>
          <w:highlight w:val="none"/>
          <w:lang w:val="en-US" w:eastAsia="zh-CN" w:bidi="ar-SA"/>
        </w:rPr>
        <w:t>0000 r/min（1:2增速传动）</w:t>
      </w:r>
      <w:r>
        <w:rPr>
          <w:rFonts w:hint="eastAsia" w:ascii="宋体" w:hAnsi="宋体" w:eastAsia="宋体" w:cs="宋体"/>
          <w:sz w:val="20"/>
          <w:szCs w:val="20"/>
          <w:highlight w:val="none"/>
        </w:rPr>
        <w:t>。</w:t>
      </w:r>
    </w:p>
    <w:p>
      <w:pPr>
        <w:pStyle w:val="2"/>
        <w:spacing w:line="360" w:lineRule="auto"/>
        <w:jc w:val="left"/>
        <w:rPr>
          <w:rFonts w:hint="eastAsia" w:ascii="宋体" w:hAnsi="宋体" w:eastAsia="宋体" w:cs="宋体"/>
          <w:sz w:val="20"/>
          <w:szCs w:val="20"/>
          <w:highlight w:val="none"/>
        </w:rPr>
      </w:pPr>
      <w:r>
        <w:rPr>
          <w:rFonts w:hint="eastAsia" w:ascii="宋体" w:hAnsi="宋体" w:eastAsia="宋体" w:cs="宋体"/>
          <w:kern w:val="2"/>
          <w:sz w:val="20"/>
          <w:szCs w:val="20"/>
          <w:highlight w:val="none"/>
          <w:lang w:val="en-US" w:eastAsia="zh-CN" w:bidi="ar-SA"/>
        </w:rPr>
        <w:t>2.</w:t>
      </w:r>
      <w:r>
        <w:rPr>
          <w:rFonts w:hint="eastAsia" w:ascii="宋体" w:hAnsi="宋体" w:cs="宋体"/>
          <w:kern w:val="2"/>
          <w:sz w:val="20"/>
          <w:szCs w:val="20"/>
          <w:highlight w:val="none"/>
          <w:lang w:val="en-US" w:eastAsia="zh-CN" w:bidi="ar-SA"/>
        </w:rPr>
        <w:t>8</w:t>
      </w:r>
      <w:r>
        <w:rPr>
          <w:rFonts w:hint="eastAsia" w:ascii="宋体" w:hAnsi="宋体" w:eastAsia="宋体" w:cs="宋体"/>
          <w:b w:val="0"/>
          <w:bCs w:val="0"/>
          <w:kern w:val="0"/>
          <w:sz w:val="20"/>
          <w:szCs w:val="20"/>
          <w:highlight w:val="none"/>
          <w:lang w:val="en-US" w:eastAsia="zh-CN"/>
        </w:rPr>
        <w:t>配</w:t>
      </w:r>
      <w:r>
        <w:rPr>
          <w:rFonts w:hint="eastAsia" w:ascii="宋体" w:hAnsi="宋体" w:eastAsia="宋体" w:cs="宋体"/>
          <w:sz w:val="20"/>
          <w:szCs w:val="20"/>
          <w:highlight w:val="none"/>
        </w:rPr>
        <w:t>备</w:t>
      </w:r>
      <w:r>
        <w:rPr>
          <w:rFonts w:hint="eastAsia" w:ascii="宋体" w:hAnsi="宋体" w:eastAsia="宋体" w:cs="宋体"/>
          <w:sz w:val="20"/>
          <w:szCs w:val="20"/>
          <w:highlight w:val="none"/>
          <w:lang w:val="en-US" w:eastAsia="zh-CN"/>
        </w:rPr>
        <w:t>高速</w:t>
      </w:r>
      <w:r>
        <w:rPr>
          <w:rFonts w:hint="eastAsia" w:ascii="宋体" w:hAnsi="宋体" w:eastAsia="宋体" w:cs="宋体"/>
          <w:sz w:val="20"/>
          <w:szCs w:val="20"/>
          <w:highlight w:val="none"/>
        </w:rPr>
        <w:t>磨钻头</w:t>
      </w:r>
      <w:r>
        <w:rPr>
          <w:rFonts w:hint="eastAsia" w:ascii="宋体" w:hAnsi="宋体" w:eastAsia="宋体" w:cs="宋体"/>
          <w:sz w:val="20"/>
          <w:szCs w:val="20"/>
          <w:highlight w:val="none"/>
          <w:lang w:eastAsia="zh-CN"/>
        </w:rPr>
        <w:t>，</w:t>
      </w:r>
      <w:r>
        <w:rPr>
          <w:rFonts w:hint="eastAsia" w:ascii="宋体" w:hAnsi="宋体" w:eastAsia="宋体" w:cs="宋体"/>
          <w:b w:val="0"/>
          <w:bCs w:val="0"/>
          <w:sz w:val="20"/>
          <w:szCs w:val="20"/>
          <w:highlight w:val="none"/>
        </w:rPr>
        <w:t>具有金刚砂球形</w:t>
      </w:r>
      <w:r>
        <w:rPr>
          <w:rFonts w:hint="eastAsia" w:ascii="宋体" w:hAnsi="宋体" w:eastAsia="宋体" w:cs="宋体"/>
          <w:b w:val="0"/>
          <w:bCs w:val="0"/>
          <w:sz w:val="20"/>
          <w:szCs w:val="20"/>
          <w:highlight w:val="none"/>
          <w:lang w:val="en-US" w:eastAsia="zh-CN"/>
        </w:rPr>
        <w:t>2.0mm-4.0mm直径可选，</w:t>
      </w:r>
      <w:r>
        <w:rPr>
          <w:rFonts w:hint="eastAsia" w:ascii="宋体" w:hAnsi="宋体" w:eastAsia="宋体" w:cs="宋体"/>
          <w:kern w:val="2"/>
          <w:sz w:val="20"/>
          <w:szCs w:val="20"/>
          <w:highlight w:val="none"/>
          <w:lang w:val="en-US" w:eastAsia="zh-CN" w:bidi="ar-SA"/>
        </w:rPr>
        <w:t>刀具内注水设计，可重复使用，杆径</w:t>
      </w:r>
      <w:r>
        <w:rPr>
          <w:rFonts w:hint="eastAsia" w:ascii="宋体" w:hAnsi="宋体" w:eastAsia="宋体" w:cs="宋体"/>
          <w:sz w:val="20"/>
          <w:szCs w:val="20"/>
          <w:highlight w:val="none"/>
        </w:rPr>
        <w:t>≤</w:t>
      </w:r>
      <w:r>
        <w:rPr>
          <w:rFonts w:hint="eastAsia" w:ascii="宋体" w:hAnsi="宋体" w:eastAsia="宋体" w:cs="宋体"/>
          <w:kern w:val="2"/>
          <w:sz w:val="20"/>
          <w:szCs w:val="20"/>
          <w:highlight w:val="none"/>
          <w:lang w:val="en-US" w:eastAsia="zh-CN" w:bidi="ar-SA"/>
        </w:rPr>
        <w:t>4.5mm，</w:t>
      </w:r>
      <w:r>
        <w:rPr>
          <w:rFonts w:hint="eastAsia" w:ascii="宋体" w:hAnsi="宋体" w:eastAsia="宋体" w:cs="宋体"/>
          <w:sz w:val="20"/>
          <w:szCs w:val="20"/>
          <w:highlight w:val="none"/>
        </w:rPr>
        <w:t>转速≥</w:t>
      </w:r>
      <w:r>
        <w:rPr>
          <w:rFonts w:hint="eastAsia" w:ascii="宋体" w:hAnsi="宋体" w:eastAsia="宋体" w:cs="宋体"/>
          <w:sz w:val="20"/>
          <w:szCs w:val="20"/>
          <w:highlight w:val="none"/>
          <w:lang w:val="en-US" w:eastAsia="zh-CN"/>
        </w:rPr>
        <w:t>100</w:t>
      </w:r>
      <w:r>
        <w:rPr>
          <w:rFonts w:hint="eastAsia" w:ascii="宋体" w:hAnsi="宋体" w:eastAsia="宋体" w:cs="宋体"/>
          <w:sz w:val="20"/>
          <w:szCs w:val="20"/>
          <w:highlight w:val="none"/>
        </w:rPr>
        <w:t>000r/min</w:t>
      </w:r>
      <w:r>
        <w:rPr>
          <w:rFonts w:hint="eastAsia" w:ascii="宋体" w:hAnsi="宋体" w:eastAsia="宋体" w:cs="宋体"/>
          <w:kern w:val="2"/>
          <w:sz w:val="20"/>
          <w:szCs w:val="20"/>
          <w:highlight w:val="none"/>
          <w:lang w:val="en-US" w:eastAsia="zh-CN" w:bidi="ar-SA"/>
        </w:rPr>
        <w:t>（1:2增速传动）</w:t>
      </w:r>
      <w:r>
        <w:rPr>
          <w:rFonts w:hint="eastAsia" w:ascii="宋体" w:hAnsi="宋体" w:eastAsia="宋体" w:cs="宋体"/>
          <w:sz w:val="20"/>
          <w:szCs w:val="20"/>
          <w:highlight w:val="none"/>
        </w:rPr>
        <w:t>。</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w:t>
      </w:r>
      <w:r>
        <w:rPr>
          <w:rFonts w:hint="eastAsia" w:ascii="宋体" w:hAnsi="宋体" w:cs="宋体"/>
          <w:kern w:val="2"/>
          <w:sz w:val="20"/>
          <w:szCs w:val="20"/>
          <w:highlight w:val="none"/>
          <w:lang w:val="en-US" w:eastAsia="zh-CN" w:bidi="ar-SA"/>
        </w:rPr>
        <w:t>9</w:t>
      </w:r>
      <w:r>
        <w:rPr>
          <w:rFonts w:hint="eastAsia" w:ascii="宋体" w:hAnsi="宋体" w:eastAsia="宋体" w:cs="宋体"/>
          <w:kern w:val="2"/>
          <w:sz w:val="20"/>
          <w:szCs w:val="20"/>
          <w:highlight w:val="none"/>
          <w:lang w:val="en-US" w:eastAsia="zh-CN" w:bidi="ar-SA"/>
        </w:rPr>
        <w:t>配备微创脊柱磨头，一体式磨头，具有金刚砂球形和不锈钢切削刃球形两种刀头可选，刀头直径≥</w:t>
      </w:r>
      <w:r>
        <w:rPr>
          <w:rFonts w:hint="eastAsia" w:ascii="宋体" w:hAnsi="宋体" w:cs="宋体"/>
          <w:kern w:val="2"/>
          <w:sz w:val="20"/>
          <w:szCs w:val="20"/>
          <w:highlight w:val="none"/>
          <w:lang w:val="en-US" w:eastAsia="zh-CN" w:bidi="ar-SA"/>
        </w:rPr>
        <w:t>4</w:t>
      </w:r>
      <w:r>
        <w:rPr>
          <w:rFonts w:hint="eastAsia" w:ascii="宋体" w:hAnsi="宋体" w:eastAsia="宋体" w:cs="宋体"/>
          <w:kern w:val="2"/>
          <w:sz w:val="20"/>
          <w:szCs w:val="20"/>
          <w:highlight w:val="none"/>
          <w:lang w:val="en-US" w:eastAsia="zh-CN" w:bidi="ar-SA"/>
        </w:rPr>
        <w:t>mm，刀杆有效长度≥</w:t>
      </w:r>
      <w:r>
        <w:rPr>
          <w:rFonts w:hint="eastAsia" w:ascii="宋体" w:hAnsi="宋体" w:cs="宋体"/>
          <w:kern w:val="2"/>
          <w:sz w:val="20"/>
          <w:szCs w:val="20"/>
          <w:highlight w:val="none"/>
          <w:lang w:val="en-US" w:eastAsia="zh-CN" w:bidi="ar-SA"/>
        </w:rPr>
        <w:t>245</w:t>
      </w:r>
      <w:r>
        <w:rPr>
          <w:rFonts w:hint="eastAsia" w:ascii="宋体" w:hAnsi="宋体" w:eastAsia="宋体" w:cs="宋体"/>
          <w:kern w:val="2"/>
          <w:sz w:val="20"/>
          <w:szCs w:val="20"/>
          <w:highlight w:val="none"/>
          <w:lang w:val="en-US" w:eastAsia="zh-CN" w:bidi="ar-SA"/>
        </w:rPr>
        <w:t>mm，工作转速</w:t>
      </w:r>
      <w:r>
        <w:rPr>
          <w:rFonts w:hint="eastAsia" w:ascii="宋体" w:hAnsi="宋体" w:eastAsia="宋体" w:cs="宋体"/>
          <w:sz w:val="20"/>
          <w:szCs w:val="20"/>
          <w:highlight w:val="none"/>
        </w:rPr>
        <w:t>≥</w:t>
      </w:r>
      <w:r>
        <w:rPr>
          <w:rFonts w:hint="eastAsia" w:ascii="宋体" w:hAnsi="宋体" w:cs="宋体"/>
          <w:sz w:val="20"/>
          <w:szCs w:val="20"/>
          <w:highlight w:val="none"/>
          <w:lang w:val="en-US" w:eastAsia="zh-CN"/>
        </w:rPr>
        <w:t>6</w:t>
      </w:r>
      <w:r>
        <w:rPr>
          <w:rFonts w:hint="eastAsia" w:ascii="宋体" w:hAnsi="宋体" w:eastAsia="宋体" w:cs="宋体"/>
          <w:kern w:val="2"/>
          <w:sz w:val="20"/>
          <w:szCs w:val="20"/>
          <w:highlight w:val="none"/>
          <w:lang w:val="en-US" w:eastAsia="zh-CN" w:bidi="ar-SA"/>
        </w:rPr>
        <w:t>0000r/min。</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cs="宋体"/>
          <w:kern w:val="2"/>
          <w:sz w:val="20"/>
          <w:szCs w:val="20"/>
          <w:highlight w:val="none"/>
          <w:lang w:val="en-US" w:eastAsia="zh-CN" w:bidi="ar-SA"/>
        </w:rPr>
        <w:t>2.10需</w:t>
      </w:r>
      <w:r>
        <w:rPr>
          <w:rFonts w:hint="eastAsia" w:ascii="宋体" w:hAnsi="宋体" w:eastAsia="宋体" w:cs="宋体"/>
          <w:sz w:val="20"/>
          <w:szCs w:val="20"/>
          <w:highlight w:val="none"/>
          <w:lang w:val="en-US" w:eastAsia="zh-CN"/>
        </w:rPr>
        <w:t>配备摆动</w:t>
      </w:r>
      <w:r>
        <w:rPr>
          <w:rFonts w:hint="eastAsia" w:ascii="宋体" w:hAnsi="宋体" w:eastAsia="宋体" w:cs="宋体"/>
          <w:sz w:val="20"/>
          <w:szCs w:val="20"/>
          <w:highlight w:val="none"/>
        </w:rPr>
        <w:t>动力</w:t>
      </w:r>
      <w:r>
        <w:rPr>
          <w:rFonts w:hint="eastAsia" w:ascii="宋体" w:hAnsi="宋体" w:cs="宋体"/>
          <w:sz w:val="20"/>
          <w:szCs w:val="20"/>
          <w:highlight w:val="none"/>
          <w:lang w:val="en-US" w:eastAsia="zh-CN"/>
        </w:rPr>
        <w:t>骨刀</w:t>
      </w:r>
      <w:r>
        <w:rPr>
          <w:rFonts w:hint="eastAsia" w:ascii="宋体" w:hAnsi="宋体" w:eastAsia="宋体" w:cs="宋体"/>
          <w:sz w:val="20"/>
          <w:szCs w:val="20"/>
          <w:highlight w:val="none"/>
        </w:rPr>
        <w:t>，</w:t>
      </w:r>
      <w:r>
        <w:rPr>
          <w:rFonts w:hint="eastAsia" w:ascii="宋体" w:hAnsi="宋体" w:eastAsia="宋体" w:cs="宋体"/>
          <w:kern w:val="2"/>
          <w:sz w:val="20"/>
          <w:szCs w:val="20"/>
          <w:highlight w:val="none"/>
          <w:lang w:val="en-US" w:eastAsia="zh-CN" w:bidi="ar-SA"/>
        </w:rPr>
        <w:t>扁平刀刃，前端有齿，刃部直径</w:t>
      </w:r>
      <w:r>
        <w:rPr>
          <w:rFonts w:hint="eastAsia" w:ascii="宋体" w:hAnsi="宋体" w:eastAsia="宋体" w:cs="宋体"/>
          <w:sz w:val="20"/>
          <w:szCs w:val="20"/>
          <w:highlight w:val="none"/>
        </w:rPr>
        <w:t>≥</w:t>
      </w:r>
      <w:r>
        <w:rPr>
          <w:rFonts w:hint="eastAsia" w:ascii="宋体" w:hAnsi="宋体" w:eastAsia="宋体" w:cs="宋体"/>
          <w:kern w:val="2"/>
          <w:sz w:val="20"/>
          <w:szCs w:val="20"/>
          <w:highlight w:val="none"/>
          <w:lang w:val="en-US" w:eastAsia="zh-CN" w:bidi="ar-SA"/>
        </w:rPr>
        <w:t>6mm，刀头往复运动，转速</w:t>
      </w:r>
      <w:r>
        <w:rPr>
          <w:rFonts w:hint="eastAsia" w:ascii="宋体" w:hAnsi="宋体" w:eastAsia="宋体" w:cs="宋体"/>
          <w:sz w:val="20"/>
          <w:szCs w:val="20"/>
          <w:highlight w:val="none"/>
        </w:rPr>
        <w:t>≥</w:t>
      </w:r>
      <w:r>
        <w:rPr>
          <w:rFonts w:hint="eastAsia" w:ascii="宋体" w:hAnsi="宋体" w:eastAsia="宋体" w:cs="宋体"/>
          <w:kern w:val="2"/>
          <w:sz w:val="20"/>
          <w:szCs w:val="20"/>
          <w:highlight w:val="none"/>
          <w:lang w:val="en-US" w:eastAsia="zh-CN" w:bidi="ar-SA"/>
        </w:rPr>
        <w:t>50000r/min。</w:t>
      </w:r>
    </w:p>
    <w:p>
      <w:pPr>
        <w:pStyle w:val="2"/>
        <w:spacing w:line="360" w:lineRule="auto"/>
        <w:jc w:val="left"/>
        <w:rPr>
          <w:sz w:val="16"/>
          <w:szCs w:val="20"/>
          <w:highlight w:val="none"/>
        </w:rPr>
      </w:pPr>
      <w:r>
        <w:rPr>
          <w:rFonts w:hint="eastAsia" w:ascii="宋体" w:hAnsi="宋体" w:eastAsia="宋体" w:cs="宋体"/>
          <w:b w:val="0"/>
          <w:bCs w:val="0"/>
          <w:kern w:val="2"/>
          <w:sz w:val="20"/>
          <w:szCs w:val="20"/>
          <w:highlight w:val="none"/>
          <w:lang w:val="en-US" w:eastAsia="zh-CN" w:bidi="ar-SA"/>
        </w:rPr>
        <w:t>2.1</w:t>
      </w:r>
      <w:r>
        <w:rPr>
          <w:rFonts w:hint="eastAsia" w:ascii="宋体" w:hAnsi="宋体" w:cs="宋体"/>
          <w:b w:val="0"/>
          <w:bCs w:val="0"/>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设备使用年限</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10年。</w:t>
      </w:r>
    </w:p>
    <w:p>
      <w:pPr>
        <w:pStyle w:val="3"/>
        <w:numPr>
          <w:ilvl w:val="0"/>
          <w:numId w:val="0"/>
        </w:numPr>
        <w:bidi w:val="0"/>
        <w:spacing w:line="360" w:lineRule="auto"/>
        <w:jc w:val="both"/>
        <w:rPr>
          <w:rFonts w:hint="eastAsia" w:ascii="Times New Roman" w:hAnsi="Times New Roman" w:cs="Times New Roman"/>
          <w:sz w:val="22"/>
          <w:szCs w:val="22"/>
          <w:highlight w:val="none"/>
          <w:lang w:val="en-US" w:eastAsia="zh-CN"/>
        </w:rPr>
      </w:pPr>
      <w:bookmarkStart w:id="40" w:name="_Toc3264"/>
      <w:r>
        <w:rPr>
          <w:rFonts w:hint="eastAsia" w:ascii="Times New Roman" w:hAnsi="Times New Roman" w:eastAsia="宋体" w:cs="Times New Roman"/>
          <w:b/>
          <w:bCs/>
          <w:kern w:val="2"/>
          <w:sz w:val="22"/>
          <w:szCs w:val="22"/>
          <w:highlight w:val="none"/>
          <w:lang w:val="en-US" w:eastAsia="zh-CN" w:bidi="ar-SA"/>
        </w:rPr>
        <w:t>二、</w:t>
      </w:r>
      <w:r>
        <w:rPr>
          <w:rFonts w:hint="eastAsia" w:ascii="Times New Roman" w:hAnsi="Times New Roman" w:cs="Times New Roman"/>
          <w:sz w:val="22"/>
          <w:szCs w:val="22"/>
          <w:highlight w:val="none"/>
          <w:lang w:val="en-US" w:eastAsia="zh-CN"/>
        </w:rPr>
        <w:t>等离子手术系统</w:t>
      </w:r>
      <w:bookmarkEnd w:id="40"/>
    </w:p>
    <w:p>
      <w:pPr>
        <w:pStyle w:val="2"/>
        <w:spacing w:line="360" w:lineRule="auto"/>
        <w:jc w:val="left"/>
        <w:rPr>
          <w:rFonts w:hint="eastAsia" w:ascii="宋体" w:hAnsi="宋体" w:eastAsia="宋体" w:cs="宋体"/>
          <w:b/>
          <w:bCs/>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(一)产品名称：低温等离子体多功能手术系统。</w:t>
      </w:r>
    </w:p>
    <w:p>
      <w:pPr>
        <w:pStyle w:val="2"/>
        <w:spacing w:line="360" w:lineRule="auto"/>
        <w:jc w:val="left"/>
        <w:rPr>
          <w:rFonts w:hint="eastAsia" w:ascii="宋体" w:hAnsi="宋体" w:eastAsia="宋体" w:cs="宋体"/>
          <w:b/>
          <w:bCs/>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(二)主机与刀头以及配套工具须同一个品牌。</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（三）临床使用范围</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脊椎盘手术：可进行单侧双通道脊柱微创手术（UBE手术）；椎间孔镜下脊柱微创手术</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(四）低温等离子体整机的参数</w:t>
      </w:r>
      <w:r>
        <w:rPr>
          <w:rFonts w:hint="eastAsia" w:ascii="宋体" w:hAnsi="宋体" w:eastAsia="宋体" w:cs="宋体"/>
          <w:kern w:val="2"/>
          <w:sz w:val="20"/>
          <w:szCs w:val="20"/>
          <w:highlight w:val="none"/>
          <w:lang w:val="en-US" w:eastAsia="zh-CN" w:bidi="ar-SA"/>
        </w:rPr>
        <w:t xml:space="preserve"> </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1．主机界面采用一体化全触屏式智能操作，LCD液晶显示屏。</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 xml:space="preserve">2．触屏界面同时具有：汽化切割、消融凝血、消融定时；功率≤300W. </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3.为使手术效果更精准主机需具备2种工作频率：汽化切割输出频率≥100KHz；凝血消融输出频率≥450KHz。</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4．主机工作时可在界面精准显示临床所需工作功率值大小；</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（五）等离子体多功能手术刀头性能参数</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1．等离子刀头具有单独的注册证;</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2．刀头前端采用进口镀金技术，使电极的导电性能更好，不粘连。</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3．主机可以自动识别控制刀头的功率、档位、无需反复调节。</w:t>
      </w:r>
    </w:p>
    <w:p>
      <w:pPr>
        <w:pStyle w:val="2"/>
        <w:spacing w:line="360" w:lineRule="auto"/>
        <w:jc w:val="left"/>
        <w:rPr>
          <w:rFonts w:hint="eastAsia" w:ascii="Times New Roman" w:hAnsi="Times New Roman" w:eastAsia="宋体" w:cs="Times New Roman"/>
          <w:b/>
          <w:bCs/>
          <w:kern w:val="2"/>
          <w:sz w:val="22"/>
          <w:szCs w:val="22"/>
          <w:highlight w:val="none"/>
          <w:lang w:val="en-US" w:eastAsia="zh-CN" w:bidi="ar-SA"/>
        </w:rPr>
      </w:pPr>
      <w:bookmarkStart w:id="41" w:name="_Toc18365"/>
      <w:r>
        <w:rPr>
          <w:rFonts w:hint="eastAsia" w:ascii="Times New Roman" w:hAnsi="Times New Roman" w:eastAsia="宋体" w:cs="Times New Roman"/>
          <w:b/>
          <w:bCs/>
          <w:kern w:val="2"/>
          <w:sz w:val="22"/>
          <w:szCs w:val="22"/>
          <w:highlight w:val="none"/>
          <w:lang w:val="en-US" w:eastAsia="zh-CN" w:bidi="ar-SA"/>
        </w:rPr>
        <w:t>三、脊柱单侧双通道微创手术（UBE）器械包</w:t>
      </w:r>
      <w:bookmarkEnd w:id="41"/>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3081"/>
        <w:gridCol w:w="4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b/>
                <w:bCs/>
                <w:kern w:val="2"/>
                <w:sz w:val="20"/>
                <w:szCs w:val="20"/>
                <w:highlight w:val="none"/>
                <w:vertAlign w:val="baseline"/>
                <w:lang w:val="en-US" w:eastAsia="zh-CN" w:bidi="ar-SA"/>
              </w:rPr>
            </w:pPr>
            <w:r>
              <w:rPr>
                <w:rFonts w:hint="eastAsia" w:ascii="宋体" w:hAnsi="宋体" w:eastAsia="宋体" w:cs="宋体"/>
                <w:b/>
                <w:bCs/>
                <w:color w:val="000000"/>
                <w:kern w:val="0"/>
                <w:sz w:val="20"/>
                <w:szCs w:val="20"/>
                <w:highlight w:val="none"/>
              </w:rPr>
              <w:t>序号</w:t>
            </w:r>
          </w:p>
        </w:tc>
        <w:tc>
          <w:tcPr>
            <w:tcW w:w="3081" w:type="dxa"/>
            <w:vAlign w:val="center"/>
          </w:tcPr>
          <w:p>
            <w:pPr>
              <w:widowControl/>
              <w:jc w:val="center"/>
              <w:rPr>
                <w:rFonts w:hint="eastAsia" w:ascii="宋体" w:hAnsi="宋体" w:eastAsia="宋体" w:cs="宋体"/>
                <w:b/>
                <w:bCs/>
                <w:kern w:val="2"/>
                <w:sz w:val="20"/>
                <w:szCs w:val="20"/>
                <w:highlight w:val="none"/>
                <w:vertAlign w:val="baseline"/>
                <w:lang w:val="en-US" w:eastAsia="zh-CN" w:bidi="ar-SA"/>
              </w:rPr>
            </w:pPr>
            <w:r>
              <w:rPr>
                <w:rFonts w:hint="eastAsia" w:ascii="宋体" w:hAnsi="宋体" w:eastAsia="宋体" w:cs="宋体"/>
                <w:b/>
                <w:bCs/>
                <w:color w:val="000000"/>
                <w:kern w:val="0"/>
                <w:sz w:val="20"/>
                <w:szCs w:val="20"/>
                <w:highlight w:val="none"/>
              </w:rPr>
              <w:t>名称</w:t>
            </w:r>
          </w:p>
        </w:tc>
        <w:tc>
          <w:tcPr>
            <w:tcW w:w="4938" w:type="dxa"/>
            <w:vAlign w:val="center"/>
          </w:tcPr>
          <w:p>
            <w:pPr>
              <w:widowControl/>
              <w:jc w:val="center"/>
              <w:rPr>
                <w:rFonts w:hint="eastAsia" w:ascii="宋体" w:hAnsi="宋体" w:eastAsia="宋体" w:cs="宋体"/>
                <w:b/>
                <w:bCs/>
                <w:kern w:val="2"/>
                <w:sz w:val="20"/>
                <w:szCs w:val="20"/>
                <w:highlight w:val="none"/>
                <w:vertAlign w:val="baseline"/>
                <w:lang w:val="en-US" w:eastAsia="zh-CN" w:bidi="ar-SA"/>
              </w:rPr>
            </w:pPr>
            <w:r>
              <w:rPr>
                <w:rFonts w:hint="eastAsia" w:ascii="宋体" w:hAnsi="宋体" w:eastAsia="宋体" w:cs="宋体"/>
                <w:b/>
                <w:bCs/>
                <w:color w:val="000000"/>
                <w:kern w:val="0"/>
                <w:sz w:val="20"/>
                <w:szCs w:val="20"/>
                <w:highlight w:val="none"/>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扩孔器5mm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扩孔器9mm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4</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扩孔器11mm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5</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扩孔器13mm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6</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扩孔器15mm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7</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扩孔芯5mm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8</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骨用牵开器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半套管牵开器60mm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9</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骨用牵开器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半套管牵开器70mm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10</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骨用牵开器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半套管牵开器80mm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11</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打入器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打入器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12</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剥离器</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神经剥离子5°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13</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脊柱手术用神经拉钩</w:t>
            </w:r>
          </w:p>
        </w:tc>
        <w:tc>
          <w:tcPr>
            <w:tcW w:w="4938" w:type="dxa"/>
            <w:vAlign w:val="center"/>
          </w:tcPr>
          <w:p>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rPr>
              <w:t>神经拉钩（球）1.5mm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14</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剥离器</w:t>
            </w:r>
          </w:p>
        </w:tc>
        <w:tc>
          <w:tcPr>
            <w:tcW w:w="4938" w:type="dxa"/>
            <w:vAlign w:val="center"/>
          </w:tcPr>
          <w:p>
            <w:pPr>
              <w:widowControl/>
              <w:jc w:val="center"/>
              <w:rPr>
                <w:rFonts w:hint="eastAsia" w:ascii="宋体" w:hAnsi="宋体" w:eastAsia="宋体" w:cs="宋体"/>
                <w:kern w:val="0"/>
                <w:sz w:val="20"/>
                <w:szCs w:val="20"/>
                <w:highlight w:val="none"/>
                <w:lang w:val="en-US" w:eastAsia="zh-CN"/>
              </w:rPr>
            </w:pPr>
            <w:r>
              <w:rPr>
                <w:rFonts w:hint="eastAsia" w:ascii="宋体" w:hAnsi="宋体" w:eastAsia="宋体" w:cs="宋体"/>
                <w:kern w:val="0"/>
                <w:sz w:val="20"/>
                <w:szCs w:val="20"/>
                <w:highlight w:val="none"/>
              </w:rPr>
              <w:t>剥离器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15</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脊柱手术用神经拉钩</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神经根拉钩6mm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16</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脊柱手术用神经拉钩</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神经根拉钩8mm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17</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脊柱手术用神经拉钩</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神经根拉钩10mm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18</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骨刀（三角型）3mm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19</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骨锤</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骨锤400g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20</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骨铰刀</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骨铰刀10mm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21</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植骨漏斗</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植骨漏斗8mm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22</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植骨漏斗</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植骨推棒8mm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23</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骨刀（直型）7mm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24</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刮匙</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刮匙（前弯带齿）3mm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25</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刮匙</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刮匙（前弯带齿）7mm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26</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骨刀（前弯）7mm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27</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 (方角刀)4mm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28</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骨刀 (弯角刀)4mm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29</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椎板咬骨钳（直型）3.0*90°/180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30</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椎板咬骨钳（弧型）4.0*130°/180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31</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椎板咬骨钳（直型）3.0*130°/180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32</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椎板咬骨钳（直型）4.0*130°/180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33</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椎板咬骨钳手柄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34</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髓核钳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枪式髓核钳（弯头平口）2mm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35</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髓核钳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枪式髓核钳（平口）3.</w:t>
            </w:r>
            <w:r>
              <w:rPr>
                <w:rFonts w:hint="eastAsia" w:ascii="宋体" w:hAnsi="宋体" w:eastAsia="宋体" w:cs="宋体"/>
                <w:kern w:val="0"/>
                <w:sz w:val="20"/>
                <w:szCs w:val="20"/>
                <w:highlight w:val="none"/>
                <w:lang w:val="en-US" w:eastAsia="zh-CN"/>
              </w:rPr>
              <w:t>0</w:t>
            </w:r>
            <w:r>
              <w:rPr>
                <w:rFonts w:hint="eastAsia" w:ascii="宋体" w:hAnsi="宋体" w:eastAsia="宋体" w:cs="宋体"/>
                <w:kern w:val="0"/>
                <w:sz w:val="20"/>
                <w:szCs w:val="20"/>
                <w:highlight w:val="none"/>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36</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髓核钳</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枪式髓核钳（平口）4.</w:t>
            </w:r>
            <w:r>
              <w:rPr>
                <w:rFonts w:hint="eastAsia" w:ascii="宋体" w:hAnsi="宋体" w:eastAsia="宋体" w:cs="宋体"/>
                <w:kern w:val="0"/>
                <w:sz w:val="20"/>
                <w:szCs w:val="20"/>
                <w:highlight w:val="none"/>
                <w:lang w:val="en-US" w:eastAsia="zh-CN"/>
              </w:rPr>
              <w:t>0</w:t>
            </w:r>
            <w:r>
              <w:rPr>
                <w:rFonts w:hint="eastAsia" w:ascii="宋体" w:hAnsi="宋体" w:eastAsia="宋体" w:cs="宋体"/>
                <w:kern w:val="0"/>
                <w:sz w:val="20"/>
                <w:szCs w:val="20"/>
                <w:highlight w:val="none"/>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rPr>
              <w:t>37</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器械箱</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color w:val="000000"/>
                <w:kern w:val="0"/>
                <w:sz w:val="20"/>
                <w:szCs w:val="20"/>
                <w:highlight w:val="none"/>
                <w:lang w:val="en-US" w:eastAsia="zh-CN"/>
              </w:rPr>
              <w:t>38</w:t>
            </w:r>
          </w:p>
        </w:tc>
        <w:tc>
          <w:tcPr>
            <w:tcW w:w="3081"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lang w:eastAsia="zh-CN"/>
              </w:rPr>
              <w:t>镜子</w:t>
            </w:r>
          </w:p>
        </w:tc>
        <w:tc>
          <w:tcPr>
            <w:tcW w:w="4938" w:type="dxa"/>
            <w:vAlign w:val="center"/>
          </w:tcPr>
          <w:p>
            <w:pPr>
              <w:widowControl/>
              <w:jc w:val="center"/>
              <w:rPr>
                <w:rFonts w:hint="eastAsia" w:ascii="宋体" w:hAnsi="宋体" w:eastAsia="宋体" w:cs="宋体"/>
                <w:kern w:val="2"/>
                <w:sz w:val="20"/>
                <w:szCs w:val="20"/>
                <w:highlight w:val="none"/>
                <w:vertAlign w:val="baseline"/>
                <w:lang w:val="en-US" w:eastAsia="zh-CN" w:bidi="ar-SA"/>
              </w:rPr>
            </w:pPr>
            <w:r>
              <w:rPr>
                <w:rFonts w:hint="eastAsia" w:ascii="宋体" w:hAnsi="宋体" w:eastAsia="宋体" w:cs="宋体"/>
                <w:kern w:val="0"/>
                <w:sz w:val="20"/>
                <w:szCs w:val="20"/>
                <w:highlight w:val="none"/>
              </w:rPr>
              <w:t>30°视角，直径 4mm，工作长度≥180mm</w:t>
            </w:r>
            <w:r>
              <w:rPr>
                <w:rFonts w:hint="eastAsia" w:ascii="宋体" w:hAnsi="宋体" w:eastAsia="宋体" w:cs="宋体"/>
                <w:kern w:val="0"/>
                <w:sz w:val="20"/>
                <w:szCs w:val="20"/>
                <w:highlight w:val="none"/>
                <w:lang w:val="en-US" w:eastAsia="zh-CN"/>
              </w:rPr>
              <w:t>,配有工作内外鞘</w:t>
            </w:r>
          </w:p>
        </w:tc>
      </w:tr>
    </w:tbl>
    <w:p>
      <w:pPr>
        <w:pStyle w:val="2"/>
        <w:spacing w:line="360" w:lineRule="auto"/>
        <w:jc w:val="left"/>
        <w:rPr>
          <w:rFonts w:hint="eastAsia" w:ascii="Times New Roman" w:hAnsi="Times New Roman" w:eastAsia="宋体" w:cs="Times New Roman"/>
          <w:b/>
          <w:bCs/>
          <w:kern w:val="2"/>
          <w:sz w:val="22"/>
          <w:szCs w:val="22"/>
          <w:highlight w:val="none"/>
          <w:lang w:val="en-US" w:eastAsia="zh-CN" w:bidi="ar-SA"/>
        </w:rPr>
      </w:pPr>
      <w:bookmarkStart w:id="42" w:name="_Toc7322"/>
      <w:r>
        <w:rPr>
          <w:rFonts w:hint="eastAsia" w:ascii="Times New Roman" w:hAnsi="Times New Roman" w:eastAsia="宋体" w:cs="Times New Roman"/>
          <w:b/>
          <w:bCs/>
          <w:kern w:val="2"/>
          <w:sz w:val="22"/>
          <w:szCs w:val="22"/>
          <w:highlight w:val="none"/>
          <w:lang w:val="en-US" w:eastAsia="zh-CN" w:bidi="ar-SA"/>
        </w:rPr>
        <w:t>四、4K 医用内窥摄像系统技术参数</w:t>
      </w:r>
      <w:bookmarkEnd w:id="42"/>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（一）4k内窥镜摄像系统</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1、摄像头具有3组1/3cmos传感器，每组传感器总像素</w:t>
      </w:r>
      <w:r>
        <w:rPr>
          <w:rFonts w:hint="eastAsia" w:ascii="宋体" w:hAnsi="宋体"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3840（H）×2160（V）</w:t>
      </w:r>
      <w:r>
        <w:rPr>
          <w:rFonts w:hint="eastAsia" w:ascii="宋体" w:hAnsi="宋体" w:cs="宋体"/>
          <w:kern w:val="2"/>
          <w:sz w:val="20"/>
          <w:szCs w:val="20"/>
          <w:highlight w:val="none"/>
          <w:lang w:val="en-US" w:eastAsia="zh-CN" w:bidi="ar-SA"/>
        </w:rPr>
        <w:t>（提供检验报告证明文件）</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2、有效像素</w:t>
      </w:r>
      <w:r>
        <w:rPr>
          <w:rFonts w:hint="eastAsia" w:ascii="宋体" w:hAnsi="宋体"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3840（H）×2160（V），（829.4万像素）</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3、水平清晰度</w:t>
      </w:r>
      <w:r>
        <w:rPr>
          <w:rFonts w:hint="eastAsia" w:ascii="宋体" w:hAnsi="宋体"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2160P          </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4、视频输出接口：HDMI×2，3G-SDI×4，3G-SDI×1</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5、医用摄像系统分辨力：≥114LP/mm</w:t>
      </w:r>
      <w:r>
        <w:rPr>
          <w:rFonts w:hint="eastAsia" w:ascii="宋体" w:hAnsi="宋体" w:cs="宋体"/>
          <w:kern w:val="2"/>
          <w:sz w:val="20"/>
          <w:szCs w:val="20"/>
          <w:highlight w:val="none"/>
          <w:lang w:val="en-US" w:eastAsia="zh-CN" w:bidi="ar-SA"/>
        </w:rPr>
        <w:t>（提供检验报告证明文件）</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6、分辨率</w:t>
      </w:r>
      <w:r>
        <w:rPr>
          <w:rFonts w:hint="eastAsia" w:ascii="宋体" w:hAnsi="宋体"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2000线</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7、主机前面板</w:t>
      </w:r>
      <w:r>
        <w:rPr>
          <w:rFonts w:hint="eastAsia" w:ascii="宋体" w:hAnsi="宋体"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8寸液晶屏幕，实时显示图像</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8、主机带有USB接口，可接U盘进行拍照、录像</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9、主机具有网络视频实时直播功能</w:t>
      </w:r>
      <w:r>
        <w:rPr>
          <w:rFonts w:hint="eastAsia" w:ascii="宋体" w:hAnsi="宋体" w:cs="宋体"/>
          <w:kern w:val="2"/>
          <w:sz w:val="20"/>
          <w:szCs w:val="20"/>
          <w:highlight w:val="none"/>
          <w:lang w:val="en-US" w:eastAsia="zh-CN" w:bidi="ar-SA"/>
        </w:rPr>
        <w:t>（提供</w:t>
      </w:r>
      <w:bookmarkStart w:id="159" w:name="_GoBack"/>
      <w:bookmarkEnd w:id="159"/>
      <w:r>
        <w:rPr>
          <w:rFonts w:hint="eastAsia" w:ascii="宋体" w:hAnsi="宋体" w:cs="宋体"/>
          <w:kern w:val="2"/>
          <w:sz w:val="20"/>
          <w:szCs w:val="20"/>
          <w:highlight w:val="none"/>
          <w:lang w:val="en-US" w:eastAsia="zh-CN" w:bidi="ar-SA"/>
        </w:rPr>
        <w:t>检验报告证明文件）</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10、</w:t>
      </w:r>
      <w:r>
        <w:rPr>
          <w:rFonts w:hint="eastAsia" w:ascii="宋体" w:hAnsi="宋体" w:cs="宋体"/>
          <w:kern w:val="2"/>
          <w:sz w:val="20"/>
          <w:szCs w:val="20"/>
          <w:highlight w:val="none"/>
          <w:lang w:val="en-US" w:eastAsia="zh-CN" w:bidi="ar-SA"/>
        </w:rPr>
        <w:t>可实时显示主机图像</w:t>
      </w:r>
      <w:r>
        <w:rPr>
          <w:rFonts w:hint="eastAsia" w:ascii="宋体" w:hAnsi="宋体" w:eastAsia="宋体" w:cs="宋体"/>
          <w:kern w:val="2"/>
          <w:sz w:val="20"/>
          <w:szCs w:val="20"/>
          <w:highlight w:val="none"/>
          <w:lang w:val="en-US" w:eastAsia="zh-CN" w:bidi="ar-SA"/>
        </w:rPr>
        <w:t>，进行手术实时直播。</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11、主机具有图像偏移调节功能。</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12、主机具有血管强化功能。</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13、主机具有宽动态（WDR）功能。</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14、主机具有暗区亮度补偿功能。</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15、主机具有过曝光补偿功能。</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16、摄像头具有图像冻结和2.5倍电子放大功能。</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17、摄像头具有四种遥控手柄功能键</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18、摄像头具有IPX8防水等级。</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19、使用寿命≥12年</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（二）LED医用冷光源</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1、与摄像主机同一品牌</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2、主机前面板带≥7寸LCD显示、参数可追溯</w:t>
      </w:r>
      <w:r>
        <w:rPr>
          <w:rFonts w:hint="eastAsia" w:ascii="宋体" w:hAnsi="宋体" w:eastAsia="宋体" w:cs="宋体"/>
          <w:kern w:val="2"/>
          <w:sz w:val="20"/>
          <w:szCs w:val="20"/>
          <w:highlight w:val="none"/>
          <w:lang w:val="en-US" w:eastAsia="zh-CN" w:bidi="ar-SA"/>
        </w:rPr>
        <w:br w:type="textWrapping"/>
      </w:r>
      <w:r>
        <w:rPr>
          <w:rFonts w:hint="eastAsia" w:ascii="宋体" w:hAnsi="宋体" w:eastAsia="宋体" w:cs="宋体"/>
          <w:kern w:val="2"/>
          <w:sz w:val="20"/>
          <w:szCs w:val="20"/>
          <w:highlight w:val="none"/>
          <w:lang w:val="en-US" w:eastAsia="zh-CN" w:bidi="ar-SA"/>
        </w:rPr>
        <w:t>3、光源照度≥1100000Lx</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4、光源色温≥5600k</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5、光输出孔规格≥∮10mm</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6、光源功率≥100VA</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7、光源使用寿命：约40000小时</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8、光源按键：LCD轻触式</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9、参数一键还原功能，方便医生操作</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10、使用寿命≥12年</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（三）医用显示器</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1、显示器尺寸≥32英寸</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2、背光:LED</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3、视角≥178度（水平&amp;垂直）</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4、解像度≥3840×2160</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5、长宽比≥16:9</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6、显示色≥10.7亿色</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7、对比度≥1400:1</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8、亮度≥800cd/m2</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 xml:space="preserve">9、输入端口: INPUT: DVI-D(18PIN)/DVI-D(24PIN)/3G-SDI/HDMI/DP  </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 xml:space="preserve">10、输出端口: DVI-D(24PIN)/3G-SDI    </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（四）台车</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1、五层台车，全金属构造；</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2、铝合金立柱、整体组合；</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3、装卸自如、层板可调；</w:t>
      </w:r>
    </w:p>
    <w:p>
      <w:pPr>
        <w:pStyle w:val="2"/>
        <w:spacing w:line="360" w:lineRule="auto"/>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4、空间多重组合、底座厚重，稳定性好。</w:t>
      </w:r>
    </w:p>
    <w:p>
      <w:pP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br w:type="page"/>
      </w:r>
    </w:p>
    <w:p>
      <w:pPr>
        <w:adjustRightInd w:val="0"/>
        <w:snapToGrid w:val="0"/>
        <w:spacing w:line="460" w:lineRule="exact"/>
        <w:jc w:val="center"/>
        <w:rPr>
          <w:rFonts w:hint="eastAsia" w:ascii="宋体" w:hAnsi="宋体" w:eastAsia="宋体" w:cs="宋体"/>
          <w:b/>
          <w:bCs/>
          <w:color w:val="auto"/>
          <w:sz w:val="28"/>
          <w:szCs w:val="36"/>
          <w:highlight w:val="none"/>
          <w:lang w:val="en-US" w:eastAsia="zh-CN"/>
        </w:rPr>
      </w:pPr>
      <w:r>
        <w:rPr>
          <w:rFonts w:hint="eastAsia" w:ascii="宋体" w:hAnsi="宋体" w:eastAsia="宋体" w:cs="宋体"/>
          <w:b/>
          <w:bCs/>
          <w:color w:val="auto"/>
          <w:sz w:val="28"/>
          <w:szCs w:val="36"/>
          <w:highlight w:val="none"/>
          <w:lang w:val="en-US" w:eastAsia="zh-CN"/>
        </w:rPr>
        <w:t>电生理参数监测仪参数</w:t>
      </w:r>
    </w:p>
    <w:p>
      <w:pPr>
        <w:widowControl/>
        <w:numPr>
          <w:ilvl w:val="0"/>
          <w:numId w:val="0"/>
        </w:numPr>
        <w:jc w:val="left"/>
        <w:textAlignment w:val="center"/>
        <w:rPr>
          <w:rFonts w:hint="eastAsia" w:ascii="宋体" w:hAnsi="宋体" w:eastAsia="宋体" w:cs="宋体"/>
          <w:b/>
          <w:bCs/>
          <w:kern w:val="0"/>
          <w:sz w:val="24"/>
          <w:szCs w:val="24"/>
          <w:highlight w:val="none"/>
          <w:lang w:bidi="ar"/>
        </w:rPr>
      </w:pPr>
      <w:r>
        <w:rPr>
          <w:rFonts w:hint="eastAsia" w:ascii="宋体" w:hAnsi="宋体" w:eastAsia="宋体" w:cs="宋体"/>
          <w:b/>
          <w:bCs/>
          <w:kern w:val="0"/>
          <w:sz w:val="24"/>
          <w:szCs w:val="24"/>
          <w:highlight w:val="none"/>
          <w:lang w:val="en-US" w:eastAsia="zh-CN" w:bidi="ar"/>
        </w:rPr>
        <w:t>一、</w:t>
      </w:r>
      <w:r>
        <w:rPr>
          <w:rFonts w:hint="eastAsia" w:ascii="宋体" w:hAnsi="宋体" w:eastAsia="宋体" w:cs="宋体"/>
          <w:b/>
          <w:bCs/>
          <w:kern w:val="0"/>
          <w:sz w:val="24"/>
          <w:szCs w:val="24"/>
          <w:highlight w:val="none"/>
          <w:lang w:bidi="ar"/>
        </w:rPr>
        <w:t>功能要求</w:t>
      </w:r>
    </w:p>
    <w:p>
      <w:pPr>
        <w:widowControl/>
        <w:spacing w:line="360" w:lineRule="auto"/>
        <w:ind w:firstLine="400" w:firstLineChars="200"/>
        <w:jc w:val="left"/>
        <w:textAlignment w:val="center"/>
        <w:rPr>
          <w:rFonts w:hint="eastAsia" w:ascii="宋体" w:hAnsi="宋体" w:eastAsia="宋体" w:cs="宋体"/>
          <w:kern w:val="0"/>
          <w:szCs w:val="21"/>
          <w:highlight w:val="none"/>
          <w:lang w:bidi="ar"/>
        </w:rPr>
      </w:pPr>
      <w:r>
        <w:rPr>
          <w:rFonts w:hint="eastAsia" w:ascii="宋体" w:hAnsi="宋体" w:eastAsia="宋体" w:cs="宋体"/>
          <w:kern w:val="2"/>
          <w:sz w:val="20"/>
          <w:szCs w:val="20"/>
          <w:highlight w:val="none"/>
          <w:lang w:val="en-US" w:eastAsia="zh-CN" w:bidi="ar-SA"/>
        </w:rPr>
        <w:t>通过诱发电位、肌电图、TOF 等项目，为手术医生提供中枢神经、周围神经、肌肉及麻醉用药的客观评价指标，实时反馈手术过程中神经的活动情况，对于外科医生（如脊柱外科、神经外科、骨科、五官科、血管外科、甲状腺科、胸外科等科室）手术中是否触及神经或对神经有无损伤及损伤的部位进行指导。</w:t>
      </w:r>
      <w:r>
        <w:rPr>
          <w:rFonts w:hint="eastAsia" w:ascii="宋体" w:hAnsi="宋体" w:eastAsia="宋体" w:cs="宋体"/>
          <w:kern w:val="0"/>
          <w:szCs w:val="21"/>
          <w:highlight w:val="none"/>
          <w:lang w:bidi="ar"/>
        </w:rPr>
        <w:t xml:space="preserve"> </w:t>
      </w:r>
    </w:p>
    <w:p>
      <w:pPr>
        <w:widowControl/>
        <w:numPr>
          <w:ilvl w:val="0"/>
          <w:numId w:val="0"/>
        </w:numPr>
        <w:jc w:val="left"/>
        <w:textAlignment w:val="center"/>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二、技术参数</w:t>
      </w:r>
    </w:p>
    <w:p>
      <w:pPr>
        <w:pStyle w:val="259"/>
        <w:widowControl/>
        <w:numPr>
          <w:ilvl w:val="0"/>
          <w:numId w:val="0"/>
        </w:numPr>
        <w:spacing w:line="360" w:lineRule="auto"/>
        <w:ind w:left="360" w:leftChars="0" w:hanging="360" w:firstLineChars="0"/>
        <w:jc w:val="left"/>
        <w:textAlignment w:val="center"/>
        <w:rPr>
          <w:rFonts w:hint="eastAsia" w:ascii="宋体" w:hAnsi="宋体" w:eastAsia="宋体" w:cs="宋体"/>
          <w:b/>
          <w:bCs/>
          <w:kern w:val="2"/>
          <w:sz w:val="20"/>
          <w:szCs w:val="20"/>
          <w:highlight w:val="none"/>
          <w:lang w:val="en-US" w:eastAsia="zh-CN" w:bidi="ar-SA"/>
        </w:rPr>
      </w:pPr>
      <w:r>
        <w:rPr>
          <w:rFonts w:hint="default" w:ascii="宋体" w:hAnsi="宋体" w:eastAsia="宋体" w:cs="宋体"/>
          <w:b/>
          <w:bCs/>
          <w:kern w:val="2"/>
          <w:sz w:val="20"/>
          <w:szCs w:val="20"/>
          <w:highlight w:val="none"/>
          <w:lang w:val="en-US" w:eastAsia="zh-CN" w:bidi="ar-SA"/>
        </w:rPr>
        <w:t>①</w:t>
      </w:r>
      <w:r>
        <w:rPr>
          <w:rFonts w:hint="eastAsia" w:ascii="宋体" w:hAnsi="宋体" w:eastAsia="宋体" w:cs="宋体"/>
          <w:b/>
          <w:bCs/>
          <w:kern w:val="2"/>
          <w:sz w:val="20"/>
          <w:szCs w:val="20"/>
          <w:highlight w:val="none"/>
          <w:lang w:val="en-US" w:eastAsia="zh-CN" w:bidi="ar-SA"/>
        </w:rPr>
        <w:t>主机参数</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放大器：≥32通道信号采集，支持多个通道集合成为一个输出端口与耗材相连，支持采集电极快速连接。</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2.</w:t>
      </w:r>
      <w:r>
        <w:rPr>
          <w:rFonts w:hint="eastAsia" w:ascii="宋体" w:hAnsi="宋体" w:eastAsia="宋体" w:cs="宋体"/>
          <w:kern w:val="2"/>
          <w:sz w:val="20"/>
          <w:szCs w:val="20"/>
          <w:highlight w:val="none"/>
          <w:lang w:val="en-US" w:eastAsia="zh-CN" w:bidi="ar-SA"/>
        </w:rPr>
        <w:t>带宽：0.4Hz-7kHz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3.</w:t>
      </w:r>
      <w:r>
        <w:rPr>
          <w:rFonts w:hint="eastAsia" w:ascii="宋体" w:hAnsi="宋体" w:eastAsia="宋体" w:cs="宋体"/>
          <w:kern w:val="2"/>
          <w:sz w:val="20"/>
          <w:szCs w:val="20"/>
          <w:highlight w:val="none"/>
          <w:lang w:val="en-US" w:eastAsia="zh-CN" w:bidi="ar-SA"/>
        </w:rPr>
        <w:t>隔离电源：配备专用医用隔离电源，防高压专用隔离</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4.</w:t>
      </w:r>
      <w:r>
        <w:rPr>
          <w:rFonts w:hint="eastAsia" w:ascii="宋体" w:hAnsi="宋体" w:eastAsia="宋体" w:cs="宋体"/>
          <w:kern w:val="2"/>
          <w:sz w:val="20"/>
          <w:szCs w:val="20"/>
          <w:highlight w:val="none"/>
          <w:lang w:val="en-US" w:eastAsia="zh-CN" w:bidi="ar-SA"/>
        </w:rPr>
        <w:t>采样频率：25KHz/通道</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5.</w:t>
      </w:r>
      <w:r>
        <w:rPr>
          <w:rFonts w:hint="eastAsia" w:ascii="宋体" w:hAnsi="宋体" w:eastAsia="宋体" w:cs="宋体"/>
          <w:kern w:val="2"/>
          <w:sz w:val="20"/>
          <w:szCs w:val="20"/>
          <w:highlight w:val="none"/>
          <w:lang w:val="en-US" w:eastAsia="zh-CN" w:bidi="ar-SA"/>
        </w:rPr>
        <w:t>灵敏度：0.01μV/D到 30mV/div 分档控制</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6.</w:t>
      </w:r>
      <w:r>
        <w:rPr>
          <w:rFonts w:hint="eastAsia" w:ascii="宋体" w:hAnsi="宋体" w:eastAsia="宋体" w:cs="宋体"/>
          <w:kern w:val="2"/>
          <w:sz w:val="20"/>
          <w:szCs w:val="20"/>
          <w:highlight w:val="none"/>
          <w:lang w:val="en-US" w:eastAsia="zh-CN" w:bidi="ar-SA"/>
        </w:rPr>
        <w:t>滤波功能：具有高低切滤波功能。高切滤波：10HZ-7000HZ，低切滤波：0.1 HZ -500Hz，多档可调。</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7.</w:t>
      </w:r>
      <w:r>
        <w:rPr>
          <w:rFonts w:hint="eastAsia" w:ascii="宋体" w:hAnsi="宋体" w:eastAsia="宋体" w:cs="宋体"/>
          <w:kern w:val="2"/>
          <w:sz w:val="20"/>
          <w:szCs w:val="20"/>
          <w:highlight w:val="none"/>
          <w:lang w:val="en-US" w:eastAsia="zh-CN" w:bidi="ar-SA"/>
        </w:rPr>
        <w:t>共模抑制比：≥120dB</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8.</w:t>
      </w:r>
      <w:r>
        <w:rPr>
          <w:rFonts w:hint="eastAsia" w:ascii="宋体" w:hAnsi="宋体" w:eastAsia="宋体" w:cs="宋体"/>
          <w:kern w:val="2"/>
          <w:sz w:val="20"/>
          <w:szCs w:val="20"/>
          <w:highlight w:val="none"/>
          <w:lang w:val="en-US" w:eastAsia="zh-CN" w:bidi="ar-SA"/>
        </w:rPr>
        <w:t>噪声电压：≤2.0 uV p-p</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9.</w:t>
      </w:r>
      <w:r>
        <w:rPr>
          <w:rFonts w:hint="eastAsia" w:ascii="宋体" w:hAnsi="宋体" w:eastAsia="宋体" w:cs="宋体"/>
          <w:kern w:val="2"/>
          <w:sz w:val="20"/>
          <w:szCs w:val="20"/>
          <w:highlight w:val="none"/>
          <w:lang w:val="en-US" w:eastAsia="zh-CN" w:bidi="ar-SA"/>
        </w:rPr>
        <w:t xml:space="preserve">A/D 转换：≥24 位 </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10.</w:t>
      </w:r>
      <w:r>
        <w:rPr>
          <w:rFonts w:hint="eastAsia" w:ascii="宋体" w:hAnsi="宋体" w:eastAsia="宋体" w:cs="宋体"/>
          <w:kern w:val="2"/>
          <w:sz w:val="20"/>
          <w:szCs w:val="20"/>
          <w:highlight w:val="none"/>
          <w:lang w:val="en-US" w:eastAsia="zh-CN" w:bidi="ar-SA"/>
        </w:rPr>
        <w:t>电源：100-240V，50/60Hz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11.</w:t>
      </w:r>
      <w:r>
        <w:rPr>
          <w:rFonts w:hint="eastAsia" w:ascii="宋体" w:hAnsi="宋体" w:eastAsia="宋体" w:cs="宋体"/>
          <w:kern w:val="2"/>
          <w:sz w:val="20"/>
          <w:szCs w:val="20"/>
          <w:highlight w:val="none"/>
          <w:lang w:val="en-US" w:eastAsia="zh-CN" w:bidi="ar-SA"/>
        </w:rPr>
        <w:t xml:space="preserve">输入抗阻（COM）：≥ 3000MΩ    </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12.</w:t>
      </w:r>
      <w:r>
        <w:rPr>
          <w:rFonts w:hint="eastAsia" w:ascii="宋体" w:hAnsi="宋体" w:eastAsia="宋体" w:cs="宋体"/>
          <w:kern w:val="2"/>
          <w:sz w:val="20"/>
          <w:szCs w:val="20"/>
          <w:highlight w:val="none"/>
          <w:lang w:val="en-US" w:eastAsia="zh-CN" w:bidi="ar-SA"/>
        </w:rPr>
        <w:t>扫描速度：0.1-30000mS/D，≥20 级可调</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default" w:ascii="宋体" w:hAnsi="宋体" w:eastAsia="宋体" w:cs="宋体"/>
          <w:kern w:val="2"/>
          <w:sz w:val="20"/>
          <w:szCs w:val="20"/>
          <w:highlight w:val="none"/>
          <w:lang w:val="en-US" w:eastAsia="zh-CN" w:bidi="ar-SA"/>
        </w:rPr>
        <w:t>13.</w:t>
      </w:r>
      <w:r>
        <w:rPr>
          <w:rFonts w:hint="eastAsia" w:ascii="宋体" w:hAnsi="宋体" w:eastAsia="宋体" w:cs="宋体"/>
          <w:kern w:val="2"/>
          <w:sz w:val="20"/>
          <w:szCs w:val="20"/>
          <w:highlight w:val="none"/>
          <w:lang w:val="en-US" w:eastAsia="zh-CN" w:bidi="ar-SA"/>
        </w:rPr>
        <w:t>阻抗测量：所有输入的电极可检测实时阻抗</w:t>
      </w:r>
    </w:p>
    <w:p>
      <w:pPr>
        <w:widowControl/>
        <w:numPr>
          <w:ilvl w:val="0"/>
          <w:numId w:val="0"/>
        </w:numPr>
        <w:spacing w:line="360" w:lineRule="auto"/>
        <w:ind w:left="425" w:leftChars="0" w:hanging="425" w:firstLineChars="0"/>
        <w:jc w:val="left"/>
        <w:textAlignment w:val="center"/>
        <w:rPr>
          <w:rFonts w:hint="eastAsia" w:ascii="宋体" w:hAnsi="宋体" w:eastAsia="宋体" w:cs="宋体"/>
          <w:b/>
          <w:bCs/>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②电刺激器</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1、低电流刺激器：0-8mA电流刺激，步进0.01mA每步。</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2、电刺激器：恒流恒压两种</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3、输出方式：重复、不重复、单一脉冲串</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4、安全性：功率限制，开机后可自检进行测试</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5、刺激级性：正相，负相，双相</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6、刺激脉宽：0.025 – 1.0 ms</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7、脉冲串频率：1Hz-1000Hz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8、恒流刺激器：≥8个高电流刺激端口</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 xml:space="preserve">9、刺激强度：最大刺激电压1000V，最大输出电流1000mA </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10、刺激频率：0.01Hz～100Hz</w:t>
      </w:r>
    </w:p>
    <w:p>
      <w:pPr>
        <w:widowControl/>
        <w:numPr>
          <w:ilvl w:val="0"/>
          <w:numId w:val="0"/>
        </w:numPr>
        <w:spacing w:line="360" w:lineRule="auto"/>
        <w:ind w:left="425" w:leftChars="0" w:hanging="425" w:firstLineChars="0"/>
        <w:jc w:val="left"/>
        <w:textAlignment w:val="center"/>
        <w:rPr>
          <w:rFonts w:hint="eastAsia" w:ascii="宋体" w:hAnsi="宋体" w:eastAsia="宋体" w:cs="宋体"/>
          <w:b/>
          <w:bCs/>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③声刺激器</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 xml:space="preserve">1、刺激类型:短音/纯音/白噪音 </w:t>
      </w:r>
      <w:r>
        <w:rPr>
          <w:rFonts w:hint="eastAsia" w:ascii="宋体" w:hAnsi="宋体" w:eastAsia="宋体" w:cs="宋体"/>
          <w:kern w:val="2"/>
          <w:sz w:val="20"/>
          <w:szCs w:val="20"/>
          <w:highlight w:val="none"/>
          <w:lang w:val="en-US" w:eastAsia="zh-CN" w:bidi="ar-SA"/>
        </w:rPr>
        <w:br w:type="textWrapping"/>
      </w:r>
      <w:r>
        <w:rPr>
          <w:rFonts w:hint="eastAsia" w:ascii="宋体" w:hAnsi="宋体" w:eastAsia="宋体" w:cs="宋体"/>
          <w:kern w:val="2"/>
          <w:sz w:val="20"/>
          <w:szCs w:val="20"/>
          <w:highlight w:val="none"/>
          <w:lang w:val="en-US" w:eastAsia="zh-CN" w:bidi="ar-SA"/>
        </w:rPr>
        <w:t>2、刺激输出：左耳、右耳、双耳交替</w:t>
      </w:r>
      <w:r>
        <w:rPr>
          <w:rFonts w:hint="eastAsia" w:ascii="宋体" w:hAnsi="宋体" w:eastAsia="宋体" w:cs="宋体"/>
          <w:kern w:val="2"/>
          <w:sz w:val="20"/>
          <w:szCs w:val="20"/>
          <w:highlight w:val="none"/>
          <w:lang w:val="en-US" w:eastAsia="zh-CN" w:bidi="ar-SA"/>
        </w:rPr>
        <w:br w:type="textWrapping"/>
      </w:r>
      <w:r>
        <w:rPr>
          <w:rFonts w:hint="eastAsia" w:ascii="宋体" w:hAnsi="宋体" w:eastAsia="宋体" w:cs="宋体"/>
          <w:kern w:val="2"/>
          <w:sz w:val="20"/>
          <w:szCs w:val="20"/>
          <w:highlight w:val="none"/>
          <w:lang w:val="en-US" w:eastAsia="zh-CN" w:bidi="ar-SA"/>
        </w:rPr>
        <w:t>3、最大短音 声强≤125dB</w:t>
      </w:r>
      <w:r>
        <w:rPr>
          <w:rFonts w:hint="eastAsia" w:ascii="宋体" w:hAnsi="宋体" w:eastAsia="宋体" w:cs="宋体"/>
          <w:kern w:val="2"/>
          <w:sz w:val="20"/>
          <w:szCs w:val="20"/>
          <w:highlight w:val="none"/>
          <w:lang w:val="en-US" w:eastAsia="zh-CN" w:bidi="ar-SA"/>
        </w:rPr>
        <w:br w:type="textWrapping"/>
      </w:r>
      <w:r>
        <w:rPr>
          <w:rFonts w:hint="eastAsia" w:ascii="宋体" w:hAnsi="宋体" w:eastAsia="宋体" w:cs="宋体"/>
          <w:kern w:val="2"/>
          <w:sz w:val="20"/>
          <w:szCs w:val="20"/>
          <w:highlight w:val="none"/>
          <w:lang w:val="en-US" w:eastAsia="zh-CN" w:bidi="ar-SA"/>
        </w:rPr>
        <w:t>4、最大纯音 声强≤125dB</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5、最大白噪音 声强≤125dB</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6、刺激频率：0.1Hz-100Hz</w:t>
      </w:r>
    </w:p>
    <w:p>
      <w:pPr>
        <w:widowControl/>
        <w:numPr>
          <w:ilvl w:val="0"/>
          <w:numId w:val="0"/>
        </w:numPr>
        <w:spacing w:line="360" w:lineRule="auto"/>
        <w:ind w:left="425" w:leftChars="0" w:hanging="425" w:firstLineChars="0"/>
        <w:jc w:val="left"/>
        <w:textAlignment w:val="center"/>
        <w:rPr>
          <w:rFonts w:hint="eastAsia" w:ascii="宋体" w:hAnsi="宋体" w:eastAsia="宋体" w:cs="宋体"/>
          <w:b/>
          <w:bCs/>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④闪光刺激</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1、刺激频率：刺激频率：0.1Hz-50Hz</w:t>
      </w:r>
    </w:p>
    <w:p>
      <w:pPr>
        <w:widowControl/>
        <w:numPr>
          <w:ilvl w:val="0"/>
          <w:numId w:val="0"/>
        </w:numPr>
        <w:spacing w:line="360" w:lineRule="auto"/>
        <w:ind w:left="425" w:leftChars="0" w:hanging="425" w:firstLineChars="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2、刺激方式：左眼刺激、右眼刺激、双眼同时刺激、左右眼交替刺激</w:t>
      </w:r>
    </w:p>
    <w:p>
      <w:pPr>
        <w:widowControl/>
        <w:numPr>
          <w:ilvl w:val="0"/>
          <w:numId w:val="0"/>
        </w:numPr>
        <w:jc w:val="left"/>
        <w:textAlignment w:val="center"/>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三、软件功能</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1、计算机操作系统软件：Windows 系统、专业版 Office 办公软件</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神经监测软件项目：脑电图、肌电图、皮层定位、体感诱发电位、运动诱发电位、椎弓根自动刺激程序、听觉诱发电位、视觉诱发电位等。可多项目同步监测，支持各监测模块显示窗口横向平铺、纵向平铺、矩阵平铺、层叠显示等形式。</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3、脑功能频谱图:通过对波形数据的频谱分析计算出整个病例的各频段δ、θ、a、β相对能量占比、中频指数、边频指数、快慢波相对能量比、爆发抑制比、振幅整合、双频指数，以趋势图的形式表现出来。</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4、肌电图功能</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由自扫描肌电波形窗口、触发肌电窗口及肌电波形堆栈窗口组成，实时显示采集到的肌电波形数据，并可以回放。自动捕获肌电图动作单位电位，包括单次刺激触发的数据捕获。保存时同时保存波形Label、捕获时间、捕获源等信息。</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诱发电位功能</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具有体感诱发电位、运动诱发电位、椎弓根自动刺激程序、听觉诱发电位、视觉诱发电位等功能。多个窗口实时显示波形数据：数据绝对值、每个波形与基线的差值、每个波形与基线的百分比数据等。</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6、椎弓根螺钉探测功能：椎弓根钉自动测试功能，有自动调节功能。</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7、噪声分析屏蔽软件：软件具备干噪声分析功能，可分析手术室双极电凝等噪声，屏蔽采集。</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8、内置监测模板：系统内置胸腰椎、脊柱侧弯、脊柱肿瘤手术、动脉瘤、微血管解压、桥小脑角手术、泌尿外科手术、肛肠科手术等常用监测模块。</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9、TOF监测：显示病人肌肉松弛度，有柱状图，百分比，真实波形三种形式显示。</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10、报告：模板功能，可一键生成报告，支持中文报告，各显示窗口可复制并粘贴至其他应用软件。</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11、具备D Wave、BCR监测功能。</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12、屏幕打印功能：可将监测波形拷屏并自动导入报告中或存为图片格式。</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13、云监测功能：可通过云监测软件实现多台设备同时远程监测，一台主机可以实现多个手术间同时监测。</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14、可对系统窗口、光标、诱发模块、肌电模块的不同显示进行个性化设置。</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15、视频接入功能：可将手术室的各种视频图像（如显微镜、视频摄像头、影像输出图像）导入到术中监护软件界面中，进行同步显示及存储。</w:t>
      </w:r>
    </w:p>
    <w:p>
      <w:pPr>
        <w:widowControl/>
        <w:numPr>
          <w:ilvl w:val="0"/>
          <w:numId w:val="0"/>
        </w:numPr>
        <w:jc w:val="left"/>
        <w:textAlignment w:val="center"/>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四、其他</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 xml:space="preserve">1、任何一台计算机均可以通过 LAN 或 VPN 进行远程数据监视，实现即时网络功能。 </w:t>
      </w:r>
    </w:p>
    <w:p>
      <w:pPr>
        <w:numPr>
          <w:ilvl w:val="0"/>
          <w:numId w:val="0"/>
        </w:numPr>
        <w:spacing w:line="360" w:lineRule="auto"/>
        <w:ind w:leftChars="0"/>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2、设备有自动储存功能，意外断电后可接上一次持续监测而不需要重新开始。</w:t>
      </w:r>
    </w:p>
    <w:p>
      <w:pPr>
        <w:widowControl/>
        <w:numPr>
          <w:ilvl w:val="0"/>
          <w:numId w:val="0"/>
        </w:numPr>
        <w:jc w:val="left"/>
        <w:textAlignment w:val="center"/>
        <w:rPr>
          <w:rFonts w:hint="eastAsia" w:ascii="宋体" w:hAnsi="宋体" w:eastAsia="宋体" w:cs="宋体"/>
          <w:b/>
          <w:bCs/>
          <w:kern w:val="0"/>
          <w:sz w:val="24"/>
          <w:szCs w:val="24"/>
          <w:highlight w:val="none"/>
          <w:lang w:val="en-US" w:eastAsia="zh-CN" w:bidi="ar"/>
        </w:rPr>
      </w:pPr>
      <w:r>
        <w:rPr>
          <w:rFonts w:hint="eastAsia" w:ascii="宋体" w:hAnsi="宋体" w:eastAsia="宋体" w:cs="宋体"/>
          <w:b/>
          <w:bCs/>
          <w:kern w:val="0"/>
          <w:sz w:val="24"/>
          <w:szCs w:val="24"/>
          <w:highlight w:val="none"/>
          <w:lang w:val="en-US" w:eastAsia="zh-CN" w:bidi="ar"/>
        </w:rPr>
        <w:t>五、配置要求</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5184"/>
        <w:gridCol w:w="3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b/>
                <w:bCs/>
                <w:color w:val="auto"/>
                <w:kern w:val="44"/>
                <w:sz w:val="20"/>
                <w:szCs w:val="20"/>
                <w:highlight w:val="none"/>
                <w:vertAlign w:val="baseline"/>
                <w:lang w:val="en-US" w:eastAsia="zh-CN"/>
              </w:rPr>
              <w:t>序号</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b/>
                <w:bCs/>
                <w:color w:val="auto"/>
                <w:kern w:val="44"/>
                <w:sz w:val="20"/>
                <w:szCs w:val="20"/>
                <w:highlight w:val="none"/>
                <w:vertAlign w:val="baseline"/>
                <w:lang w:val="en-US" w:eastAsia="zh-CN"/>
              </w:rPr>
              <w:t>产品名称</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b/>
                <w:bCs/>
                <w:color w:val="auto"/>
                <w:kern w:val="44"/>
                <w:sz w:val="20"/>
                <w:szCs w:val="20"/>
                <w:highlight w:val="none"/>
                <w:vertAlign w:val="baseli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监测仪主机</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放大盒</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3</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术中刺激盒</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4</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打印机</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5</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仪器台车</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6</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显示屏</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7</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一次性针电极</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8</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一次性使用神经探头</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9</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神经监护气管插管</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10</w:t>
            </w:r>
          </w:p>
        </w:tc>
        <w:tc>
          <w:tcPr>
            <w:tcW w:w="5184"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bCs/>
                <w:color w:val="auto"/>
                <w:kern w:val="44"/>
                <w:sz w:val="20"/>
                <w:szCs w:val="20"/>
                <w:highlight w:val="none"/>
                <w:vertAlign w:val="baseline"/>
                <w:lang w:val="en-US" w:eastAsia="zh-CN"/>
              </w:rPr>
            </w:pPr>
            <w:r>
              <w:rPr>
                <w:rFonts w:hint="eastAsia" w:ascii="宋体" w:hAnsi="宋体" w:eastAsia="宋体" w:cs="宋体"/>
                <w:kern w:val="0"/>
                <w:sz w:val="20"/>
                <w:szCs w:val="20"/>
                <w:highlight w:val="none"/>
                <w:lang w:bidi="ar"/>
              </w:rPr>
              <w:t>神经监测软件</w:t>
            </w:r>
          </w:p>
        </w:tc>
        <w:tc>
          <w:tcPr>
            <w:tcW w:w="3020" w:type="dxa"/>
            <w:vAlign w:val="center"/>
          </w:tcPr>
          <w:p>
            <w:pPr>
              <w:keepNext w:val="0"/>
              <w:keepLines w:val="0"/>
              <w:pageBreakBefore w:val="0"/>
              <w:widowControl/>
              <w:kinsoku/>
              <w:autoSpaceDE/>
              <w:autoSpaceDN/>
              <w:bidi w:val="0"/>
              <w:adjustRightInd/>
              <w:snapToGrid/>
              <w:spacing w:line="360" w:lineRule="auto"/>
              <w:jc w:val="center"/>
              <w:outlineLvl w:val="0"/>
              <w:rPr>
                <w:rFonts w:hint="eastAsia" w:ascii="宋体" w:hAnsi="宋体" w:eastAsia="宋体" w:cs="宋体"/>
                <w:b w:val="0"/>
                <w:bCs w:val="0"/>
                <w:color w:val="auto"/>
                <w:kern w:val="44"/>
                <w:sz w:val="20"/>
                <w:szCs w:val="20"/>
                <w:highlight w:val="none"/>
                <w:vertAlign w:val="baseline"/>
                <w:lang w:val="en-US" w:eastAsia="zh-CN"/>
              </w:rPr>
            </w:pPr>
            <w:r>
              <w:rPr>
                <w:rFonts w:hint="eastAsia" w:ascii="宋体" w:hAnsi="宋体" w:eastAsia="宋体" w:cs="宋体"/>
                <w:b w:val="0"/>
                <w:bCs w:val="0"/>
                <w:color w:val="auto"/>
                <w:kern w:val="44"/>
                <w:sz w:val="20"/>
                <w:szCs w:val="20"/>
                <w:highlight w:val="none"/>
                <w:vertAlign w:val="baseline"/>
                <w:lang w:val="en-US" w:eastAsia="zh-CN"/>
              </w:rPr>
              <w:t>1套</w:t>
            </w:r>
          </w:p>
        </w:tc>
      </w:tr>
    </w:tbl>
    <w:p>
      <w:pPr>
        <w:rPr>
          <w:rFonts w:hint="eastAsia" w:ascii="黑体" w:hAnsi="黑体" w:eastAsia="黑体" w:cs="黑体"/>
          <w:b/>
          <w:bCs/>
          <w:color w:val="auto"/>
          <w:kern w:val="44"/>
          <w:sz w:val="21"/>
          <w:szCs w:val="21"/>
          <w:highlight w:val="none"/>
          <w:lang w:val="en-US" w:eastAsia="zh-CN"/>
        </w:rPr>
      </w:pPr>
      <w:r>
        <w:rPr>
          <w:rFonts w:hint="eastAsia" w:ascii="黑体" w:hAnsi="黑体" w:eastAsia="黑体" w:cs="黑体"/>
          <w:b/>
          <w:bCs/>
          <w:color w:val="auto"/>
          <w:kern w:val="44"/>
          <w:sz w:val="21"/>
          <w:szCs w:val="21"/>
          <w:highlight w:val="none"/>
          <w:lang w:val="en-US" w:eastAsia="zh-CN"/>
        </w:rPr>
        <w:br w:type="page"/>
      </w:r>
    </w:p>
    <w:p>
      <w:pPr>
        <w:keepNext w:val="0"/>
        <w:keepLines w:val="0"/>
        <w:pageBreakBefore w:val="0"/>
        <w:widowControl/>
        <w:kinsoku/>
        <w:autoSpaceDE/>
        <w:autoSpaceDN/>
        <w:bidi w:val="0"/>
        <w:adjustRightInd/>
        <w:snapToGrid/>
        <w:spacing w:line="360" w:lineRule="auto"/>
        <w:jc w:val="center"/>
        <w:outlineLvl w:val="0"/>
        <w:rPr>
          <w:rFonts w:hint="eastAsia" w:ascii="黑体" w:hAnsi="黑体" w:eastAsia="黑体" w:cs="黑体"/>
          <w:b/>
          <w:bCs/>
          <w:color w:val="auto"/>
          <w:kern w:val="44"/>
          <w:sz w:val="21"/>
          <w:szCs w:val="21"/>
          <w:highlight w:val="none"/>
          <w:lang w:val="en-US" w:eastAsia="zh-CN"/>
        </w:rPr>
      </w:pPr>
      <w:bookmarkStart w:id="43" w:name="_Toc14854"/>
      <w:bookmarkStart w:id="44" w:name="_Toc23124"/>
      <w:r>
        <w:rPr>
          <w:rFonts w:hint="eastAsia" w:ascii="宋体" w:hAnsi="宋体" w:cs="宋体"/>
          <w:b/>
          <w:bCs/>
          <w:color w:val="auto"/>
          <w:sz w:val="32"/>
          <w:szCs w:val="40"/>
          <w:highlight w:val="none"/>
        </w:rPr>
        <w:t>第三节 商务要求</w:t>
      </w:r>
      <w:bookmarkEnd w:id="43"/>
      <w:bookmarkEnd w:id="44"/>
    </w:p>
    <w:p>
      <w:pPr>
        <w:keepNext w:val="0"/>
        <w:keepLines w:val="0"/>
        <w:pageBreakBefore w:val="0"/>
        <w:widowControl/>
        <w:kinsoku/>
        <w:autoSpaceDE/>
        <w:autoSpaceDN/>
        <w:bidi w:val="0"/>
        <w:adjustRightInd/>
        <w:snapToGrid/>
        <w:spacing w:line="360" w:lineRule="auto"/>
        <w:jc w:val="left"/>
        <w:outlineLvl w:val="0"/>
        <w:rPr>
          <w:rFonts w:hint="eastAsia" w:ascii="黑体" w:hAnsi="黑体" w:eastAsia="黑体" w:cs="黑体"/>
          <w:b/>
          <w:bCs/>
          <w:color w:val="auto"/>
          <w:kern w:val="44"/>
          <w:sz w:val="21"/>
          <w:szCs w:val="21"/>
          <w:highlight w:val="none"/>
        </w:rPr>
      </w:pPr>
      <w:r>
        <w:rPr>
          <w:rFonts w:hint="eastAsia" w:ascii="黑体" w:hAnsi="黑体" w:eastAsia="黑体" w:cs="黑体"/>
          <w:b/>
          <w:bCs/>
          <w:color w:val="auto"/>
          <w:kern w:val="44"/>
          <w:sz w:val="21"/>
          <w:szCs w:val="21"/>
          <w:highlight w:val="none"/>
          <w:lang w:val="en-US" w:eastAsia="zh-CN"/>
        </w:rPr>
        <w:t>一</w:t>
      </w:r>
      <w:r>
        <w:rPr>
          <w:rFonts w:hint="eastAsia" w:ascii="黑体" w:hAnsi="黑体" w:eastAsia="黑体" w:cs="黑体"/>
          <w:b/>
          <w:bCs/>
          <w:color w:val="auto"/>
          <w:kern w:val="44"/>
          <w:sz w:val="21"/>
          <w:szCs w:val="21"/>
          <w:highlight w:val="none"/>
        </w:rPr>
        <w:t>、交货时间、地点及方式</w:t>
      </w:r>
      <w:bookmarkEnd w:id="38"/>
      <w:bookmarkEnd w:id="39"/>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1、交货时间：</w:t>
      </w:r>
      <w:r>
        <w:rPr>
          <w:rFonts w:hint="eastAsia" w:ascii="宋体" w:hAnsi="宋体" w:cs="宋体"/>
          <w:color w:val="auto"/>
          <w:sz w:val="21"/>
          <w:szCs w:val="21"/>
          <w:highlight w:val="none"/>
          <w:lang w:val="en-US" w:eastAsia="zh-CN"/>
        </w:rPr>
        <w:t>自合同签订之日起30日内，完成全部货物交货、运输、安装、检测、验收，供采购人使用。</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2、交货地点：采购方指定地点；</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3、交货方式：按采购人要求送达指定地点安装调试完毕并验收合格。</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color w:val="auto"/>
          <w:sz w:val="21"/>
          <w:szCs w:val="21"/>
          <w:highlight w:val="none"/>
        </w:rPr>
      </w:pPr>
      <w:bookmarkStart w:id="45" w:name="_Toc32664"/>
      <w:bookmarkStart w:id="46" w:name="_Toc30496"/>
      <w:r>
        <w:rPr>
          <w:rFonts w:hint="eastAsia" w:ascii="黑体" w:hAnsi="黑体" w:eastAsia="黑体" w:cs="黑体"/>
          <w:b/>
          <w:bCs/>
          <w:color w:val="auto"/>
          <w:kern w:val="44"/>
          <w:sz w:val="21"/>
          <w:szCs w:val="21"/>
          <w:highlight w:val="none"/>
          <w:lang w:val="en-US" w:eastAsia="zh-CN"/>
        </w:rPr>
        <w:t>二</w:t>
      </w:r>
      <w:r>
        <w:rPr>
          <w:rFonts w:hint="eastAsia" w:ascii="黑体" w:hAnsi="黑体" w:eastAsia="黑体" w:cs="黑体"/>
          <w:b/>
          <w:bCs/>
          <w:color w:val="auto"/>
          <w:kern w:val="44"/>
          <w:sz w:val="21"/>
          <w:szCs w:val="21"/>
          <w:highlight w:val="none"/>
        </w:rPr>
        <w:t>、产品运输、保管及保险</w:t>
      </w:r>
      <w:bookmarkEnd w:id="45"/>
      <w:bookmarkEnd w:id="46"/>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1、中标单位负责保证货物在没有任何损坏和腐蚀的情况下安全运抵合同规定的交货地点，应承担由于其包装或防护措施不妥而起货物锈蚀、损坏和丢失的任何责任或费用；</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2、中标单位应对提供的货物在运输、存放及交货过程中的毁损或灭失进行保险投保，负责其派出的安装指导、服务人员的人身意外保险；</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3、货物包装采用符合中国免疫标准的材料，适于长途运输，做到防潮、防雨、防锈、防震，包装箱上应用中文标出装运标记；</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4、每个包装箱的外部应附有一套详细的装箱单正本。每个包装箱的内部应附有装箱单、质量证明书，有关的技术文件，说明书，产品合格证等。</w:t>
      </w:r>
    </w:p>
    <w:p>
      <w:pPr>
        <w:pStyle w:val="46"/>
        <w:keepNext w:val="0"/>
        <w:keepLines w:val="0"/>
        <w:pageBreakBefore w:val="0"/>
        <w:numPr>
          <w:ilvl w:val="0"/>
          <w:numId w:val="0"/>
        </w:numPr>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default" w:ascii="宋体" w:hAnsi="宋体" w:cs="宋体"/>
          <w:color w:val="auto"/>
          <w:sz w:val="21"/>
          <w:szCs w:val="21"/>
          <w:highlight w:val="none"/>
          <w:lang w:val="en-US"/>
        </w:rPr>
        <w:t>5、投标文件中需提供投标货物技术白皮书。</w:t>
      </w:r>
    </w:p>
    <w:p>
      <w:pPr>
        <w:keepNext w:val="0"/>
        <w:keepLines w:val="0"/>
        <w:pageBreakBefore w:val="0"/>
        <w:widowControl/>
        <w:kinsoku/>
        <w:autoSpaceDE/>
        <w:autoSpaceDN/>
        <w:bidi w:val="0"/>
        <w:adjustRightInd/>
        <w:snapToGrid/>
        <w:spacing w:line="360" w:lineRule="auto"/>
        <w:jc w:val="left"/>
        <w:outlineLvl w:val="0"/>
        <w:rPr>
          <w:color w:val="auto"/>
          <w:sz w:val="21"/>
          <w:szCs w:val="21"/>
          <w:highlight w:val="none"/>
        </w:rPr>
      </w:pPr>
      <w:bookmarkStart w:id="47" w:name="_Toc28153"/>
      <w:bookmarkStart w:id="48" w:name="_Toc29255"/>
      <w:r>
        <w:rPr>
          <w:rFonts w:hint="eastAsia" w:ascii="黑体" w:hAnsi="黑体" w:eastAsia="黑体" w:cs="黑体"/>
          <w:b/>
          <w:bCs/>
          <w:color w:val="auto"/>
          <w:kern w:val="44"/>
          <w:sz w:val="21"/>
          <w:szCs w:val="21"/>
          <w:highlight w:val="none"/>
          <w:lang w:val="en-US" w:eastAsia="zh-CN"/>
        </w:rPr>
        <w:t>三</w:t>
      </w:r>
      <w:r>
        <w:rPr>
          <w:rFonts w:hint="eastAsia" w:ascii="黑体" w:hAnsi="黑体" w:eastAsia="黑体" w:cs="黑体"/>
          <w:b/>
          <w:bCs/>
          <w:color w:val="auto"/>
          <w:kern w:val="44"/>
          <w:sz w:val="21"/>
          <w:szCs w:val="21"/>
          <w:highlight w:val="none"/>
        </w:rPr>
        <w:t>、验收标准和方法</w:t>
      </w:r>
      <w:bookmarkEnd w:id="47"/>
      <w:bookmarkEnd w:id="48"/>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1、本项目</w:t>
      </w:r>
      <w:r>
        <w:rPr>
          <w:rFonts w:hint="eastAsia" w:ascii="宋体" w:hAnsi="宋体" w:cs="宋体"/>
          <w:color w:val="auto"/>
          <w:sz w:val="21"/>
          <w:szCs w:val="21"/>
          <w:highlight w:val="none"/>
          <w:lang w:val="en-US" w:eastAsia="zh-CN"/>
        </w:rPr>
        <w:t>由</w:t>
      </w:r>
      <w:r>
        <w:rPr>
          <w:rFonts w:hint="eastAsia" w:ascii="宋体" w:hAnsi="宋体" w:cs="宋体"/>
          <w:color w:val="auto"/>
          <w:sz w:val="21"/>
          <w:szCs w:val="21"/>
          <w:highlight w:val="none"/>
        </w:rPr>
        <w:t>采购单位验收，所有合同款项必须在验收合格后才能支付。</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2、中标单位负责产品安装完成后与相关部门协调验收工作，提供正式的货物验收、检测等相关报告、证明文件。相关一切费用均由投标方承担，验收报告作为申请付款的凭证之一；</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3、验收过程中产生纠纷的，由监督部门认定的检测机构检测,如为中标单位原因造成的，由中标单位承担检测费用；否则，由采购人承担；</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4、如因中标单位原因导致项目验收不合格，由中标单位负责返工直至合格，有关返工、再行验收，以及给采购人造成的损失等费用由中标单位承担。连续两次项目验收不合格的，采购人可终止合同，另行按规定选择其他供应商采购，由此带来的一切损失由中标单位承担；</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49" w:name="_Toc3695"/>
      <w:bookmarkStart w:id="50" w:name="_Toc6773"/>
      <w:r>
        <w:rPr>
          <w:rFonts w:hint="eastAsia" w:ascii="黑体" w:hAnsi="黑体" w:eastAsia="黑体" w:cs="黑体"/>
          <w:b/>
          <w:bCs/>
          <w:color w:val="auto"/>
          <w:kern w:val="44"/>
          <w:sz w:val="21"/>
          <w:szCs w:val="21"/>
          <w:highlight w:val="none"/>
          <w:lang w:val="en-US" w:eastAsia="zh-CN"/>
        </w:rPr>
        <w:t>四</w:t>
      </w:r>
      <w:r>
        <w:rPr>
          <w:rFonts w:hint="eastAsia" w:ascii="黑体" w:hAnsi="黑体" w:eastAsia="黑体" w:cs="黑体"/>
          <w:b/>
          <w:bCs/>
          <w:color w:val="auto"/>
          <w:kern w:val="44"/>
          <w:sz w:val="21"/>
          <w:szCs w:val="21"/>
          <w:highlight w:val="none"/>
        </w:rPr>
        <w:t>、售后服务</w:t>
      </w:r>
      <w:bookmarkEnd w:id="49"/>
      <w:bookmarkEnd w:id="50"/>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1、质保期限：整机免费质保期不低于</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年，质保期内免费上门服务，须承诺中标后提供厂家质量保证承诺书和售后维保承诺书</w:t>
      </w:r>
      <w:r>
        <w:rPr>
          <w:rFonts w:hint="eastAsia" w:ascii="宋体" w:hAnsi="宋体" w:cs="宋体"/>
          <w:color w:val="auto"/>
          <w:highlight w:val="none"/>
          <w:lang w:val="zh-TW" w:eastAsia="zh-CN"/>
        </w:rPr>
        <w:t>。</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服务热线支持：</w:t>
      </w:r>
      <w:r>
        <w:rPr>
          <w:rFonts w:hint="eastAsia" w:ascii="宋体" w:hAnsi="宋体" w:cs="宋体"/>
          <w:color w:val="auto"/>
          <w:sz w:val="21"/>
          <w:szCs w:val="21"/>
          <w:highlight w:val="none"/>
          <w:lang w:val="en-US" w:eastAsia="zh-CN"/>
        </w:rPr>
        <w:t>提供7×24小时的免费咨询服务，由具备相关资质的专业工程师负责协助，在货物使用过程中，遇到任何应用、操作、技术、维护等问题时，都可通过供应商提供的热线电话进行咨询，供应商必须耐心地解答各类问题。</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现场技术支持：</w:t>
      </w:r>
      <w:r>
        <w:rPr>
          <w:rFonts w:hint="eastAsia" w:ascii="宋体" w:hAnsi="宋体" w:cs="宋体"/>
          <w:color w:val="auto"/>
          <w:sz w:val="21"/>
          <w:szCs w:val="21"/>
          <w:highlight w:val="none"/>
          <w:lang w:val="en-US" w:eastAsia="zh-CN"/>
        </w:rPr>
        <w:t>如发生故障，在接到采购人的邮件、信函或电话等通知后，要求供应商在2小时内响应，接到故障电话后（省内的2小时到达现场，省外的48小时内到达现场解决问题）。在免费质保期内均不再收取由此产生的任何费用。</w:t>
      </w:r>
    </w:p>
    <w:p>
      <w:pPr>
        <w:pStyle w:val="220"/>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20" w:firstLineChars="0"/>
        <w:jc w:val="left"/>
        <w:textAlignment w:val="auto"/>
        <w:rPr>
          <w:rFonts w:hint="eastAsia" w:ascii="宋体" w:hAnsi="宋体" w:eastAsia="宋体" w:cs="宋体"/>
          <w:color w:val="auto"/>
          <w:kern w:val="2"/>
          <w:sz w:val="21"/>
          <w:szCs w:val="21"/>
          <w:highlight w:val="none"/>
          <w:lang w:val="en-US" w:eastAsia="zh-CN" w:bidi="ar-SA"/>
        </w:rPr>
      </w:pPr>
      <w:r>
        <w:rPr>
          <w:rFonts w:hint="default" w:eastAsia="宋体"/>
          <w:b/>
          <w:bCs/>
          <w:color w:val="auto"/>
          <w:sz w:val="21"/>
          <w:szCs w:val="21"/>
          <w:highlight w:val="none"/>
          <w:lang w:val="en-US" w:eastAsia="zh-CN"/>
        </w:rPr>
        <w:t>售后维修：</w:t>
      </w:r>
      <w:r>
        <w:rPr>
          <w:rFonts w:hint="default" w:ascii="宋体" w:hAnsi="宋体" w:eastAsia="宋体" w:cs="宋体"/>
          <w:color w:val="auto"/>
          <w:kern w:val="2"/>
          <w:sz w:val="21"/>
          <w:szCs w:val="21"/>
          <w:highlight w:val="none"/>
          <w:lang w:val="en-US" w:eastAsia="zh-CN" w:bidi="ar-SA"/>
        </w:rPr>
        <w:t>设有维修处和领配件中心，并配备至少</w:t>
      </w:r>
      <w:r>
        <w:rPr>
          <w:rFonts w:hint="eastAsia" w:ascii="宋体" w:hAnsi="宋体" w:cs="宋体"/>
          <w:color w:val="auto"/>
          <w:kern w:val="2"/>
          <w:sz w:val="21"/>
          <w:szCs w:val="21"/>
          <w:highlight w:val="none"/>
          <w:lang w:val="en-US" w:eastAsia="zh-CN" w:bidi="ar-SA"/>
        </w:rPr>
        <w:t>5</w:t>
      </w:r>
      <w:r>
        <w:rPr>
          <w:rFonts w:hint="default" w:ascii="宋体" w:hAnsi="宋体" w:eastAsia="宋体" w:cs="宋体"/>
          <w:color w:val="auto"/>
          <w:kern w:val="2"/>
          <w:sz w:val="21"/>
          <w:szCs w:val="21"/>
          <w:highlight w:val="none"/>
          <w:lang w:val="en-US" w:eastAsia="zh-CN" w:bidi="ar-SA"/>
        </w:rPr>
        <w:t>名厂家直属专业维修工程师，使用期内产品故障可以免费提供应急相同耗材的备用仪器使用。</w:t>
      </w:r>
    </w:p>
    <w:p>
      <w:pPr>
        <w:keepNext w:val="0"/>
        <w:keepLines w:val="0"/>
        <w:pageBreakBefore w:val="0"/>
        <w:kinsoku/>
        <w:wordWrap w:val="0"/>
        <w:overflowPunct w:val="0"/>
        <w:topLinePunct/>
        <w:autoSpaceDE/>
        <w:autoSpaceDN/>
        <w:bidi w:val="0"/>
        <w:adjustRightInd/>
        <w:snapToGrid/>
        <w:spacing w:line="360" w:lineRule="auto"/>
        <w:ind w:firstLine="420"/>
        <w:jc w:val="left"/>
        <w:textAlignment w:val="top"/>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供应商在收到故障通知后3天内没有弥补缺陷，采购人可自行采取必要的补救措施，由此产生的费用由供应商承担。</w:t>
      </w:r>
    </w:p>
    <w:p>
      <w:pPr>
        <w:pStyle w:val="26"/>
        <w:keepNext w:val="0"/>
        <w:keepLines w:val="0"/>
        <w:pageBreakBefore w:val="0"/>
        <w:widowControl w:val="0"/>
        <w:numPr>
          <w:ilvl w:val="0"/>
          <w:numId w:val="0"/>
        </w:numPr>
        <w:tabs>
          <w:tab w:val="left" w:pos="540"/>
        </w:tabs>
        <w:kinsoku/>
        <w:wordWrap/>
        <w:overflowPunct/>
        <w:topLinePunct w:val="0"/>
        <w:bidi w:val="0"/>
        <w:adjustRightInd/>
        <w:snapToGrid/>
        <w:spacing w:line="360" w:lineRule="auto"/>
        <w:textAlignment w:val="auto"/>
        <w:outlineLvl w:val="1"/>
        <w:rPr>
          <w:rFonts w:hint="eastAsia" w:ascii="黑体" w:hAnsi="黑体" w:eastAsia="黑体" w:cs="黑体"/>
          <w:b/>
          <w:bCs w:val="0"/>
          <w:color w:val="auto"/>
          <w:kern w:val="2"/>
          <w:sz w:val="21"/>
          <w:szCs w:val="21"/>
          <w:highlight w:val="none"/>
          <w:lang w:val="en-US" w:eastAsia="zh-CN" w:bidi="ar-SA"/>
        </w:rPr>
      </w:pPr>
      <w:bookmarkStart w:id="51" w:name="_Toc17184"/>
      <w:r>
        <w:rPr>
          <w:rFonts w:hint="eastAsia" w:ascii="黑体" w:hAnsi="黑体" w:eastAsia="黑体" w:cs="黑体"/>
          <w:b/>
          <w:bCs w:val="0"/>
          <w:color w:val="auto"/>
          <w:kern w:val="2"/>
          <w:sz w:val="21"/>
          <w:szCs w:val="21"/>
          <w:highlight w:val="none"/>
          <w:lang w:val="en-US" w:eastAsia="zh-CN" w:bidi="ar-SA"/>
        </w:rPr>
        <w:t>七、安装与调试</w:t>
      </w:r>
      <w:bookmarkEnd w:id="51"/>
    </w:p>
    <w:p>
      <w:pPr>
        <w:keepNext w:val="0"/>
        <w:keepLines w:val="0"/>
        <w:pageBreakBefore w:val="0"/>
        <w:widowControl w:val="0"/>
        <w:numPr>
          <w:ilvl w:val="0"/>
          <w:numId w:val="0"/>
        </w:numPr>
        <w:tabs>
          <w:tab w:val="left" w:pos="567"/>
        </w:tabs>
        <w:kinsoku/>
        <w:wordWrap/>
        <w:overflowPunct/>
        <w:topLinePunct w:val="0"/>
        <w:bidi w:val="0"/>
        <w:adjustRightInd/>
        <w:snapToGrid/>
        <w:spacing w:line="360" w:lineRule="auto"/>
        <w:ind w:left="0" w:leftChars="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1、供应商必须依照招标文件的要求和投标文件的承诺，将设备、系统安装并调试至正常运行的最佳状态。</w:t>
      </w:r>
    </w:p>
    <w:p>
      <w:pPr>
        <w:keepNext w:val="0"/>
        <w:keepLines w:val="0"/>
        <w:pageBreakBefore w:val="0"/>
        <w:widowControl w:val="0"/>
        <w:numPr>
          <w:ilvl w:val="0"/>
          <w:numId w:val="0"/>
        </w:numPr>
        <w:tabs>
          <w:tab w:val="left" w:pos="567"/>
        </w:tabs>
        <w:kinsoku/>
        <w:wordWrap/>
        <w:overflowPunct/>
        <w:topLinePunct w:val="0"/>
        <w:bidi w:val="0"/>
        <w:adjustRightInd/>
        <w:snapToGrid/>
        <w:spacing w:line="360" w:lineRule="auto"/>
        <w:ind w:left="0" w:leftChars="0" w:firstLine="420" w:firstLineChars="200"/>
        <w:textAlignment w:val="auto"/>
        <w:rPr>
          <w:rFonts w:hint="default"/>
          <w:color w:val="0000FF"/>
          <w:highlight w:val="none"/>
          <w:lang w:val="en-US" w:eastAsia="zh-CN"/>
        </w:rPr>
      </w:pPr>
      <w:r>
        <w:rPr>
          <w:rFonts w:hint="eastAsia" w:ascii="宋体" w:hAnsi="宋体" w:eastAsia="宋体" w:cs="宋体"/>
          <w:bCs/>
          <w:color w:val="auto"/>
          <w:kern w:val="2"/>
          <w:sz w:val="21"/>
          <w:szCs w:val="21"/>
          <w:highlight w:val="none"/>
          <w:lang w:val="en-US" w:eastAsia="zh-CN" w:bidi="ar-SA"/>
        </w:rPr>
        <w:t>2、合同设备安装</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2.1、供应商负责合同设备的安装，一切费用由供应商负责。</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2.2、供应商安装时须对各安装场地内的其他设备、设施有良好保护措施。</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2.3、</w:t>
      </w:r>
      <w:r>
        <w:rPr>
          <w:rFonts w:hint="eastAsia" w:ascii="宋体" w:hAnsi="宋体" w:eastAsia="宋体" w:cs="宋体"/>
          <w:bCs/>
          <w:color w:val="auto"/>
          <w:kern w:val="2"/>
          <w:sz w:val="21"/>
          <w:szCs w:val="21"/>
          <w:highlight w:val="none"/>
          <w:lang w:val="zh-TW" w:eastAsia="zh-TW" w:bidi="ar-SA"/>
        </w:rPr>
        <w:t>仪器的安装、调试：由厂家专职工程师负责，到医院现场安装、调试</w:t>
      </w:r>
      <w:r>
        <w:rPr>
          <w:rFonts w:hint="eastAsia" w:ascii="宋体" w:hAnsi="宋体" w:eastAsia="宋体" w:cs="宋体"/>
          <w:bCs/>
          <w:color w:val="auto"/>
          <w:kern w:val="2"/>
          <w:sz w:val="21"/>
          <w:szCs w:val="21"/>
          <w:highlight w:val="none"/>
          <w:lang w:val="en-US" w:eastAsia="zh-CN" w:bidi="ar-SA"/>
        </w:rPr>
        <w:t>。</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2.4、产品的出场日期到安装日不能超过</w:t>
      </w:r>
      <w:r>
        <w:rPr>
          <w:rFonts w:hint="default" w:ascii="宋体" w:hAnsi="宋体" w:eastAsia="宋体" w:cs="宋体"/>
          <w:bCs/>
          <w:color w:val="auto"/>
          <w:kern w:val="2"/>
          <w:sz w:val="21"/>
          <w:szCs w:val="21"/>
          <w:highlight w:val="none"/>
          <w:lang w:val="en-US" w:eastAsia="zh-CN" w:bidi="ar-SA"/>
        </w:rPr>
        <w:t>三</w:t>
      </w:r>
      <w:r>
        <w:rPr>
          <w:rFonts w:hint="eastAsia" w:ascii="宋体" w:hAnsi="宋体" w:eastAsia="宋体" w:cs="宋体"/>
          <w:bCs/>
          <w:color w:val="auto"/>
          <w:kern w:val="2"/>
          <w:sz w:val="21"/>
          <w:szCs w:val="21"/>
          <w:highlight w:val="none"/>
          <w:lang w:val="en-US" w:eastAsia="zh-CN" w:bidi="ar-SA"/>
        </w:rPr>
        <w:t>个月。</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2.5、</w:t>
      </w:r>
      <w:r>
        <w:rPr>
          <w:rFonts w:hint="default" w:ascii="宋体" w:hAnsi="宋体" w:eastAsia="宋体" w:cs="宋体"/>
          <w:bCs/>
          <w:color w:val="auto"/>
          <w:kern w:val="2"/>
          <w:sz w:val="21"/>
          <w:szCs w:val="21"/>
          <w:highlight w:val="none"/>
          <w:lang w:val="en-US" w:eastAsia="zh-CN" w:bidi="ar-SA"/>
        </w:rPr>
        <w:t>负责仪器与检验LIS系统的联通费用，费用包含在设备购置款内。</w:t>
      </w:r>
    </w:p>
    <w:p>
      <w:pPr>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2.6、项目如需与医院信息系统对接，有可能产生的接口费、系统改造费必须包含在投标报价中。</w:t>
      </w:r>
    </w:p>
    <w:p>
      <w:pPr>
        <w:pStyle w:val="46"/>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2.7、项目需使用到的工作电脑、打印设备必须配备，费用包含在投标报价中。</w:t>
      </w:r>
    </w:p>
    <w:p>
      <w:pPr>
        <w:pStyle w:val="13"/>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2.8、房间内走线、监控及设备安装费用需要包含，医院只提供网络到房间墙上端口。</w:t>
      </w:r>
    </w:p>
    <w:p>
      <w:pPr>
        <w:pStyle w:val="14"/>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2.9、采购项目如需医院服务器资源，必须包含在采购项目中。</w:t>
      </w:r>
    </w:p>
    <w:p>
      <w:pPr>
        <w:pStyle w:val="15"/>
        <w:keepNext w:val="0"/>
        <w:keepLines w:val="0"/>
        <w:pageBreakBefore w:val="0"/>
        <w:widowControl w:val="0"/>
        <w:numPr>
          <w:ilvl w:val="0"/>
          <w:numId w:val="0"/>
        </w:numPr>
        <w:kinsoku/>
        <w:wordWrap/>
        <w:overflowPunct/>
        <w:topLinePunct w:val="0"/>
        <w:bidi w:val="0"/>
        <w:adjustRightInd/>
        <w:snapToGrid/>
        <w:spacing w:line="360" w:lineRule="auto"/>
        <w:ind w:left="0" w:firstLine="420" w:firstLineChars="200"/>
        <w:textAlignment w:val="auto"/>
        <w:rPr>
          <w:rFonts w:hint="default" w:ascii="宋体" w:hAnsi="宋体" w:eastAsia="宋体" w:cs="宋体"/>
          <w:bCs/>
          <w:color w:val="auto"/>
          <w:kern w:val="2"/>
          <w:sz w:val="21"/>
          <w:szCs w:val="21"/>
          <w:highlight w:val="none"/>
          <w:lang w:val="en-US" w:eastAsia="zh-CN" w:bidi="ar-SA"/>
        </w:rPr>
      </w:pPr>
      <w:r>
        <w:rPr>
          <w:rFonts w:hint="default" w:ascii="宋体" w:hAnsi="宋体" w:eastAsia="宋体" w:cs="宋体"/>
          <w:bCs/>
          <w:color w:val="auto"/>
          <w:kern w:val="2"/>
          <w:sz w:val="21"/>
          <w:szCs w:val="21"/>
          <w:highlight w:val="none"/>
          <w:lang w:val="en-US" w:eastAsia="zh-CN" w:bidi="ar-SA"/>
        </w:rPr>
        <w:t>2.10、项目如需联入医院内网、或者需要以“株洲市三三一医院”名义在外网发布服务，必须提供具有相关网络安全认证的证书，或者经具有网络安全认证资质公司认证，同时必须与医院签署网络安全责任书方可入网。</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52" w:name="_Toc15039"/>
      <w:bookmarkStart w:id="53" w:name="_Toc13739"/>
      <w:r>
        <w:rPr>
          <w:rFonts w:hint="eastAsia" w:ascii="黑体" w:hAnsi="黑体" w:eastAsia="黑体" w:cs="黑体"/>
          <w:b/>
          <w:bCs/>
          <w:color w:val="auto"/>
          <w:kern w:val="44"/>
          <w:sz w:val="21"/>
          <w:szCs w:val="21"/>
          <w:highlight w:val="none"/>
          <w:lang w:val="en-US" w:eastAsia="zh-CN"/>
        </w:rPr>
        <w:t>八</w:t>
      </w:r>
      <w:r>
        <w:rPr>
          <w:rFonts w:hint="eastAsia" w:ascii="黑体" w:hAnsi="黑体" w:eastAsia="黑体" w:cs="黑体"/>
          <w:b/>
          <w:bCs/>
          <w:color w:val="auto"/>
          <w:kern w:val="44"/>
          <w:sz w:val="21"/>
          <w:szCs w:val="21"/>
          <w:highlight w:val="none"/>
        </w:rPr>
        <w:t>、培训要求</w:t>
      </w:r>
      <w:bookmarkEnd w:id="52"/>
      <w:bookmarkEnd w:id="53"/>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中标单位应对</w:t>
      </w:r>
      <w:r>
        <w:rPr>
          <w:rFonts w:hint="eastAsia" w:ascii="宋体" w:hAnsi="宋体" w:cs="宋体"/>
          <w:color w:val="auto"/>
          <w:sz w:val="21"/>
          <w:szCs w:val="21"/>
          <w:highlight w:val="none"/>
          <w:lang w:eastAsia="zh-CN"/>
        </w:rPr>
        <w:t>项目</w:t>
      </w:r>
      <w:r>
        <w:rPr>
          <w:rFonts w:hint="eastAsia" w:ascii="宋体" w:hAnsi="宋体" w:cs="宋体"/>
          <w:color w:val="auto"/>
          <w:sz w:val="21"/>
          <w:szCs w:val="21"/>
          <w:highlight w:val="none"/>
        </w:rPr>
        <w:t>的管理、维护和使用等提供相应的培训。具体培训要求包括：</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ascii="宋体" w:hAnsi="宋体" w:cs="宋体"/>
          <w:color w:val="auto"/>
          <w:sz w:val="21"/>
          <w:szCs w:val="21"/>
          <w:highlight w:val="none"/>
        </w:rPr>
      </w:pPr>
      <w:r>
        <w:rPr>
          <w:rFonts w:hint="eastAsia" w:ascii="宋体" w:hAnsi="宋体" w:cs="宋体"/>
          <w:color w:val="auto"/>
          <w:sz w:val="21"/>
          <w:szCs w:val="21"/>
          <w:highlight w:val="none"/>
        </w:rPr>
        <w:t>1、安装完成后对用户进行培训，要确保用户能熟练操作使用产品。培训所使用的语言和教材必须是中文；</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2、中标单位负责提供培训所需计划和资料（包括纸质文档和电子文档），招标人有权在系统内部使用这些培训资料。培训材料包括软件系统的功能说明书。</w:t>
      </w:r>
    </w:p>
    <w:p>
      <w:pPr>
        <w:adjustRightInd w:val="0"/>
        <w:snapToGrid w:val="0"/>
        <w:spacing w:line="440" w:lineRule="exact"/>
        <w:ind w:firstLine="420" w:firstLineChars="200"/>
        <w:rPr>
          <w:rFonts w:hint="eastAsia" w:ascii="宋体" w:hAnsi="宋体" w:cs="宋体"/>
          <w:color w:val="auto"/>
          <w:sz w:val="21"/>
          <w:szCs w:val="21"/>
          <w:highlight w:val="none"/>
          <w:lang w:val="zh-CN" w:eastAsia="zh-CN"/>
        </w:rPr>
      </w:pPr>
      <w:r>
        <w:rPr>
          <w:rFonts w:hint="eastAsia" w:ascii="宋体" w:hAnsi="宋体" w:cs="宋体"/>
          <w:color w:val="auto"/>
          <w:sz w:val="21"/>
          <w:szCs w:val="21"/>
          <w:highlight w:val="none"/>
          <w:lang w:val="zh-CN" w:eastAsia="zh-CN"/>
        </w:rPr>
        <w:t>3、投标单位必须承诺为业主方培训不少于2名技术人员（</w:t>
      </w:r>
      <w:r>
        <w:rPr>
          <w:rFonts w:hint="eastAsia" w:ascii="宋体" w:hAnsi="宋体" w:cs="宋体"/>
          <w:color w:val="auto"/>
          <w:sz w:val="21"/>
          <w:szCs w:val="21"/>
          <w:highlight w:val="none"/>
          <w:lang w:val="en-US" w:eastAsia="zh-CN"/>
        </w:rPr>
        <w:t>如业主方需要</w:t>
      </w:r>
      <w:r>
        <w:rPr>
          <w:rFonts w:hint="eastAsia" w:ascii="宋体" w:hAnsi="宋体" w:cs="宋体"/>
          <w:color w:val="auto"/>
          <w:sz w:val="21"/>
          <w:szCs w:val="21"/>
          <w:highlight w:val="none"/>
          <w:lang w:val="zh-CN" w:eastAsia="zh-CN"/>
        </w:rPr>
        <w:t>），使其能处理简单的故障及日常维护使用。</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54" w:name="_Toc11126"/>
      <w:bookmarkStart w:id="55" w:name="_Toc30378"/>
      <w:r>
        <w:rPr>
          <w:rFonts w:hint="eastAsia" w:ascii="黑体" w:hAnsi="黑体" w:eastAsia="黑体" w:cs="黑体"/>
          <w:b/>
          <w:bCs/>
          <w:color w:val="auto"/>
          <w:kern w:val="44"/>
          <w:sz w:val="21"/>
          <w:szCs w:val="21"/>
          <w:highlight w:val="none"/>
          <w:lang w:val="en-US" w:eastAsia="zh-CN"/>
        </w:rPr>
        <w:t>九</w:t>
      </w:r>
      <w:r>
        <w:rPr>
          <w:rFonts w:hint="eastAsia" w:ascii="黑体" w:hAnsi="黑体" w:eastAsia="黑体" w:cs="黑体"/>
          <w:b/>
          <w:bCs/>
          <w:color w:val="auto"/>
          <w:kern w:val="44"/>
          <w:sz w:val="21"/>
          <w:szCs w:val="21"/>
          <w:highlight w:val="none"/>
        </w:rPr>
        <w:t>、付款方式</w:t>
      </w:r>
      <w:bookmarkEnd w:id="54"/>
      <w:bookmarkEnd w:id="55"/>
      <w:r>
        <w:rPr>
          <w:rFonts w:hint="eastAsia" w:ascii="黑体" w:hAnsi="黑体" w:eastAsia="黑体" w:cs="黑体"/>
          <w:b/>
          <w:bCs/>
          <w:color w:val="auto"/>
          <w:kern w:val="44"/>
          <w:sz w:val="21"/>
          <w:szCs w:val="21"/>
          <w:highlight w:val="none"/>
        </w:rPr>
        <w:t>(具体以合同为准)</w:t>
      </w:r>
    </w:p>
    <w:p>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（1）甲方在合同生效，设备到医院安装调试、验收合格后，达到付款条件后30日内支付合同总额的90%，有特殊约定的60日内支付货款，剩余10%质保期满后支付，按合同约定执行。</w:t>
      </w:r>
    </w:p>
    <w:p>
      <w:pPr>
        <w:keepNext w:val="0"/>
        <w:keepLines w:val="0"/>
        <w:pageBreakBefore w:val="0"/>
        <w:numPr>
          <w:ilvl w:val="0"/>
          <w:numId w:val="0"/>
        </w:numPr>
        <w:kinsoku/>
        <w:wordWrap/>
        <w:overflowPunct/>
        <w:topLinePunct w:val="0"/>
        <w:autoSpaceDE/>
        <w:autoSpaceDN/>
        <w:bidi w:val="0"/>
        <w:spacing w:line="440" w:lineRule="exact"/>
        <w:ind w:firstLine="42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（2）付款凭正式税务发票，最终付款方式以签订的采购合同为准。</w:t>
      </w:r>
    </w:p>
    <w:p>
      <w:pPr>
        <w:keepNext w:val="0"/>
        <w:keepLines w:val="0"/>
        <w:pageBreakBefore w:val="0"/>
        <w:widowControl/>
        <w:kinsoku/>
        <w:autoSpaceDE/>
        <w:autoSpaceDN/>
        <w:bidi w:val="0"/>
        <w:adjustRightInd/>
        <w:snapToGrid/>
        <w:spacing w:line="360" w:lineRule="auto"/>
        <w:jc w:val="left"/>
        <w:outlineLvl w:val="0"/>
        <w:rPr>
          <w:rFonts w:ascii="黑体" w:hAnsi="黑体" w:eastAsia="黑体" w:cs="黑体"/>
          <w:b/>
          <w:bCs/>
          <w:color w:val="auto"/>
          <w:kern w:val="44"/>
          <w:sz w:val="21"/>
          <w:szCs w:val="21"/>
          <w:highlight w:val="none"/>
        </w:rPr>
      </w:pPr>
      <w:bookmarkStart w:id="56" w:name="_Toc11198"/>
      <w:bookmarkStart w:id="57" w:name="_Toc649"/>
      <w:r>
        <w:rPr>
          <w:rFonts w:hint="eastAsia" w:ascii="黑体" w:hAnsi="黑体" w:eastAsia="黑体" w:cs="黑体"/>
          <w:b/>
          <w:bCs/>
          <w:color w:val="auto"/>
          <w:kern w:val="44"/>
          <w:sz w:val="21"/>
          <w:szCs w:val="21"/>
          <w:highlight w:val="none"/>
          <w:lang w:val="en-US" w:eastAsia="zh-CN"/>
        </w:rPr>
        <w:t>十</w:t>
      </w:r>
      <w:r>
        <w:rPr>
          <w:rFonts w:hint="eastAsia" w:ascii="黑体" w:hAnsi="黑体" w:eastAsia="黑体" w:cs="黑体"/>
          <w:b/>
          <w:bCs/>
          <w:color w:val="auto"/>
          <w:kern w:val="44"/>
          <w:sz w:val="21"/>
          <w:szCs w:val="21"/>
          <w:highlight w:val="none"/>
        </w:rPr>
        <w:t>、其它事项说明</w:t>
      </w:r>
      <w:bookmarkEnd w:id="56"/>
      <w:bookmarkEnd w:id="57"/>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rPr>
        <w:t>1、投标人应给出所投标产品的详细技术数据；主要技术参数及要求，投标人必须满足或超过，并不得有弄虚作假现象，否则作无效投标处理；</w:t>
      </w:r>
    </w:p>
    <w:p>
      <w:pPr>
        <w:pStyle w:val="46"/>
        <w:ind w:left="0" w:leftChars="0" w:firstLine="420" w:firstLineChars="0"/>
        <w:rPr>
          <w:rFonts w:hint="eastAsia" w:eastAsia="宋体"/>
          <w:color w:val="auto"/>
          <w:highlight w:val="none"/>
          <w:lang w:val="en-US" w:eastAsia="zh-CN"/>
        </w:rPr>
      </w:pPr>
      <w:r>
        <w:rPr>
          <w:rFonts w:hint="eastAsia" w:ascii="宋体" w:hAnsi="宋体" w:cs="宋体"/>
          <w:color w:val="auto"/>
          <w:sz w:val="21"/>
          <w:szCs w:val="21"/>
          <w:highlight w:val="none"/>
          <w:lang w:val="en-US" w:eastAsia="zh-CN"/>
        </w:rPr>
        <w:t>2、所投产品供应商必须提供厂家的质量保证书。</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lang w:val="en-US"/>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val="en-US"/>
        </w:rPr>
        <w:t>、自成交公告发布之日起，成交供应商三个工作日之内提供厂家售后服务承诺函原件，送到采购人指定地点，三个工作日之内未能提供售后服务承诺函则视为放弃成交资格。</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、中标单位确保所供货物技术指标符合项目采购技术文件、以及国家或行业标准要求；</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本项目采用费用包干方式，投标人应根据项目要求和现场情况，详细列明项目所需的设备及材料购置，以及产品运输保险保管、项目安装、检测、通过验收、其它施工、质保期免费保修等所有人工、材料、管理、税金以及政府采购过程中的所有费用等等，如一旦中标，在项目实施中出现任何遗漏，均由中标单位免费提供，采购人不再支付任何费用；</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投标人应对项目现场和周围环境进行勘察，以便获取有关编制投标文件和签署合同所涉及现场的资料，中标单位签订项目合同和设备安装施工过程中，不得以不完全了解项目现场情况为由，提出任何形式的增加设备安装工程造价或索赔要求。投标人踏勘现场所发生的一切费用和责任概由投标人自负。采购人不接受单独或分别组织任何一个投标人进行现场踏勘；</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7、本技术规格、参数与要求中未尽事宜，在签订合同时供需双方直接协商确定；</w:t>
      </w:r>
    </w:p>
    <w:p>
      <w:pPr>
        <w:pStyle w:val="220"/>
        <w:numPr>
          <w:ilvl w:val="0"/>
          <w:numId w:val="0"/>
        </w:numPr>
        <w:spacing w:line="360" w:lineRule="auto"/>
        <w:ind w:left="0" w:leftChars="0" w:firstLine="420" w:firstLineChars="0"/>
        <w:rPr>
          <w:rFonts w:hint="eastAsia" w:eastAsia="宋体"/>
          <w:color w:val="auto"/>
          <w:highlight w:val="none"/>
          <w:lang w:val="en-US" w:eastAsia="zh-CN"/>
        </w:rPr>
      </w:pP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、所有的产品货物</w:t>
      </w:r>
      <w:r>
        <w:rPr>
          <w:rFonts w:hint="eastAsia" w:ascii="宋体" w:hAnsi="宋体" w:eastAsia="宋体" w:cs="宋体"/>
          <w:color w:val="auto"/>
          <w:highlight w:val="none"/>
          <w:lang w:val="zh-TW" w:eastAsia="zh-CN"/>
        </w:rPr>
        <w:t>有</w:t>
      </w:r>
      <w:r>
        <w:rPr>
          <w:rFonts w:ascii="宋体" w:hAnsi="宋体" w:eastAsia="宋体" w:cs="宋体"/>
          <w:color w:val="auto"/>
          <w:highlight w:val="none"/>
          <w:lang w:val="zh-TW" w:eastAsia="zh-TW"/>
        </w:rPr>
        <w:t>相应的零配件库，存入所有必须的备件，并保证</w:t>
      </w:r>
      <w:r>
        <w:rPr>
          <w:rFonts w:ascii="宋体" w:hAnsi="宋体" w:eastAsia="宋体" w:cs="宋体"/>
          <w:color w:val="auto"/>
          <w:highlight w:val="none"/>
          <w:lang w:eastAsia="zh-TW"/>
        </w:rPr>
        <w:t>10</w:t>
      </w:r>
      <w:r>
        <w:rPr>
          <w:rFonts w:ascii="宋体" w:hAnsi="宋体" w:eastAsia="宋体" w:cs="宋体"/>
          <w:color w:val="auto"/>
          <w:highlight w:val="none"/>
          <w:lang w:val="zh-TW" w:eastAsia="zh-TW"/>
        </w:rPr>
        <w:t>年以上的供应期</w:t>
      </w:r>
      <w:r>
        <w:rPr>
          <w:rFonts w:hint="eastAsia" w:ascii="宋体" w:hAnsi="宋体" w:eastAsia="宋体" w:cs="宋体"/>
          <w:color w:val="auto"/>
          <w:highlight w:val="none"/>
          <w:lang w:val="zh-TW" w:eastAsia="zh-CN"/>
        </w:rPr>
        <w:t>，</w:t>
      </w:r>
      <w:r>
        <w:rPr>
          <w:rFonts w:hint="eastAsia" w:ascii="宋体" w:hAnsi="宋体" w:eastAsia="宋体" w:cs="宋体"/>
          <w:snapToGrid w:val="0"/>
          <w:color w:val="auto"/>
          <w:kern w:val="0"/>
          <w:szCs w:val="21"/>
          <w:highlight w:val="none"/>
          <w:lang w:val="en-US" w:eastAsia="zh-CN"/>
        </w:rPr>
        <w:t>提供所有主要备品备件及零配件、</w:t>
      </w:r>
      <w:r>
        <w:rPr>
          <w:rFonts w:hint="eastAsia" w:ascii="宋体" w:hAnsi="宋体" w:eastAsia="宋体" w:cs="Times New Roman"/>
          <w:color w:val="auto"/>
          <w:kern w:val="2"/>
          <w:sz w:val="21"/>
          <w:szCs w:val="21"/>
          <w:highlight w:val="none"/>
          <w:lang w:val="en-US" w:eastAsia="zh-CN" w:bidi="ar-SA"/>
        </w:rPr>
        <w:t>易损件、耗材</w:t>
      </w:r>
      <w:r>
        <w:rPr>
          <w:rFonts w:hint="eastAsia" w:ascii="宋体" w:hAnsi="宋体" w:cs="Times New Roman"/>
          <w:color w:val="auto"/>
          <w:kern w:val="2"/>
          <w:sz w:val="21"/>
          <w:szCs w:val="21"/>
          <w:highlight w:val="none"/>
          <w:lang w:val="en-US" w:eastAsia="zh-CN" w:bidi="ar-SA"/>
        </w:rPr>
        <w:t>、试剂</w:t>
      </w:r>
      <w:r>
        <w:rPr>
          <w:rFonts w:hint="eastAsia" w:ascii="宋体" w:hAnsi="宋体" w:eastAsia="宋体" w:cs="宋体"/>
          <w:snapToGrid w:val="0"/>
          <w:color w:val="auto"/>
          <w:kern w:val="0"/>
          <w:szCs w:val="21"/>
          <w:highlight w:val="none"/>
          <w:lang w:val="en-US" w:eastAsia="zh-CN"/>
        </w:rPr>
        <w:t>报价清单,并承诺质保期满后按此清单报价收取费</w:t>
      </w:r>
      <w:r>
        <w:rPr>
          <w:rFonts w:hint="eastAsia" w:ascii="宋体" w:hAnsi="宋体" w:cs="宋体"/>
          <w:snapToGrid w:val="0"/>
          <w:color w:val="auto"/>
          <w:kern w:val="0"/>
          <w:szCs w:val="21"/>
          <w:highlight w:val="none"/>
          <w:lang w:val="en-US" w:eastAsia="zh-CN"/>
        </w:rPr>
        <w:t>用</w:t>
      </w:r>
      <w:r>
        <w:rPr>
          <w:rFonts w:hint="eastAsia" w:ascii="宋体" w:hAnsi="宋体" w:eastAsia="宋体" w:cs="宋体"/>
          <w:snapToGrid w:val="0"/>
          <w:color w:val="auto"/>
          <w:kern w:val="0"/>
          <w:szCs w:val="21"/>
          <w:highlight w:val="none"/>
          <w:lang w:val="en-US" w:eastAsia="zh-CN"/>
        </w:rPr>
        <w:t>。</w:t>
      </w:r>
    </w:p>
    <w:p>
      <w:pPr>
        <w:keepNext w:val="0"/>
        <w:keepLines w:val="0"/>
        <w:pageBreakBefore w:val="0"/>
        <w:kinsoku/>
        <w:wordWrap w:val="0"/>
        <w:overflowPunct w:val="0"/>
        <w:topLinePunct/>
        <w:autoSpaceDE/>
        <w:autoSpaceDN/>
        <w:bidi w:val="0"/>
        <w:adjustRightInd/>
        <w:snapToGrid/>
        <w:spacing w:line="360" w:lineRule="auto"/>
        <w:ind w:firstLine="420" w:firstLineChars="200"/>
        <w:jc w:val="left"/>
        <w:textAlignment w:val="top"/>
        <w:rPr>
          <w:rFonts w:hint="eastAsia" w:ascii="宋体" w:hAnsi="宋体" w:cs="宋体"/>
          <w:b/>
          <w:bCs/>
          <w:snapToGrid w:val="0"/>
          <w:color w:val="auto"/>
          <w:sz w:val="21"/>
          <w:szCs w:val="21"/>
          <w:highlight w:val="none"/>
          <w:lang w:val="en-US" w:eastAsia="zh-CN"/>
        </w:rPr>
      </w:pPr>
      <w:r>
        <w:rPr>
          <w:rFonts w:hint="eastAsia" w:ascii="宋体" w:hAnsi="宋体" w:cs="宋体"/>
          <w:color w:val="auto"/>
          <w:sz w:val="21"/>
          <w:szCs w:val="21"/>
          <w:highlight w:val="none"/>
          <w:lang w:val="en-US" w:eastAsia="zh-CN"/>
        </w:rPr>
        <w:t>9、对于上述项目要求，投标人应在投标文件中进行回应，作出承诺及说明</w:t>
      </w:r>
      <w:r>
        <w:rPr>
          <w:rFonts w:hint="eastAsia" w:ascii="宋体" w:hAnsi="宋体" w:eastAsia="宋体" w:cs="宋体"/>
          <w:color w:val="auto"/>
          <w:sz w:val="21"/>
          <w:szCs w:val="21"/>
          <w:highlight w:val="none"/>
          <w:lang w:eastAsia="zh-CN"/>
        </w:rPr>
        <w:t>，</w:t>
      </w:r>
      <w:r>
        <w:rPr>
          <w:rFonts w:hint="eastAsia" w:ascii="宋体" w:hAnsi="宋体" w:eastAsia="宋体" w:cs="宋体"/>
          <w:b/>
          <w:bCs/>
          <w:snapToGrid w:val="0"/>
          <w:color w:val="auto"/>
          <w:sz w:val="21"/>
          <w:szCs w:val="21"/>
          <w:highlight w:val="none"/>
        </w:rPr>
        <w:t>并不得有弄虚作假现象，否则作无效投标处理</w:t>
      </w:r>
      <w:r>
        <w:rPr>
          <w:rFonts w:hint="eastAsia" w:ascii="宋体" w:hAnsi="宋体" w:cs="宋体"/>
          <w:b/>
          <w:bCs/>
          <w:snapToGrid w:val="0"/>
          <w:color w:val="auto"/>
          <w:sz w:val="21"/>
          <w:szCs w:val="21"/>
          <w:highlight w:val="none"/>
          <w:lang w:eastAsia="zh-CN"/>
        </w:rPr>
        <w:t>，</w:t>
      </w:r>
      <w:r>
        <w:rPr>
          <w:rFonts w:hint="eastAsia" w:ascii="宋体" w:hAnsi="宋体" w:cs="宋体"/>
          <w:b/>
          <w:bCs/>
          <w:snapToGrid w:val="0"/>
          <w:color w:val="auto"/>
          <w:sz w:val="21"/>
          <w:szCs w:val="21"/>
          <w:highlight w:val="none"/>
          <w:lang w:val="en-US" w:eastAsia="zh-CN"/>
        </w:rPr>
        <w:t>谈判文件中有一条不满足视为无效投标处理。</w:t>
      </w:r>
    </w:p>
    <w:p>
      <w:pPr>
        <w:pStyle w:val="46"/>
        <w:ind w:left="0" w:leftChars="0" w:firstLine="420" w:firstLineChars="0"/>
        <w:rPr>
          <w:rFonts w:hint="default"/>
          <w:color w:val="auto"/>
          <w:highlight w:val="none"/>
          <w:lang w:val="en-US" w:eastAsia="zh-CN"/>
        </w:rPr>
      </w:pPr>
      <w:r>
        <w:rPr>
          <w:rFonts w:hint="eastAsia" w:ascii="宋体" w:hAnsi="宋体" w:cs="宋体"/>
          <w:b/>
          <w:bCs/>
          <w:snapToGrid w:val="0"/>
          <w:color w:val="auto"/>
          <w:sz w:val="21"/>
          <w:szCs w:val="21"/>
          <w:highlight w:val="none"/>
          <w:lang w:val="en-US" w:eastAsia="zh-CN"/>
        </w:rPr>
        <w:t>10、其他未尽事宜，以合同约定为准。</w:t>
      </w:r>
    </w:p>
    <w:p>
      <w:pPr>
        <w:keepNext w:val="0"/>
        <w:keepLines w:val="0"/>
        <w:pageBreakBefore w:val="0"/>
        <w:numPr>
          <w:ilvl w:val="0"/>
          <w:numId w:val="2"/>
        </w:numPr>
        <w:kinsoku/>
        <w:bidi w:val="0"/>
        <w:adjustRightInd/>
        <w:snapToGrid/>
        <w:spacing w:line="360" w:lineRule="auto"/>
        <w:rPr>
          <w:color w:val="auto"/>
          <w:highlight w:val="none"/>
        </w:rPr>
      </w:pPr>
      <w:r>
        <w:rPr>
          <w:color w:val="auto"/>
          <w:highlight w:val="none"/>
        </w:rPr>
        <w:br w:type="page"/>
      </w:r>
    </w:p>
    <w:p>
      <w:pPr>
        <w:rPr>
          <w:color w:val="auto"/>
          <w:highlight w:val="none"/>
        </w:rPr>
      </w:pPr>
    </w:p>
    <w:p>
      <w:pPr>
        <w:pStyle w:val="3"/>
        <w:adjustRightInd w:val="0"/>
        <w:snapToGrid w:val="0"/>
        <w:spacing w:before="156" w:beforeLines="50" w:line="360" w:lineRule="auto"/>
        <w:rPr>
          <w:rFonts w:hint="default" w:ascii="黑体" w:hAnsi="黑体" w:eastAsia="黑体"/>
          <w:color w:val="auto"/>
          <w:sz w:val="32"/>
          <w:szCs w:val="32"/>
          <w:highlight w:val="none"/>
          <w:lang w:val="en-US" w:eastAsia="zh-CN"/>
        </w:rPr>
      </w:pPr>
      <w:bookmarkStart w:id="58" w:name="_Toc21438"/>
      <w:r>
        <w:rPr>
          <w:rFonts w:hint="eastAsia" w:ascii="黑体" w:hAnsi="黑体" w:eastAsia="黑体"/>
          <w:color w:val="auto"/>
          <w:sz w:val="32"/>
          <w:szCs w:val="32"/>
          <w:highlight w:val="none"/>
        </w:rPr>
        <w:t>第四章 合同草案条款</w:t>
      </w:r>
      <w:r>
        <w:rPr>
          <w:rFonts w:hint="eastAsia" w:ascii="黑体" w:hAnsi="黑体" w:eastAsia="黑体"/>
          <w:color w:val="auto"/>
          <w:sz w:val="32"/>
          <w:szCs w:val="32"/>
          <w:highlight w:val="none"/>
          <w:lang w:eastAsia="zh-CN"/>
        </w:rPr>
        <w:t>（</w:t>
      </w:r>
      <w:r>
        <w:rPr>
          <w:rFonts w:hint="eastAsia" w:ascii="黑体" w:hAnsi="黑体" w:eastAsia="黑体"/>
          <w:color w:val="auto"/>
          <w:sz w:val="32"/>
          <w:szCs w:val="32"/>
          <w:highlight w:val="none"/>
          <w:lang w:val="en-US" w:eastAsia="zh-CN"/>
        </w:rPr>
        <w:t>格式）</w:t>
      </w:r>
      <w:bookmarkEnd w:id="58"/>
    </w:p>
    <w:p>
      <w:pPr>
        <w:pStyle w:val="4"/>
        <w:pageBreakBefore w:val="0"/>
        <w:widowControl w:val="0"/>
        <w:kinsoku/>
        <w:wordWrap/>
        <w:overflowPunct/>
        <w:topLinePunct w:val="0"/>
        <w:autoSpaceDE/>
        <w:autoSpaceDN/>
        <w:bidi w:val="0"/>
        <w:adjustRightInd/>
        <w:snapToGrid/>
        <w:jc w:val="center"/>
        <w:textAlignment w:val="auto"/>
        <w:rPr>
          <w:rFonts w:ascii="黑体" w:hAnsi="华文中宋" w:eastAsia="黑体"/>
          <w:color w:val="auto"/>
          <w:sz w:val="28"/>
          <w:szCs w:val="28"/>
          <w:highlight w:val="none"/>
        </w:rPr>
      </w:pPr>
      <w:bookmarkStart w:id="59" w:name="_Toc22201110"/>
      <w:bookmarkStart w:id="60" w:name="_Toc20630"/>
      <w:bookmarkStart w:id="61" w:name="_Toc8185"/>
      <w:bookmarkStart w:id="62" w:name="_Toc19628646"/>
      <w:r>
        <w:rPr>
          <w:rFonts w:hint="eastAsia" w:ascii="黑体" w:hAnsi="华文中宋" w:eastAsia="黑体"/>
          <w:color w:val="auto"/>
          <w:sz w:val="28"/>
          <w:szCs w:val="28"/>
          <w:highlight w:val="none"/>
        </w:rPr>
        <w:t>第一节 合同协议书</w:t>
      </w:r>
      <w:bookmarkEnd w:id="59"/>
      <w:bookmarkEnd w:id="60"/>
      <w:bookmarkEnd w:id="61"/>
    </w:p>
    <w:p>
      <w:pPr>
        <w:pageBreakBefore w:val="0"/>
        <w:widowControl w:val="0"/>
        <w:kinsoku/>
        <w:wordWrap/>
        <w:overflowPunct/>
        <w:topLinePunct w:val="0"/>
        <w:autoSpaceDE/>
        <w:autoSpaceDN/>
        <w:bidi w:val="0"/>
        <w:adjustRightInd/>
        <w:snapToGrid/>
        <w:spacing w:line="360" w:lineRule="auto"/>
        <w:ind w:firstLine="5460" w:firstLineChars="2600"/>
        <w:textAlignment w:val="auto"/>
        <w:rPr>
          <w:rFonts w:ascii="宋体" w:hAnsi="宋体"/>
          <w:b/>
          <w:color w:val="auto"/>
          <w:szCs w:val="21"/>
          <w:highlight w:val="none"/>
        </w:rPr>
      </w:pPr>
      <w:r>
        <w:rPr>
          <w:rFonts w:hint="eastAsia" w:ascii="宋体" w:hAnsi="宋体"/>
          <w:color w:val="auto"/>
          <w:szCs w:val="21"/>
          <w:highlight w:val="none"/>
        </w:rPr>
        <w:t>采购合同编号：</w:t>
      </w:r>
    </w:p>
    <w:p>
      <w:pPr>
        <w:pageBreakBefore w:val="0"/>
        <w:widowControl w:val="0"/>
        <w:kinsoku/>
        <w:wordWrap/>
        <w:overflowPunct/>
        <w:topLinePunct w:val="0"/>
        <w:autoSpaceDE/>
        <w:autoSpaceDN/>
        <w:bidi w:val="0"/>
        <w:adjustRightInd/>
        <w:snapToGrid/>
        <w:spacing w:line="360" w:lineRule="auto"/>
        <w:jc w:val="center"/>
        <w:textAlignment w:val="auto"/>
        <w:rPr>
          <w:rFonts w:ascii="宋体" w:hAnsi="宋体"/>
          <w:b/>
          <w:color w:val="auto"/>
          <w:szCs w:val="21"/>
          <w:highlight w:val="none"/>
        </w:rPr>
      </w:pP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采购人（全称）：（甲方）</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供应商（全称）：（乙方）</w:t>
      </w:r>
    </w:p>
    <w:p>
      <w:pPr>
        <w:pStyle w:val="21"/>
        <w:pageBreakBefore w:val="0"/>
        <w:widowControl w:val="0"/>
        <w:kinsoku/>
        <w:wordWrap/>
        <w:overflowPunct/>
        <w:topLinePunct w:val="0"/>
        <w:autoSpaceDE/>
        <w:autoSpaceDN/>
        <w:bidi w:val="0"/>
        <w:adjustRightInd/>
        <w:snapToGrid/>
        <w:spacing w:after="0" w:line="360" w:lineRule="auto"/>
        <w:ind w:left="0" w:leftChars="0"/>
        <w:textAlignment w:val="auto"/>
        <w:rPr>
          <w:rFonts w:ascii="宋体" w:hAnsi="宋体"/>
          <w:color w:val="auto"/>
          <w:szCs w:val="21"/>
          <w:highlight w:val="none"/>
        </w:rPr>
      </w:pPr>
    </w:p>
    <w:p>
      <w:pPr>
        <w:pStyle w:val="21"/>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ascii="宋体" w:hAnsi="宋体"/>
          <w:color w:val="auto"/>
          <w:szCs w:val="21"/>
          <w:highlight w:val="none"/>
        </w:rPr>
      </w:pPr>
      <w:r>
        <w:rPr>
          <w:rFonts w:hint="eastAsia" w:ascii="宋体" w:hAnsi="宋体"/>
          <w:color w:val="auto"/>
          <w:szCs w:val="21"/>
          <w:highlight w:val="none"/>
        </w:rPr>
        <w:t>为了保护甲、乙双方合法权益，根据《中华人民共和国</w:t>
      </w:r>
      <w:r>
        <w:rPr>
          <w:rFonts w:hint="eastAsia" w:ascii="宋体" w:hAnsi="宋体"/>
          <w:color w:val="auto"/>
          <w:szCs w:val="21"/>
          <w:highlight w:val="none"/>
          <w:lang w:val="en-US" w:eastAsia="zh-CN"/>
        </w:rPr>
        <w:t>民法典</w:t>
      </w:r>
      <w:r>
        <w:rPr>
          <w:rFonts w:hint="eastAsia" w:ascii="宋体" w:hAnsi="宋体"/>
          <w:color w:val="auto"/>
          <w:szCs w:val="21"/>
          <w:highlight w:val="none"/>
        </w:rPr>
        <w:t>》、《中华人民共和国政府采购法》及其他有关法律、法规、规章，双方签订本合同协议书。</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rPr>
      </w:pPr>
      <w:bookmarkStart w:id="63" w:name="_Toc16470"/>
      <w:bookmarkStart w:id="64" w:name="_Toc5982"/>
      <w:r>
        <w:rPr>
          <w:rFonts w:hint="eastAsia" w:ascii="黑体" w:hAnsi="黑体" w:eastAsia="黑体"/>
          <w:color w:val="auto"/>
          <w:sz w:val="24"/>
          <w:szCs w:val="24"/>
          <w:highlight w:val="none"/>
        </w:rPr>
        <w:t>1.项目信息</w:t>
      </w:r>
      <w:bookmarkEnd w:id="63"/>
      <w:bookmarkEnd w:id="64"/>
    </w:p>
    <w:p>
      <w:pPr>
        <w:pStyle w:val="21"/>
        <w:pageBreakBefore w:val="0"/>
        <w:widowControl w:val="0"/>
        <w:kinsoku/>
        <w:wordWrap/>
        <w:overflowPunct/>
        <w:topLinePunct w:val="0"/>
        <w:autoSpaceDE/>
        <w:autoSpaceDN/>
        <w:bidi w:val="0"/>
        <w:adjustRightInd/>
        <w:snapToGrid/>
        <w:spacing w:after="0" w:line="360" w:lineRule="auto"/>
        <w:ind w:left="0" w:leftChars="0"/>
        <w:textAlignment w:val="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（1）采购项目名称：</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lang w:val="en-US" w:eastAsia="zh-CN"/>
        </w:rPr>
        <w:t xml:space="preserve">                             </w:t>
      </w:r>
    </w:p>
    <w:p>
      <w:pPr>
        <w:pStyle w:val="21"/>
        <w:pageBreakBefore w:val="0"/>
        <w:widowControl w:val="0"/>
        <w:kinsoku/>
        <w:wordWrap/>
        <w:overflowPunct/>
        <w:topLinePunct w:val="0"/>
        <w:autoSpaceDE/>
        <w:autoSpaceDN/>
        <w:bidi w:val="0"/>
        <w:adjustRightInd/>
        <w:snapToGrid/>
        <w:spacing w:after="0" w:line="360" w:lineRule="auto"/>
        <w:ind w:left="0" w:leftChars="0"/>
        <w:textAlignment w:val="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（2）采购计划编号：</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lang w:val="en-US" w:eastAsia="zh-CN"/>
        </w:rPr>
        <w:t xml:space="preserve">                             </w:t>
      </w:r>
    </w:p>
    <w:p>
      <w:pPr>
        <w:pStyle w:val="21"/>
        <w:pageBreakBefore w:val="0"/>
        <w:widowControl w:val="0"/>
        <w:kinsoku/>
        <w:wordWrap/>
        <w:overflowPunct/>
        <w:topLinePunct w:val="0"/>
        <w:autoSpaceDE/>
        <w:autoSpaceDN/>
        <w:bidi w:val="0"/>
        <w:adjustRightInd/>
        <w:snapToGrid/>
        <w:spacing w:after="0" w:line="360" w:lineRule="auto"/>
        <w:ind w:left="0" w:leftChars="0"/>
        <w:textAlignment w:val="auto"/>
        <w:rPr>
          <w:rFonts w:ascii="宋体" w:hAnsi="宋体"/>
          <w:color w:val="auto"/>
          <w:szCs w:val="21"/>
          <w:highlight w:val="none"/>
        </w:rPr>
      </w:pPr>
      <w:r>
        <w:rPr>
          <w:rFonts w:hint="eastAsia" w:ascii="宋体" w:hAnsi="宋体"/>
          <w:color w:val="auto"/>
          <w:szCs w:val="21"/>
          <w:highlight w:val="none"/>
        </w:rPr>
        <w:t>（3）项</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目</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内</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容：</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lang w:val="en-US" w:eastAsia="zh-CN"/>
        </w:rPr>
        <w:t xml:space="preserve">                              </w:t>
      </w:r>
    </w:p>
    <w:p>
      <w:pPr>
        <w:pStyle w:val="21"/>
        <w:pageBreakBefore w:val="0"/>
        <w:widowControl w:val="0"/>
        <w:kinsoku/>
        <w:wordWrap/>
        <w:overflowPunct/>
        <w:topLinePunct w:val="0"/>
        <w:autoSpaceDE/>
        <w:autoSpaceDN/>
        <w:bidi w:val="0"/>
        <w:adjustRightInd/>
        <w:snapToGrid/>
        <w:spacing w:after="0" w:line="360" w:lineRule="auto"/>
        <w:ind w:left="0" w:leftChars="0"/>
        <w:textAlignment w:val="auto"/>
        <w:rPr>
          <w:rFonts w:ascii="宋体" w:hAnsi="宋体"/>
          <w:color w:val="auto"/>
          <w:szCs w:val="21"/>
          <w:highlight w:val="none"/>
        </w:rPr>
      </w:pPr>
      <w:r>
        <w:rPr>
          <w:rFonts w:hint="eastAsia" w:ascii="宋体" w:hAnsi="宋体"/>
          <w:color w:val="auto"/>
          <w:szCs w:val="21"/>
          <w:highlight w:val="none"/>
        </w:rPr>
        <w:t>（4）项目负责人：</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rPr>
      </w:pPr>
      <w:bookmarkStart w:id="65" w:name="_Toc20082"/>
      <w:bookmarkStart w:id="66" w:name="_Toc13492"/>
      <w:r>
        <w:rPr>
          <w:rFonts w:hint="eastAsia" w:ascii="黑体" w:hAnsi="黑体" w:eastAsia="黑体"/>
          <w:color w:val="auto"/>
          <w:sz w:val="24"/>
          <w:szCs w:val="24"/>
          <w:highlight w:val="none"/>
        </w:rPr>
        <w:t>2.合同金额</w:t>
      </w:r>
      <w:bookmarkEnd w:id="65"/>
      <w:bookmarkEnd w:id="66"/>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lang w:val="en-US" w:eastAsia="zh-CN"/>
        </w:rPr>
        <w:t xml:space="preserve">                                </w:t>
      </w:r>
    </w:p>
    <w:p>
      <w:pPr>
        <w:pageBreakBefore w:val="0"/>
        <w:widowControl w:val="0"/>
        <w:kinsoku/>
        <w:wordWrap/>
        <w:overflowPunct/>
        <w:topLinePunct w:val="0"/>
        <w:autoSpaceDE/>
        <w:autoSpaceDN/>
        <w:bidi w:val="0"/>
        <w:adjustRightInd/>
        <w:snapToGrid/>
        <w:spacing w:line="360" w:lineRule="auto"/>
        <w:ind w:firstLine="1260" w:firstLineChars="600"/>
        <w:textAlignment w:val="auto"/>
        <w:rPr>
          <w:rFonts w:ascii="宋体" w:hAnsi="宋体"/>
          <w:b/>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lang w:val="en-US" w:eastAsia="zh-CN"/>
        </w:rPr>
        <w:t xml:space="preserve">                                </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（2）具体标的见附件。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（3）合同价格形式：</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 xml:space="preserve"> 。</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u w:val="single"/>
        </w:rPr>
      </w:pPr>
      <w:bookmarkStart w:id="67" w:name="_Toc13777"/>
      <w:bookmarkStart w:id="68" w:name="_Toc7029"/>
      <w:r>
        <w:rPr>
          <w:rFonts w:hint="eastAsia" w:ascii="黑体" w:hAnsi="黑体" w:eastAsia="黑体"/>
          <w:color w:val="auto"/>
          <w:sz w:val="24"/>
          <w:szCs w:val="24"/>
          <w:highlight w:val="none"/>
        </w:rPr>
        <w:t>3.履行合同的时间、地点及方式</w:t>
      </w:r>
      <w:bookmarkEnd w:id="67"/>
      <w:bookmarkEnd w:id="68"/>
    </w:p>
    <w:p>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color w:val="auto"/>
          <w:szCs w:val="21"/>
          <w:highlight w:val="none"/>
        </w:rPr>
      </w:pPr>
      <w:r>
        <w:rPr>
          <w:rFonts w:hint="eastAsia" w:ascii="宋体" w:hAnsi="宋体"/>
          <w:color w:val="auto"/>
          <w:szCs w:val="21"/>
          <w:highlight w:val="none"/>
        </w:rPr>
        <w:t>起始日期：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日，完成日期：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日。总日历天数：</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天。</w:t>
      </w:r>
    </w:p>
    <w:p>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color w:val="auto"/>
          <w:szCs w:val="21"/>
          <w:highlight w:val="none"/>
          <w:u w:val="single"/>
        </w:rPr>
      </w:pPr>
      <w:r>
        <w:rPr>
          <w:rFonts w:hint="eastAsia" w:ascii="宋体" w:hAnsi="宋体"/>
          <w:color w:val="auto"/>
          <w:szCs w:val="21"/>
          <w:highlight w:val="none"/>
        </w:rPr>
        <w:t>地点</w:t>
      </w:r>
      <w:r>
        <w:rPr>
          <w:rFonts w:hint="eastAsia" w:ascii="宋体" w:hAnsi="宋体"/>
          <w:b/>
          <w:color w:val="auto"/>
          <w:szCs w:val="21"/>
          <w:highlight w:val="none"/>
        </w:rPr>
        <w:t>：</w:t>
      </w:r>
      <w:r>
        <w:rPr>
          <w:rFonts w:hint="eastAsia" w:ascii="宋体" w:hAnsi="宋体"/>
          <w:color w:val="auto"/>
          <w:szCs w:val="21"/>
          <w:highlight w:val="none"/>
          <w:u w:val="single"/>
          <w:lang w:val="en-US" w:eastAsia="zh-CN"/>
        </w:rPr>
        <w:t xml:space="preserve">                                </w:t>
      </w:r>
    </w:p>
    <w:p>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color w:val="auto"/>
          <w:szCs w:val="21"/>
          <w:highlight w:val="none"/>
        </w:rPr>
      </w:pPr>
      <w:r>
        <w:rPr>
          <w:rFonts w:hint="eastAsia" w:ascii="宋体" w:hAnsi="宋体"/>
          <w:color w:val="auto"/>
          <w:szCs w:val="21"/>
          <w:highlight w:val="none"/>
        </w:rPr>
        <w:t>方式：</w:t>
      </w:r>
      <w:r>
        <w:rPr>
          <w:rFonts w:hint="eastAsia" w:ascii="宋体" w:hAnsi="宋体"/>
          <w:color w:val="auto"/>
          <w:szCs w:val="21"/>
          <w:highlight w:val="none"/>
          <w:u w:val="single"/>
          <w:lang w:val="en-US" w:eastAsia="zh-CN"/>
        </w:rPr>
        <w:t xml:space="preserve">                                </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rPr>
      </w:pPr>
      <w:bookmarkStart w:id="69" w:name="_Toc15369"/>
      <w:bookmarkStart w:id="70" w:name="_Toc24596"/>
      <w:r>
        <w:rPr>
          <w:rFonts w:hint="eastAsia" w:ascii="黑体" w:hAnsi="黑体" w:eastAsia="黑体"/>
          <w:color w:val="auto"/>
          <w:sz w:val="24"/>
          <w:szCs w:val="24"/>
          <w:highlight w:val="none"/>
        </w:rPr>
        <w:t>4.付款</w:t>
      </w:r>
      <w:bookmarkEnd w:id="69"/>
      <w:bookmarkEnd w:id="70"/>
    </w:p>
    <w:p>
      <w:pPr>
        <w:pageBreakBefore w:val="0"/>
        <w:widowControl w:val="0"/>
        <w:kinsoku/>
        <w:wordWrap/>
        <w:overflowPunct/>
        <w:topLinePunct w:val="0"/>
        <w:autoSpaceDE/>
        <w:autoSpaceDN/>
        <w:bidi w:val="0"/>
        <w:adjustRightInd/>
        <w:snapToGrid/>
        <w:spacing w:line="360" w:lineRule="auto"/>
        <w:ind w:firstLine="630" w:firstLineChars="300"/>
        <w:textAlignment w:val="auto"/>
        <w:rPr>
          <w:rFonts w:ascii="宋体" w:hAnsi="宋体"/>
          <w:bCs/>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 xml:space="preserve">。  </w:t>
      </w:r>
    </w:p>
    <w:p>
      <w:pPr>
        <w:pageBreakBefore w:val="0"/>
        <w:widowControl w:val="0"/>
        <w:kinsoku/>
        <w:wordWrap/>
        <w:overflowPunct/>
        <w:topLinePunct w:val="0"/>
        <w:autoSpaceDE/>
        <w:autoSpaceDN/>
        <w:bidi w:val="0"/>
        <w:adjustRightInd/>
        <w:snapToGrid/>
        <w:spacing w:line="360" w:lineRule="auto"/>
        <w:ind w:firstLine="630" w:firstLineChars="300"/>
        <w:textAlignment w:val="auto"/>
        <w:rPr>
          <w:rFonts w:hint="default" w:ascii="宋体" w:hAnsi="宋体"/>
          <w:color w:val="auto"/>
          <w:szCs w:val="21"/>
          <w:highlight w:val="none"/>
          <w:u w:val="single"/>
          <w:lang w:val="en-US" w:eastAsia="zh-CN"/>
        </w:rPr>
      </w:pPr>
      <w:r>
        <w:rPr>
          <w:rFonts w:hint="eastAsia" w:ascii="宋体" w:hAnsi="宋体"/>
          <w:bCs/>
          <w:color w:val="auto"/>
          <w:szCs w:val="21"/>
          <w:highlight w:val="none"/>
        </w:rPr>
        <w:t>2、</w:t>
      </w:r>
      <w:bookmarkStart w:id="71" w:name="_Toc3559"/>
      <w:r>
        <w:rPr>
          <w:rFonts w:hint="eastAsia" w:ascii="宋体" w:hAnsi="宋体"/>
          <w:color w:val="auto"/>
          <w:szCs w:val="21"/>
          <w:highlight w:val="none"/>
          <w:u w:val="single"/>
          <w:lang w:val="en-US" w:eastAsia="zh-CN"/>
        </w:rPr>
        <w:t>.....................................................</w:t>
      </w:r>
    </w:p>
    <w:p>
      <w:pPr>
        <w:pageBreakBefore w:val="0"/>
        <w:widowControl w:val="0"/>
        <w:kinsoku/>
        <w:wordWrap/>
        <w:overflowPunct/>
        <w:topLinePunct w:val="0"/>
        <w:autoSpaceDE/>
        <w:autoSpaceDN/>
        <w:bidi w:val="0"/>
        <w:adjustRightInd/>
        <w:snapToGrid/>
        <w:spacing w:line="360" w:lineRule="auto"/>
        <w:ind w:firstLine="720" w:firstLineChars="300"/>
        <w:textAlignment w:val="auto"/>
        <w:rPr>
          <w:rFonts w:ascii="黑体" w:hAnsi="黑体" w:eastAsia="黑体"/>
          <w:color w:val="auto"/>
          <w:sz w:val="24"/>
          <w:szCs w:val="24"/>
          <w:highlight w:val="none"/>
        </w:rPr>
      </w:pPr>
      <w:r>
        <w:rPr>
          <w:rFonts w:hint="eastAsia" w:ascii="黑体" w:hAnsi="黑体" w:eastAsia="黑体"/>
          <w:color w:val="auto"/>
          <w:sz w:val="24"/>
          <w:szCs w:val="24"/>
          <w:highlight w:val="none"/>
        </w:rPr>
        <w:t>5.解决合同纠纷方式</w:t>
      </w:r>
      <w:bookmarkEnd w:id="71"/>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首先通过双方协商解决，协商解决不成，则通过以下途径之一解决纠纷：</w:t>
      </w:r>
    </w:p>
    <w:p>
      <w:pPr>
        <w:pageBreakBefore w:val="0"/>
        <w:widowControl w:val="0"/>
        <w:kinsoku/>
        <w:wordWrap/>
        <w:overflowPunct/>
        <w:topLinePunct w:val="0"/>
        <w:autoSpaceDE/>
        <w:autoSpaceDN/>
        <w:bidi w:val="0"/>
        <w:adjustRightInd/>
        <w:snapToGrid/>
        <w:spacing w:line="360" w:lineRule="auto"/>
        <w:ind w:firstLine="840" w:firstLineChars="400"/>
        <w:textAlignment w:val="auto"/>
        <w:rPr>
          <w:rFonts w:ascii="宋体" w:hAnsi="宋体"/>
          <w:color w:val="auto"/>
          <w:szCs w:val="21"/>
          <w:highlight w:val="none"/>
        </w:rPr>
      </w:pPr>
      <w:r>
        <w:rPr>
          <w:rFonts w:hint="eastAsia" w:ascii="宋体" w:hAnsi="宋体"/>
          <w:color w:val="auto"/>
          <w:szCs w:val="21"/>
          <w:highlight w:val="none"/>
        </w:rPr>
        <w:t xml:space="preserve">□ 提请仲裁       </w:t>
      </w:r>
      <w:r>
        <w:rPr>
          <w:rFonts w:hint="eastAsia" w:ascii="宋体" w:hAnsi="宋体"/>
          <w:color w:val="auto"/>
          <w:szCs w:val="21"/>
          <w:highlight w:val="none"/>
          <w:lang w:eastAsia="zh-CN"/>
        </w:rPr>
        <w:t>☑</w:t>
      </w:r>
      <w:r>
        <w:rPr>
          <w:rFonts w:hint="eastAsia" w:ascii="宋体" w:hAnsi="宋体"/>
          <w:color w:val="auto"/>
          <w:szCs w:val="21"/>
          <w:highlight w:val="none"/>
        </w:rPr>
        <w:t xml:space="preserve"> 向人民法院提起诉讼</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rPr>
      </w:pPr>
      <w:bookmarkStart w:id="72" w:name="_Toc6709"/>
      <w:bookmarkStart w:id="73" w:name="_Toc10030"/>
      <w:r>
        <w:rPr>
          <w:rFonts w:hint="eastAsia" w:ascii="黑体" w:hAnsi="黑体" w:eastAsia="黑体"/>
          <w:color w:val="auto"/>
          <w:sz w:val="24"/>
          <w:szCs w:val="24"/>
          <w:highlight w:val="none"/>
        </w:rPr>
        <w:t>6.组成合同的文件</w:t>
      </w:r>
      <w:bookmarkEnd w:id="72"/>
      <w:bookmarkEnd w:id="73"/>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（1）在采购或合同履行过程中乙方作出的承诺以及双方协商达成的变更或补充协议</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（2）本合同协议书</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（3）成交通知书</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（4）响应文件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（5）政府采购合同</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（6）谈判文件</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（7）标准、规范及有关技术文件，图纸。</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（8）其他合同文件。</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rPr>
      </w:pPr>
      <w:bookmarkStart w:id="74" w:name="_Toc14688"/>
      <w:bookmarkStart w:id="75" w:name="_Toc29447"/>
      <w:r>
        <w:rPr>
          <w:rFonts w:hint="eastAsia" w:ascii="黑体" w:hAnsi="黑体" w:eastAsia="黑体"/>
          <w:color w:val="auto"/>
          <w:sz w:val="24"/>
          <w:szCs w:val="24"/>
          <w:highlight w:val="none"/>
        </w:rPr>
        <w:t>7.合同生效</w:t>
      </w:r>
      <w:bookmarkEnd w:id="74"/>
      <w:bookmarkEnd w:id="75"/>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本合同自生效。</w:t>
      </w:r>
    </w:p>
    <w:p>
      <w:pPr>
        <w:pStyle w:val="5"/>
        <w:pageBreakBefore w:val="0"/>
        <w:widowControl w:val="0"/>
        <w:kinsoku/>
        <w:wordWrap/>
        <w:overflowPunct/>
        <w:topLinePunct w:val="0"/>
        <w:autoSpaceDE/>
        <w:autoSpaceDN/>
        <w:bidi w:val="0"/>
        <w:adjustRightInd/>
        <w:snapToGrid/>
        <w:spacing w:before="0" w:after="0" w:line="360" w:lineRule="auto"/>
        <w:textAlignment w:val="auto"/>
        <w:rPr>
          <w:rFonts w:ascii="黑体" w:hAnsi="黑体" w:eastAsia="黑体"/>
          <w:color w:val="auto"/>
          <w:sz w:val="24"/>
          <w:szCs w:val="24"/>
          <w:highlight w:val="none"/>
        </w:rPr>
      </w:pPr>
      <w:bookmarkStart w:id="76" w:name="_Toc13663"/>
      <w:bookmarkStart w:id="77" w:name="_Toc2212"/>
      <w:r>
        <w:rPr>
          <w:rFonts w:hint="eastAsia" w:ascii="黑体" w:hAnsi="黑体" w:eastAsia="黑体"/>
          <w:color w:val="auto"/>
          <w:sz w:val="24"/>
          <w:szCs w:val="24"/>
          <w:highlight w:val="none"/>
        </w:rPr>
        <w:t>8.合同份数</w:t>
      </w:r>
      <w:bookmarkEnd w:id="76"/>
      <w:bookmarkEnd w:id="77"/>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本合同一式份，采购人执份，供应商执份，均具有同等法律效力。</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lang w:val="en-US" w:eastAsia="zh-CN"/>
        </w:rPr>
        <w:t xml:space="preserve">                                </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甲      方：（公章）                     乙      方：（公章）</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 xml:space="preserve">法定代表人：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法定代表人：</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 xml:space="preserve">委托代理人：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委托代理人：</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 xml:space="preserve">电      话：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电      话：</w:t>
      </w:r>
    </w:p>
    <w:p>
      <w:pPr>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r>
        <w:rPr>
          <w:rFonts w:hint="eastAsia" w:ascii="宋体" w:hAnsi="宋体"/>
          <w:color w:val="auto"/>
          <w:szCs w:val="21"/>
          <w:highlight w:val="none"/>
        </w:rPr>
        <w:t xml:space="preserve">传      真：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传      真：</w:t>
      </w:r>
    </w:p>
    <w:p>
      <w:pPr>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 xml:space="preserve">                                    开 户 银 行：</w:t>
      </w:r>
    </w:p>
    <w:p>
      <w:pPr>
        <w:pageBreakBefore w:val="0"/>
        <w:widowControl w:val="0"/>
        <w:kinsoku/>
        <w:wordWrap/>
        <w:overflowPunct/>
        <w:topLinePunct w:val="0"/>
        <w:autoSpaceDE/>
        <w:autoSpaceDN/>
        <w:bidi w:val="0"/>
        <w:adjustRightInd/>
        <w:snapToGrid/>
        <w:spacing w:line="360" w:lineRule="auto"/>
        <w:jc w:val="center"/>
        <w:textAlignment w:val="auto"/>
        <w:rPr>
          <w:rFonts w:ascii="宋体" w:hAnsi="宋体"/>
          <w:b/>
          <w:color w:val="auto"/>
          <w:szCs w:val="21"/>
          <w:highlight w:val="none"/>
        </w:rPr>
      </w:pPr>
      <w:r>
        <w:rPr>
          <w:rFonts w:hint="eastAsia" w:ascii="宋体" w:hAnsi="宋体"/>
          <w:color w:val="auto"/>
          <w:szCs w:val="21"/>
          <w:highlight w:val="none"/>
        </w:rPr>
        <w:t xml:space="preserve">         帐       号：</w:t>
      </w:r>
    </w:p>
    <w:p>
      <w:pPr>
        <w:pStyle w:val="4"/>
        <w:numPr>
          <w:ilvl w:val="0"/>
          <w:numId w:val="3"/>
        </w:numPr>
        <w:adjustRightInd w:val="0"/>
        <w:snapToGrid w:val="0"/>
        <w:spacing w:beforeLines="50"/>
        <w:jc w:val="center"/>
        <w:rPr>
          <w:rFonts w:ascii="黑体" w:hAnsi="黑体" w:eastAsia="黑体"/>
          <w:color w:val="auto"/>
          <w:sz w:val="28"/>
          <w:szCs w:val="28"/>
          <w:highlight w:val="none"/>
        </w:rPr>
      </w:pPr>
      <w:r>
        <w:rPr>
          <w:rFonts w:ascii="宋体" w:hAnsi="宋体"/>
          <w:color w:val="auto"/>
          <w:sz w:val="21"/>
          <w:szCs w:val="21"/>
          <w:highlight w:val="none"/>
          <w:u w:val="single"/>
        </w:rPr>
        <w:br w:type="page"/>
      </w:r>
      <w:bookmarkStart w:id="78" w:name="_Toc27002"/>
      <w:bookmarkStart w:id="79" w:name="_Toc50368093"/>
      <w:bookmarkStart w:id="80" w:name="_Toc8348"/>
      <w:r>
        <w:rPr>
          <w:rFonts w:hint="eastAsia" w:ascii="黑体" w:hAnsi="黑体" w:eastAsia="黑体"/>
          <w:color w:val="auto"/>
          <w:sz w:val="28"/>
          <w:szCs w:val="28"/>
          <w:highlight w:val="none"/>
        </w:rPr>
        <w:t>政府采购合同通用条款</w:t>
      </w:r>
      <w:bookmarkEnd w:id="78"/>
      <w:bookmarkEnd w:id="79"/>
      <w:bookmarkEnd w:id="80"/>
    </w:p>
    <w:p>
      <w:pPr>
        <w:pStyle w:val="4"/>
        <w:spacing w:beforeLines="50"/>
        <w:jc w:val="center"/>
        <w:rPr>
          <w:rFonts w:ascii="宋体" w:hAnsi="宋体"/>
          <w:color w:val="auto"/>
          <w:sz w:val="21"/>
          <w:szCs w:val="21"/>
          <w:highlight w:val="none"/>
        </w:rPr>
      </w:pPr>
      <w:bookmarkStart w:id="81" w:name="_Toc20569"/>
      <w:bookmarkStart w:id="82" w:name="_Toc15879"/>
      <w:bookmarkStart w:id="83" w:name="_Toc31364"/>
      <w:r>
        <w:rPr>
          <w:rFonts w:hint="eastAsia" w:ascii="宋体" w:hAnsi="宋体"/>
          <w:color w:val="auto"/>
          <w:sz w:val="21"/>
          <w:szCs w:val="21"/>
          <w:highlight w:val="none"/>
        </w:rPr>
        <w:t>一、合同通用条款</w:t>
      </w:r>
      <w:bookmarkEnd w:id="81"/>
      <w:bookmarkEnd w:id="82"/>
      <w:bookmarkEnd w:id="83"/>
    </w:p>
    <w:p>
      <w:pPr>
        <w:pStyle w:val="283"/>
        <w:spacing w:line="360" w:lineRule="auto"/>
        <w:ind w:firstLine="433" w:firstLineChars="196"/>
        <w:rPr>
          <w:color w:val="auto"/>
          <w:highlight w:val="none"/>
        </w:rPr>
      </w:pPr>
      <w:r>
        <w:rPr>
          <w:rFonts w:hint="eastAsia"/>
          <w:bCs/>
          <w:color w:val="auto"/>
          <w:highlight w:val="none"/>
        </w:rPr>
        <w:t>第一条</w:t>
      </w:r>
      <w:bookmarkStart w:id="84" w:name="_Toc268054303"/>
      <w:r>
        <w:rPr>
          <w:rFonts w:hint="eastAsia"/>
          <w:color w:val="auto"/>
          <w:highlight w:val="none"/>
        </w:rPr>
        <w:t>定义</w:t>
      </w:r>
      <w:bookmarkEnd w:id="84"/>
    </w:p>
    <w:p>
      <w:pPr>
        <w:spacing w:line="360" w:lineRule="auto"/>
        <w:ind w:firstLine="415" w:firstLineChars="198"/>
        <w:rPr>
          <w:rFonts w:ascii="宋体" w:hAnsi="宋体"/>
          <w:color w:val="auto"/>
          <w:szCs w:val="21"/>
          <w:highlight w:val="none"/>
        </w:rPr>
      </w:pPr>
      <w:r>
        <w:rPr>
          <w:rFonts w:ascii="宋体" w:hAnsi="宋体"/>
          <w:color w:val="auto"/>
          <w:szCs w:val="21"/>
          <w:highlight w:val="none"/>
        </w:rPr>
        <w:t>1.1</w:t>
      </w:r>
      <w:r>
        <w:rPr>
          <w:rFonts w:hint="eastAsia" w:ascii="宋体" w:hAnsi="宋体"/>
          <w:color w:val="auto"/>
          <w:szCs w:val="21"/>
          <w:highlight w:val="none"/>
        </w:rPr>
        <w:t>本合同下列术语应解释为：</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（1）“合同”系指买卖双方签署的、合同格式中载明的买卖双方所达成的协议，包括所有的附件、附录和上述文件所提到的构成合同的所有文件。</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）“合同价”系指根据本合同规定乙方在正确地完全履行合同义务后，甲方应支付给乙方的价款。</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）“货物”系指乙方根据本合同规定须向甲方提供的一切产品、设备和／或其它材料。</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）“服务”系指根据本合同规定乙方承担与供货有关的辅助服务，如运输、保险及其它的伴随服务，例如安装、调试、提供技术援助、培训和合同中规定乙方应承担的其它义务。</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）“合同条款”系指本合同条款。</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）“甲方”系指在合同专用条款中指明的购买货物和服务的单位。</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7</w:t>
      </w:r>
      <w:r>
        <w:rPr>
          <w:rFonts w:hint="eastAsia" w:ascii="宋体" w:hAnsi="宋体"/>
          <w:color w:val="auto"/>
          <w:szCs w:val="21"/>
          <w:highlight w:val="none"/>
        </w:rPr>
        <w:t>）“乙方”系指在合同专用条款中指明的提供本合同项下货物和服务的公司或其它实体。</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8</w:t>
      </w:r>
      <w:r>
        <w:rPr>
          <w:rFonts w:hint="eastAsia" w:ascii="宋体" w:hAnsi="宋体"/>
          <w:color w:val="auto"/>
          <w:szCs w:val="21"/>
          <w:highlight w:val="none"/>
        </w:rPr>
        <w:t>）“项目现场”系指本合同项下货物安装、运行的现场，其名称在合同专用条款中指明。</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9</w:t>
      </w:r>
      <w:r>
        <w:rPr>
          <w:rFonts w:hint="eastAsia" w:ascii="宋体" w:hAnsi="宋体"/>
          <w:color w:val="auto"/>
          <w:szCs w:val="21"/>
          <w:highlight w:val="none"/>
        </w:rPr>
        <w:t>）“天”指日历天数。</w:t>
      </w:r>
    </w:p>
    <w:p>
      <w:pPr>
        <w:pStyle w:val="283"/>
        <w:spacing w:line="360" w:lineRule="auto"/>
        <w:ind w:firstLine="433" w:firstLineChars="196"/>
        <w:rPr>
          <w:color w:val="auto"/>
          <w:highlight w:val="none"/>
        </w:rPr>
      </w:pPr>
      <w:bookmarkStart w:id="85" w:name="_Toc268054304"/>
      <w:r>
        <w:rPr>
          <w:rFonts w:hint="eastAsia"/>
          <w:color w:val="auto"/>
          <w:highlight w:val="none"/>
        </w:rPr>
        <w:t>第二条 适用性</w:t>
      </w:r>
      <w:bookmarkEnd w:id="85"/>
    </w:p>
    <w:p>
      <w:pPr>
        <w:spacing w:line="360" w:lineRule="auto"/>
        <w:ind w:firstLine="415" w:firstLineChars="198"/>
        <w:rPr>
          <w:rFonts w:ascii="宋体" w:hAnsi="宋体"/>
          <w:color w:val="auto"/>
          <w:szCs w:val="21"/>
          <w:highlight w:val="none"/>
        </w:rPr>
      </w:pPr>
      <w:r>
        <w:rPr>
          <w:rFonts w:ascii="宋体" w:hAnsi="宋体"/>
          <w:color w:val="auto"/>
          <w:szCs w:val="21"/>
          <w:highlight w:val="none"/>
        </w:rPr>
        <w:t>2.1</w:t>
      </w:r>
      <w:r>
        <w:rPr>
          <w:rFonts w:hint="eastAsia" w:ascii="宋体" w:hAnsi="宋体"/>
          <w:color w:val="auto"/>
          <w:szCs w:val="21"/>
          <w:highlight w:val="none"/>
        </w:rPr>
        <w:t>本合同条款适用于没有被本合同其他部分的条款所取代的范围。</w:t>
      </w:r>
    </w:p>
    <w:p>
      <w:pPr>
        <w:pStyle w:val="283"/>
        <w:spacing w:line="360" w:lineRule="auto"/>
        <w:ind w:firstLine="433" w:firstLineChars="196"/>
        <w:rPr>
          <w:color w:val="auto"/>
          <w:highlight w:val="none"/>
        </w:rPr>
      </w:pPr>
      <w:bookmarkStart w:id="86" w:name="_Toc268054305"/>
      <w:r>
        <w:rPr>
          <w:rFonts w:hint="eastAsia"/>
          <w:color w:val="auto"/>
          <w:highlight w:val="none"/>
        </w:rPr>
        <w:t>第三条 标准</w:t>
      </w:r>
      <w:bookmarkEnd w:id="86"/>
    </w:p>
    <w:p>
      <w:pPr>
        <w:spacing w:line="360" w:lineRule="auto"/>
        <w:ind w:firstLine="415" w:firstLineChars="198"/>
        <w:rPr>
          <w:rFonts w:ascii="宋体" w:hAnsi="宋体"/>
          <w:color w:val="auto"/>
          <w:szCs w:val="21"/>
          <w:highlight w:val="none"/>
        </w:rPr>
      </w:pPr>
      <w:r>
        <w:rPr>
          <w:rFonts w:ascii="宋体" w:hAnsi="宋体"/>
          <w:color w:val="auto"/>
          <w:szCs w:val="21"/>
          <w:highlight w:val="none"/>
        </w:rPr>
        <w:t>3.1</w:t>
      </w:r>
      <w:r>
        <w:rPr>
          <w:rFonts w:hint="eastAsia" w:ascii="宋体" w:hAnsi="宋体"/>
          <w:color w:val="auto"/>
          <w:szCs w:val="21"/>
          <w:highlight w:val="none"/>
        </w:rPr>
        <w:t>本合同下交付的货物应符合技术规格参数与要求所述的标准。如果没有提及适用标准，则应符合中华人民共和国有关机构发布的最新版本的标准。</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3.2</w:t>
      </w:r>
      <w:r>
        <w:rPr>
          <w:rFonts w:hint="eastAsia" w:ascii="宋体" w:hAnsi="宋体"/>
          <w:color w:val="auto"/>
          <w:szCs w:val="21"/>
          <w:highlight w:val="none"/>
        </w:rPr>
        <w:t>除非技术规格中另有规定，计量单位均采用中华人民共和国法定计量单位。</w:t>
      </w:r>
    </w:p>
    <w:p>
      <w:pPr>
        <w:pStyle w:val="283"/>
        <w:spacing w:line="360" w:lineRule="auto"/>
        <w:ind w:firstLine="433" w:firstLineChars="196"/>
        <w:rPr>
          <w:color w:val="auto"/>
          <w:highlight w:val="none"/>
        </w:rPr>
      </w:pPr>
      <w:bookmarkStart w:id="87" w:name="_Toc268054306"/>
      <w:r>
        <w:rPr>
          <w:rFonts w:hint="eastAsia"/>
          <w:color w:val="auto"/>
          <w:highlight w:val="none"/>
        </w:rPr>
        <w:t>第四条 使用合同文件和资料</w:t>
      </w:r>
      <w:bookmarkEnd w:id="87"/>
    </w:p>
    <w:p>
      <w:pPr>
        <w:spacing w:line="360" w:lineRule="auto"/>
        <w:ind w:firstLine="415" w:firstLineChars="198"/>
        <w:rPr>
          <w:rFonts w:ascii="宋体" w:hAnsi="宋体"/>
          <w:color w:val="auto"/>
          <w:szCs w:val="21"/>
          <w:highlight w:val="none"/>
        </w:rPr>
      </w:pPr>
      <w:r>
        <w:rPr>
          <w:rFonts w:ascii="宋体" w:hAnsi="宋体"/>
          <w:color w:val="auto"/>
          <w:szCs w:val="21"/>
          <w:highlight w:val="none"/>
        </w:rPr>
        <w:t>4.1</w:t>
      </w:r>
      <w:r>
        <w:rPr>
          <w:rFonts w:hint="eastAsia" w:ascii="宋体" w:hAnsi="宋体"/>
          <w:color w:val="auto"/>
          <w:szCs w:val="21"/>
          <w:highlight w:val="none"/>
        </w:rPr>
        <w:t>没有甲方事先书面同意，乙方不得将由甲方或代表甲方提供的有关合同或任何合同条文、规格、计划、图纸、模型、样品或资料提供给与履行本合同无关的任何其他人。即使向与履行本合同有关的人员提供，也应注意保密并限于履行合同必须的范围。</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4.2</w:t>
      </w:r>
      <w:r>
        <w:rPr>
          <w:rFonts w:hint="eastAsia" w:ascii="宋体" w:hAnsi="宋体"/>
          <w:color w:val="auto"/>
          <w:szCs w:val="21"/>
          <w:highlight w:val="none"/>
        </w:rPr>
        <w:t>没有甲方事先书面同意，除了履行本合同外，乙方不应使用合同条款第</w:t>
      </w:r>
      <w:r>
        <w:rPr>
          <w:rFonts w:ascii="宋体" w:hAnsi="宋体"/>
          <w:color w:val="auto"/>
          <w:szCs w:val="21"/>
          <w:highlight w:val="none"/>
        </w:rPr>
        <w:t>4.1</w:t>
      </w:r>
      <w:r>
        <w:rPr>
          <w:rFonts w:hint="eastAsia" w:ascii="宋体" w:hAnsi="宋体"/>
          <w:color w:val="auto"/>
          <w:szCs w:val="21"/>
          <w:highlight w:val="none"/>
        </w:rPr>
        <w:t>所列举的任何文件和资料。</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4.3</w:t>
      </w:r>
      <w:r>
        <w:rPr>
          <w:rFonts w:hint="eastAsia" w:ascii="宋体" w:hAnsi="宋体"/>
          <w:color w:val="auto"/>
          <w:szCs w:val="21"/>
          <w:highlight w:val="none"/>
        </w:rPr>
        <w:t>除了合同本身以外，合同条款第</w:t>
      </w:r>
      <w:r>
        <w:rPr>
          <w:rFonts w:ascii="宋体" w:hAnsi="宋体"/>
          <w:color w:val="auto"/>
          <w:szCs w:val="21"/>
          <w:highlight w:val="none"/>
        </w:rPr>
        <w:t>4.1</w:t>
      </w:r>
      <w:r>
        <w:rPr>
          <w:rFonts w:hint="eastAsia" w:ascii="宋体" w:hAnsi="宋体"/>
          <w:color w:val="auto"/>
          <w:szCs w:val="21"/>
          <w:highlight w:val="none"/>
        </w:rPr>
        <w:t>所列举的任何文件是甲方的财产。如果甲方有要求，乙方在完成合同后应将这些文件及全部复制件还给甲方。</w:t>
      </w:r>
    </w:p>
    <w:p>
      <w:pPr>
        <w:pStyle w:val="283"/>
        <w:spacing w:line="360" w:lineRule="auto"/>
        <w:ind w:firstLine="433" w:firstLineChars="196"/>
        <w:rPr>
          <w:color w:val="auto"/>
          <w:highlight w:val="none"/>
        </w:rPr>
      </w:pPr>
      <w:bookmarkStart w:id="88" w:name="_Toc268054307"/>
      <w:r>
        <w:rPr>
          <w:rFonts w:hint="eastAsia"/>
          <w:color w:val="auto"/>
          <w:highlight w:val="none"/>
        </w:rPr>
        <w:t>第五条 专利权</w:t>
      </w:r>
      <w:bookmarkEnd w:id="88"/>
    </w:p>
    <w:p>
      <w:pPr>
        <w:spacing w:line="360" w:lineRule="auto"/>
        <w:ind w:firstLine="415" w:firstLineChars="198"/>
        <w:rPr>
          <w:rFonts w:ascii="宋体" w:hAnsi="宋体"/>
          <w:color w:val="auto"/>
          <w:szCs w:val="21"/>
          <w:highlight w:val="none"/>
        </w:rPr>
      </w:pPr>
      <w:r>
        <w:rPr>
          <w:rFonts w:ascii="宋体" w:hAnsi="宋体"/>
          <w:color w:val="auto"/>
          <w:szCs w:val="21"/>
          <w:highlight w:val="none"/>
        </w:rPr>
        <w:t>5.1</w:t>
      </w:r>
      <w:r>
        <w:rPr>
          <w:rFonts w:hint="eastAsia" w:ascii="宋体" w:hAnsi="宋体"/>
          <w:color w:val="auto"/>
          <w:szCs w:val="21"/>
          <w:highlight w:val="none"/>
        </w:rPr>
        <w:t>乙方应保证，甲方使用该货物或货物的任何一部分时，免受第三方提出的侵犯其专利权、商标权、著作权或其它知识产权的起诉。</w:t>
      </w:r>
    </w:p>
    <w:p>
      <w:pPr>
        <w:pStyle w:val="283"/>
        <w:spacing w:line="360" w:lineRule="auto"/>
        <w:ind w:firstLine="433" w:firstLineChars="196"/>
        <w:rPr>
          <w:color w:val="auto"/>
          <w:highlight w:val="none"/>
        </w:rPr>
      </w:pPr>
      <w:bookmarkStart w:id="89" w:name="_Toc268054308"/>
      <w:r>
        <w:rPr>
          <w:rFonts w:hint="eastAsia"/>
          <w:color w:val="auto"/>
          <w:highlight w:val="none"/>
        </w:rPr>
        <w:t>第六条 履约保证金</w:t>
      </w:r>
      <w:bookmarkEnd w:id="89"/>
    </w:p>
    <w:p>
      <w:pPr>
        <w:spacing w:line="360" w:lineRule="auto"/>
        <w:ind w:firstLine="415" w:firstLineChars="198"/>
        <w:rPr>
          <w:rFonts w:ascii="宋体" w:hAnsi="宋体"/>
          <w:color w:val="auto"/>
          <w:szCs w:val="21"/>
          <w:highlight w:val="none"/>
        </w:rPr>
      </w:pPr>
      <w:r>
        <w:rPr>
          <w:rFonts w:ascii="宋体" w:hAnsi="宋体"/>
          <w:color w:val="auto"/>
          <w:szCs w:val="21"/>
          <w:highlight w:val="none"/>
        </w:rPr>
        <w:t>6.1</w:t>
      </w:r>
      <w:r>
        <w:rPr>
          <w:rFonts w:hint="eastAsia" w:ascii="宋体" w:hAnsi="宋体"/>
          <w:color w:val="auto"/>
          <w:szCs w:val="21"/>
          <w:highlight w:val="none"/>
        </w:rPr>
        <w:t>按本合同其他条款规定。</w:t>
      </w:r>
    </w:p>
    <w:p>
      <w:pPr>
        <w:pStyle w:val="283"/>
        <w:spacing w:line="360" w:lineRule="auto"/>
        <w:ind w:firstLine="433" w:firstLineChars="196"/>
        <w:rPr>
          <w:color w:val="auto"/>
          <w:highlight w:val="none"/>
        </w:rPr>
      </w:pPr>
      <w:bookmarkStart w:id="90" w:name="_Toc268054309"/>
      <w:r>
        <w:rPr>
          <w:rFonts w:hint="eastAsia"/>
          <w:color w:val="auto"/>
          <w:highlight w:val="none"/>
        </w:rPr>
        <w:t>第七条 检验和测试</w:t>
      </w:r>
      <w:bookmarkEnd w:id="90"/>
    </w:p>
    <w:p>
      <w:pPr>
        <w:spacing w:line="360" w:lineRule="auto"/>
        <w:ind w:firstLine="415" w:firstLineChars="198"/>
        <w:rPr>
          <w:rFonts w:ascii="宋体" w:hAnsi="宋体"/>
          <w:color w:val="auto"/>
          <w:szCs w:val="21"/>
          <w:highlight w:val="none"/>
        </w:rPr>
      </w:pPr>
      <w:r>
        <w:rPr>
          <w:rFonts w:ascii="宋体" w:hAnsi="宋体"/>
          <w:color w:val="auto"/>
          <w:szCs w:val="21"/>
          <w:highlight w:val="none"/>
        </w:rPr>
        <w:t>7.1</w:t>
      </w:r>
      <w:r>
        <w:rPr>
          <w:rFonts w:hint="eastAsia" w:ascii="宋体" w:hAnsi="宋体"/>
          <w:color w:val="auto"/>
          <w:szCs w:val="21"/>
          <w:highlight w:val="none"/>
        </w:rPr>
        <w:t>甲方或其代表应有权检验和测试货物，以确认货物是否符合合同规格的要求，并且不承担额外的费用。合同条款和技术规格将说明甲方要求进行的检验和测试，以及在何处进行这些检验和测试。甲方将及时以书面形式把进行检验和甲方测试代表的身份通知乙方。</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7.2</w:t>
      </w:r>
      <w:r>
        <w:rPr>
          <w:rFonts w:hint="eastAsia" w:ascii="宋体" w:hAnsi="宋体"/>
          <w:color w:val="auto"/>
          <w:szCs w:val="21"/>
          <w:highlight w:val="none"/>
        </w:rPr>
        <w:t>检验和测试可以在乙方或制造厂的所在地、交货地点和／或货物的最终目的地进行。如果在乙方或制造厂的所在地进行，乙方应免费为甲方的检验人员提供工作条件，包括但不限于必要的技术资料、检测工具和仪器。</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7.3</w:t>
      </w:r>
      <w:r>
        <w:rPr>
          <w:rFonts w:hint="eastAsia" w:ascii="宋体" w:hAnsi="宋体"/>
          <w:color w:val="auto"/>
          <w:szCs w:val="21"/>
          <w:highlight w:val="none"/>
        </w:rPr>
        <w:t>如果任何被检测或测试的货物不能满足规格的要求，甲方可以拒绝接受该货物，乙方应更换被拒绝的货物，或者免费进行必要的修改以满足规格的要求。</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 xml:space="preserve">7.4 </w:t>
      </w:r>
      <w:r>
        <w:rPr>
          <w:rFonts w:hint="eastAsia" w:ascii="宋体" w:hAnsi="宋体"/>
          <w:color w:val="auto"/>
          <w:szCs w:val="21"/>
          <w:highlight w:val="none"/>
        </w:rPr>
        <w:t>甲方在货物到达最终目的地后对货物进行检验、测试及必要时拒绝接受货物的权利将不会因为货物在从乙方或制造厂启运前通过了甲方或其代表的检验、测试和认可而受到限制或放弃。</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7.5</w:t>
      </w:r>
      <w:r>
        <w:rPr>
          <w:rFonts w:hint="eastAsia" w:ascii="宋体" w:hAnsi="宋体"/>
          <w:color w:val="auto"/>
          <w:szCs w:val="21"/>
          <w:highlight w:val="none"/>
        </w:rPr>
        <w:t>在交货前，乙方或制造厂应对货物的质量、规格、性能、数量和重量等进行详细而全面的检验，并出具一份证明货物符合合同规定的检验证书，但该证书不能作为有关质量、规格、性能、数量或重量的最终检验。制造厂检验的结果和细节应附在质量检验证书后面。</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7.6</w:t>
      </w:r>
      <w:r>
        <w:rPr>
          <w:rFonts w:hint="eastAsia" w:ascii="宋体" w:hAnsi="宋体"/>
          <w:color w:val="auto"/>
          <w:szCs w:val="21"/>
          <w:highlight w:val="none"/>
        </w:rPr>
        <w:t>货物安装地的质量技术监督局检验由供货方负责确保合格和承担检测费用。</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7.7</w:t>
      </w:r>
      <w:r>
        <w:rPr>
          <w:rFonts w:hint="eastAsia" w:ascii="宋体" w:hAnsi="宋体"/>
          <w:color w:val="auto"/>
          <w:szCs w:val="21"/>
          <w:highlight w:val="none"/>
        </w:rPr>
        <w:t>合同条款第</w:t>
      </w:r>
      <w:r>
        <w:rPr>
          <w:rFonts w:ascii="宋体" w:hAnsi="宋体"/>
          <w:color w:val="auto"/>
          <w:szCs w:val="21"/>
          <w:highlight w:val="none"/>
        </w:rPr>
        <w:t>7</w:t>
      </w:r>
      <w:r>
        <w:rPr>
          <w:rFonts w:hint="eastAsia" w:ascii="宋体" w:hAnsi="宋体"/>
          <w:color w:val="auto"/>
          <w:szCs w:val="21"/>
          <w:highlight w:val="none"/>
        </w:rPr>
        <w:t>条的规定不能免除乙方在本合同项下的保证义务或其他义务。</w:t>
      </w:r>
    </w:p>
    <w:p>
      <w:pPr>
        <w:pStyle w:val="283"/>
        <w:spacing w:line="360" w:lineRule="auto"/>
        <w:ind w:firstLine="433" w:firstLineChars="196"/>
        <w:rPr>
          <w:color w:val="auto"/>
          <w:highlight w:val="none"/>
        </w:rPr>
      </w:pPr>
      <w:bookmarkStart w:id="91" w:name="_Toc268054310"/>
      <w:r>
        <w:rPr>
          <w:rFonts w:hint="eastAsia"/>
          <w:color w:val="auto"/>
          <w:highlight w:val="none"/>
        </w:rPr>
        <w:t>第八条 包装</w:t>
      </w:r>
      <w:bookmarkEnd w:id="91"/>
    </w:p>
    <w:p>
      <w:pPr>
        <w:spacing w:line="360" w:lineRule="auto"/>
        <w:ind w:firstLine="415" w:firstLineChars="198"/>
        <w:rPr>
          <w:rFonts w:ascii="宋体" w:hAnsi="宋体"/>
          <w:color w:val="auto"/>
          <w:szCs w:val="21"/>
          <w:highlight w:val="none"/>
        </w:rPr>
      </w:pPr>
      <w:r>
        <w:rPr>
          <w:rFonts w:ascii="宋体" w:hAnsi="宋体"/>
          <w:color w:val="auto"/>
          <w:szCs w:val="21"/>
          <w:highlight w:val="none"/>
        </w:rPr>
        <w:t>8.1</w:t>
      </w:r>
      <w:r>
        <w:rPr>
          <w:rFonts w:hint="eastAsia" w:ascii="宋体" w:hAnsi="宋体"/>
          <w:color w:val="auto"/>
          <w:szCs w:val="21"/>
          <w:highlight w:val="none"/>
        </w:rPr>
        <w:t>乙方应提供货物运至合同规定的最终目的地所需要的包装，以防止货物在转运中损坏或变质。这类包装应采取防潮、防晒、防锈、防腐蚀、防震动及防止其它损坏的必要保护措施，从而保护货物能够经受多次搬运、装卸及长途运输。乙方应承担由于其包装或其防护措施不妥而引起的货物锈蚀、损坏和丢失的任何损失的责任和费用。</w:t>
      </w:r>
    </w:p>
    <w:p>
      <w:pPr>
        <w:pStyle w:val="283"/>
        <w:spacing w:line="360" w:lineRule="auto"/>
        <w:ind w:firstLine="433" w:firstLineChars="196"/>
        <w:rPr>
          <w:color w:val="auto"/>
          <w:highlight w:val="none"/>
        </w:rPr>
      </w:pPr>
      <w:bookmarkStart w:id="92" w:name="_Toc268054311"/>
      <w:r>
        <w:rPr>
          <w:rFonts w:hint="eastAsia"/>
          <w:color w:val="auto"/>
          <w:highlight w:val="none"/>
        </w:rPr>
        <w:t>第九条 装运标记</w:t>
      </w:r>
      <w:bookmarkEnd w:id="92"/>
    </w:p>
    <w:p>
      <w:pPr>
        <w:spacing w:line="360" w:lineRule="auto"/>
        <w:ind w:firstLine="415" w:firstLineChars="198"/>
        <w:rPr>
          <w:rFonts w:ascii="宋体" w:hAnsi="宋体"/>
          <w:color w:val="auto"/>
          <w:szCs w:val="21"/>
          <w:highlight w:val="none"/>
        </w:rPr>
      </w:pPr>
      <w:r>
        <w:rPr>
          <w:rFonts w:ascii="宋体" w:hAnsi="宋体"/>
          <w:color w:val="auto"/>
          <w:szCs w:val="21"/>
          <w:highlight w:val="none"/>
        </w:rPr>
        <w:t>9.1</w:t>
      </w:r>
      <w:r>
        <w:rPr>
          <w:rFonts w:hint="eastAsia" w:ascii="宋体" w:hAnsi="宋体"/>
          <w:color w:val="auto"/>
          <w:szCs w:val="21"/>
          <w:highlight w:val="none"/>
        </w:rPr>
        <w:t>乙方应在每一包装箱相邻的四面用不可擦除的油漆和明显的中文字样做出以下标记：</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）收货人</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）合同号</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）发货标记</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）收货人编号</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）目的地</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）货物名称、品目号和箱号</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7</w:t>
      </w:r>
      <w:r>
        <w:rPr>
          <w:rFonts w:hint="eastAsia" w:ascii="宋体" w:hAnsi="宋体"/>
          <w:color w:val="auto"/>
          <w:szCs w:val="21"/>
          <w:highlight w:val="none"/>
        </w:rPr>
        <w:t>）毛重／净重</w:t>
      </w:r>
      <w:r>
        <w:rPr>
          <w:rFonts w:ascii="宋体" w:hAnsi="宋体"/>
          <w:color w:val="auto"/>
          <w:szCs w:val="21"/>
          <w:highlight w:val="none"/>
        </w:rPr>
        <w:t>(</w:t>
      </w:r>
      <w:r>
        <w:rPr>
          <w:rFonts w:hint="eastAsia" w:ascii="宋体" w:hAnsi="宋体"/>
          <w:color w:val="auto"/>
          <w:szCs w:val="21"/>
          <w:highlight w:val="none"/>
        </w:rPr>
        <w:t>用公斤表示</w:t>
      </w:r>
      <w:r>
        <w:rPr>
          <w:rFonts w:ascii="宋体" w:hAnsi="宋体"/>
          <w:color w:val="auto"/>
          <w:szCs w:val="21"/>
          <w:highlight w:val="none"/>
        </w:rPr>
        <w:t>)</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8</w:t>
      </w:r>
      <w:r>
        <w:rPr>
          <w:rFonts w:hint="eastAsia" w:ascii="宋体" w:hAnsi="宋体"/>
          <w:color w:val="auto"/>
          <w:szCs w:val="21"/>
          <w:highlight w:val="none"/>
        </w:rPr>
        <w:t>）尺寸</w:t>
      </w:r>
      <w:r>
        <w:rPr>
          <w:rFonts w:ascii="宋体" w:hAnsi="宋体"/>
          <w:color w:val="auto"/>
          <w:szCs w:val="21"/>
          <w:highlight w:val="none"/>
        </w:rPr>
        <w:t>(</w:t>
      </w:r>
      <w:r>
        <w:rPr>
          <w:rFonts w:hint="eastAsia" w:ascii="宋体" w:hAnsi="宋体"/>
          <w:color w:val="auto"/>
          <w:szCs w:val="21"/>
          <w:highlight w:val="none"/>
        </w:rPr>
        <w:t>以长×宽×高用厘米表示</w:t>
      </w:r>
      <w:r>
        <w:rPr>
          <w:rFonts w:ascii="宋体" w:hAnsi="宋体"/>
          <w:color w:val="auto"/>
          <w:szCs w:val="21"/>
          <w:highlight w:val="none"/>
        </w:rPr>
        <w:t>)</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9.2</w:t>
      </w:r>
      <w:r>
        <w:rPr>
          <w:rFonts w:hint="eastAsia" w:ascii="宋体" w:hAnsi="宋体"/>
          <w:color w:val="auto"/>
          <w:szCs w:val="21"/>
          <w:highlight w:val="none"/>
        </w:rPr>
        <w:t>如果单件包装箱的重量在</w:t>
      </w:r>
      <w:r>
        <w:rPr>
          <w:rFonts w:ascii="宋体" w:hAnsi="宋体"/>
          <w:color w:val="auto"/>
          <w:szCs w:val="21"/>
          <w:highlight w:val="none"/>
        </w:rPr>
        <w:t>2</w:t>
      </w:r>
      <w:r>
        <w:rPr>
          <w:rFonts w:hint="eastAsia" w:ascii="宋体" w:hAnsi="宋体"/>
          <w:color w:val="auto"/>
          <w:szCs w:val="21"/>
          <w:highlight w:val="none"/>
        </w:rPr>
        <w:t>吨或</w:t>
      </w:r>
      <w:r>
        <w:rPr>
          <w:rFonts w:ascii="宋体" w:hAnsi="宋体"/>
          <w:color w:val="auto"/>
          <w:szCs w:val="21"/>
          <w:highlight w:val="none"/>
        </w:rPr>
        <w:t>2</w:t>
      </w:r>
      <w:r>
        <w:rPr>
          <w:rFonts w:hint="eastAsia" w:ascii="宋体" w:hAnsi="宋体"/>
          <w:color w:val="auto"/>
          <w:szCs w:val="21"/>
          <w:highlight w:val="none"/>
        </w:rPr>
        <w:t>吨以上，乙方应在包装箱两侧用中文和适当的运输标记标注“重心”和“起吊点”以便装卸和搬运。根据货物的特点和运输的不同要求，乙方应在包装箱上清楚地标注“小心轻放”、“此端朝上，请勿倒置”、“保持干燥”等字样和其他适当标记。</w:t>
      </w:r>
    </w:p>
    <w:p>
      <w:pPr>
        <w:pStyle w:val="283"/>
        <w:spacing w:line="360" w:lineRule="auto"/>
        <w:ind w:firstLine="433" w:firstLineChars="196"/>
        <w:rPr>
          <w:color w:val="auto"/>
          <w:highlight w:val="none"/>
        </w:rPr>
      </w:pPr>
      <w:bookmarkStart w:id="93" w:name="_Toc268054312"/>
      <w:r>
        <w:rPr>
          <w:rFonts w:hint="eastAsia"/>
          <w:color w:val="auto"/>
          <w:highlight w:val="none"/>
        </w:rPr>
        <w:t>第十条 运输和保险</w:t>
      </w:r>
      <w:bookmarkEnd w:id="93"/>
    </w:p>
    <w:p>
      <w:pPr>
        <w:spacing w:line="360" w:lineRule="auto"/>
        <w:ind w:firstLine="415" w:firstLineChars="198"/>
        <w:rPr>
          <w:rFonts w:ascii="宋体" w:hAnsi="宋体"/>
          <w:color w:val="auto"/>
          <w:szCs w:val="21"/>
          <w:highlight w:val="none"/>
        </w:rPr>
      </w:pPr>
      <w:r>
        <w:rPr>
          <w:rFonts w:ascii="宋体" w:hAnsi="宋体"/>
          <w:color w:val="auto"/>
          <w:szCs w:val="21"/>
          <w:highlight w:val="none"/>
        </w:rPr>
        <w:t>10.1</w:t>
      </w:r>
      <w:r>
        <w:rPr>
          <w:rFonts w:hint="eastAsia" w:ascii="宋体" w:hAnsi="宋体"/>
          <w:color w:val="auto"/>
          <w:szCs w:val="21"/>
          <w:highlight w:val="none"/>
        </w:rPr>
        <w:t>乙方负责办理将货物运抵采购文件规定的交货地点的一切运输事项，相关费用应包括在合同总价中。</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10.2</w:t>
      </w:r>
      <w:r>
        <w:rPr>
          <w:rFonts w:hint="eastAsia" w:ascii="宋体" w:hAnsi="宋体"/>
          <w:color w:val="auto"/>
          <w:szCs w:val="21"/>
          <w:highlight w:val="none"/>
        </w:rPr>
        <w:t>乙方应向保险公司以甲方为受益人投保发运合同设备价格</w:t>
      </w:r>
      <w:r>
        <w:rPr>
          <w:rFonts w:ascii="宋体" w:hAnsi="宋体"/>
          <w:color w:val="auto"/>
          <w:szCs w:val="21"/>
          <w:highlight w:val="none"/>
        </w:rPr>
        <w:t>120</w:t>
      </w:r>
      <w:r>
        <w:rPr>
          <w:rFonts w:hint="eastAsia" w:ascii="宋体" w:hAnsi="宋体"/>
          <w:color w:val="auto"/>
          <w:szCs w:val="21"/>
          <w:highlight w:val="none"/>
        </w:rPr>
        <w:t>％的运输一切险。</w:t>
      </w:r>
    </w:p>
    <w:p>
      <w:pPr>
        <w:pStyle w:val="283"/>
        <w:spacing w:line="360" w:lineRule="auto"/>
        <w:ind w:firstLine="433" w:firstLineChars="196"/>
        <w:rPr>
          <w:color w:val="auto"/>
          <w:highlight w:val="none"/>
        </w:rPr>
      </w:pPr>
      <w:bookmarkStart w:id="94" w:name="_Toc268054313"/>
      <w:r>
        <w:rPr>
          <w:rFonts w:hint="eastAsia"/>
          <w:color w:val="auto"/>
          <w:highlight w:val="none"/>
        </w:rPr>
        <w:t>第十一条 伴随服务</w:t>
      </w:r>
      <w:bookmarkEnd w:id="94"/>
    </w:p>
    <w:p>
      <w:pPr>
        <w:spacing w:line="360" w:lineRule="auto"/>
        <w:ind w:firstLine="415" w:firstLineChars="198"/>
        <w:rPr>
          <w:rFonts w:ascii="宋体" w:hAnsi="宋体"/>
          <w:color w:val="auto"/>
          <w:szCs w:val="21"/>
          <w:highlight w:val="none"/>
        </w:rPr>
      </w:pPr>
      <w:r>
        <w:rPr>
          <w:rFonts w:ascii="宋体" w:hAnsi="宋体"/>
          <w:color w:val="auto"/>
          <w:szCs w:val="21"/>
          <w:highlight w:val="none"/>
        </w:rPr>
        <w:t>11.1</w:t>
      </w:r>
      <w:r>
        <w:rPr>
          <w:rFonts w:hint="eastAsia" w:ascii="宋体" w:hAnsi="宋体"/>
          <w:color w:val="auto"/>
          <w:szCs w:val="21"/>
          <w:highlight w:val="none"/>
        </w:rPr>
        <w:t>乙方可能被要求提供下列服务中的任一或所有服务，包括“合同专用条款”与采购文件第四部分“货物技术规格、参数与要求”规定的附加服务</w:t>
      </w:r>
      <w:r>
        <w:rPr>
          <w:rFonts w:ascii="宋体" w:hAnsi="宋体"/>
          <w:color w:val="auto"/>
          <w:szCs w:val="21"/>
          <w:highlight w:val="none"/>
        </w:rPr>
        <w:t>(</w:t>
      </w:r>
      <w:r>
        <w:rPr>
          <w:rFonts w:hint="eastAsia" w:ascii="宋体" w:hAnsi="宋体"/>
          <w:color w:val="auto"/>
          <w:szCs w:val="21"/>
          <w:highlight w:val="none"/>
        </w:rPr>
        <w:t>如有</w:t>
      </w:r>
      <w:r>
        <w:rPr>
          <w:rFonts w:ascii="宋体" w:hAnsi="宋体"/>
          <w:color w:val="auto"/>
          <w:szCs w:val="21"/>
          <w:highlight w:val="none"/>
        </w:rPr>
        <w:t>)</w:t>
      </w:r>
      <w:r>
        <w:rPr>
          <w:rFonts w:hint="eastAsia" w:ascii="宋体" w:hAnsi="宋体"/>
          <w:color w:val="auto"/>
          <w:szCs w:val="21"/>
          <w:highlight w:val="none"/>
        </w:rPr>
        <w:t>：</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）实施或监督所供货物的现场组装和试运行；</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）提供货物组装和维修所需的工具；</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）为所供货物的每一适当的单台设备提供详细的操作和维护手册；</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）在双方商定的一定期限内对所供货物实施运行、监督、维护和修理，但前提条件是该服务并不能免除乙方在合同保证期内所承担的义务；</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）负责对所提供产品向当地劳动安全部门申报，并完成安全检测；</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）在乙方或制造厂和／或在项目现场就所供货物的组装、试运行、运行、维护和／或修理对甲方人员进行培训。</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11.2</w:t>
      </w:r>
      <w:r>
        <w:rPr>
          <w:rFonts w:hint="eastAsia" w:ascii="宋体" w:hAnsi="宋体"/>
          <w:color w:val="auto"/>
          <w:szCs w:val="21"/>
          <w:highlight w:val="none"/>
        </w:rPr>
        <w:t>如果乙方或制造厂提供的伴随服务的费用未含在货物的合同价中，双方应事先就其达成协议，但其费用单价不应超过乙方向其他人提供类似服务所收取的现行单价。</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11.3</w:t>
      </w:r>
      <w:r>
        <w:rPr>
          <w:rFonts w:hint="eastAsia" w:ascii="宋体" w:hAnsi="宋体"/>
          <w:color w:val="auto"/>
          <w:szCs w:val="21"/>
          <w:highlight w:val="none"/>
        </w:rPr>
        <w:t>乙方应提供“合同专用条款”及采购文件第四部分“货物技术规格、参数与要求”中规定的所有服务和技术资料。为履行要求的伴随服务的报价或双方商定的费用应包括在合同价中。</w:t>
      </w:r>
    </w:p>
    <w:p>
      <w:pPr>
        <w:pStyle w:val="283"/>
        <w:spacing w:line="360" w:lineRule="auto"/>
        <w:ind w:firstLine="433" w:firstLineChars="196"/>
        <w:rPr>
          <w:color w:val="auto"/>
          <w:highlight w:val="none"/>
        </w:rPr>
      </w:pPr>
      <w:bookmarkStart w:id="95" w:name="_Toc268054314"/>
      <w:r>
        <w:rPr>
          <w:rFonts w:hint="eastAsia"/>
          <w:color w:val="auto"/>
          <w:highlight w:val="none"/>
        </w:rPr>
        <w:t>第十二条 备品备件</w:t>
      </w:r>
      <w:bookmarkEnd w:id="95"/>
    </w:p>
    <w:p>
      <w:pPr>
        <w:spacing w:line="360" w:lineRule="auto"/>
        <w:ind w:firstLine="415" w:firstLineChars="198"/>
        <w:rPr>
          <w:rFonts w:ascii="宋体" w:hAnsi="宋体"/>
          <w:color w:val="auto"/>
          <w:szCs w:val="21"/>
          <w:highlight w:val="none"/>
        </w:rPr>
      </w:pPr>
      <w:r>
        <w:rPr>
          <w:rFonts w:ascii="宋体" w:hAnsi="宋体"/>
          <w:color w:val="auto"/>
          <w:szCs w:val="21"/>
          <w:highlight w:val="none"/>
        </w:rPr>
        <w:t>12.1</w:t>
      </w:r>
      <w:r>
        <w:rPr>
          <w:rFonts w:hint="eastAsia" w:ascii="宋体" w:hAnsi="宋体"/>
          <w:color w:val="auto"/>
          <w:szCs w:val="21"/>
          <w:highlight w:val="none"/>
        </w:rPr>
        <w:t>正如合同条款所规定，乙方可能被要求提供下列与备品备件有关的材料、通知和资料：</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）甲方从乙方选购备品备件，但前提条件是该选择并不能免除乙方在合同保证期内所承担的义务；</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）在备品备件停止生产的情况下，乙方应事先将要停止生产的计划通知甲方使甲方有足够的时间采购所需的备品备件；</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）在备品备件停止生产后，如果甲方要求，乙方应免费向甲方提供备品备件的蓝图、图纸和规格。</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12.2</w:t>
      </w:r>
      <w:r>
        <w:rPr>
          <w:rFonts w:hint="eastAsia" w:ascii="宋体" w:hAnsi="宋体"/>
          <w:color w:val="auto"/>
          <w:szCs w:val="21"/>
          <w:highlight w:val="none"/>
        </w:rPr>
        <w:t>乙方应按照“合同专用条款”及采购文件第四部分“货物技术规格、参数与要求”中的规定提供所需的备品备件。</w:t>
      </w:r>
    </w:p>
    <w:p>
      <w:pPr>
        <w:pStyle w:val="283"/>
        <w:spacing w:line="360" w:lineRule="auto"/>
        <w:ind w:firstLine="433" w:firstLineChars="196"/>
        <w:rPr>
          <w:color w:val="auto"/>
          <w:highlight w:val="none"/>
        </w:rPr>
      </w:pPr>
      <w:bookmarkStart w:id="96" w:name="_Toc268054315"/>
      <w:r>
        <w:rPr>
          <w:rFonts w:hint="eastAsia"/>
          <w:color w:val="auto"/>
          <w:highlight w:val="none"/>
        </w:rPr>
        <w:t>第十三条 保证</w:t>
      </w:r>
      <w:bookmarkEnd w:id="96"/>
    </w:p>
    <w:p>
      <w:pPr>
        <w:spacing w:line="360" w:lineRule="auto"/>
        <w:ind w:firstLine="415" w:firstLineChars="198"/>
        <w:rPr>
          <w:rFonts w:ascii="宋体" w:hAnsi="宋体"/>
          <w:color w:val="auto"/>
          <w:szCs w:val="21"/>
          <w:highlight w:val="none"/>
        </w:rPr>
      </w:pPr>
      <w:r>
        <w:rPr>
          <w:rFonts w:ascii="宋体" w:hAnsi="宋体"/>
          <w:color w:val="auto"/>
          <w:szCs w:val="21"/>
          <w:highlight w:val="none"/>
        </w:rPr>
        <w:t>13.1</w:t>
      </w:r>
      <w:r>
        <w:rPr>
          <w:rFonts w:hint="eastAsia" w:ascii="宋体" w:hAnsi="宋体"/>
          <w:color w:val="auto"/>
          <w:szCs w:val="21"/>
          <w:highlight w:val="none"/>
        </w:rPr>
        <w:t>乙方应保证合同项下所供货物是全新的、未使用过的，是最新或目前的型号，除非合同另有规定，货物应含有设计上和材料的全部最新改进。乙方进一步保证，合同项下提供的全部货物没有设计、材料或工艺上的缺陷</w:t>
      </w:r>
      <w:r>
        <w:rPr>
          <w:rFonts w:ascii="宋体" w:hAnsi="宋体"/>
          <w:color w:val="auto"/>
          <w:szCs w:val="21"/>
          <w:highlight w:val="none"/>
        </w:rPr>
        <w:t>(</w:t>
      </w:r>
      <w:r>
        <w:rPr>
          <w:rFonts w:hint="eastAsia" w:ascii="宋体" w:hAnsi="宋体"/>
          <w:color w:val="auto"/>
          <w:szCs w:val="21"/>
          <w:highlight w:val="none"/>
        </w:rPr>
        <w:t>由于按甲方的要求设计或按甲方的规格提供的材料所产生的缺陷除外</w:t>
      </w:r>
      <w:r>
        <w:rPr>
          <w:rFonts w:ascii="宋体" w:hAnsi="宋体"/>
          <w:color w:val="auto"/>
          <w:szCs w:val="21"/>
          <w:highlight w:val="none"/>
        </w:rPr>
        <w:t>)</w:t>
      </w:r>
      <w:r>
        <w:rPr>
          <w:rFonts w:hint="eastAsia" w:ascii="宋体" w:hAnsi="宋体"/>
          <w:color w:val="auto"/>
          <w:szCs w:val="21"/>
          <w:highlight w:val="none"/>
        </w:rPr>
        <w:t>，或者没有因乙方的行为或疏忽而产生的缺陷。</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13.2</w:t>
      </w:r>
      <w:r>
        <w:rPr>
          <w:rFonts w:hint="eastAsia" w:ascii="宋体" w:hAnsi="宋体"/>
          <w:color w:val="auto"/>
          <w:szCs w:val="21"/>
          <w:highlight w:val="none"/>
        </w:rPr>
        <w:t>本保证应在合同货物最终验收后的一定期限内保持有效，或在最后一批合同货物到达最终目的地后的一定期限内保持有效</w:t>
      </w:r>
      <w:r>
        <w:rPr>
          <w:rFonts w:ascii="宋体" w:hAnsi="宋体"/>
          <w:color w:val="auto"/>
          <w:szCs w:val="21"/>
          <w:highlight w:val="none"/>
        </w:rPr>
        <w:t>(</w:t>
      </w:r>
      <w:r>
        <w:rPr>
          <w:rFonts w:hint="eastAsia" w:ascii="宋体" w:hAnsi="宋体"/>
          <w:color w:val="auto"/>
          <w:szCs w:val="21"/>
          <w:highlight w:val="none"/>
        </w:rPr>
        <w:t>上述期限见合同专用条款</w:t>
      </w:r>
      <w:r>
        <w:rPr>
          <w:rFonts w:ascii="宋体" w:hAnsi="宋体"/>
          <w:color w:val="auto"/>
          <w:szCs w:val="21"/>
          <w:highlight w:val="none"/>
        </w:rPr>
        <w:t>)</w:t>
      </w:r>
      <w:r>
        <w:rPr>
          <w:rFonts w:hint="eastAsia" w:ascii="宋体" w:hAnsi="宋体"/>
          <w:color w:val="auto"/>
          <w:szCs w:val="21"/>
          <w:highlight w:val="none"/>
        </w:rPr>
        <w:t>，以先发生的为准。</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13.3</w:t>
      </w:r>
      <w:r>
        <w:rPr>
          <w:rFonts w:hint="eastAsia" w:ascii="宋体" w:hAnsi="宋体"/>
          <w:color w:val="auto"/>
          <w:szCs w:val="21"/>
          <w:highlight w:val="none"/>
        </w:rPr>
        <w:t>甲方应尽快以书面形式通知乙方保证期内所发现的缺陷。</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13.4</w:t>
      </w:r>
      <w:r>
        <w:rPr>
          <w:rFonts w:hint="eastAsia" w:ascii="宋体" w:hAnsi="宋体"/>
          <w:color w:val="auto"/>
          <w:szCs w:val="21"/>
          <w:highlight w:val="none"/>
        </w:rPr>
        <w:t>乙方收到通知后应在“合同专用条款”规定的时间内以合理的速度免费维修或更换有缺陷的货物或部件。</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13.5</w:t>
      </w:r>
      <w:r>
        <w:rPr>
          <w:rFonts w:hint="eastAsia" w:ascii="宋体" w:hAnsi="宋体"/>
          <w:color w:val="auto"/>
          <w:szCs w:val="21"/>
          <w:highlight w:val="none"/>
        </w:rPr>
        <w:t>如果乙方收到通知后在合同规定的时间内没有以合理的速度弥补缺陷，甲方可采取必要的补救措施，但其风险和费用将由乙方承担，甲方根据合同规定对乙方行使的其他权力不受影响。</w:t>
      </w:r>
    </w:p>
    <w:p>
      <w:pPr>
        <w:pStyle w:val="283"/>
        <w:spacing w:line="360" w:lineRule="auto"/>
        <w:ind w:firstLine="433" w:firstLineChars="196"/>
        <w:rPr>
          <w:color w:val="auto"/>
          <w:highlight w:val="none"/>
        </w:rPr>
      </w:pPr>
      <w:bookmarkStart w:id="97" w:name="_Toc268054316"/>
      <w:r>
        <w:rPr>
          <w:rFonts w:hint="eastAsia"/>
          <w:color w:val="auto"/>
          <w:highlight w:val="none"/>
        </w:rPr>
        <w:t>第十四条 索赔</w:t>
      </w:r>
      <w:bookmarkEnd w:id="97"/>
    </w:p>
    <w:p>
      <w:pPr>
        <w:spacing w:line="360" w:lineRule="auto"/>
        <w:ind w:firstLine="415" w:firstLineChars="198"/>
        <w:rPr>
          <w:rFonts w:ascii="宋体" w:hAnsi="宋体"/>
          <w:color w:val="auto"/>
          <w:szCs w:val="21"/>
          <w:highlight w:val="none"/>
        </w:rPr>
      </w:pPr>
      <w:r>
        <w:rPr>
          <w:rFonts w:ascii="宋体" w:hAnsi="宋体"/>
          <w:color w:val="auto"/>
          <w:szCs w:val="21"/>
          <w:highlight w:val="none"/>
        </w:rPr>
        <w:t>14.1</w:t>
      </w:r>
      <w:r>
        <w:rPr>
          <w:rFonts w:hint="eastAsia" w:ascii="宋体" w:hAnsi="宋体"/>
          <w:color w:val="auto"/>
          <w:szCs w:val="21"/>
          <w:highlight w:val="none"/>
        </w:rPr>
        <w:t>如果乙方对偏差（货物的质量或服务等）负有责任，而甲方在合同条款第</w:t>
      </w:r>
      <w:r>
        <w:rPr>
          <w:rFonts w:ascii="宋体" w:hAnsi="宋体"/>
          <w:color w:val="auto"/>
          <w:szCs w:val="21"/>
          <w:highlight w:val="none"/>
        </w:rPr>
        <w:t>13</w:t>
      </w:r>
      <w:r>
        <w:rPr>
          <w:rFonts w:hint="eastAsia" w:ascii="宋体" w:hAnsi="宋体"/>
          <w:color w:val="auto"/>
          <w:szCs w:val="21"/>
          <w:highlight w:val="none"/>
        </w:rPr>
        <w:t>条或合同的其他条款规定的检验、安装、调试、验收和质量保证期内提出了索赔，乙方应按照甲方同意的下列一种或几种方式结合起来解决索赔事宜：</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甲方退货的，乙方应以合同规定的货币将货款退还给甲方，并承担由此发生的一切损失和费用，包括利息、银行手续费、运费、保险费、检验费、仓储费、装卸费以及为看管和保护退回货物所需的其它必要费用。</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）根据货物的偏差情况、损坏程度、以及甲方所遭受损失的金额，经买卖双方商定降低货物的价格。</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用符合合同规定的规格、质量和性能要求的新零件、部件或设备来更换有缺陷的部分或修补缺陷部分，乙方应承担一切费用和风险并负担甲方蒙受的全部直接损失费用。同时，乙方应按合同条款第十三条规定，相应延长所更换货物的质量保证期。</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14.2</w:t>
      </w:r>
      <w:r>
        <w:rPr>
          <w:rFonts w:hint="eastAsia" w:ascii="宋体" w:hAnsi="宋体"/>
          <w:color w:val="auto"/>
          <w:szCs w:val="21"/>
          <w:highlight w:val="none"/>
        </w:rPr>
        <w:t>如果在甲方发出索赔通知后三十</w:t>
      </w:r>
      <w:r>
        <w:rPr>
          <w:rFonts w:ascii="宋体" w:hAnsi="宋体"/>
          <w:color w:val="auto"/>
          <w:szCs w:val="21"/>
          <w:highlight w:val="none"/>
        </w:rPr>
        <w:t>(30)</w:t>
      </w:r>
      <w:r>
        <w:rPr>
          <w:rFonts w:hint="eastAsia" w:ascii="宋体" w:hAnsi="宋体"/>
          <w:color w:val="auto"/>
          <w:szCs w:val="21"/>
          <w:highlight w:val="none"/>
        </w:rPr>
        <w:t>天内，乙方未作答复，上述索赔应视为已被乙方接受。如乙方未能在甲方发出索赔通知后三十</w:t>
      </w:r>
      <w:r>
        <w:rPr>
          <w:rFonts w:ascii="宋体" w:hAnsi="宋体"/>
          <w:color w:val="auto"/>
          <w:szCs w:val="21"/>
          <w:highlight w:val="none"/>
        </w:rPr>
        <w:t>(30)</w:t>
      </w:r>
      <w:r>
        <w:rPr>
          <w:rFonts w:hint="eastAsia" w:ascii="宋体" w:hAnsi="宋体"/>
          <w:color w:val="auto"/>
          <w:szCs w:val="21"/>
          <w:highlight w:val="none"/>
        </w:rPr>
        <w:t>天内或甲方同意的延长期限内，按照甲方同意的上述规定的任何一种方法解决索赔事宜，甲方将从应付货款中扣除索赔金额。</w:t>
      </w:r>
    </w:p>
    <w:p>
      <w:pPr>
        <w:pStyle w:val="283"/>
        <w:spacing w:line="360" w:lineRule="auto"/>
        <w:ind w:firstLine="433" w:firstLineChars="196"/>
        <w:rPr>
          <w:color w:val="auto"/>
          <w:highlight w:val="none"/>
        </w:rPr>
      </w:pPr>
      <w:bookmarkStart w:id="98" w:name="_Toc268054317"/>
      <w:r>
        <w:rPr>
          <w:rFonts w:hint="eastAsia"/>
          <w:color w:val="auto"/>
          <w:highlight w:val="none"/>
        </w:rPr>
        <w:t>第十五条 付款</w:t>
      </w:r>
      <w:bookmarkEnd w:id="98"/>
    </w:p>
    <w:p>
      <w:pPr>
        <w:spacing w:line="360" w:lineRule="auto"/>
        <w:ind w:firstLine="415" w:firstLineChars="198"/>
        <w:rPr>
          <w:rFonts w:ascii="宋体" w:hAnsi="宋体"/>
          <w:color w:val="auto"/>
          <w:szCs w:val="21"/>
          <w:highlight w:val="none"/>
        </w:rPr>
      </w:pPr>
      <w:r>
        <w:rPr>
          <w:rFonts w:ascii="宋体" w:hAnsi="宋体"/>
          <w:color w:val="auto"/>
          <w:szCs w:val="21"/>
          <w:highlight w:val="none"/>
        </w:rPr>
        <w:t>15.1</w:t>
      </w:r>
      <w:r>
        <w:rPr>
          <w:rFonts w:hint="eastAsia" w:ascii="宋体" w:hAnsi="宋体"/>
          <w:color w:val="auto"/>
          <w:szCs w:val="21"/>
          <w:highlight w:val="none"/>
        </w:rPr>
        <w:t>本合同项下的付款方法和条件在“合同专用条款”中有规定。</w:t>
      </w:r>
    </w:p>
    <w:p>
      <w:pPr>
        <w:pStyle w:val="283"/>
        <w:spacing w:line="360" w:lineRule="auto"/>
        <w:ind w:firstLine="433" w:firstLineChars="196"/>
        <w:rPr>
          <w:color w:val="auto"/>
          <w:highlight w:val="none"/>
        </w:rPr>
      </w:pPr>
      <w:bookmarkStart w:id="99" w:name="_Toc268054318"/>
      <w:r>
        <w:rPr>
          <w:rFonts w:hint="eastAsia"/>
          <w:color w:val="auto"/>
          <w:highlight w:val="none"/>
        </w:rPr>
        <w:t>第十六条 价格</w:t>
      </w:r>
      <w:bookmarkEnd w:id="99"/>
    </w:p>
    <w:p>
      <w:pPr>
        <w:spacing w:line="360" w:lineRule="auto"/>
        <w:ind w:firstLine="415" w:firstLineChars="198"/>
        <w:rPr>
          <w:rFonts w:ascii="宋体" w:hAnsi="宋体"/>
          <w:color w:val="auto"/>
          <w:szCs w:val="21"/>
          <w:highlight w:val="none"/>
        </w:rPr>
      </w:pPr>
      <w:r>
        <w:rPr>
          <w:rFonts w:ascii="宋体" w:hAnsi="宋体"/>
          <w:color w:val="auto"/>
          <w:szCs w:val="21"/>
          <w:highlight w:val="none"/>
        </w:rPr>
        <w:t>16.1</w:t>
      </w:r>
      <w:r>
        <w:rPr>
          <w:rFonts w:hint="eastAsia" w:ascii="宋体" w:hAnsi="宋体"/>
          <w:color w:val="auto"/>
          <w:szCs w:val="21"/>
          <w:highlight w:val="none"/>
        </w:rPr>
        <w:t>乙方在本合同项下提交货物和履行服务的价格在合同中给出。</w:t>
      </w:r>
    </w:p>
    <w:p>
      <w:pPr>
        <w:pStyle w:val="283"/>
        <w:spacing w:line="360" w:lineRule="auto"/>
        <w:ind w:firstLine="433" w:firstLineChars="196"/>
        <w:rPr>
          <w:color w:val="auto"/>
          <w:highlight w:val="none"/>
        </w:rPr>
      </w:pPr>
      <w:bookmarkStart w:id="100" w:name="_Toc268054319"/>
      <w:r>
        <w:rPr>
          <w:rFonts w:hint="eastAsia"/>
          <w:color w:val="auto"/>
          <w:highlight w:val="none"/>
        </w:rPr>
        <w:t>第十七条 变更指令</w:t>
      </w:r>
      <w:bookmarkEnd w:id="100"/>
    </w:p>
    <w:p>
      <w:pPr>
        <w:spacing w:line="360" w:lineRule="auto"/>
        <w:ind w:firstLine="415" w:firstLineChars="198"/>
        <w:rPr>
          <w:rFonts w:ascii="宋体" w:hAnsi="宋体"/>
          <w:color w:val="auto"/>
          <w:szCs w:val="21"/>
          <w:highlight w:val="none"/>
        </w:rPr>
      </w:pPr>
      <w:r>
        <w:rPr>
          <w:rFonts w:ascii="宋体" w:hAnsi="宋体"/>
          <w:color w:val="auto"/>
          <w:szCs w:val="21"/>
          <w:highlight w:val="none"/>
        </w:rPr>
        <w:t>17.1</w:t>
      </w:r>
      <w:r>
        <w:rPr>
          <w:rFonts w:hint="eastAsia" w:ascii="宋体" w:hAnsi="宋体"/>
          <w:color w:val="auto"/>
          <w:szCs w:val="21"/>
          <w:highlight w:val="none"/>
        </w:rPr>
        <w:t>甲方可以在任何时候书面向乙方发出指令，在本合同的一般范围内变更下述一项或几项：</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）本合同项下提供的货物是专为甲方制造时，变更图纸、设计或规格；</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）运输或包装的方法；</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）交货地点；</w:t>
      </w:r>
      <w:r>
        <w:rPr>
          <w:rFonts w:hint="eastAsia" w:ascii="宋体" w:hAnsi="宋体" w:cs="宋体"/>
          <w:snapToGrid w:val="0"/>
          <w:color w:val="auto"/>
          <w:szCs w:val="21"/>
          <w:highlight w:val="none"/>
        </w:rPr>
        <w:t>采购人指定地点；</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）乙方提供的服务。</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17.2</w:t>
      </w:r>
      <w:r>
        <w:rPr>
          <w:rFonts w:hint="eastAsia" w:ascii="宋体" w:hAnsi="宋体"/>
          <w:color w:val="auto"/>
          <w:szCs w:val="21"/>
          <w:highlight w:val="none"/>
        </w:rPr>
        <w:t>如果上述变更使乙方履行合同义务的费用或时间增加或减少，将对合同价或交货时间或两者进行公平的调整，同时相应修改合同。乙方根据本条进行调整的要求必须在收到甲方的变更指令后三十天内提出。</w:t>
      </w:r>
    </w:p>
    <w:p>
      <w:pPr>
        <w:pStyle w:val="283"/>
        <w:spacing w:line="360" w:lineRule="auto"/>
        <w:ind w:firstLine="433" w:firstLineChars="196"/>
        <w:rPr>
          <w:color w:val="auto"/>
          <w:highlight w:val="none"/>
        </w:rPr>
      </w:pPr>
      <w:bookmarkStart w:id="101" w:name="_Toc268054320"/>
      <w:r>
        <w:rPr>
          <w:rFonts w:hint="eastAsia"/>
          <w:color w:val="auto"/>
          <w:highlight w:val="none"/>
        </w:rPr>
        <w:t>第十八条 合同修改</w:t>
      </w:r>
      <w:bookmarkEnd w:id="101"/>
    </w:p>
    <w:p>
      <w:pPr>
        <w:spacing w:line="360" w:lineRule="auto"/>
        <w:ind w:firstLine="415" w:firstLineChars="198"/>
        <w:rPr>
          <w:rFonts w:ascii="宋体" w:hAnsi="宋体"/>
          <w:color w:val="auto"/>
          <w:szCs w:val="21"/>
          <w:highlight w:val="none"/>
        </w:rPr>
      </w:pPr>
      <w:r>
        <w:rPr>
          <w:rFonts w:ascii="宋体" w:hAnsi="宋体"/>
          <w:color w:val="auto"/>
          <w:szCs w:val="21"/>
          <w:highlight w:val="none"/>
        </w:rPr>
        <w:t>18.1</w:t>
      </w:r>
      <w:r>
        <w:rPr>
          <w:rFonts w:hint="eastAsia" w:ascii="宋体" w:hAnsi="宋体"/>
          <w:color w:val="auto"/>
          <w:szCs w:val="21"/>
          <w:highlight w:val="none"/>
        </w:rPr>
        <w:t>除了合同条款第</w:t>
      </w:r>
      <w:r>
        <w:rPr>
          <w:rFonts w:ascii="宋体" w:hAnsi="宋体"/>
          <w:color w:val="auto"/>
          <w:szCs w:val="21"/>
          <w:highlight w:val="none"/>
        </w:rPr>
        <w:t>17</w:t>
      </w:r>
      <w:r>
        <w:rPr>
          <w:rFonts w:hint="eastAsia" w:ascii="宋体" w:hAnsi="宋体"/>
          <w:color w:val="auto"/>
          <w:szCs w:val="21"/>
          <w:highlight w:val="none"/>
        </w:rPr>
        <w:t>条的情况，不应对合同条款进行任何变更或修改，除非双方同意并签订书面的合同修改书。</w:t>
      </w:r>
    </w:p>
    <w:p>
      <w:pPr>
        <w:pStyle w:val="283"/>
        <w:spacing w:line="360" w:lineRule="auto"/>
        <w:ind w:firstLine="433" w:firstLineChars="196"/>
        <w:rPr>
          <w:color w:val="auto"/>
          <w:highlight w:val="none"/>
        </w:rPr>
      </w:pPr>
      <w:bookmarkStart w:id="102" w:name="_Toc268054321"/>
      <w:r>
        <w:rPr>
          <w:rFonts w:hint="eastAsia"/>
          <w:color w:val="auto"/>
          <w:highlight w:val="none"/>
        </w:rPr>
        <w:t>第十九条 转让</w:t>
      </w:r>
      <w:bookmarkEnd w:id="102"/>
    </w:p>
    <w:p>
      <w:pPr>
        <w:spacing w:line="360" w:lineRule="auto"/>
        <w:ind w:firstLine="415" w:firstLineChars="198"/>
        <w:rPr>
          <w:rFonts w:ascii="宋体" w:hAnsi="宋体"/>
          <w:color w:val="auto"/>
          <w:szCs w:val="21"/>
          <w:highlight w:val="none"/>
        </w:rPr>
      </w:pPr>
      <w:r>
        <w:rPr>
          <w:rFonts w:ascii="宋体" w:hAnsi="宋体"/>
          <w:color w:val="auto"/>
          <w:szCs w:val="21"/>
          <w:highlight w:val="none"/>
        </w:rPr>
        <w:t>19.1</w:t>
      </w:r>
      <w:r>
        <w:rPr>
          <w:rFonts w:hint="eastAsia" w:ascii="宋体" w:hAnsi="宋体"/>
          <w:color w:val="auto"/>
          <w:szCs w:val="21"/>
          <w:highlight w:val="none"/>
        </w:rPr>
        <w:t>未经甲方事先书面同意，乙方不得部分转让或全部转让其应履行的合同义务。</w:t>
      </w:r>
    </w:p>
    <w:p>
      <w:pPr>
        <w:pStyle w:val="283"/>
        <w:spacing w:line="360" w:lineRule="auto"/>
        <w:ind w:firstLine="433" w:firstLineChars="196"/>
        <w:rPr>
          <w:color w:val="auto"/>
          <w:highlight w:val="none"/>
        </w:rPr>
      </w:pPr>
      <w:bookmarkStart w:id="103" w:name="_Toc268054322"/>
      <w:r>
        <w:rPr>
          <w:rFonts w:hint="eastAsia"/>
          <w:color w:val="auto"/>
          <w:highlight w:val="none"/>
        </w:rPr>
        <w:t>第二十条 分包</w:t>
      </w:r>
      <w:bookmarkEnd w:id="103"/>
    </w:p>
    <w:p>
      <w:pPr>
        <w:spacing w:line="360" w:lineRule="auto"/>
        <w:ind w:firstLine="415" w:firstLineChars="198"/>
        <w:rPr>
          <w:rFonts w:ascii="宋体" w:hAnsi="宋体"/>
          <w:color w:val="auto"/>
          <w:szCs w:val="21"/>
          <w:highlight w:val="none"/>
        </w:rPr>
      </w:pPr>
      <w:r>
        <w:rPr>
          <w:rFonts w:ascii="宋体" w:hAnsi="宋体"/>
          <w:color w:val="auto"/>
          <w:szCs w:val="21"/>
          <w:highlight w:val="none"/>
        </w:rPr>
        <w:t>20.1</w:t>
      </w:r>
      <w:r>
        <w:rPr>
          <w:rFonts w:hint="eastAsia" w:ascii="宋体" w:hAnsi="宋体"/>
          <w:color w:val="auto"/>
          <w:szCs w:val="21"/>
          <w:highlight w:val="none"/>
        </w:rPr>
        <w:t>对响应文件中没有明确分包的合同，乙方应书面通知甲方披露其在本合同中将要分包的全部分包合同，并需经甲方同意，且此分包通知并不能免除乙方履行本合同的责任和义务。</w:t>
      </w:r>
    </w:p>
    <w:p>
      <w:pPr>
        <w:pStyle w:val="283"/>
        <w:spacing w:line="360" w:lineRule="auto"/>
        <w:ind w:firstLine="433" w:firstLineChars="196"/>
        <w:rPr>
          <w:color w:val="auto"/>
          <w:highlight w:val="none"/>
        </w:rPr>
      </w:pPr>
      <w:bookmarkStart w:id="104" w:name="_Toc268054323"/>
      <w:r>
        <w:rPr>
          <w:rFonts w:hint="eastAsia"/>
          <w:color w:val="auto"/>
          <w:highlight w:val="none"/>
        </w:rPr>
        <w:t>第二十一条 乙方履约延误</w:t>
      </w:r>
      <w:bookmarkEnd w:id="104"/>
    </w:p>
    <w:p>
      <w:pPr>
        <w:spacing w:line="360" w:lineRule="auto"/>
        <w:ind w:firstLine="415" w:firstLineChars="198"/>
        <w:rPr>
          <w:rFonts w:ascii="宋体" w:hAnsi="宋体"/>
          <w:color w:val="auto"/>
          <w:szCs w:val="21"/>
          <w:highlight w:val="none"/>
        </w:rPr>
      </w:pPr>
      <w:r>
        <w:rPr>
          <w:rFonts w:ascii="宋体" w:hAnsi="宋体"/>
          <w:color w:val="auto"/>
          <w:szCs w:val="21"/>
          <w:highlight w:val="none"/>
        </w:rPr>
        <w:t>21.1</w:t>
      </w:r>
      <w:r>
        <w:rPr>
          <w:rFonts w:hint="eastAsia" w:ascii="宋体" w:hAnsi="宋体"/>
          <w:color w:val="auto"/>
          <w:szCs w:val="21"/>
          <w:highlight w:val="none"/>
        </w:rPr>
        <w:t>乙方应按照采购文件中规定的交货时间交货和提供服务。</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21.2</w:t>
      </w:r>
      <w:r>
        <w:rPr>
          <w:rFonts w:hint="eastAsia" w:ascii="宋体" w:hAnsi="宋体"/>
          <w:color w:val="auto"/>
          <w:szCs w:val="21"/>
          <w:highlight w:val="none"/>
        </w:rPr>
        <w:t>在履行合同过程中，如果乙方及其分包人遇到妨碍按时交货和提供服务的情况时，应及时以书面形式将拖延的事实、可能拖延的时间和原因通知甲方。甲方在收到乙方通知后，应尽快对情况进行评价，并确定是否同意延长交货时间以及是否收取误期赔偿费。延期应通过修改合同的方式由双方认可。</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21.3</w:t>
      </w:r>
      <w:r>
        <w:rPr>
          <w:rFonts w:hint="eastAsia" w:ascii="宋体" w:hAnsi="宋体"/>
          <w:color w:val="auto"/>
          <w:szCs w:val="21"/>
          <w:highlight w:val="none"/>
        </w:rPr>
        <w:t>除了合同条款笫</w:t>
      </w:r>
      <w:r>
        <w:rPr>
          <w:rFonts w:ascii="宋体" w:hAnsi="宋体"/>
          <w:color w:val="auto"/>
          <w:szCs w:val="21"/>
          <w:highlight w:val="none"/>
        </w:rPr>
        <w:t>24</w:t>
      </w:r>
      <w:r>
        <w:rPr>
          <w:rFonts w:hint="eastAsia" w:ascii="宋体" w:hAnsi="宋体"/>
          <w:color w:val="auto"/>
          <w:szCs w:val="21"/>
          <w:highlight w:val="none"/>
        </w:rPr>
        <w:t>条的情况外或者除非拖延是根据合同条款第</w:t>
      </w:r>
      <w:r>
        <w:rPr>
          <w:rFonts w:ascii="宋体" w:hAnsi="宋体"/>
          <w:color w:val="auto"/>
          <w:szCs w:val="21"/>
          <w:highlight w:val="none"/>
        </w:rPr>
        <w:t>21.2</w:t>
      </w:r>
      <w:r>
        <w:rPr>
          <w:rFonts w:hint="eastAsia" w:ascii="宋体" w:hAnsi="宋体"/>
          <w:color w:val="auto"/>
          <w:szCs w:val="21"/>
          <w:highlight w:val="none"/>
        </w:rPr>
        <w:t>条的规定取得同意而不收取误期赔偿费之外，乙方延误交货，将按合同条款第</w:t>
      </w:r>
      <w:r>
        <w:rPr>
          <w:rFonts w:ascii="宋体" w:hAnsi="宋体"/>
          <w:color w:val="auto"/>
          <w:szCs w:val="21"/>
          <w:highlight w:val="none"/>
        </w:rPr>
        <w:t>22</w:t>
      </w:r>
      <w:r>
        <w:rPr>
          <w:rFonts w:hint="eastAsia" w:ascii="宋体" w:hAnsi="宋体"/>
          <w:color w:val="auto"/>
          <w:szCs w:val="21"/>
          <w:highlight w:val="none"/>
        </w:rPr>
        <w:t>条的规定被收取误期赔偿费。</w:t>
      </w:r>
    </w:p>
    <w:p>
      <w:pPr>
        <w:pStyle w:val="283"/>
        <w:spacing w:line="360" w:lineRule="auto"/>
        <w:ind w:firstLine="433" w:firstLineChars="196"/>
        <w:rPr>
          <w:color w:val="auto"/>
          <w:highlight w:val="none"/>
        </w:rPr>
      </w:pPr>
      <w:bookmarkStart w:id="105" w:name="_Toc268054324"/>
      <w:r>
        <w:rPr>
          <w:rFonts w:hint="eastAsia"/>
          <w:color w:val="auto"/>
          <w:highlight w:val="none"/>
        </w:rPr>
        <w:t>第二十二条 误期赔偿费</w:t>
      </w:r>
      <w:bookmarkEnd w:id="105"/>
    </w:p>
    <w:p>
      <w:pPr>
        <w:spacing w:line="360" w:lineRule="auto"/>
        <w:ind w:firstLine="415" w:firstLineChars="198"/>
        <w:rPr>
          <w:rFonts w:ascii="宋体" w:hAnsi="宋体"/>
          <w:color w:val="auto"/>
          <w:szCs w:val="21"/>
          <w:highlight w:val="none"/>
        </w:rPr>
      </w:pPr>
      <w:r>
        <w:rPr>
          <w:rFonts w:ascii="宋体" w:hAnsi="宋体"/>
          <w:color w:val="auto"/>
          <w:szCs w:val="21"/>
          <w:highlight w:val="none"/>
        </w:rPr>
        <w:t>22.1</w:t>
      </w:r>
      <w:r>
        <w:rPr>
          <w:rFonts w:hint="eastAsia" w:ascii="宋体" w:hAnsi="宋体"/>
          <w:color w:val="auto"/>
          <w:szCs w:val="21"/>
          <w:highlight w:val="none"/>
        </w:rPr>
        <w:t>除合同条款第</w:t>
      </w:r>
      <w:r>
        <w:rPr>
          <w:rFonts w:ascii="宋体" w:hAnsi="宋体"/>
          <w:color w:val="auto"/>
          <w:szCs w:val="21"/>
          <w:highlight w:val="none"/>
        </w:rPr>
        <w:t>24</w:t>
      </w:r>
      <w:r>
        <w:rPr>
          <w:rFonts w:hint="eastAsia" w:ascii="宋体" w:hAnsi="宋体"/>
          <w:color w:val="auto"/>
          <w:szCs w:val="21"/>
          <w:highlight w:val="none"/>
        </w:rPr>
        <w:t>条规定的情况外，如果乙方没有按照合同规定的时间交货和提供服务，甲方应在不影响合同项下的其他补救措施的情况下，从合同价中扣除误期赔偿费。每延误一天的赔偿费按延迟交货物交货价或未提供服务的服务费用的百分之零点五(小写：0.5％)计收，直至交货或提供服务为止。误期赔偿费的最高限额为合同总价格的百分之三十(小写：30％)。一旦达到误期赔偿费的最高限额，甲方可考虑根据合同条款第23条的规定终止合同。</w:t>
      </w:r>
    </w:p>
    <w:p>
      <w:pPr>
        <w:pStyle w:val="283"/>
        <w:spacing w:line="360" w:lineRule="auto"/>
        <w:ind w:firstLine="433" w:firstLineChars="196"/>
        <w:rPr>
          <w:color w:val="auto"/>
          <w:highlight w:val="none"/>
        </w:rPr>
      </w:pPr>
      <w:bookmarkStart w:id="106" w:name="_Toc268054325"/>
      <w:r>
        <w:rPr>
          <w:rFonts w:hint="eastAsia"/>
          <w:color w:val="auto"/>
          <w:highlight w:val="none"/>
        </w:rPr>
        <w:t>第二十三条 违约终止合同</w:t>
      </w:r>
      <w:bookmarkEnd w:id="106"/>
    </w:p>
    <w:p>
      <w:pPr>
        <w:spacing w:line="360" w:lineRule="auto"/>
        <w:ind w:firstLine="415" w:firstLineChars="198"/>
        <w:rPr>
          <w:rFonts w:ascii="宋体" w:hAnsi="宋体"/>
          <w:color w:val="auto"/>
          <w:szCs w:val="21"/>
          <w:highlight w:val="none"/>
        </w:rPr>
      </w:pPr>
      <w:r>
        <w:rPr>
          <w:rFonts w:ascii="宋体" w:hAnsi="宋体"/>
          <w:color w:val="auto"/>
          <w:szCs w:val="21"/>
          <w:highlight w:val="none"/>
        </w:rPr>
        <w:t>23.1</w:t>
      </w:r>
      <w:r>
        <w:rPr>
          <w:rFonts w:hint="eastAsia" w:ascii="宋体" w:hAnsi="宋体"/>
          <w:color w:val="auto"/>
          <w:szCs w:val="21"/>
          <w:highlight w:val="none"/>
        </w:rPr>
        <w:t>如出现下述情况，甲方可向乙方发出书面违约通知书，提出终止部分或全部合同；</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）如果乙方未能在合同规定的期限内或甲方根据合同条款第</w:t>
      </w:r>
      <w:r>
        <w:rPr>
          <w:rFonts w:ascii="宋体" w:hAnsi="宋体"/>
          <w:color w:val="auto"/>
          <w:szCs w:val="21"/>
          <w:highlight w:val="none"/>
        </w:rPr>
        <w:t>21</w:t>
      </w:r>
      <w:r>
        <w:rPr>
          <w:rFonts w:hint="eastAsia" w:ascii="宋体" w:hAnsi="宋体"/>
          <w:color w:val="auto"/>
          <w:szCs w:val="21"/>
          <w:highlight w:val="none"/>
        </w:rPr>
        <w:t>条的规定同意延长的期限内提供部分或全部货物；</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）如果乙方未能履行合同规定的其它任何义务。</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）如果甲方认为乙方在本合同的竞争和实施过程中有腐败和欺诈行为。为此目的，定义下述条件：</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A“腐败行为”是指提供、给予、接受或索取任何有价值的物品来影响甲方在采购过程或合同实施过程中的行为。</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B“欺诈行为”是指为了影响采购过程或合同实施过程而谎报或隐瞒事实，损害甲方利益的行为。</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23.2</w:t>
      </w:r>
      <w:r>
        <w:rPr>
          <w:rFonts w:hint="eastAsia" w:ascii="宋体" w:hAnsi="宋体"/>
          <w:color w:val="auto"/>
          <w:szCs w:val="21"/>
          <w:highlight w:val="none"/>
        </w:rPr>
        <w:t>如果甲方根据上述第</w:t>
      </w:r>
      <w:r>
        <w:rPr>
          <w:rFonts w:ascii="宋体" w:hAnsi="宋体"/>
          <w:color w:val="auto"/>
          <w:szCs w:val="21"/>
          <w:highlight w:val="none"/>
        </w:rPr>
        <w:t>23.1</w:t>
      </w:r>
      <w:r>
        <w:rPr>
          <w:rFonts w:hint="eastAsia" w:ascii="宋体" w:hAnsi="宋体"/>
          <w:color w:val="auto"/>
          <w:szCs w:val="21"/>
          <w:highlight w:val="none"/>
        </w:rPr>
        <w:t>条的规定，终止了全部或部分合同，甲方可以依其认为适当的条件和方法购买与未交货物类似的货物或服务，乙方应承担甲方因购买类似货物或服务而产生的额外支出。但是，乙方应继续执行合同中未终止的部分。</w:t>
      </w:r>
    </w:p>
    <w:p>
      <w:pPr>
        <w:pStyle w:val="283"/>
        <w:spacing w:line="360" w:lineRule="auto"/>
        <w:ind w:firstLine="433" w:firstLineChars="196"/>
        <w:rPr>
          <w:color w:val="auto"/>
          <w:highlight w:val="none"/>
        </w:rPr>
      </w:pPr>
      <w:bookmarkStart w:id="107" w:name="_Toc268054326"/>
      <w:r>
        <w:rPr>
          <w:rFonts w:hint="eastAsia"/>
          <w:color w:val="auto"/>
          <w:highlight w:val="none"/>
        </w:rPr>
        <w:t>第二十四条 不可抗力</w:t>
      </w:r>
      <w:bookmarkEnd w:id="107"/>
    </w:p>
    <w:p>
      <w:pPr>
        <w:spacing w:line="360" w:lineRule="auto"/>
        <w:ind w:firstLine="415" w:firstLineChars="198"/>
        <w:rPr>
          <w:rFonts w:ascii="宋体" w:hAnsi="宋体"/>
          <w:color w:val="auto"/>
          <w:szCs w:val="21"/>
          <w:highlight w:val="none"/>
        </w:rPr>
      </w:pPr>
      <w:r>
        <w:rPr>
          <w:rFonts w:ascii="宋体" w:hAnsi="宋体"/>
          <w:color w:val="auto"/>
          <w:szCs w:val="21"/>
          <w:highlight w:val="none"/>
        </w:rPr>
        <w:t>24.1</w:t>
      </w:r>
      <w:r>
        <w:rPr>
          <w:rFonts w:hint="eastAsia" w:ascii="宋体" w:hAnsi="宋体"/>
          <w:color w:val="auto"/>
          <w:szCs w:val="21"/>
          <w:highlight w:val="none"/>
        </w:rPr>
        <w:t>签约双方任何一方由于不可抗力事件的影响而不能执行合同时，履行合同的期限应予延长，其延长的期限应相当于事件所影响的时问。不可抗力事件系指买卖双方在缔结合同时所不能预见的，并且它的发生及其后果是无法避免和无法克服的事件，诸如战争、严重火灾、洪水、台风、地震等。</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24.2</w:t>
      </w:r>
      <w:r>
        <w:rPr>
          <w:rFonts w:hint="eastAsia" w:ascii="宋体" w:hAnsi="宋体"/>
          <w:color w:val="auto"/>
          <w:szCs w:val="21"/>
          <w:highlight w:val="none"/>
        </w:rPr>
        <w:t>受影响一方应在不可抗力事件发生后尽快用书面形式通知对方，并于不可抗力事件发生后十四</w:t>
      </w:r>
      <w:r>
        <w:rPr>
          <w:rFonts w:ascii="宋体" w:hAnsi="宋体"/>
          <w:color w:val="auto"/>
          <w:szCs w:val="21"/>
          <w:highlight w:val="none"/>
        </w:rPr>
        <w:t>(14)</w:t>
      </w:r>
      <w:r>
        <w:rPr>
          <w:rFonts w:hint="eastAsia" w:ascii="宋体" w:hAnsi="宋体"/>
          <w:color w:val="auto"/>
          <w:szCs w:val="21"/>
          <w:highlight w:val="none"/>
        </w:rPr>
        <w:t>天内将有关当局出具的证明文件用特快专递或挂号信寄给对方审阅确认。一旦不可抗力事件的影响持续三十天以上，双方应通过友好协商在合理的时间内达成进一步履行合同的协议。</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24.3</w:t>
      </w:r>
      <w:r>
        <w:rPr>
          <w:rFonts w:hint="eastAsia" w:ascii="宋体" w:hAnsi="宋体"/>
          <w:color w:val="auto"/>
          <w:szCs w:val="21"/>
          <w:highlight w:val="none"/>
        </w:rPr>
        <w:t>因合同一方迟延履行合同后发生不可抗力的，不能免除迟延履行方的相应责任。</w:t>
      </w:r>
    </w:p>
    <w:p>
      <w:pPr>
        <w:pStyle w:val="283"/>
        <w:spacing w:line="360" w:lineRule="auto"/>
        <w:ind w:firstLine="433" w:firstLineChars="196"/>
        <w:rPr>
          <w:color w:val="auto"/>
          <w:highlight w:val="none"/>
        </w:rPr>
      </w:pPr>
      <w:bookmarkStart w:id="108" w:name="_Toc268054327"/>
      <w:r>
        <w:rPr>
          <w:rFonts w:hint="eastAsia"/>
          <w:color w:val="auto"/>
          <w:highlight w:val="none"/>
        </w:rPr>
        <w:t>第二十五条 因破产而终止合同</w:t>
      </w:r>
      <w:bookmarkEnd w:id="108"/>
    </w:p>
    <w:p>
      <w:pPr>
        <w:spacing w:line="360" w:lineRule="auto"/>
        <w:ind w:firstLine="415" w:firstLineChars="198"/>
        <w:rPr>
          <w:rFonts w:ascii="宋体" w:hAnsi="宋体"/>
          <w:color w:val="auto"/>
          <w:szCs w:val="21"/>
          <w:highlight w:val="none"/>
        </w:rPr>
      </w:pPr>
      <w:r>
        <w:rPr>
          <w:rFonts w:ascii="宋体" w:hAnsi="宋体"/>
          <w:color w:val="auto"/>
          <w:szCs w:val="21"/>
          <w:highlight w:val="none"/>
        </w:rPr>
        <w:t>25.1</w:t>
      </w:r>
      <w:r>
        <w:rPr>
          <w:rFonts w:hint="eastAsia" w:ascii="宋体" w:hAnsi="宋体"/>
          <w:color w:val="auto"/>
          <w:szCs w:val="21"/>
          <w:highlight w:val="none"/>
        </w:rPr>
        <w:t>如果乙方破产或无清偿能力，甲方可在任何时候以书面形式通知乙方，提出终止合同而不给乙方补偿。该合同的终止将不损害或影响甲方已经采取或将要采取的任何行动或补救措施的权利。</w:t>
      </w:r>
    </w:p>
    <w:p>
      <w:pPr>
        <w:pStyle w:val="283"/>
        <w:spacing w:line="360" w:lineRule="auto"/>
        <w:ind w:firstLine="433" w:firstLineChars="196"/>
        <w:rPr>
          <w:color w:val="auto"/>
          <w:highlight w:val="none"/>
        </w:rPr>
      </w:pPr>
      <w:bookmarkStart w:id="109" w:name="_Toc268054328"/>
      <w:r>
        <w:rPr>
          <w:rFonts w:hint="eastAsia"/>
          <w:color w:val="auto"/>
          <w:highlight w:val="none"/>
        </w:rPr>
        <w:t>第二十六条 因甲方的便利而终止合同</w:t>
      </w:r>
      <w:bookmarkEnd w:id="109"/>
    </w:p>
    <w:p>
      <w:pPr>
        <w:spacing w:line="360" w:lineRule="auto"/>
        <w:ind w:firstLine="415" w:firstLineChars="198"/>
        <w:rPr>
          <w:rFonts w:ascii="宋体" w:hAnsi="宋体"/>
          <w:color w:val="auto"/>
          <w:szCs w:val="21"/>
          <w:highlight w:val="none"/>
        </w:rPr>
      </w:pPr>
      <w:r>
        <w:rPr>
          <w:rFonts w:ascii="宋体" w:hAnsi="宋体"/>
          <w:color w:val="auto"/>
          <w:szCs w:val="21"/>
          <w:highlight w:val="none"/>
        </w:rPr>
        <w:t>26.l</w:t>
      </w:r>
      <w:r>
        <w:rPr>
          <w:rFonts w:hint="eastAsia" w:ascii="宋体" w:hAnsi="宋体"/>
          <w:color w:val="auto"/>
          <w:szCs w:val="21"/>
          <w:highlight w:val="none"/>
        </w:rPr>
        <w:t>甲方可在任何时候出于自身的便利向乙方发出书面通知全部或部分终止合同，终止通知应明确该终止合同是出于甲方的便利，并明确合同终止的程度，以及终止的生效日期。</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26.2</w:t>
      </w:r>
      <w:r>
        <w:rPr>
          <w:rFonts w:hint="eastAsia" w:ascii="宋体" w:hAnsi="宋体"/>
          <w:color w:val="auto"/>
          <w:szCs w:val="21"/>
          <w:highlight w:val="none"/>
        </w:rPr>
        <w:t>对乙方收到终止通知后三十天内已完成并准备装运的货物，甲方应按原合同价格和条款予以接收，对于剩下的货物，甲方可：</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）仅对部分货物按照原来的合同价格和条款予以接受；</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）取消对所剩货物的采购，并按双方商定的金额向乙方支付部分完成的货物和服务以及乙方以前已采购的材料和部件的费用。</w:t>
      </w:r>
    </w:p>
    <w:p>
      <w:pPr>
        <w:pStyle w:val="283"/>
        <w:spacing w:line="360" w:lineRule="auto"/>
        <w:ind w:firstLine="433" w:firstLineChars="196"/>
        <w:rPr>
          <w:color w:val="auto"/>
          <w:highlight w:val="none"/>
        </w:rPr>
      </w:pPr>
      <w:bookmarkStart w:id="110" w:name="_Toc268054329"/>
      <w:r>
        <w:rPr>
          <w:rFonts w:hint="eastAsia"/>
          <w:color w:val="auto"/>
          <w:highlight w:val="none"/>
        </w:rPr>
        <w:t>第二十七条 争议的解决</w:t>
      </w:r>
      <w:bookmarkEnd w:id="110"/>
    </w:p>
    <w:p>
      <w:pPr>
        <w:adjustRightInd w:val="0"/>
        <w:snapToGrid w:val="0"/>
        <w:spacing w:line="360" w:lineRule="auto"/>
        <w:ind w:firstLine="403" w:firstLineChars="192"/>
        <w:rPr>
          <w:rFonts w:ascii="宋体" w:hAnsi="宋体"/>
          <w:color w:val="auto"/>
          <w:szCs w:val="21"/>
          <w:highlight w:val="none"/>
        </w:rPr>
      </w:pPr>
      <w:r>
        <w:rPr>
          <w:rFonts w:ascii="宋体" w:hAnsi="宋体"/>
          <w:color w:val="auto"/>
          <w:szCs w:val="21"/>
          <w:highlight w:val="none"/>
        </w:rPr>
        <w:t>27.</w:t>
      </w:r>
      <w:r>
        <w:rPr>
          <w:rFonts w:hint="eastAsia" w:ascii="宋体" w:hAnsi="宋体"/>
          <w:color w:val="auto"/>
          <w:szCs w:val="21"/>
          <w:highlight w:val="none"/>
        </w:rPr>
        <w:t>1因本合同签订和履行发生的争议，双方协商解决；协商不成的，向合同签订地人民法院起诉。</w:t>
      </w:r>
    </w:p>
    <w:p>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27.2</w:t>
      </w:r>
      <w:bookmarkStart w:id="111" w:name="_Toc268054330"/>
      <w:r>
        <w:rPr>
          <w:rFonts w:hint="eastAsia" w:ascii="宋体" w:hAnsi="宋体"/>
          <w:b/>
          <w:color w:val="auto"/>
          <w:szCs w:val="21"/>
          <w:highlight w:val="none"/>
        </w:rPr>
        <w:t>通知</w:t>
      </w:r>
    </w:p>
    <w:p>
      <w:pPr>
        <w:adjustRightInd w:val="0"/>
        <w:snapToGrid w:val="0"/>
        <w:spacing w:line="360" w:lineRule="auto"/>
        <w:ind w:firstLine="403" w:firstLineChars="192"/>
        <w:rPr>
          <w:rFonts w:ascii="宋体" w:hAnsi="宋体"/>
          <w:color w:val="auto"/>
          <w:szCs w:val="21"/>
          <w:highlight w:val="none"/>
        </w:rPr>
      </w:pPr>
      <w:r>
        <w:rPr>
          <w:rFonts w:hint="eastAsia" w:ascii="宋体" w:hAnsi="宋体"/>
          <w:color w:val="auto"/>
          <w:szCs w:val="21"/>
          <w:highlight w:val="none"/>
        </w:rPr>
        <w:t>本合同项下的所有通知应以书面形式发出。除另有约定外，双方指定本合同载明的住所地为通讯及联系地址。任何一方通讯地址或其他联系方式发生变更的，应以书面形式及时通知对方。</w:t>
      </w:r>
    </w:p>
    <w:p>
      <w:pPr>
        <w:adjustRightInd w:val="0"/>
        <w:snapToGrid w:val="0"/>
        <w:spacing w:line="360" w:lineRule="auto"/>
        <w:ind w:firstLine="405" w:firstLineChars="192"/>
        <w:rPr>
          <w:rFonts w:ascii="宋体" w:hAnsi="宋体"/>
          <w:b/>
          <w:color w:val="auto"/>
          <w:szCs w:val="21"/>
          <w:highlight w:val="none"/>
        </w:rPr>
      </w:pPr>
      <w:r>
        <w:rPr>
          <w:rFonts w:hint="eastAsia" w:ascii="宋体" w:hAnsi="宋体"/>
          <w:b/>
          <w:color w:val="auto"/>
          <w:szCs w:val="21"/>
          <w:highlight w:val="none"/>
        </w:rPr>
        <w:t>乙方确认在本合同履行过程中或因履行合同发生争议引起诉讼、仲裁时，以下地址作为甲方 、人民法院、仲裁机关等邮寄送达有关通知、相关法律文书的接收地址：</w:t>
      </w:r>
    </w:p>
    <w:p>
      <w:pPr>
        <w:adjustRightInd w:val="0"/>
        <w:snapToGrid w:val="0"/>
        <w:spacing w:line="360" w:lineRule="auto"/>
        <w:ind w:firstLine="405" w:firstLineChars="192"/>
        <w:rPr>
          <w:rFonts w:ascii="宋体" w:hAnsi="宋体"/>
          <w:b/>
          <w:color w:val="auto"/>
          <w:szCs w:val="21"/>
          <w:highlight w:val="none"/>
        </w:rPr>
      </w:pPr>
      <w:r>
        <w:rPr>
          <w:rFonts w:hint="eastAsia" w:ascii="宋体" w:hAnsi="宋体"/>
          <w:b/>
          <w:color w:val="auto"/>
          <w:szCs w:val="21"/>
          <w:highlight w:val="none"/>
        </w:rPr>
        <w:t>送达地址：______________________</w:t>
      </w:r>
    </w:p>
    <w:p>
      <w:pPr>
        <w:adjustRightInd w:val="0"/>
        <w:snapToGrid w:val="0"/>
        <w:spacing w:line="360" w:lineRule="auto"/>
        <w:ind w:firstLine="405" w:firstLineChars="192"/>
        <w:rPr>
          <w:rFonts w:ascii="宋体" w:hAnsi="宋体"/>
          <w:b/>
          <w:color w:val="auto"/>
          <w:szCs w:val="21"/>
          <w:highlight w:val="none"/>
        </w:rPr>
      </w:pPr>
      <w:r>
        <w:rPr>
          <w:rFonts w:hint="eastAsia" w:ascii="宋体" w:hAnsi="宋体"/>
          <w:b/>
          <w:color w:val="auto"/>
          <w:szCs w:val="21"/>
          <w:highlight w:val="none"/>
        </w:rPr>
        <w:t>收件人：__________________________</w:t>
      </w:r>
    </w:p>
    <w:p>
      <w:pPr>
        <w:adjustRightInd w:val="0"/>
        <w:snapToGrid w:val="0"/>
        <w:spacing w:line="360" w:lineRule="auto"/>
        <w:ind w:firstLine="405" w:firstLineChars="192"/>
        <w:rPr>
          <w:rFonts w:ascii="宋体" w:hAnsi="宋体"/>
          <w:b/>
          <w:color w:val="auto"/>
          <w:szCs w:val="21"/>
          <w:highlight w:val="none"/>
        </w:rPr>
      </w:pPr>
      <w:r>
        <w:rPr>
          <w:rFonts w:hint="eastAsia" w:ascii="宋体" w:hAnsi="宋体"/>
          <w:b/>
          <w:color w:val="auto"/>
          <w:szCs w:val="21"/>
          <w:highlight w:val="none"/>
        </w:rPr>
        <w:t>联系电话：________________________。</w:t>
      </w:r>
    </w:p>
    <w:p>
      <w:pPr>
        <w:adjustRightInd w:val="0"/>
        <w:snapToGrid w:val="0"/>
        <w:spacing w:line="360" w:lineRule="auto"/>
        <w:ind w:firstLine="405" w:firstLineChars="192"/>
        <w:rPr>
          <w:rFonts w:ascii="宋体" w:hAnsi="宋体"/>
          <w:b/>
          <w:color w:val="auto"/>
          <w:szCs w:val="21"/>
          <w:highlight w:val="none"/>
        </w:rPr>
      </w:pPr>
      <w:r>
        <w:rPr>
          <w:rFonts w:hint="eastAsia" w:ascii="宋体" w:hAnsi="宋体"/>
          <w:b/>
          <w:color w:val="auto"/>
          <w:szCs w:val="21"/>
          <w:highlight w:val="none"/>
        </w:rPr>
        <w:t>乙方认可：如因乙方提供的上述地址不准确、送达地址变更未及时书面告知甲方、乙方或者指定代收人拒绝签收等原因，导致通知或相关法律文书未能被乙方实际接收的，文书退回之日视为送达之日。</w:t>
      </w:r>
    </w:p>
    <w:p>
      <w:pPr>
        <w:adjustRightInd w:val="0"/>
        <w:snapToGrid w:val="0"/>
        <w:spacing w:line="360" w:lineRule="auto"/>
        <w:ind w:firstLine="405" w:firstLineChars="192"/>
        <w:rPr>
          <w:rFonts w:ascii="宋体" w:hAnsi="宋体"/>
          <w:b/>
          <w:bCs/>
          <w:color w:val="auto"/>
          <w:szCs w:val="21"/>
          <w:highlight w:val="none"/>
        </w:rPr>
      </w:pPr>
      <w:r>
        <w:rPr>
          <w:rFonts w:hint="eastAsia" w:ascii="宋体" w:hAnsi="宋体"/>
          <w:b/>
          <w:bCs/>
          <w:color w:val="auto"/>
          <w:szCs w:val="21"/>
          <w:highlight w:val="none"/>
        </w:rPr>
        <w:t>第二十八条 合同语言</w:t>
      </w:r>
      <w:bookmarkEnd w:id="111"/>
    </w:p>
    <w:p>
      <w:pPr>
        <w:spacing w:line="360" w:lineRule="auto"/>
        <w:ind w:firstLine="415" w:firstLineChars="198"/>
        <w:rPr>
          <w:rFonts w:ascii="宋体" w:hAnsi="宋体"/>
          <w:color w:val="auto"/>
          <w:szCs w:val="21"/>
          <w:highlight w:val="none"/>
        </w:rPr>
      </w:pPr>
      <w:r>
        <w:rPr>
          <w:rFonts w:ascii="宋体" w:hAnsi="宋体"/>
          <w:color w:val="auto"/>
          <w:szCs w:val="21"/>
          <w:highlight w:val="none"/>
        </w:rPr>
        <w:t>28.1</w:t>
      </w:r>
      <w:r>
        <w:rPr>
          <w:rFonts w:hint="eastAsia" w:ascii="宋体" w:hAnsi="宋体"/>
          <w:color w:val="auto"/>
          <w:szCs w:val="21"/>
          <w:highlight w:val="none"/>
        </w:rPr>
        <w:t>本合同语言为中文。双方交换的与合同有关的信函均用中文书写。</w:t>
      </w:r>
    </w:p>
    <w:p>
      <w:pPr>
        <w:pStyle w:val="283"/>
        <w:spacing w:line="360" w:lineRule="auto"/>
        <w:ind w:firstLine="433" w:firstLineChars="196"/>
        <w:rPr>
          <w:color w:val="auto"/>
          <w:highlight w:val="none"/>
        </w:rPr>
      </w:pPr>
      <w:bookmarkStart w:id="112" w:name="_Toc268054331"/>
      <w:r>
        <w:rPr>
          <w:rFonts w:hint="eastAsia"/>
          <w:color w:val="auto"/>
          <w:highlight w:val="none"/>
        </w:rPr>
        <w:t>第二十九条 适用法律</w:t>
      </w:r>
      <w:bookmarkEnd w:id="112"/>
    </w:p>
    <w:p>
      <w:pPr>
        <w:spacing w:line="360" w:lineRule="auto"/>
        <w:ind w:firstLine="415" w:firstLineChars="198"/>
        <w:rPr>
          <w:rFonts w:ascii="宋体" w:hAnsi="宋体"/>
          <w:b/>
          <w:color w:val="auto"/>
          <w:szCs w:val="21"/>
          <w:highlight w:val="none"/>
        </w:rPr>
      </w:pPr>
      <w:r>
        <w:rPr>
          <w:rFonts w:ascii="宋体" w:hAnsi="宋体"/>
          <w:color w:val="auto"/>
          <w:szCs w:val="21"/>
          <w:highlight w:val="none"/>
        </w:rPr>
        <w:t>29.1</w:t>
      </w:r>
      <w:r>
        <w:rPr>
          <w:rFonts w:hint="eastAsia" w:ascii="宋体" w:hAnsi="宋体"/>
          <w:color w:val="auto"/>
          <w:szCs w:val="21"/>
          <w:highlight w:val="none"/>
        </w:rPr>
        <w:t>本合同应按照中华人民共和国的法律进行解释。</w:t>
      </w:r>
    </w:p>
    <w:p>
      <w:pPr>
        <w:pStyle w:val="283"/>
        <w:spacing w:line="360" w:lineRule="auto"/>
        <w:ind w:firstLine="433" w:firstLineChars="196"/>
        <w:rPr>
          <w:color w:val="auto"/>
          <w:highlight w:val="none"/>
        </w:rPr>
      </w:pPr>
      <w:bookmarkStart w:id="113" w:name="_Toc268054332"/>
      <w:r>
        <w:rPr>
          <w:rFonts w:hint="eastAsia"/>
          <w:color w:val="auto"/>
          <w:highlight w:val="none"/>
        </w:rPr>
        <w:t>第三十条 通知</w:t>
      </w:r>
      <w:bookmarkEnd w:id="113"/>
    </w:p>
    <w:p>
      <w:pPr>
        <w:spacing w:line="360" w:lineRule="auto"/>
        <w:ind w:firstLine="415" w:firstLineChars="198"/>
        <w:rPr>
          <w:rFonts w:ascii="宋体" w:hAnsi="宋体"/>
          <w:color w:val="auto"/>
          <w:szCs w:val="21"/>
          <w:highlight w:val="none"/>
        </w:rPr>
      </w:pPr>
      <w:r>
        <w:rPr>
          <w:rFonts w:ascii="宋体" w:hAnsi="宋体"/>
          <w:color w:val="auto"/>
          <w:szCs w:val="21"/>
          <w:highlight w:val="none"/>
        </w:rPr>
        <w:t>30.1</w:t>
      </w:r>
      <w:r>
        <w:rPr>
          <w:rFonts w:hint="eastAsia" w:ascii="宋体" w:hAnsi="宋体"/>
          <w:color w:val="auto"/>
          <w:szCs w:val="21"/>
          <w:highlight w:val="none"/>
        </w:rPr>
        <w:t>本合同一方给对方的通知应用书面形式传真送到“合同专用条款”和规定的对方的地址。传真要经书面确认。</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30.2</w:t>
      </w:r>
      <w:r>
        <w:rPr>
          <w:rFonts w:hint="eastAsia" w:ascii="宋体" w:hAnsi="宋体"/>
          <w:color w:val="auto"/>
          <w:szCs w:val="21"/>
          <w:highlight w:val="none"/>
        </w:rPr>
        <w:t>通知以送到日期或通知书的生效日期为生效日期，两者中以晚的一个日期为准。</w:t>
      </w:r>
    </w:p>
    <w:p>
      <w:pPr>
        <w:pStyle w:val="283"/>
        <w:spacing w:line="360" w:lineRule="auto"/>
        <w:ind w:firstLine="433" w:firstLineChars="196"/>
        <w:rPr>
          <w:color w:val="auto"/>
          <w:highlight w:val="none"/>
        </w:rPr>
      </w:pPr>
      <w:bookmarkStart w:id="114" w:name="_Toc268054333"/>
      <w:r>
        <w:rPr>
          <w:rFonts w:hint="eastAsia"/>
          <w:color w:val="auto"/>
          <w:highlight w:val="none"/>
        </w:rPr>
        <w:t>第三十一条 税款</w:t>
      </w:r>
      <w:bookmarkEnd w:id="114"/>
    </w:p>
    <w:p>
      <w:pPr>
        <w:spacing w:line="360" w:lineRule="auto"/>
        <w:ind w:firstLine="415" w:firstLineChars="198"/>
        <w:rPr>
          <w:rFonts w:ascii="宋体" w:hAnsi="宋体"/>
          <w:color w:val="auto"/>
          <w:szCs w:val="21"/>
          <w:highlight w:val="none"/>
        </w:rPr>
      </w:pPr>
      <w:r>
        <w:rPr>
          <w:rFonts w:ascii="宋体" w:hAnsi="宋体"/>
          <w:color w:val="auto"/>
          <w:szCs w:val="21"/>
          <w:highlight w:val="none"/>
        </w:rPr>
        <w:t>31.1</w:t>
      </w:r>
      <w:r>
        <w:rPr>
          <w:rFonts w:hint="eastAsia" w:ascii="宋体" w:hAnsi="宋体"/>
          <w:color w:val="auto"/>
          <w:szCs w:val="21"/>
          <w:highlight w:val="none"/>
        </w:rPr>
        <w:t>按照中华人民共和国税法和有关部门的规定，甲方需交纳的与本合同有关的一切税费均应由甲方负担。</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31.2</w:t>
      </w:r>
      <w:r>
        <w:rPr>
          <w:rFonts w:hint="eastAsia" w:ascii="宋体" w:hAnsi="宋体"/>
          <w:color w:val="auto"/>
          <w:szCs w:val="21"/>
          <w:highlight w:val="none"/>
        </w:rPr>
        <w:t>按照中华人民共和国税法和有关部门的规定，乙方需交纳的与本合同有关的一切税费均应由乙方负担。</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31.3</w:t>
      </w:r>
      <w:r>
        <w:rPr>
          <w:rFonts w:hint="eastAsia" w:ascii="宋体" w:hAnsi="宋体"/>
          <w:color w:val="auto"/>
          <w:szCs w:val="21"/>
          <w:highlight w:val="none"/>
        </w:rPr>
        <w:t>在中国境外发生的与本合同执行有关的一切税费均由乙方负担。</w:t>
      </w:r>
    </w:p>
    <w:p>
      <w:pPr>
        <w:pStyle w:val="283"/>
        <w:spacing w:line="360" w:lineRule="auto"/>
        <w:ind w:firstLine="433" w:firstLineChars="196"/>
        <w:rPr>
          <w:color w:val="auto"/>
          <w:highlight w:val="none"/>
        </w:rPr>
      </w:pPr>
      <w:bookmarkStart w:id="115" w:name="_Toc268054334"/>
      <w:r>
        <w:rPr>
          <w:rFonts w:hint="eastAsia"/>
          <w:color w:val="auto"/>
          <w:highlight w:val="none"/>
        </w:rPr>
        <w:t>第三十二条 合同生效及其他</w:t>
      </w:r>
      <w:bookmarkEnd w:id="115"/>
    </w:p>
    <w:p>
      <w:pPr>
        <w:spacing w:line="360" w:lineRule="auto"/>
        <w:ind w:firstLine="415" w:firstLineChars="198"/>
        <w:rPr>
          <w:rFonts w:ascii="宋体" w:hAnsi="宋体"/>
          <w:color w:val="auto"/>
          <w:szCs w:val="21"/>
          <w:highlight w:val="none"/>
        </w:rPr>
      </w:pPr>
      <w:r>
        <w:rPr>
          <w:rFonts w:ascii="宋体" w:hAnsi="宋体"/>
          <w:color w:val="auto"/>
          <w:szCs w:val="21"/>
          <w:highlight w:val="none"/>
        </w:rPr>
        <w:t>32.1</w:t>
      </w:r>
      <w:r>
        <w:rPr>
          <w:rFonts w:hint="eastAsia" w:ascii="宋体" w:hAnsi="宋体"/>
          <w:color w:val="auto"/>
          <w:szCs w:val="21"/>
          <w:highlight w:val="none"/>
        </w:rPr>
        <w:t>本合同应在双方签字并加盖双方公章后生效。</w:t>
      </w:r>
    </w:p>
    <w:p>
      <w:pPr>
        <w:spacing w:line="360" w:lineRule="auto"/>
        <w:ind w:firstLine="415" w:firstLineChars="198"/>
        <w:rPr>
          <w:rFonts w:ascii="宋体" w:hAnsi="宋体"/>
          <w:color w:val="auto"/>
          <w:szCs w:val="21"/>
          <w:highlight w:val="none"/>
        </w:rPr>
      </w:pPr>
      <w:r>
        <w:rPr>
          <w:rFonts w:ascii="宋体" w:hAnsi="宋体"/>
          <w:color w:val="auto"/>
          <w:szCs w:val="21"/>
          <w:highlight w:val="none"/>
        </w:rPr>
        <w:t>32.2</w:t>
      </w:r>
      <w:r>
        <w:rPr>
          <w:rFonts w:hint="eastAsia" w:ascii="宋体" w:hAnsi="宋体"/>
          <w:color w:val="auto"/>
          <w:szCs w:val="21"/>
          <w:highlight w:val="none"/>
        </w:rPr>
        <w:t>下述合同附件为本合同不可分割的部分并与本合同具有同等效力：</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）货物技术规格、参数与要求</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）交货批次及交货时间</w:t>
      </w:r>
    </w:p>
    <w:p>
      <w:pPr>
        <w:spacing w:line="360" w:lineRule="auto"/>
        <w:ind w:firstLine="415" w:firstLineChars="198"/>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）采购文件、响应文件、成交通知书</w:t>
      </w:r>
    </w:p>
    <w:p>
      <w:pPr>
        <w:pStyle w:val="3"/>
        <w:adjustRightInd w:val="0"/>
        <w:snapToGrid w:val="0"/>
        <w:spacing w:before="156" w:beforeLines="50" w:line="360" w:lineRule="auto"/>
        <w:rPr>
          <w:rFonts w:ascii="黑体" w:hAnsi="黑体" w:eastAsia="黑体"/>
          <w:color w:val="auto"/>
          <w:sz w:val="32"/>
          <w:szCs w:val="32"/>
          <w:highlight w:val="none"/>
        </w:rPr>
      </w:pPr>
      <w:r>
        <w:rPr>
          <w:rFonts w:hAnsi="宋体"/>
          <w:b w:val="0"/>
          <w:bCs w:val="0"/>
          <w:color w:val="auto"/>
          <w:sz w:val="52"/>
          <w:szCs w:val="30"/>
          <w:highlight w:val="none"/>
        </w:rPr>
        <w:br w:type="page"/>
      </w:r>
      <w:bookmarkStart w:id="116" w:name="_Toc9872"/>
      <w:r>
        <w:rPr>
          <w:rFonts w:hint="eastAsia" w:ascii="黑体" w:hAnsi="黑体" w:eastAsia="黑体"/>
          <w:color w:val="auto"/>
          <w:sz w:val="32"/>
          <w:szCs w:val="32"/>
          <w:highlight w:val="none"/>
        </w:rPr>
        <w:t>第五章 响应文件组成</w:t>
      </w:r>
      <w:bookmarkEnd w:id="62"/>
      <w:bookmarkEnd w:id="116"/>
    </w:p>
    <w:p>
      <w:pPr>
        <w:widowControl/>
        <w:tabs>
          <w:tab w:val="left" w:pos="753"/>
        </w:tabs>
        <w:adjustRightInd w:val="0"/>
        <w:snapToGrid w:val="0"/>
        <w:spacing w:before="156" w:beforeLines="50" w:line="360" w:lineRule="auto"/>
        <w:ind w:firstLine="480" w:firstLineChars="200"/>
        <w:jc w:val="center"/>
        <w:rPr>
          <w:rFonts w:ascii="宋体" w:hAnsi="宋体"/>
          <w:color w:val="auto"/>
          <w:sz w:val="24"/>
          <w:highlight w:val="none"/>
        </w:rPr>
      </w:pPr>
      <w:r>
        <w:rPr>
          <w:rFonts w:hint="eastAsia" w:ascii="宋体" w:hAnsi="宋体"/>
          <w:color w:val="auto"/>
          <w:sz w:val="24"/>
          <w:highlight w:val="none"/>
        </w:rPr>
        <w:t>目录</w:t>
      </w:r>
    </w:p>
    <w:p>
      <w:pPr>
        <w:adjustRightInd w:val="0"/>
        <w:snapToGrid w:val="0"/>
        <w:spacing w:before="156" w:beforeLines="50" w:line="360" w:lineRule="auto"/>
        <w:rPr>
          <w:rFonts w:ascii="宋体"/>
          <w:color w:val="auto"/>
          <w:highlight w:val="none"/>
        </w:rPr>
      </w:pPr>
      <w:r>
        <w:rPr>
          <w:rFonts w:hint="eastAsia" w:ascii="宋体"/>
          <w:color w:val="auto"/>
          <w:highlight w:val="none"/>
        </w:rPr>
        <w:t>供应商的响应文件应包含以下部分：</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一、谈判响应声明(格式)</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二、法定代表人（单位负责人）身份证明(格式)</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三、授权委托书(格式)</w:t>
      </w:r>
    </w:p>
    <w:p>
      <w:pPr>
        <w:widowControl/>
        <w:tabs>
          <w:tab w:val="left" w:pos="753"/>
        </w:tabs>
        <w:adjustRightInd w:val="0"/>
        <w:snapToGrid w:val="0"/>
        <w:spacing w:before="156" w:beforeLines="50" w:line="360" w:lineRule="auto"/>
        <w:ind w:firstLine="420" w:firstLineChars="200"/>
        <w:rPr>
          <w:rFonts w:ascii="宋体"/>
          <w:color w:val="auto"/>
          <w:szCs w:val="21"/>
          <w:highlight w:val="none"/>
        </w:rPr>
      </w:pPr>
      <w:r>
        <w:rPr>
          <w:rFonts w:hint="eastAsia" w:ascii="宋体" w:hAnsi="宋体"/>
          <w:color w:val="auto"/>
          <w:szCs w:val="21"/>
          <w:highlight w:val="none"/>
        </w:rPr>
        <w:t>四、保证金</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五、报价表及报价文件(格式)</w:t>
      </w:r>
    </w:p>
    <w:p>
      <w:pPr>
        <w:widowControl/>
        <w:tabs>
          <w:tab w:val="left" w:pos="753"/>
        </w:tabs>
        <w:adjustRightInd w:val="0"/>
        <w:snapToGrid w:val="0"/>
        <w:spacing w:before="156" w:beforeLines="50" w:line="360" w:lineRule="auto"/>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六、采购需求的响应</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七、合同条款偏离表</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八、采购需求偏离表</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九、享受政府采购政策优惠的证明资料</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kern w:val="32"/>
          <w:szCs w:val="21"/>
          <w:highlight w:val="none"/>
        </w:rPr>
        <w:t>关于资格的声明(格式)</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十一、响应标的符合谈判文件规定的证明文件</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十二、供应商认为需提供的其他资料</w:t>
      </w:r>
    </w:p>
    <w:p>
      <w:pPr>
        <w:widowControl/>
        <w:tabs>
          <w:tab w:val="left" w:pos="753"/>
        </w:tabs>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三</w:t>
      </w:r>
      <w:r>
        <w:rPr>
          <w:rFonts w:hint="eastAsia" w:ascii="宋体" w:hAnsi="宋体"/>
          <w:color w:val="auto"/>
          <w:szCs w:val="21"/>
          <w:highlight w:val="none"/>
        </w:rPr>
        <w:t>、最终报价</w:t>
      </w:r>
    </w:p>
    <w:p>
      <w:pPr>
        <w:spacing w:line="360" w:lineRule="exact"/>
        <w:jc w:val="center"/>
        <w:rPr>
          <w:rFonts w:ascii="黑体" w:eastAsia="黑体"/>
          <w:b/>
          <w:color w:val="auto"/>
          <w:sz w:val="32"/>
          <w:szCs w:val="32"/>
          <w:highlight w:val="none"/>
        </w:rPr>
      </w:pPr>
    </w:p>
    <w:p>
      <w:pPr>
        <w:spacing w:line="360" w:lineRule="exact"/>
        <w:jc w:val="center"/>
        <w:rPr>
          <w:rFonts w:ascii="黑体" w:eastAsia="黑体"/>
          <w:b/>
          <w:color w:val="auto"/>
          <w:sz w:val="32"/>
          <w:szCs w:val="32"/>
          <w:highlight w:val="none"/>
        </w:rPr>
      </w:pPr>
    </w:p>
    <w:p>
      <w:pPr>
        <w:adjustRightInd w:val="0"/>
        <w:snapToGrid w:val="0"/>
        <w:spacing w:line="360" w:lineRule="auto"/>
        <w:jc w:val="center"/>
        <w:rPr>
          <w:rFonts w:ascii="黑体" w:eastAsia="黑体"/>
          <w:color w:val="auto"/>
          <w:sz w:val="32"/>
          <w:szCs w:val="32"/>
          <w:highlight w:val="none"/>
        </w:rPr>
      </w:pPr>
      <w:r>
        <w:rPr>
          <w:color w:val="auto"/>
          <w:highlight w:val="none"/>
        </w:rPr>
        <w:br w:type="page"/>
      </w:r>
    </w:p>
    <w:p>
      <w:pPr>
        <w:adjustRightInd w:val="0"/>
        <w:snapToGrid w:val="0"/>
        <w:spacing w:line="360" w:lineRule="auto"/>
        <w:jc w:val="center"/>
        <w:rPr>
          <w:rFonts w:ascii="黑体" w:eastAsia="黑体"/>
          <w:color w:val="auto"/>
          <w:sz w:val="32"/>
          <w:szCs w:val="32"/>
          <w:highlight w:val="none"/>
        </w:rPr>
      </w:pPr>
    </w:p>
    <w:p>
      <w:pPr>
        <w:pStyle w:val="26"/>
        <w:adjustRightInd w:val="0"/>
        <w:snapToGrid w:val="0"/>
        <w:spacing w:line="360" w:lineRule="auto"/>
        <w:jc w:val="center"/>
        <w:rPr>
          <w:rFonts w:hAnsi="宋体"/>
          <w:b/>
          <w:bCs/>
          <w:color w:val="auto"/>
          <w:sz w:val="72"/>
          <w:szCs w:val="72"/>
          <w:highlight w:val="none"/>
        </w:rPr>
      </w:pPr>
      <w:r>
        <w:rPr>
          <w:rFonts w:hint="eastAsia" w:hAnsi="宋体"/>
          <w:b/>
          <w:bCs/>
          <w:color w:val="auto"/>
          <w:sz w:val="72"/>
          <w:szCs w:val="72"/>
          <w:highlight w:val="none"/>
        </w:rPr>
        <w:t>政府采购</w:t>
      </w:r>
    </w:p>
    <w:p>
      <w:pPr>
        <w:adjustRightInd w:val="0"/>
        <w:snapToGrid w:val="0"/>
        <w:spacing w:line="360" w:lineRule="auto"/>
        <w:jc w:val="center"/>
        <w:rPr>
          <w:rFonts w:ascii="宋体" w:hAnsi="宋体"/>
          <w:b/>
          <w:bCs/>
          <w:color w:val="auto"/>
          <w:sz w:val="84"/>
          <w:szCs w:val="84"/>
          <w:highlight w:val="none"/>
        </w:rPr>
      </w:pPr>
      <w:r>
        <w:rPr>
          <w:rFonts w:hint="eastAsia" w:ascii="宋体" w:hAnsi="宋体"/>
          <w:b/>
          <w:bCs/>
          <w:color w:val="auto"/>
          <w:sz w:val="84"/>
          <w:szCs w:val="84"/>
          <w:highlight w:val="none"/>
        </w:rPr>
        <w:t>响 应 文 件</w:t>
      </w:r>
    </w:p>
    <w:p>
      <w:pPr>
        <w:adjustRightInd w:val="0"/>
        <w:snapToGrid w:val="0"/>
        <w:spacing w:line="360" w:lineRule="auto"/>
        <w:rPr>
          <w:rFonts w:ascii="黑体" w:hAnsi="黑体" w:eastAsia="黑体"/>
          <w:b/>
          <w:color w:val="auto"/>
          <w:sz w:val="32"/>
          <w:szCs w:val="32"/>
          <w:highlight w:val="none"/>
        </w:rPr>
      </w:pPr>
    </w:p>
    <w:p>
      <w:pPr>
        <w:pStyle w:val="26"/>
        <w:adjustRightInd w:val="0"/>
        <w:snapToGrid w:val="0"/>
        <w:spacing w:line="360" w:lineRule="auto"/>
        <w:ind w:firstLine="1988" w:firstLineChars="660"/>
        <w:rPr>
          <w:rFonts w:hAnsi="宋体"/>
          <w:b/>
          <w:bCs/>
          <w:color w:val="auto"/>
          <w:sz w:val="30"/>
          <w:szCs w:val="30"/>
          <w:highlight w:val="none"/>
        </w:rPr>
      </w:pPr>
    </w:p>
    <w:p>
      <w:pPr>
        <w:pStyle w:val="26"/>
        <w:adjustRightInd w:val="0"/>
        <w:snapToGrid w:val="0"/>
        <w:spacing w:line="360" w:lineRule="auto"/>
        <w:ind w:firstLine="1205" w:firstLineChars="400"/>
        <w:rPr>
          <w:rFonts w:hAnsi="宋体"/>
          <w:b/>
          <w:bCs/>
          <w:color w:val="auto"/>
          <w:sz w:val="30"/>
          <w:szCs w:val="30"/>
          <w:highlight w:val="none"/>
          <w:u w:val="single"/>
        </w:rPr>
      </w:pPr>
      <w:r>
        <w:rPr>
          <w:rFonts w:hint="eastAsia" w:hAnsi="宋体"/>
          <w:b/>
          <w:bCs/>
          <w:color w:val="auto"/>
          <w:sz w:val="30"/>
          <w:szCs w:val="30"/>
          <w:highlight w:val="none"/>
        </w:rPr>
        <w:t>采购项目名称：</w:t>
      </w:r>
      <w:r>
        <w:rPr>
          <w:rFonts w:hint="eastAsia" w:hAnsi="宋体"/>
          <w:b/>
          <w:bCs/>
          <w:color w:val="auto"/>
          <w:sz w:val="30"/>
          <w:szCs w:val="30"/>
          <w:highlight w:val="none"/>
          <w:u w:val="single"/>
        </w:rPr>
        <w:t xml:space="preserve">                           </w:t>
      </w:r>
    </w:p>
    <w:p>
      <w:pPr>
        <w:pStyle w:val="26"/>
        <w:adjustRightInd w:val="0"/>
        <w:snapToGrid w:val="0"/>
        <w:spacing w:line="360" w:lineRule="auto"/>
        <w:ind w:firstLine="1205" w:firstLineChars="400"/>
        <w:rPr>
          <w:rFonts w:hAnsi="宋体"/>
          <w:b/>
          <w:bCs/>
          <w:color w:val="auto"/>
          <w:sz w:val="30"/>
          <w:szCs w:val="30"/>
          <w:highlight w:val="none"/>
        </w:rPr>
      </w:pPr>
      <w:r>
        <w:rPr>
          <w:rFonts w:hint="eastAsia" w:hAnsi="宋体"/>
          <w:b/>
          <w:bCs/>
          <w:color w:val="auto"/>
          <w:sz w:val="30"/>
          <w:szCs w:val="30"/>
          <w:highlight w:val="none"/>
        </w:rPr>
        <w:t>采   购   人：</w:t>
      </w:r>
      <w:r>
        <w:rPr>
          <w:rFonts w:hint="eastAsia" w:hAnsi="宋体"/>
          <w:b/>
          <w:bCs/>
          <w:color w:val="auto"/>
          <w:sz w:val="30"/>
          <w:szCs w:val="30"/>
          <w:highlight w:val="none"/>
          <w:u w:val="single"/>
        </w:rPr>
        <w:t xml:space="preserve">                           </w:t>
      </w:r>
    </w:p>
    <w:p>
      <w:pPr>
        <w:pStyle w:val="26"/>
        <w:adjustRightInd w:val="0"/>
        <w:snapToGrid w:val="0"/>
        <w:spacing w:line="360" w:lineRule="auto"/>
        <w:ind w:firstLine="1205" w:firstLineChars="400"/>
        <w:rPr>
          <w:rFonts w:hAnsi="宋体"/>
          <w:b/>
          <w:bCs/>
          <w:color w:val="auto"/>
          <w:sz w:val="30"/>
          <w:szCs w:val="30"/>
          <w:highlight w:val="none"/>
        </w:rPr>
      </w:pPr>
      <w:r>
        <w:rPr>
          <w:rFonts w:hint="eastAsia" w:hAnsi="宋体"/>
          <w:b/>
          <w:bCs/>
          <w:color w:val="auto"/>
          <w:sz w:val="30"/>
          <w:szCs w:val="30"/>
          <w:highlight w:val="none"/>
        </w:rPr>
        <w:t>政府采购编号：</w:t>
      </w:r>
      <w:r>
        <w:rPr>
          <w:rFonts w:hint="eastAsia" w:hAnsi="宋体"/>
          <w:b/>
          <w:bCs/>
          <w:color w:val="auto"/>
          <w:sz w:val="30"/>
          <w:szCs w:val="30"/>
          <w:highlight w:val="none"/>
          <w:u w:val="single"/>
        </w:rPr>
        <w:t xml:space="preserve">                           </w:t>
      </w:r>
    </w:p>
    <w:p>
      <w:pPr>
        <w:pStyle w:val="26"/>
        <w:adjustRightInd w:val="0"/>
        <w:snapToGrid w:val="0"/>
        <w:spacing w:line="360" w:lineRule="auto"/>
        <w:ind w:firstLine="1205" w:firstLineChars="400"/>
        <w:rPr>
          <w:rFonts w:hAnsi="宋体"/>
          <w:b/>
          <w:bCs/>
          <w:color w:val="auto"/>
          <w:sz w:val="30"/>
          <w:szCs w:val="30"/>
          <w:highlight w:val="none"/>
        </w:rPr>
      </w:pPr>
      <w:r>
        <w:rPr>
          <w:rFonts w:hint="eastAsia" w:hAnsi="宋体"/>
          <w:b/>
          <w:bCs/>
          <w:color w:val="auto"/>
          <w:sz w:val="30"/>
          <w:szCs w:val="30"/>
          <w:highlight w:val="none"/>
        </w:rPr>
        <w:t>采购代理编号：</w:t>
      </w:r>
      <w:r>
        <w:rPr>
          <w:rFonts w:hint="eastAsia" w:hAnsi="宋体"/>
          <w:b/>
          <w:bCs/>
          <w:color w:val="auto"/>
          <w:sz w:val="30"/>
          <w:szCs w:val="30"/>
          <w:highlight w:val="none"/>
          <w:u w:val="single"/>
        </w:rPr>
        <w:t xml:space="preserve">                           </w:t>
      </w:r>
    </w:p>
    <w:p>
      <w:pPr>
        <w:pStyle w:val="26"/>
        <w:adjustRightInd w:val="0"/>
        <w:snapToGrid w:val="0"/>
        <w:spacing w:line="360" w:lineRule="auto"/>
        <w:ind w:firstLine="1205" w:firstLineChars="400"/>
        <w:rPr>
          <w:rFonts w:hAnsi="宋体"/>
          <w:b/>
          <w:bCs/>
          <w:color w:val="auto"/>
          <w:sz w:val="30"/>
          <w:szCs w:val="30"/>
          <w:highlight w:val="none"/>
          <w:u w:val="single"/>
        </w:rPr>
      </w:pPr>
      <w:r>
        <w:rPr>
          <w:rFonts w:hint="eastAsia" w:hAnsi="宋体"/>
          <w:b/>
          <w:bCs/>
          <w:color w:val="auto"/>
          <w:sz w:val="30"/>
          <w:szCs w:val="30"/>
          <w:highlight w:val="none"/>
        </w:rPr>
        <w:t>采购代理机构：</w:t>
      </w:r>
      <w:r>
        <w:rPr>
          <w:rFonts w:hint="eastAsia" w:hAnsi="宋体"/>
          <w:b/>
          <w:bCs/>
          <w:color w:val="auto"/>
          <w:sz w:val="30"/>
          <w:szCs w:val="30"/>
          <w:highlight w:val="none"/>
          <w:u w:val="single"/>
        </w:rPr>
        <w:t xml:space="preserve">                           </w:t>
      </w:r>
    </w:p>
    <w:p>
      <w:pPr>
        <w:adjustRightInd w:val="0"/>
        <w:snapToGrid w:val="0"/>
        <w:spacing w:line="360" w:lineRule="auto"/>
        <w:rPr>
          <w:rFonts w:ascii="黑体" w:hAnsi="黑体" w:eastAsia="黑体"/>
          <w:color w:val="auto"/>
          <w:sz w:val="30"/>
          <w:szCs w:val="30"/>
          <w:highlight w:val="none"/>
        </w:rPr>
      </w:pPr>
    </w:p>
    <w:p>
      <w:pPr>
        <w:adjustRightInd w:val="0"/>
        <w:snapToGrid w:val="0"/>
        <w:rPr>
          <w:rFonts w:ascii="黑体" w:hAnsi="宋体" w:eastAsia="黑体"/>
          <w:color w:val="auto"/>
          <w:sz w:val="30"/>
          <w:szCs w:val="30"/>
          <w:highlight w:val="none"/>
        </w:rPr>
      </w:pPr>
    </w:p>
    <w:p>
      <w:pPr>
        <w:adjustRightInd w:val="0"/>
        <w:snapToGrid w:val="0"/>
        <w:spacing w:line="360" w:lineRule="auto"/>
        <w:rPr>
          <w:rFonts w:ascii="黑体" w:hAnsi="宋体" w:eastAsia="黑体"/>
          <w:color w:val="auto"/>
          <w:sz w:val="30"/>
          <w:szCs w:val="30"/>
          <w:highlight w:val="none"/>
        </w:rPr>
      </w:pPr>
    </w:p>
    <w:p>
      <w:pPr>
        <w:adjustRightInd w:val="0"/>
        <w:snapToGrid w:val="0"/>
        <w:spacing w:line="360" w:lineRule="auto"/>
        <w:rPr>
          <w:rFonts w:ascii="黑体" w:hAnsi="宋体" w:eastAsia="黑体"/>
          <w:color w:val="auto"/>
          <w:sz w:val="30"/>
          <w:szCs w:val="30"/>
          <w:highlight w:val="none"/>
        </w:rPr>
      </w:pPr>
    </w:p>
    <w:p>
      <w:pPr>
        <w:adjustRightInd w:val="0"/>
        <w:snapToGrid w:val="0"/>
        <w:spacing w:line="360" w:lineRule="auto"/>
        <w:rPr>
          <w:rFonts w:ascii="黑体" w:hAnsi="宋体" w:eastAsia="黑体"/>
          <w:color w:val="auto"/>
          <w:sz w:val="30"/>
          <w:szCs w:val="30"/>
          <w:highlight w:val="none"/>
        </w:rPr>
      </w:pPr>
    </w:p>
    <w:p>
      <w:pPr>
        <w:adjustRightInd w:val="0"/>
        <w:snapToGrid w:val="0"/>
        <w:spacing w:line="360" w:lineRule="auto"/>
        <w:ind w:firstLine="1984" w:firstLineChars="620"/>
        <w:rPr>
          <w:rFonts w:ascii="黑体" w:hAnsi="黑体" w:eastAsia="黑体"/>
          <w:color w:val="auto"/>
          <w:sz w:val="32"/>
          <w:szCs w:val="32"/>
          <w:highlight w:val="none"/>
          <w:u w:val="single"/>
        </w:rPr>
      </w:pPr>
      <w:r>
        <w:rPr>
          <w:rFonts w:hint="eastAsia" w:ascii="黑体" w:hAnsi="黑体" w:eastAsia="黑体"/>
          <w:color w:val="auto"/>
          <w:sz w:val="32"/>
          <w:szCs w:val="32"/>
          <w:highlight w:val="none"/>
        </w:rPr>
        <w:t>供应商</w:t>
      </w:r>
      <w:r>
        <w:rPr>
          <w:rFonts w:hint="eastAsia" w:hAnsi="宋体"/>
          <w:b/>
          <w:bCs/>
          <w:color w:val="auto"/>
          <w:sz w:val="30"/>
          <w:szCs w:val="30"/>
          <w:highlight w:val="none"/>
        </w:rPr>
        <w:t>：</w:t>
      </w:r>
      <w:r>
        <w:rPr>
          <w:rFonts w:hint="eastAsia" w:hAnsi="宋体"/>
          <w:b/>
          <w:bCs/>
          <w:color w:val="auto"/>
          <w:sz w:val="30"/>
          <w:szCs w:val="30"/>
          <w:highlight w:val="none"/>
          <w:u w:val="single"/>
        </w:rPr>
        <w:t xml:space="preserve">                           </w:t>
      </w:r>
    </w:p>
    <w:p>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年  月  日</w:t>
      </w:r>
    </w:p>
    <w:p>
      <w:pPr>
        <w:pStyle w:val="4"/>
        <w:rPr>
          <w:rFonts w:ascii="宋体" w:hAnsi="宋体"/>
          <w:color w:val="auto"/>
          <w:sz w:val="21"/>
          <w:szCs w:val="21"/>
          <w:highlight w:val="none"/>
        </w:rPr>
      </w:pPr>
      <w:r>
        <w:rPr>
          <w:rFonts w:hAnsi="宋体"/>
          <w:color w:val="auto"/>
          <w:highlight w:val="none"/>
        </w:rPr>
        <w:br w:type="page"/>
      </w:r>
      <w:bookmarkStart w:id="117" w:name="_Toc20485"/>
      <w:bookmarkStart w:id="118" w:name="_Toc22201151"/>
      <w:r>
        <w:rPr>
          <w:rFonts w:hint="eastAsia" w:ascii="宋体" w:hAnsi="宋体"/>
          <w:color w:val="auto"/>
          <w:sz w:val="21"/>
          <w:szCs w:val="21"/>
          <w:highlight w:val="none"/>
        </w:rPr>
        <w:t>索引表 符合性审查索引表</w:t>
      </w:r>
      <w:bookmarkEnd w:id="117"/>
      <w:bookmarkEnd w:id="118"/>
    </w:p>
    <w:p>
      <w:pPr>
        <w:adjustRightInd w:val="0"/>
        <w:spacing w:before="156"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符合性审查索引表</w:t>
      </w:r>
    </w:p>
    <w:tbl>
      <w:tblPr>
        <w:tblStyle w:val="47"/>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序号</w:t>
            </w:r>
          </w:p>
        </w:tc>
        <w:tc>
          <w:tcPr>
            <w:tcW w:w="1871" w:type="dxa"/>
            <w:tcBorders>
              <w:right w:val="single" w:color="auto" w:sz="4" w:space="0"/>
            </w:tcBorders>
            <w:shd w:val="clear" w:color="auto" w:fill="auto"/>
            <w:vAlign w:val="center"/>
          </w:tcPr>
          <w:p>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 w:val="20"/>
                <w:szCs w:val="21"/>
                <w:highlight w:val="none"/>
              </w:rPr>
              <w:t>谈判文件条款号</w:t>
            </w:r>
          </w:p>
        </w:tc>
        <w:tc>
          <w:tcPr>
            <w:tcW w:w="2410" w:type="dxa"/>
            <w:tcBorders>
              <w:left w:val="single" w:color="auto" w:sz="4" w:space="0"/>
            </w:tcBorders>
            <w:shd w:val="clear" w:color="auto" w:fill="auto"/>
            <w:vAlign w:val="center"/>
          </w:tcPr>
          <w:p>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审查内容及标准</w:t>
            </w:r>
          </w:p>
        </w:tc>
        <w:tc>
          <w:tcPr>
            <w:tcW w:w="2268" w:type="dxa"/>
            <w:shd w:val="clear" w:color="auto" w:fill="auto"/>
            <w:vAlign w:val="center"/>
          </w:tcPr>
          <w:p>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响应文件及证明材料</w:t>
            </w:r>
          </w:p>
        </w:tc>
        <w:tc>
          <w:tcPr>
            <w:tcW w:w="1722" w:type="dxa"/>
            <w:shd w:val="clear" w:color="auto" w:fill="auto"/>
            <w:vAlign w:val="center"/>
          </w:tcPr>
          <w:p>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响应文件对应内容的册及页码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871" w:type="dxa"/>
            <w:tcBorders>
              <w:righ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410" w:type="dxa"/>
            <w:tcBorders>
              <w:left w:val="single" w:color="auto" w:sz="4" w:space="0"/>
            </w:tcBorders>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2268"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c>
          <w:tcPr>
            <w:tcW w:w="1722" w:type="dxa"/>
            <w:shd w:val="clear" w:color="auto" w:fill="auto"/>
          </w:tcPr>
          <w:p>
            <w:pPr>
              <w:adjustRightInd w:val="0"/>
              <w:snapToGrid w:val="0"/>
              <w:spacing w:before="156" w:beforeLines="50" w:line="360" w:lineRule="auto"/>
              <w:jc w:val="center"/>
              <w:rPr>
                <w:rFonts w:ascii="宋体" w:hAnsi="宋体"/>
                <w:color w:val="auto"/>
                <w:kern w:val="0"/>
                <w:sz w:val="20"/>
                <w:szCs w:val="21"/>
                <w:highlight w:val="none"/>
              </w:rPr>
            </w:pPr>
          </w:p>
        </w:tc>
      </w:tr>
    </w:tbl>
    <w:p>
      <w:pPr>
        <w:rPr>
          <w:color w:val="auto"/>
          <w:highlight w:val="none"/>
        </w:rPr>
      </w:pPr>
    </w:p>
    <w:p>
      <w:pPr>
        <w:pStyle w:val="4"/>
        <w:jc w:val="center"/>
        <w:rPr>
          <w:rFonts w:ascii="黑体" w:hAnsi="黑体" w:eastAsia="黑体"/>
          <w:color w:val="auto"/>
          <w:sz w:val="28"/>
          <w:szCs w:val="28"/>
          <w:highlight w:val="none"/>
        </w:rPr>
      </w:pPr>
      <w:r>
        <w:rPr>
          <w:rFonts w:ascii="黑体" w:hAnsi="黑体" w:eastAsia="黑体"/>
          <w:color w:val="auto"/>
          <w:sz w:val="28"/>
          <w:szCs w:val="28"/>
          <w:highlight w:val="none"/>
        </w:rPr>
        <w:br w:type="page"/>
      </w:r>
      <w:bookmarkStart w:id="119" w:name="_Toc31271"/>
      <w:r>
        <w:rPr>
          <w:rFonts w:hint="eastAsia" w:ascii="黑体" w:hAnsi="黑体" w:eastAsia="黑体"/>
          <w:color w:val="auto"/>
          <w:sz w:val="28"/>
          <w:szCs w:val="28"/>
          <w:highlight w:val="none"/>
        </w:rPr>
        <w:t>一、谈判响应声明(格式)</w:t>
      </w:r>
      <w:bookmarkEnd w:id="119"/>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(采购人、采购代理机构)：</w:t>
      </w:r>
    </w:p>
    <w:p>
      <w:pPr>
        <w:adjustRightInd w:val="0"/>
        <w:snapToGrid w:val="0"/>
        <w:spacing w:before="156" w:beforeLines="50" w:line="360" w:lineRule="auto"/>
        <w:ind w:firstLine="435"/>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rPr>
        <w:t>（项目名称）的谈判邀请（</w:t>
      </w:r>
      <w:r>
        <w:rPr>
          <w:rFonts w:hint="eastAsia" w:ascii="宋体" w:hAnsi="宋体"/>
          <w:color w:val="auto"/>
          <w:highlight w:val="none"/>
        </w:rPr>
        <w:t>政府</w:t>
      </w:r>
      <w:r>
        <w:rPr>
          <w:rFonts w:hint="eastAsia" w:ascii="宋体" w:hAnsi="宋体"/>
          <w:iCs/>
          <w:color w:val="auto"/>
          <w:highlight w:val="none"/>
        </w:rPr>
        <w:t>采购编号：</w:t>
      </w:r>
      <w:r>
        <w:rPr>
          <w:rFonts w:hint="eastAsia" w:ascii="宋体" w:hAnsi="宋体"/>
          <w:iCs/>
          <w:color w:val="auto"/>
          <w:highlight w:val="none"/>
          <w:u w:val="single"/>
        </w:rPr>
        <w:t xml:space="preserve">                   </w:t>
      </w:r>
      <w:r>
        <w:rPr>
          <w:rFonts w:hint="eastAsia" w:ascii="宋体" w:hAnsi="宋体"/>
          <w:iCs/>
          <w:color w:val="auto"/>
          <w:highlight w:val="none"/>
        </w:rPr>
        <w:t>，</w:t>
      </w:r>
      <w:r>
        <w:rPr>
          <w:rFonts w:hint="eastAsia" w:ascii="宋体" w:hAnsi="宋体"/>
          <w:color w:val="auto"/>
          <w:szCs w:val="21"/>
          <w:highlight w:val="none"/>
        </w:rPr>
        <w:t>采购代理编号：</w:t>
      </w:r>
      <w:r>
        <w:rPr>
          <w:rFonts w:hint="eastAsia" w:ascii="宋体" w:hAnsi="宋体"/>
          <w:color w:val="auto"/>
          <w:szCs w:val="21"/>
          <w:highlight w:val="none"/>
          <w:u w:val="single"/>
        </w:rPr>
        <w:t xml:space="preserve">                </w:t>
      </w:r>
      <w:r>
        <w:rPr>
          <w:rFonts w:hint="eastAsia" w:ascii="宋体" w:hAnsi="宋体"/>
          <w:color w:val="auto"/>
          <w:szCs w:val="21"/>
          <w:highlight w:val="none"/>
        </w:rPr>
        <w:t>），签字代表</w:t>
      </w:r>
      <w:r>
        <w:rPr>
          <w:rFonts w:hint="eastAsia" w:ascii="宋体" w:hAnsi="宋体"/>
          <w:color w:val="auto"/>
          <w:szCs w:val="21"/>
          <w:highlight w:val="none"/>
          <w:u w:val="single"/>
        </w:rPr>
        <w:t xml:space="preserve">              </w:t>
      </w:r>
      <w:r>
        <w:rPr>
          <w:rFonts w:hint="eastAsia" w:ascii="宋体" w:hAnsi="宋体"/>
          <w:color w:val="auto"/>
          <w:szCs w:val="21"/>
          <w:highlight w:val="none"/>
        </w:rPr>
        <w:t>（姓名、职务）经正式授权并代表供应商</w:t>
      </w:r>
      <w:r>
        <w:rPr>
          <w:rFonts w:hint="eastAsia" w:ascii="宋体" w:hAnsi="宋体"/>
          <w:color w:val="auto"/>
          <w:szCs w:val="21"/>
          <w:highlight w:val="none"/>
          <w:u w:val="single"/>
        </w:rPr>
        <w:t xml:space="preserve">                          </w:t>
      </w:r>
      <w:r>
        <w:rPr>
          <w:rFonts w:hint="eastAsia" w:ascii="宋体" w:hAnsi="宋体"/>
          <w:color w:val="auto"/>
          <w:szCs w:val="21"/>
          <w:highlight w:val="none"/>
        </w:rPr>
        <w:t>（供应商名称）提交响应文件正本一份,副本</w:t>
      </w:r>
      <w:r>
        <w:rPr>
          <w:rFonts w:hint="eastAsia" w:ascii="宋体" w:hAnsi="宋体"/>
          <w:color w:val="auto"/>
          <w:szCs w:val="21"/>
          <w:highlight w:val="none"/>
          <w:u w:val="single"/>
        </w:rPr>
        <w:t xml:space="preserve">   </w:t>
      </w:r>
      <w:r>
        <w:rPr>
          <w:rFonts w:hint="eastAsia" w:ascii="宋体" w:hAnsi="宋体"/>
          <w:color w:val="auto"/>
          <w:szCs w:val="21"/>
          <w:highlight w:val="none"/>
        </w:rPr>
        <w:t>份；响应文件电子文档一份，参加采购项目谈判，并在此声明，所递交的响应文件内容完整、真实。</w:t>
      </w:r>
    </w:p>
    <w:p>
      <w:pPr>
        <w:pStyle w:val="26"/>
        <w:adjustRightInd w:val="0"/>
        <w:snapToGrid w:val="0"/>
        <w:spacing w:before="156" w:beforeLines="50" w:line="360" w:lineRule="auto"/>
        <w:ind w:firstLine="420" w:firstLineChars="200"/>
        <w:rPr>
          <w:rFonts w:hAnsi="宋体"/>
          <w:color w:val="auto"/>
          <w:highlight w:val="none"/>
        </w:rPr>
      </w:pPr>
      <w:r>
        <w:rPr>
          <w:rFonts w:hint="eastAsia" w:hAnsi="宋体"/>
          <w:color w:val="auto"/>
          <w:highlight w:val="none"/>
        </w:rPr>
        <w:t>一、我方已详细审查谈判文件。我们完全理解并同意放弃对这方面有不明及误解的权力。</w:t>
      </w:r>
    </w:p>
    <w:p>
      <w:pPr>
        <w:pStyle w:val="26"/>
        <w:adjustRightInd w:val="0"/>
        <w:snapToGrid w:val="0"/>
        <w:spacing w:before="156" w:beforeLines="50" w:line="360" w:lineRule="auto"/>
        <w:ind w:firstLine="420" w:firstLineChars="200"/>
        <w:rPr>
          <w:rFonts w:hAnsi="宋体"/>
          <w:bCs/>
          <w:color w:val="auto"/>
          <w:highlight w:val="none"/>
        </w:rPr>
      </w:pPr>
      <w:r>
        <w:rPr>
          <w:rFonts w:hint="eastAsia" w:hAnsi="宋体"/>
          <w:color w:val="auto"/>
          <w:highlight w:val="none"/>
        </w:rPr>
        <w:t>二、我方愿意向贵方提供任何与本项采购有关的数据、情况和技术资料。若贵方需要，我方愿意提供我方作出的一切承诺的证明材料。</w:t>
      </w:r>
    </w:p>
    <w:p>
      <w:pPr>
        <w:pStyle w:val="26"/>
        <w:adjustRightInd w:val="0"/>
        <w:snapToGrid w:val="0"/>
        <w:spacing w:before="156" w:beforeLines="50" w:line="360" w:lineRule="auto"/>
        <w:ind w:firstLine="420" w:firstLineChars="200"/>
        <w:rPr>
          <w:rFonts w:hAnsi="宋体"/>
          <w:color w:val="auto"/>
          <w:highlight w:val="none"/>
        </w:rPr>
      </w:pPr>
      <w:r>
        <w:rPr>
          <w:rFonts w:hint="eastAsia" w:hAnsi="宋体"/>
          <w:color w:val="auto"/>
          <w:highlight w:val="none"/>
        </w:rPr>
        <w:t>三、我方愿意按谈判文件规定和谈判小组要求重新提交响应文件和最后报价。</w:t>
      </w:r>
    </w:p>
    <w:p>
      <w:pPr>
        <w:pStyle w:val="26"/>
        <w:adjustRightInd w:val="0"/>
        <w:snapToGrid w:val="0"/>
        <w:spacing w:before="156" w:beforeLines="50" w:line="360" w:lineRule="auto"/>
        <w:ind w:firstLine="420" w:firstLineChars="200"/>
        <w:rPr>
          <w:rFonts w:hAnsi="宋体"/>
          <w:color w:val="auto"/>
          <w:highlight w:val="none"/>
        </w:rPr>
      </w:pPr>
      <w:r>
        <w:rPr>
          <w:rFonts w:hint="eastAsia" w:hAnsi="宋体"/>
          <w:color w:val="auto"/>
          <w:highlight w:val="none"/>
        </w:rPr>
        <w:t>四、我方同意在谈判文件中规定的提交首次响应文件截止时间起日内(响应文件有效期)遵守本响应文件中的承诺且在此期限期满之前均具有法律约束力。</w:t>
      </w:r>
    </w:p>
    <w:p>
      <w:pPr>
        <w:pStyle w:val="26"/>
        <w:adjustRightInd w:val="0"/>
        <w:snapToGrid w:val="0"/>
        <w:spacing w:before="156" w:beforeLines="50" w:line="360" w:lineRule="auto"/>
        <w:ind w:firstLine="420" w:firstLineChars="200"/>
        <w:rPr>
          <w:rFonts w:hAnsi="宋体"/>
          <w:color w:val="auto"/>
          <w:highlight w:val="none"/>
        </w:rPr>
      </w:pPr>
      <w:r>
        <w:rPr>
          <w:rFonts w:hint="eastAsia" w:hAnsi="宋体"/>
          <w:color w:val="auto"/>
          <w:highlight w:val="none"/>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pPr>
        <w:pStyle w:val="26"/>
        <w:adjustRightInd w:val="0"/>
        <w:snapToGrid w:val="0"/>
        <w:spacing w:before="156" w:beforeLines="50" w:line="360" w:lineRule="auto"/>
        <w:ind w:firstLine="420" w:firstLineChars="200"/>
        <w:rPr>
          <w:rFonts w:hAnsi="宋体"/>
          <w:color w:val="auto"/>
          <w:highlight w:val="none"/>
        </w:rPr>
      </w:pPr>
      <w:r>
        <w:rPr>
          <w:rFonts w:hint="eastAsia" w:hAnsi="宋体"/>
          <w:color w:val="auto"/>
          <w:highlight w:val="none"/>
        </w:rPr>
        <w:t>六、我方承诺在参与竞争性谈判过程中，若出现《政府采购法》第七十七条、《政府采购法实施条例》第七十二条和《政府采购非招标方式管理办法》第五十四条规定之情形，我方同意接受条款规定作出的处罚。</w:t>
      </w:r>
    </w:p>
    <w:p>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七、我方的联系方式：</w:t>
      </w:r>
      <w:r>
        <w:rPr>
          <w:rFonts w:hint="eastAsia" w:hAnsi="宋体"/>
          <w:b/>
          <w:bCs/>
          <w:color w:val="auto"/>
          <w:sz w:val="30"/>
          <w:szCs w:val="30"/>
          <w:highlight w:val="none"/>
          <w:u w:val="single"/>
        </w:rPr>
        <w:t xml:space="preserve">                           </w:t>
      </w:r>
    </w:p>
    <w:p>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地址：</w:t>
      </w:r>
      <w:r>
        <w:rPr>
          <w:rFonts w:hint="eastAsia" w:hAnsi="宋体"/>
          <w:b/>
          <w:bCs/>
          <w:color w:val="auto"/>
          <w:sz w:val="30"/>
          <w:szCs w:val="30"/>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adjustRightInd w:val="0"/>
        <w:snapToGrid w:val="0"/>
        <w:spacing w:before="156"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电话：</w:t>
      </w:r>
      <w:r>
        <w:rPr>
          <w:rFonts w:hint="eastAsia" w:ascii="宋体" w:hAnsi="宋体"/>
          <w:color w:val="auto"/>
          <w:szCs w:val="21"/>
          <w:highlight w:val="none"/>
          <w:u w:val="single"/>
        </w:rPr>
        <w:t xml:space="preserve">               </w:t>
      </w:r>
      <w:r>
        <w:rPr>
          <w:rFonts w:hint="eastAsia" w:ascii="宋体" w:hAnsi="宋体"/>
          <w:color w:val="auto"/>
          <w:szCs w:val="21"/>
          <w:highlight w:val="none"/>
        </w:rPr>
        <w:t>；电子邮箱：</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pStyle w:val="26"/>
        <w:adjustRightInd w:val="0"/>
        <w:snapToGrid w:val="0"/>
        <w:spacing w:before="156" w:beforeLines="50" w:line="360" w:lineRule="auto"/>
        <w:rPr>
          <w:rFonts w:hAnsi="宋体"/>
          <w:color w:val="auto"/>
          <w:highlight w:val="none"/>
        </w:rPr>
      </w:pPr>
    </w:p>
    <w:p>
      <w:pPr>
        <w:pStyle w:val="26"/>
        <w:adjustRightInd w:val="0"/>
        <w:snapToGrid w:val="0"/>
        <w:spacing w:before="156" w:beforeLines="50" w:line="360" w:lineRule="auto"/>
        <w:rPr>
          <w:rFonts w:hAnsi="宋体"/>
          <w:color w:val="auto"/>
          <w:highlight w:val="none"/>
        </w:rPr>
      </w:pPr>
      <w:r>
        <w:rPr>
          <w:rFonts w:hint="eastAsia" w:hAnsi="宋体"/>
          <w:color w:val="auto"/>
          <w:highlight w:val="none"/>
        </w:rPr>
        <w:t>供应商名称(盖单位公章)：</w:t>
      </w:r>
      <w:r>
        <w:rPr>
          <w:rFonts w:hint="eastAsia" w:hAnsi="宋体"/>
          <w:b/>
          <w:bCs/>
          <w:color w:val="auto"/>
          <w:sz w:val="30"/>
          <w:szCs w:val="30"/>
          <w:highlight w:val="none"/>
          <w:u w:val="single"/>
        </w:rPr>
        <w:t xml:space="preserve">                           </w:t>
      </w:r>
    </w:p>
    <w:p>
      <w:pPr>
        <w:adjustRightInd w:val="0"/>
        <w:snapToGrid w:val="0"/>
        <w:spacing w:before="156"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hAnsi="宋体"/>
          <w:b/>
          <w:bCs/>
          <w:color w:val="auto"/>
          <w:sz w:val="30"/>
          <w:szCs w:val="30"/>
          <w:highlight w:val="none"/>
          <w:u w:val="single"/>
        </w:rPr>
        <w:t xml:space="preserve">      </w:t>
      </w: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pStyle w:val="4"/>
        <w:jc w:val="center"/>
        <w:rPr>
          <w:rFonts w:ascii="黑体" w:hAnsi="黑体" w:eastAsia="黑体"/>
          <w:color w:val="auto"/>
          <w:sz w:val="28"/>
          <w:szCs w:val="28"/>
          <w:highlight w:val="none"/>
        </w:rPr>
      </w:pPr>
      <w:r>
        <w:rPr>
          <w:rFonts w:ascii="宋体" w:hAnsi="宋体"/>
          <w:color w:val="auto"/>
          <w:szCs w:val="21"/>
          <w:highlight w:val="none"/>
        </w:rPr>
        <w:br w:type="page"/>
      </w:r>
      <w:bookmarkStart w:id="120" w:name="_Toc22833"/>
      <w:r>
        <w:rPr>
          <w:rFonts w:hint="eastAsia" w:ascii="黑体" w:hAnsi="黑体" w:eastAsia="黑体"/>
          <w:color w:val="auto"/>
          <w:sz w:val="28"/>
          <w:szCs w:val="28"/>
          <w:highlight w:val="none"/>
        </w:rPr>
        <w:t>二、法定代表人（单位负责人）身份证明(格式)</w:t>
      </w:r>
      <w:bookmarkEnd w:id="120"/>
    </w:p>
    <w:p>
      <w:pPr>
        <w:tabs>
          <w:tab w:val="left" w:pos="3880"/>
        </w:tabs>
        <w:autoSpaceDE w:val="0"/>
        <w:autoSpaceDN w:val="0"/>
        <w:adjustRightInd w:val="0"/>
        <w:snapToGrid w:val="0"/>
        <w:spacing w:before="156" w:beforeLines="50" w:line="360" w:lineRule="auto"/>
        <w:ind w:left="100" w:right="-20"/>
        <w:jc w:val="left"/>
        <w:rPr>
          <w:rFonts w:ascii="宋体" w:hAnsi="宋体" w:cs="微软雅黑"/>
          <w:color w:val="auto"/>
          <w:kern w:val="0"/>
          <w:position w:val="-4"/>
          <w:szCs w:val="21"/>
          <w:highlight w:val="none"/>
        </w:rPr>
      </w:pPr>
    </w:p>
    <w:p>
      <w:pPr>
        <w:tabs>
          <w:tab w:val="left" w:pos="3880"/>
        </w:tabs>
        <w:autoSpaceDE w:val="0"/>
        <w:autoSpaceDN w:val="0"/>
        <w:adjustRightInd w:val="0"/>
        <w:snapToGrid w:val="0"/>
        <w:spacing w:before="156" w:beforeLines="50" w:line="360" w:lineRule="auto"/>
        <w:ind w:left="100" w:right="-20"/>
        <w:jc w:val="left"/>
        <w:rPr>
          <w:rFonts w:ascii="宋体" w:hAnsi="宋体" w:cs="微软雅黑"/>
          <w:color w:val="auto"/>
          <w:kern w:val="0"/>
          <w:szCs w:val="21"/>
          <w:highlight w:val="none"/>
        </w:rPr>
      </w:pPr>
      <w:r>
        <w:rPr>
          <w:rFonts w:hint="eastAsia" w:ascii="宋体" w:hAnsi="宋体" w:cs="微软雅黑"/>
          <w:color w:val="auto"/>
          <w:kern w:val="0"/>
          <w:position w:val="-4"/>
          <w:szCs w:val="21"/>
          <w:highlight w:val="none"/>
        </w:rPr>
        <w:t>供应商名</w:t>
      </w:r>
      <w:r>
        <w:rPr>
          <w:rFonts w:hint="eastAsia" w:ascii="宋体" w:hAnsi="宋体" w:cs="微软雅黑"/>
          <w:color w:val="auto"/>
          <w:spacing w:val="-2"/>
          <w:kern w:val="0"/>
          <w:position w:val="-4"/>
          <w:szCs w:val="21"/>
          <w:highlight w:val="none"/>
        </w:rPr>
        <w:t>称</w:t>
      </w:r>
      <w:r>
        <w:rPr>
          <w:rFonts w:hint="eastAsia" w:ascii="宋体" w:hAnsi="宋体" w:cs="微软雅黑"/>
          <w:color w:val="auto"/>
          <w:kern w:val="0"/>
          <w:position w:val="-4"/>
          <w:szCs w:val="21"/>
          <w:highlight w:val="none"/>
        </w:rPr>
        <w:t>：</w:t>
      </w:r>
      <w:r>
        <w:rPr>
          <w:rFonts w:hint="eastAsia" w:ascii="宋体" w:hAnsi="宋体"/>
          <w:color w:val="auto"/>
          <w:szCs w:val="21"/>
          <w:highlight w:val="none"/>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auto"/>
          <w:kern w:val="0"/>
          <w:position w:val="-2"/>
          <w:szCs w:val="21"/>
          <w:highlight w:val="none"/>
        </w:rPr>
      </w:pPr>
      <w:r>
        <w:rPr>
          <w:rFonts w:hint="eastAsia" w:ascii="宋体" w:hAnsi="宋体" w:cs="微软雅黑"/>
          <w:color w:val="auto"/>
          <w:kern w:val="0"/>
          <w:position w:val="-2"/>
          <w:szCs w:val="21"/>
          <w:highlight w:val="none"/>
        </w:rPr>
        <w:t>统一社会信用代码：</w:t>
      </w:r>
      <w:r>
        <w:rPr>
          <w:rFonts w:hint="eastAsia" w:ascii="宋体" w:hAnsi="宋体"/>
          <w:color w:val="auto"/>
          <w:szCs w:val="21"/>
          <w:highlight w:val="none"/>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auto"/>
          <w:kern w:val="0"/>
          <w:position w:val="-2"/>
          <w:szCs w:val="21"/>
          <w:highlight w:val="none"/>
        </w:rPr>
      </w:pPr>
      <w:r>
        <w:rPr>
          <w:rFonts w:hint="eastAsia" w:ascii="宋体" w:hAnsi="宋体" w:cs="微软雅黑"/>
          <w:color w:val="auto"/>
          <w:kern w:val="0"/>
          <w:position w:val="-2"/>
          <w:szCs w:val="21"/>
          <w:highlight w:val="none"/>
        </w:rPr>
        <w:t>注册地址：</w:t>
      </w:r>
      <w:r>
        <w:rPr>
          <w:rFonts w:hint="eastAsia" w:ascii="宋体" w:hAnsi="宋体"/>
          <w:color w:val="auto"/>
          <w:szCs w:val="21"/>
          <w:highlight w:val="none"/>
          <w:u w:val="single"/>
        </w:rPr>
        <w:t xml:space="preserve">                                  </w:t>
      </w:r>
    </w:p>
    <w:p>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auto"/>
          <w:kern w:val="0"/>
          <w:szCs w:val="21"/>
          <w:highlight w:val="none"/>
        </w:rPr>
      </w:pPr>
      <w:r>
        <w:rPr>
          <w:rFonts w:hint="eastAsia" w:ascii="宋体" w:hAnsi="宋体" w:cs="微软雅黑"/>
          <w:color w:val="auto"/>
          <w:kern w:val="0"/>
          <w:position w:val="-2"/>
          <w:szCs w:val="21"/>
          <w:highlight w:val="none"/>
        </w:rPr>
        <w:t>姓名</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性别</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年</w:t>
      </w:r>
      <w:r>
        <w:rPr>
          <w:rFonts w:hint="eastAsia" w:ascii="宋体" w:hAnsi="宋体" w:cs="微软雅黑"/>
          <w:color w:val="auto"/>
          <w:spacing w:val="-2"/>
          <w:kern w:val="0"/>
          <w:position w:val="-2"/>
          <w:szCs w:val="21"/>
          <w:highlight w:val="none"/>
        </w:rPr>
        <w:t>龄</w:t>
      </w:r>
      <w:r>
        <w:rPr>
          <w:rFonts w:hint="eastAsia" w:ascii="宋体" w:hAnsi="宋体" w:cs="微软雅黑"/>
          <w:color w:val="auto"/>
          <w:kern w:val="0"/>
          <w:position w:val="-2"/>
          <w:szCs w:val="21"/>
          <w:highlight w:val="none"/>
        </w:rPr>
        <w:t>：职</w:t>
      </w:r>
      <w:r>
        <w:rPr>
          <w:rFonts w:hint="eastAsia" w:ascii="宋体" w:hAnsi="宋体" w:cs="微软雅黑"/>
          <w:color w:val="auto"/>
          <w:spacing w:val="-2"/>
          <w:kern w:val="0"/>
          <w:position w:val="-2"/>
          <w:szCs w:val="21"/>
          <w:highlight w:val="none"/>
        </w:rPr>
        <w:t>务</w:t>
      </w:r>
      <w:r>
        <w:rPr>
          <w:rFonts w:hint="eastAsia" w:ascii="宋体" w:hAnsi="宋体" w:cs="微软雅黑"/>
          <w:color w:val="auto"/>
          <w:kern w:val="0"/>
          <w:position w:val="-2"/>
          <w:szCs w:val="21"/>
          <w:highlight w:val="none"/>
        </w:rPr>
        <w:t>：系</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供应商</w:t>
      </w:r>
      <w:r>
        <w:rPr>
          <w:rFonts w:hint="eastAsia" w:ascii="宋体" w:hAnsi="宋体" w:cs="微软雅黑"/>
          <w:color w:val="auto"/>
          <w:spacing w:val="-2"/>
          <w:kern w:val="0"/>
          <w:position w:val="-2"/>
          <w:szCs w:val="21"/>
          <w:highlight w:val="none"/>
        </w:rPr>
        <w:t>名</w:t>
      </w:r>
      <w:r>
        <w:rPr>
          <w:rFonts w:hint="eastAsia" w:ascii="宋体" w:hAnsi="宋体" w:cs="微软雅黑"/>
          <w:color w:val="auto"/>
          <w:kern w:val="0"/>
          <w:position w:val="-2"/>
          <w:szCs w:val="21"/>
          <w:highlight w:val="none"/>
        </w:rPr>
        <w:t>称</w:t>
      </w:r>
      <w:r>
        <w:rPr>
          <w:rFonts w:hint="eastAsia" w:ascii="宋体" w:hAnsi="宋体" w:cs="微软雅黑"/>
          <w:color w:val="auto"/>
          <w:spacing w:val="-2"/>
          <w:kern w:val="0"/>
          <w:position w:val="-2"/>
          <w:szCs w:val="21"/>
          <w:highlight w:val="none"/>
        </w:rPr>
        <w:t>）</w:t>
      </w:r>
      <w:r>
        <w:rPr>
          <w:rFonts w:hint="eastAsia" w:ascii="宋体" w:hAnsi="宋体" w:cs="微软雅黑"/>
          <w:color w:val="auto"/>
          <w:kern w:val="0"/>
          <w:position w:val="-2"/>
          <w:szCs w:val="21"/>
          <w:highlight w:val="none"/>
        </w:rPr>
        <w:t>的</w:t>
      </w:r>
      <w:r>
        <w:rPr>
          <w:rFonts w:hint="eastAsia" w:ascii="宋体" w:hAnsi="宋体" w:cs="微软雅黑"/>
          <w:color w:val="auto"/>
          <w:spacing w:val="-2"/>
          <w:kern w:val="0"/>
          <w:position w:val="-2"/>
          <w:szCs w:val="21"/>
          <w:highlight w:val="none"/>
        </w:rPr>
        <w:t>法定</w:t>
      </w:r>
      <w:r>
        <w:rPr>
          <w:rFonts w:hint="eastAsia" w:ascii="宋体" w:hAnsi="宋体" w:cs="微软雅黑"/>
          <w:color w:val="auto"/>
          <w:kern w:val="0"/>
          <w:position w:val="-2"/>
          <w:szCs w:val="21"/>
          <w:highlight w:val="none"/>
        </w:rPr>
        <w:t>代表</w:t>
      </w:r>
      <w:r>
        <w:rPr>
          <w:rFonts w:hint="eastAsia" w:ascii="宋体" w:hAnsi="宋体" w:cs="微软雅黑"/>
          <w:color w:val="auto"/>
          <w:spacing w:val="-2"/>
          <w:kern w:val="0"/>
          <w:position w:val="-2"/>
          <w:szCs w:val="21"/>
          <w:highlight w:val="none"/>
        </w:rPr>
        <w:t>人</w:t>
      </w:r>
      <w:r>
        <w:rPr>
          <w:rFonts w:hint="eastAsia" w:ascii="宋体" w:hAnsi="宋体" w:cs="微软雅黑"/>
          <w:color w:val="auto"/>
          <w:kern w:val="0"/>
          <w:position w:val="-2"/>
          <w:szCs w:val="21"/>
          <w:highlight w:val="none"/>
        </w:rPr>
        <w:t>（</w:t>
      </w:r>
      <w:r>
        <w:rPr>
          <w:rFonts w:hint="eastAsia" w:ascii="宋体" w:hAnsi="宋体" w:cs="微软雅黑"/>
          <w:color w:val="auto"/>
          <w:spacing w:val="-2"/>
          <w:kern w:val="0"/>
          <w:position w:val="-2"/>
          <w:szCs w:val="21"/>
          <w:highlight w:val="none"/>
        </w:rPr>
        <w:t>单</w:t>
      </w:r>
      <w:r>
        <w:rPr>
          <w:rFonts w:hint="eastAsia" w:ascii="宋体" w:hAnsi="宋体" w:cs="微软雅黑"/>
          <w:color w:val="auto"/>
          <w:kern w:val="0"/>
          <w:position w:val="-2"/>
          <w:szCs w:val="21"/>
          <w:highlight w:val="none"/>
        </w:rPr>
        <w:t>位</w:t>
      </w:r>
      <w:r>
        <w:rPr>
          <w:rFonts w:hint="eastAsia" w:ascii="宋体" w:hAnsi="宋体" w:cs="微软雅黑"/>
          <w:color w:val="auto"/>
          <w:spacing w:val="-2"/>
          <w:kern w:val="0"/>
          <w:position w:val="-2"/>
          <w:szCs w:val="21"/>
          <w:highlight w:val="none"/>
        </w:rPr>
        <w:t>负</w:t>
      </w:r>
      <w:r>
        <w:rPr>
          <w:rFonts w:hint="eastAsia" w:ascii="宋体" w:hAnsi="宋体" w:cs="微软雅黑"/>
          <w:color w:val="auto"/>
          <w:kern w:val="0"/>
          <w:position w:val="-2"/>
          <w:szCs w:val="21"/>
          <w:highlight w:val="none"/>
        </w:rPr>
        <w:t>责</w:t>
      </w:r>
      <w:r>
        <w:rPr>
          <w:rFonts w:hint="eastAsia" w:ascii="宋体" w:hAnsi="宋体" w:cs="微软雅黑"/>
          <w:color w:val="auto"/>
          <w:spacing w:val="-2"/>
          <w:kern w:val="0"/>
          <w:position w:val="-2"/>
          <w:szCs w:val="21"/>
          <w:highlight w:val="none"/>
        </w:rPr>
        <w:t>人</w:t>
      </w:r>
      <w:r>
        <w:rPr>
          <w:rFonts w:hint="eastAsia" w:ascii="宋体" w:hAnsi="宋体" w:cs="微软雅黑"/>
          <w:color w:val="auto"/>
          <w:spacing w:val="-106"/>
          <w:kern w:val="0"/>
          <w:position w:val="-2"/>
          <w:szCs w:val="21"/>
          <w:highlight w:val="none"/>
        </w:rPr>
        <w:t>）</w:t>
      </w:r>
      <w:r>
        <w:rPr>
          <w:rFonts w:hint="eastAsia" w:ascii="宋体" w:hAnsi="宋体" w:cs="微软雅黑"/>
          <w:color w:val="auto"/>
          <w:kern w:val="0"/>
          <w:position w:val="-2"/>
          <w:szCs w:val="21"/>
          <w:highlight w:val="none"/>
        </w:rPr>
        <w:t>。</w:t>
      </w:r>
    </w:p>
    <w:p>
      <w:pPr>
        <w:autoSpaceDE w:val="0"/>
        <w:autoSpaceDN w:val="0"/>
        <w:adjustRightInd w:val="0"/>
        <w:snapToGrid w:val="0"/>
        <w:spacing w:before="156" w:beforeLines="50" w:line="360" w:lineRule="auto"/>
        <w:ind w:left="520" w:right="-20"/>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特此</w:t>
      </w:r>
      <w:r>
        <w:rPr>
          <w:rFonts w:hint="eastAsia" w:ascii="宋体" w:hAnsi="宋体" w:cs="微软雅黑"/>
          <w:color w:val="auto"/>
          <w:spacing w:val="-2"/>
          <w:kern w:val="0"/>
          <w:szCs w:val="21"/>
          <w:highlight w:val="none"/>
        </w:rPr>
        <w:t>证</w:t>
      </w:r>
      <w:r>
        <w:rPr>
          <w:rFonts w:hint="eastAsia" w:ascii="宋体" w:hAnsi="宋体" w:cs="微软雅黑"/>
          <w:color w:val="auto"/>
          <w:kern w:val="0"/>
          <w:szCs w:val="21"/>
          <w:highlight w:val="none"/>
        </w:rPr>
        <w:t>明。</w:t>
      </w:r>
    </w:p>
    <w:p>
      <w:pPr>
        <w:autoSpaceDE w:val="0"/>
        <w:autoSpaceDN w:val="0"/>
        <w:adjustRightInd w:val="0"/>
        <w:snapToGrid w:val="0"/>
        <w:spacing w:before="156" w:beforeLines="50" w:line="360" w:lineRule="auto"/>
        <w:ind w:left="100" w:right="4231"/>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附：</w:t>
      </w: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微软雅黑"/>
          <w:color w:val="auto"/>
          <w:kern w:val="0"/>
          <w:szCs w:val="21"/>
          <w:highlight w:val="none"/>
        </w:rPr>
        <w:t>身</w:t>
      </w:r>
      <w:r>
        <w:rPr>
          <w:rFonts w:hint="eastAsia" w:ascii="宋体" w:hAnsi="宋体" w:cs="微软雅黑"/>
          <w:color w:val="auto"/>
          <w:spacing w:val="-2"/>
          <w:kern w:val="0"/>
          <w:szCs w:val="21"/>
          <w:highlight w:val="none"/>
        </w:rPr>
        <w:t>份</w:t>
      </w:r>
      <w:r>
        <w:rPr>
          <w:rFonts w:hint="eastAsia" w:ascii="宋体" w:hAnsi="宋体" w:cs="微软雅黑"/>
          <w:color w:val="auto"/>
          <w:kern w:val="0"/>
          <w:szCs w:val="21"/>
          <w:highlight w:val="none"/>
        </w:rPr>
        <w:t>证</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r>
        <w:rPr>
          <w:rFonts w:hint="eastAsia" w:ascii="宋体" w:hAnsi="宋体" w:cs="微软雅黑"/>
          <w:color w:val="auto"/>
          <w:kern w:val="0"/>
          <w:szCs w:val="21"/>
          <w:highlight w:val="none"/>
        </w:rPr>
        <w:t>。</w:t>
      </w:r>
    </w:p>
    <w:tbl>
      <w:tblPr>
        <w:tblStyle w:val="47"/>
        <w:tblW w:w="8599" w:type="dxa"/>
        <w:tblInd w:w="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9"/>
        <w:gridCol w:w="4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2" w:hRule="atLeast"/>
        </w:trPr>
        <w:tc>
          <w:tcPr>
            <w:tcW w:w="4299" w:type="dxa"/>
            <w:shd w:val="clear" w:color="auto" w:fill="auto"/>
            <w:vAlign w:val="center"/>
          </w:tcPr>
          <w:p>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c>
          <w:tcPr>
            <w:tcW w:w="4300" w:type="dxa"/>
            <w:shd w:val="clear" w:color="auto" w:fill="auto"/>
            <w:vAlign w:val="center"/>
          </w:tcPr>
          <w:p>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r>
    </w:tbl>
    <w:p>
      <w:pPr>
        <w:adjustRightInd w:val="0"/>
        <w:snapToGrid w:val="0"/>
        <w:spacing w:before="156" w:beforeLines="50" w:line="360" w:lineRule="auto"/>
        <w:rPr>
          <w:rFonts w:ascii="宋体" w:hAnsi="宋体"/>
          <w:color w:val="auto"/>
          <w:szCs w:val="21"/>
          <w:highlight w:val="none"/>
        </w:rPr>
      </w:pP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注：供应商代表为法定代表人（单位负责人）的提供。供应商为自然人的无需提供。</w:t>
      </w:r>
    </w:p>
    <w:p>
      <w:pPr>
        <w:adjustRightInd w:val="0"/>
        <w:snapToGrid w:val="0"/>
        <w:spacing w:before="156" w:beforeLines="50" w:line="360" w:lineRule="auto"/>
        <w:rPr>
          <w:rFonts w:ascii="宋体" w:hAnsi="宋体"/>
          <w:color w:val="auto"/>
          <w:szCs w:val="21"/>
          <w:highlight w:val="none"/>
        </w:rPr>
      </w:pPr>
    </w:p>
    <w:p>
      <w:pPr>
        <w:pStyle w:val="26"/>
        <w:adjustRightInd w:val="0"/>
        <w:snapToGrid w:val="0"/>
        <w:spacing w:before="156" w:beforeLines="50" w:line="360" w:lineRule="auto"/>
        <w:rPr>
          <w:rFonts w:hAnsi="宋体"/>
          <w:color w:val="auto"/>
          <w:highlight w:val="none"/>
        </w:rPr>
      </w:pPr>
      <w:r>
        <w:rPr>
          <w:rFonts w:hint="eastAsia" w:hAnsi="宋体"/>
          <w:color w:val="auto"/>
          <w:highlight w:val="none"/>
        </w:rPr>
        <w:t>供应商名称(盖单位公章)：</w:t>
      </w:r>
      <w:r>
        <w:rPr>
          <w:rFonts w:hint="eastAsia" w:hAnsi="宋体"/>
          <w:color w:val="auto"/>
          <w:highlight w:val="none"/>
          <w:u w:val="single"/>
        </w:rPr>
        <w:t xml:space="preserve">                          </w:t>
      </w:r>
    </w:p>
    <w:p>
      <w:pPr>
        <w:adjustRightInd w:val="0"/>
        <w:snapToGrid w:val="0"/>
        <w:spacing w:before="156" w:beforeLines="50" w:line="360" w:lineRule="auto"/>
        <w:ind w:right="24"/>
        <w:rPr>
          <w:rFonts w:ascii="仿宋_GB2312" w:hAnsi="宋体" w:eastAsia="仿宋_GB2312"/>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pStyle w:val="4"/>
        <w:jc w:val="center"/>
        <w:rPr>
          <w:rFonts w:ascii="黑体" w:hAnsi="黑体" w:eastAsia="黑体"/>
          <w:color w:val="auto"/>
          <w:sz w:val="28"/>
          <w:szCs w:val="28"/>
          <w:highlight w:val="none"/>
        </w:rPr>
      </w:pPr>
      <w:r>
        <w:rPr>
          <w:color w:val="auto"/>
          <w:highlight w:val="none"/>
        </w:rPr>
        <w:br w:type="page"/>
      </w:r>
      <w:bookmarkStart w:id="121" w:name="_Toc28912"/>
      <w:r>
        <w:rPr>
          <w:rFonts w:hint="eastAsia" w:ascii="黑体" w:hAnsi="黑体" w:eastAsia="黑体"/>
          <w:color w:val="auto"/>
          <w:sz w:val="28"/>
          <w:szCs w:val="28"/>
          <w:highlight w:val="none"/>
        </w:rPr>
        <w:t>三、授权委托书(格式)</w:t>
      </w:r>
      <w:bookmarkEnd w:id="121"/>
    </w:p>
    <w:p>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highlight w:val="none"/>
        </w:rPr>
      </w:pPr>
    </w:p>
    <w:p>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s="宋体"/>
          <w:color w:val="auto"/>
          <w:kern w:val="0"/>
          <w:szCs w:val="21"/>
          <w:highlight w:val="none"/>
        </w:rPr>
        <w:t>，现授权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（姓名、职务）为我方代理人。代理人根据授权，以我方名义：(1)签署、澄清、补正、修改、撤回、提交（项目名称、</w:t>
      </w:r>
      <w:r>
        <w:rPr>
          <w:rFonts w:hint="eastAsia" w:ascii="宋体" w:hAnsi="宋体"/>
          <w:color w:val="auto"/>
          <w:szCs w:val="21"/>
          <w:highlight w:val="none"/>
        </w:rPr>
        <w:t>政府</w:t>
      </w:r>
      <w:r>
        <w:rPr>
          <w:rFonts w:hint="eastAsia" w:ascii="宋体" w:hAnsi="宋体" w:cs="宋体"/>
          <w:color w:val="auto"/>
          <w:kern w:val="0"/>
          <w:szCs w:val="21"/>
          <w:highlight w:val="none"/>
        </w:rPr>
        <w:t>采购编号、采购代理编号）响应文件；(2)签署并重新提交响应文件及最后报价；(3)退出谈判（如可能）；(4)签订合同和处理有关事宜，其法律后果由我方承担。</w:t>
      </w:r>
    </w:p>
    <w:p>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olor w:val="auto"/>
          <w:szCs w:val="21"/>
          <w:highlight w:val="none"/>
          <w:u w:val="single"/>
        </w:rPr>
        <w:t xml:space="preserve">                          </w:t>
      </w:r>
      <w:r>
        <w:rPr>
          <w:rFonts w:hint="eastAsia" w:ascii="宋体" w:hAnsi="宋体" w:cs="宋体"/>
          <w:color w:val="auto"/>
          <w:kern w:val="0"/>
          <w:szCs w:val="21"/>
          <w:highlight w:val="none"/>
        </w:rPr>
        <w:t>。</w:t>
      </w:r>
    </w:p>
    <w:p>
      <w:pPr>
        <w:adjustRightInd w:val="0"/>
        <w:snapToGrid w:val="0"/>
        <w:spacing w:before="156" w:beforeLines="50" w:line="360" w:lineRule="auto"/>
        <w:ind w:firstLine="435"/>
        <w:rPr>
          <w:rFonts w:ascii="宋体" w:hAnsi="宋体" w:cs="宋体"/>
          <w:color w:val="auto"/>
          <w:kern w:val="0"/>
          <w:szCs w:val="21"/>
          <w:highlight w:val="none"/>
        </w:rPr>
      </w:pPr>
      <w:r>
        <w:rPr>
          <w:rFonts w:hint="eastAsia" w:ascii="宋体" w:hAnsi="宋体" w:cs="宋体"/>
          <w:color w:val="auto"/>
          <w:kern w:val="0"/>
          <w:szCs w:val="21"/>
          <w:highlight w:val="none"/>
        </w:rPr>
        <w:t>代理人无转委托权。</w:t>
      </w:r>
    </w:p>
    <w:p>
      <w:pPr>
        <w:adjustRightInd w:val="0"/>
        <w:snapToGrid w:val="0"/>
        <w:spacing w:before="156" w:beforeLines="50" w:line="360" w:lineRule="auto"/>
        <w:ind w:firstLine="435"/>
        <w:rPr>
          <w:rFonts w:ascii="宋体" w:hAnsi="宋体" w:cs="微软雅黑"/>
          <w:color w:val="auto"/>
          <w:kern w:val="0"/>
          <w:szCs w:val="21"/>
          <w:highlight w:val="none"/>
        </w:rPr>
      </w:pPr>
      <w:r>
        <w:rPr>
          <w:rFonts w:hint="eastAsia" w:ascii="宋体" w:hAnsi="宋体"/>
          <w:color w:val="auto"/>
          <w:szCs w:val="21"/>
          <w:highlight w:val="none"/>
        </w:rPr>
        <w:t>本授权书于年月日签字生效，特此声明。</w:t>
      </w:r>
    </w:p>
    <w:tbl>
      <w:tblPr>
        <w:tblStyle w:val="47"/>
        <w:tblW w:w="8979"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9"/>
        <w:gridCol w:w="4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4489" w:type="dxa"/>
            <w:shd w:val="clear" w:color="auto" w:fill="auto"/>
            <w:vAlign w:val="center"/>
          </w:tcPr>
          <w:p>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身份证（正面）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c>
          <w:tcPr>
            <w:tcW w:w="4490" w:type="dxa"/>
            <w:shd w:val="clear" w:color="auto" w:fill="auto"/>
            <w:vAlign w:val="center"/>
          </w:tcPr>
          <w:p>
            <w:pPr>
              <w:adjustRightInd w:val="0"/>
              <w:snapToGrid w:val="0"/>
              <w:spacing w:before="156" w:beforeLines="50" w:line="360" w:lineRule="auto"/>
              <w:jc w:val="center"/>
              <w:rPr>
                <w:rFonts w:ascii="宋体" w:hAnsi="宋体"/>
                <w:color w:val="auto"/>
                <w:szCs w:val="21"/>
                <w:highlight w:val="none"/>
              </w:rPr>
            </w:pPr>
            <w:r>
              <w:rPr>
                <w:rFonts w:hint="eastAsia" w:ascii="宋体" w:hAnsi="宋体"/>
                <w:color w:val="auto"/>
                <w:szCs w:val="21"/>
                <w:highlight w:val="none"/>
              </w:rPr>
              <w:t>身份证（反面）</w:t>
            </w:r>
            <w:r>
              <w:rPr>
                <w:rFonts w:hint="eastAsia" w:ascii="宋体" w:hAnsi="宋体" w:cs="微软雅黑"/>
                <w:color w:val="auto"/>
                <w:spacing w:val="-2"/>
                <w:kern w:val="0"/>
                <w:szCs w:val="21"/>
                <w:highlight w:val="none"/>
              </w:rPr>
              <w:t>复</w:t>
            </w:r>
            <w:r>
              <w:rPr>
                <w:rFonts w:hint="eastAsia" w:ascii="宋体" w:hAnsi="宋体" w:cs="微软雅黑"/>
                <w:color w:val="auto"/>
                <w:kern w:val="0"/>
                <w:szCs w:val="21"/>
                <w:highlight w:val="none"/>
              </w:rPr>
              <w:t>印</w:t>
            </w:r>
            <w:r>
              <w:rPr>
                <w:rFonts w:hint="eastAsia" w:ascii="宋体" w:hAnsi="宋体" w:cs="微软雅黑"/>
                <w:color w:val="auto"/>
                <w:spacing w:val="-2"/>
                <w:kern w:val="0"/>
                <w:szCs w:val="21"/>
                <w:highlight w:val="none"/>
              </w:rPr>
              <w:t>件</w:t>
            </w:r>
          </w:p>
        </w:tc>
      </w:tr>
    </w:tbl>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注：供应商代表不是供应商的法定代表人（单位负责人）的提供。供应商为自然人的无需提供。</w:t>
      </w: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ind w:firstLine="420" w:firstLineChars="200"/>
        <w:rPr>
          <w:rFonts w:ascii="宋体" w:hAnsi="宋体"/>
          <w:color w:val="auto"/>
          <w:szCs w:val="21"/>
          <w:highlight w:val="none"/>
        </w:rPr>
      </w:pPr>
    </w:p>
    <w:p>
      <w:pPr>
        <w:pStyle w:val="26"/>
        <w:adjustRightInd w:val="0"/>
        <w:snapToGrid w:val="0"/>
        <w:spacing w:before="156" w:beforeLines="50" w:line="360" w:lineRule="auto"/>
        <w:rPr>
          <w:rFonts w:hAnsi="宋体"/>
          <w:color w:val="auto"/>
          <w:highlight w:val="none"/>
        </w:rPr>
      </w:pPr>
      <w:r>
        <w:rPr>
          <w:rFonts w:hint="eastAsia" w:hAnsi="宋体"/>
          <w:color w:val="auto"/>
          <w:highlight w:val="none"/>
        </w:rPr>
        <w:t>供应商名称(盖单位公章)：</w:t>
      </w:r>
      <w:r>
        <w:rPr>
          <w:rFonts w:hint="eastAsia" w:hAnsi="宋体"/>
          <w:color w:val="auto"/>
          <w:highlight w:val="none"/>
          <w:u w:val="single"/>
        </w:rPr>
        <w:t xml:space="preserve">                          </w:t>
      </w:r>
    </w:p>
    <w:p>
      <w:pPr>
        <w:adjustRightInd w:val="0"/>
        <w:snapToGrid w:val="0"/>
        <w:spacing w:before="156" w:beforeLines="50"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pStyle w:val="4"/>
        <w:jc w:val="center"/>
        <w:rPr>
          <w:rFonts w:ascii="黑体" w:hAnsi="黑体" w:eastAsia="黑体"/>
          <w:color w:val="auto"/>
          <w:sz w:val="28"/>
          <w:szCs w:val="28"/>
          <w:highlight w:val="none"/>
        </w:rPr>
      </w:pPr>
      <w:r>
        <w:rPr>
          <w:rFonts w:ascii="宋体"/>
          <w:color w:val="auto"/>
          <w:highlight w:val="none"/>
        </w:rPr>
        <w:br w:type="page"/>
      </w:r>
      <w:bookmarkStart w:id="122" w:name="_Toc25488"/>
      <w:r>
        <w:rPr>
          <w:rFonts w:hint="eastAsia" w:ascii="黑体" w:hAnsi="黑体" w:eastAsia="黑体"/>
          <w:color w:val="auto"/>
          <w:sz w:val="28"/>
          <w:szCs w:val="28"/>
          <w:highlight w:val="none"/>
        </w:rPr>
        <w:t>四、保证金</w:t>
      </w:r>
      <w:bookmarkEnd w:id="122"/>
    </w:p>
    <w:p>
      <w:pPr>
        <w:adjustRightInd w:val="0"/>
        <w:snapToGrid w:val="0"/>
        <w:spacing w:before="156" w:beforeLines="50" w:line="360" w:lineRule="auto"/>
        <w:ind w:firstLine="420"/>
        <w:rPr>
          <w:rFonts w:hint="eastAsia" w:ascii="宋体" w:hAnsi="宋体" w:eastAsia="宋体"/>
          <w:color w:val="auto"/>
          <w:szCs w:val="21"/>
          <w:highlight w:val="none"/>
        </w:rPr>
      </w:pPr>
      <w:r>
        <w:rPr>
          <w:rFonts w:hint="eastAsia" w:ascii="宋体" w:hAnsi="宋体" w:cs="宋体"/>
          <w:snapToGrid w:val="0"/>
          <w:color w:val="auto"/>
          <w:szCs w:val="21"/>
          <w:highlight w:val="none"/>
        </w:rPr>
        <w:t>1.</w:t>
      </w:r>
      <w:r>
        <w:rPr>
          <w:rFonts w:hint="eastAsia" w:ascii="宋体" w:hAnsi="宋体" w:eastAsia="宋体"/>
          <w:color w:val="auto"/>
          <w:szCs w:val="21"/>
          <w:highlight w:val="none"/>
        </w:rPr>
        <w:t>提供付款凭证复印件。</w:t>
      </w:r>
    </w:p>
    <w:p>
      <w:pPr>
        <w:pStyle w:val="46"/>
        <w:rPr>
          <w:color w:val="auto"/>
          <w:highlight w:val="none"/>
        </w:rPr>
      </w:pPr>
    </w:p>
    <w:p>
      <w:pPr>
        <w:adjustRightInd w:val="0"/>
        <w:snapToGrid w:val="0"/>
        <w:spacing w:after="156"/>
        <w:ind w:firstLine="422" w:firstLineChars="200"/>
        <w:rPr>
          <w:rFonts w:ascii="宋体" w:hAnsi="宋体" w:cs="宋体"/>
          <w:b/>
          <w:snapToGrid w:val="0"/>
          <w:color w:val="auto"/>
          <w:szCs w:val="21"/>
          <w:highlight w:val="none"/>
        </w:rPr>
      </w:pPr>
    </w:p>
    <w:p>
      <w:pPr>
        <w:adjustRightInd w:val="0"/>
        <w:snapToGrid w:val="0"/>
        <w:spacing w:line="360" w:lineRule="auto"/>
        <w:ind w:firstLine="422" w:firstLineChars="200"/>
        <w:rPr>
          <w:rFonts w:ascii="宋体" w:hAnsi="宋体" w:cs="宋体"/>
          <w:b/>
          <w:snapToGrid w:val="0"/>
          <w:color w:val="auto"/>
          <w:szCs w:val="21"/>
          <w:highlight w:val="none"/>
        </w:rPr>
      </w:pPr>
      <w:r>
        <w:rPr>
          <w:rFonts w:hint="eastAsia" w:ascii="宋体" w:hAnsi="宋体" w:cs="宋体"/>
          <w:b/>
          <w:snapToGrid w:val="0"/>
          <w:color w:val="auto"/>
          <w:szCs w:val="21"/>
          <w:highlight w:val="none"/>
        </w:rPr>
        <w:t>注：投标人有下列情况之一的，将不予退回投标保证金：</w:t>
      </w:r>
    </w:p>
    <w:p>
      <w:pPr>
        <w:adjustRightInd w:val="0"/>
        <w:snapToGrid w:val="0"/>
        <w:spacing w:line="360" w:lineRule="auto"/>
        <w:ind w:firstLine="420" w:firstLineChars="200"/>
        <w:rPr>
          <w:rFonts w:ascii="宋体" w:hAnsi="宋体" w:cs="宋体"/>
          <w:snapToGrid w:val="0"/>
          <w:color w:val="auto"/>
          <w:szCs w:val="21"/>
          <w:highlight w:val="none"/>
        </w:rPr>
      </w:pPr>
      <w:r>
        <w:rPr>
          <w:rFonts w:hint="eastAsia" w:ascii="宋体" w:hAnsi="宋体" w:cs="宋体"/>
          <w:snapToGrid w:val="0"/>
          <w:color w:val="auto"/>
          <w:szCs w:val="21"/>
          <w:highlight w:val="none"/>
        </w:rPr>
        <w:t>（1）投标人在投标有效期内撤销其投标文件的；</w:t>
      </w:r>
    </w:p>
    <w:p>
      <w:pPr>
        <w:adjustRightInd w:val="0"/>
        <w:snapToGrid w:val="0"/>
        <w:spacing w:line="360" w:lineRule="auto"/>
        <w:ind w:firstLine="420" w:firstLineChars="200"/>
        <w:rPr>
          <w:rFonts w:ascii="宋体" w:hAnsi="宋体" w:cs="宋体"/>
          <w:snapToGrid w:val="0"/>
          <w:color w:val="auto"/>
          <w:szCs w:val="21"/>
          <w:highlight w:val="none"/>
        </w:rPr>
      </w:pPr>
      <w:r>
        <w:rPr>
          <w:rFonts w:hint="eastAsia" w:ascii="宋体" w:hAnsi="宋体" w:cs="宋体"/>
          <w:snapToGrid w:val="0"/>
          <w:color w:val="auto"/>
          <w:szCs w:val="21"/>
          <w:highlight w:val="none"/>
        </w:rPr>
        <w:t>（2）中标人无正当理由不与招标人订立合同，在签订合同时向招标人提出附加条件，或者不按照招标文件要求提交履约质量保证金的。</w:t>
      </w:r>
    </w:p>
    <w:p>
      <w:pPr>
        <w:adjustRightInd w:val="0"/>
        <w:snapToGrid w:val="0"/>
        <w:spacing w:line="360" w:lineRule="auto"/>
        <w:ind w:firstLine="420" w:firstLineChars="200"/>
        <w:rPr>
          <w:rFonts w:ascii="宋体" w:hAnsi="宋体" w:cs="宋体"/>
          <w:snapToGrid w:val="0"/>
          <w:color w:val="auto"/>
          <w:szCs w:val="21"/>
          <w:highlight w:val="none"/>
        </w:rPr>
      </w:pPr>
      <w:r>
        <w:rPr>
          <w:rFonts w:hint="eastAsia" w:ascii="宋体" w:hAnsi="宋体" w:cs="宋体"/>
          <w:snapToGrid w:val="0"/>
          <w:color w:val="auto"/>
          <w:szCs w:val="21"/>
          <w:highlight w:val="none"/>
        </w:rPr>
        <w:t>（3）退款申请单不得装订在投标文件中。</w:t>
      </w:r>
    </w:p>
    <w:p>
      <w:pPr>
        <w:pStyle w:val="26"/>
        <w:adjustRightInd w:val="0"/>
        <w:snapToGrid w:val="0"/>
        <w:spacing w:before="156" w:beforeLines="50" w:line="360" w:lineRule="auto"/>
        <w:rPr>
          <w:rFonts w:hAnsi="宋体" w:cs="宋体"/>
          <w:color w:val="auto"/>
          <w:highlight w:val="none"/>
        </w:rPr>
      </w:pPr>
    </w:p>
    <w:p>
      <w:pPr>
        <w:adjustRightInd w:val="0"/>
        <w:snapToGrid w:val="0"/>
        <w:spacing w:before="156" w:beforeLines="50" w:line="360" w:lineRule="auto"/>
        <w:ind w:firstLine="420" w:firstLineChars="200"/>
        <w:jc w:val="left"/>
        <w:rPr>
          <w:rFonts w:ascii="宋体" w:hAnsi="宋体"/>
          <w:color w:val="auto"/>
          <w:highlight w:val="none"/>
        </w:rPr>
      </w:pPr>
    </w:p>
    <w:p>
      <w:pPr>
        <w:adjustRightInd w:val="0"/>
        <w:snapToGrid w:val="0"/>
        <w:spacing w:before="156" w:beforeLines="50" w:line="360" w:lineRule="auto"/>
        <w:ind w:firstLine="420" w:firstLineChars="200"/>
        <w:jc w:val="left"/>
        <w:rPr>
          <w:rFonts w:ascii="宋体" w:hAnsi="宋体"/>
          <w:color w:val="auto"/>
          <w:highlight w:val="none"/>
        </w:rPr>
      </w:pPr>
    </w:p>
    <w:p>
      <w:pPr>
        <w:rPr>
          <w:color w:val="auto"/>
          <w:highlight w:val="none"/>
        </w:rPr>
      </w:pPr>
    </w:p>
    <w:p>
      <w:pPr>
        <w:pStyle w:val="4"/>
        <w:jc w:val="center"/>
        <w:rPr>
          <w:rFonts w:ascii="黑体" w:hAnsi="黑体" w:eastAsia="黑体"/>
          <w:color w:val="auto"/>
          <w:sz w:val="28"/>
          <w:szCs w:val="28"/>
          <w:highlight w:val="none"/>
        </w:rPr>
      </w:pPr>
      <w:r>
        <w:rPr>
          <w:color w:val="auto"/>
          <w:highlight w:val="none"/>
        </w:rPr>
        <w:br w:type="page"/>
      </w:r>
      <w:bookmarkStart w:id="123" w:name="_Toc5317"/>
      <w:r>
        <w:rPr>
          <w:rFonts w:hint="eastAsia" w:ascii="黑体" w:hAnsi="黑体" w:eastAsia="黑体"/>
          <w:color w:val="auto"/>
          <w:sz w:val="28"/>
          <w:szCs w:val="28"/>
          <w:highlight w:val="none"/>
        </w:rPr>
        <w:t>五、报价表及报价文件(格式)</w:t>
      </w:r>
      <w:bookmarkEnd w:id="123"/>
    </w:p>
    <w:p>
      <w:pPr>
        <w:pStyle w:val="5"/>
        <w:rPr>
          <w:rFonts w:ascii="宋体" w:hAnsi="宋体"/>
          <w:color w:val="auto"/>
          <w:sz w:val="21"/>
          <w:szCs w:val="21"/>
          <w:highlight w:val="none"/>
        </w:rPr>
      </w:pPr>
      <w:bookmarkStart w:id="124" w:name="_Toc468"/>
      <w:r>
        <w:rPr>
          <w:rFonts w:hint="eastAsia" w:ascii="宋体" w:hAnsi="宋体"/>
          <w:color w:val="auto"/>
          <w:sz w:val="21"/>
          <w:szCs w:val="21"/>
          <w:highlight w:val="none"/>
        </w:rPr>
        <w:t>附件5-1 报价表</w:t>
      </w:r>
      <w:bookmarkEnd w:id="124"/>
    </w:p>
    <w:p>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pPr>
        <w:adjustRightInd w:val="0"/>
        <w:snapToGrid w:val="0"/>
        <w:spacing w:line="360" w:lineRule="auto"/>
        <w:ind w:left="-88" w:leftChars="-42"/>
        <w:jc w:val="center"/>
        <w:rPr>
          <w:rFonts w:ascii="仿宋_GB2312" w:hAnsi="宋体" w:eastAsia="仿宋_GB2312"/>
          <w:color w:val="auto"/>
          <w:sz w:val="24"/>
          <w:highlight w:val="none"/>
        </w:rPr>
      </w:pP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采购代理编号：_____________                       项目名称：_____________________</w:t>
      </w:r>
    </w:p>
    <w:p>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包号：_____________________                         包名称：_____________________</w:t>
      </w:r>
    </w:p>
    <w:tbl>
      <w:tblPr>
        <w:tblStyle w:val="47"/>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shd w:val="clear" w:color="auto" w:fill="auto"/>
            <w:vAlign w:val="center"/>
          </w:tcPr>
          <w:p>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szCs w:val="21"/>
                <w:highlight w:val="none"/>
              </w:rPr>
              <w:t>_____________</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szCs w:val="21"/>
                <w:highlight w:val="none"/>
              </w:rPr>
              <w:t>_____________</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shd w:val="clear" w:color="auto" w:fill="auto"/>
            <w:vAlign w:val="center"/>
          </w:tcPr>
          <w:p>
            <w:pPr>
              <w:adjustRightInd w:val="0"/>
              <w:snapToGrid w:val="0"/>
              <w:spacing w:before="156" w:beforeLines="50" w:line="360" w:lineRule="auto"/>
              <w:jc w:val="center"/>
              <w:rPr>
                <w:rFonts w:ascii="宋体" w:hAnsi="宋体"/>
                <w:color w:val="auto"/>
                <w:kern w:val="0"/>
                <w:szCs w:val="21"/>
                <w:highlight w:val="none"/>
              </w:rPr>
            </w:pPr>
          </w:p>
        </w:tc>
      </w:tr>
    </w:tbl>
    <w:p>
      <w:pPr>
        <w:adjustRightInd w:val="0"/>
        <w:snapToGrid w:val="0"/>
        <w:spacing w:before="156" w:beforeLines="50" w:line="360" w:lineRule="auto"/>
        <w:rPr>
          <w:rFonts w:ascii="宋体" w:hAnsi="宋体"/>
          <w:color w:val="auto"/>
          <w:szCs w:val="21"/>
          <w:highlight w:val="none"/>
        </w:rPr>
      </w:pPr>
      <w:r>
        <w:rPr>
          <w:rFonts w:hint="eastAsia" w:ascii="宋体" w:hAnsi="宋体"/>
          <w:b/>
          <w:color w:val="auto"/>
          <w:szCs w:val="21"/>
          <w:highlight w:val="none"/>
        </w:rPr>
        <w:t>备注：</w:t>
      </w:r>
      <w:r>
        <w:rPr>
          <w:rFonts w:hint="eastAsia" w:ascii="宋体" w:hAnsi="宋体"/>
          <w:color w:val="auto"/>
          <w:szCs w:val="21"/>
          <w:highlight w:val="none"/>
        </w:rPr>
        <w:t>（1）本表须按包填写，一个“包号”一份。</w:t>
      </w: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rPr>
        <w:t xml:space="preserve">                                          </w:t>
      </w:r>
    </w:p>
    <w:p>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adjustRightInd w:val="0"/>
        <w:snapToGrid w:val="0"/>
        <w:jc w:val="center"/>
        <w:rPr>
          <w:rFonts w:ascii="黑体" w:hAnsi="黑体" w:eastAsia="黑体"/>
          <w:bCs/>
          <w:color w:val="auto"/>
          <w:sz w:val="30"/>
          <w:szCs w:val="30"/>
          <w:highlight w:val="none"/>
        </w:rPr>
      </w:pPr>
    </w:p>
    <w:p>
      <w:pPr>
        <w:pStyle w:val="5"/>
        <w:adjustRightInd w:val="0"/>
        <w:snapToGrid w:val="0"/>
        <w:spacing w:before="156" w:beforeLines="50" w:after="0" w:line="360" w:lineRule="auto"/>
        <w:rPr>
          <w:rFonts w:ascii="宋体" w:hAnsi="宋体"/>
          <w:color w:val="auto"/>
          <w:sz w:val="21"/>
          <w:szCs w:val="21"/>
          <w:highlight w:val="none"/>
        </w:rPr>
      </w:pPr>
      <w:r>
        <w:rPr>
          <w:rFonts w:ascii="黑体" w:hAnsi="黑体" w:eastAsia="黑体"/>
          <w:color w:val="auto"/>
          <w:sz w:val="30"/>
          <w:szCs w:val="30"/>
          <w:highlight w:val="none"/>
        </w:rPr>
        <w:br w:type="page"/>
      </w:r>
      <w:bookmarkStart w:id="125" w:name="_Toc9424"/>
      <w:r>
        <w:rPr>
          <w:rFonts w:hint="eastAsia" w:ascii="宋体" w:hAnsi="宋体"/>
          <w:color w:val="auto"/>
          <w:sz w:val="21"/>
          <w:szCs w:val="21"/>
          <w:highlight w:val="none"/>
        </w:rPr>
        <w:t>附件5-2 分项报价说明</w:t>
      </w:r>
      <w:bookmarkEnd w:id="125"/>
    </w:p>
    <w:p>
      <w:pPr>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p>
    <w:p>
      <w:pPr>
        <w:autoSpaceDE w:val="0"/>
        <w:autoSpaceDN w:val="0"/>
        <w:adjustRightInd w:val="0"/>
        <w:snapToGrid w:val="0"/>
        <w:spacing w:before="156" w:beforeLines="50" w:line="360" w:lineRule="auto"/>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备注：1、供应商应按谈判文件第二章相关要求，对本节</w:t>
      </w:r>
      <w:r>
        <w:rPr>
          <w:rFonts w:hint="eastAsia" w:ascii="宋体" w:hAnsi="宋体"/>
          <w:bCs/>
          <w:color w:val="auto"/>
          <w:szCs w:val="21"/>
          <w:highlight w:val="none"/>
        </w:rPr>
        <w:t>“</w:t>
      </w:r>
      <w:r>
        <w:rPr>
          <w:rFonts w:hint="eastAsia" w:ascii="宋体" w:hAnsi="宋体" w:cs="微软雅黑"/>
          <w:color w:val="auto"/>
          <w:kern w:val="0"/>
          <w:szCs w:val="21"/>
          <w:highlight w:val="none"/>
        </w:rPr>
        <w:t>分项报价明细表</w:t>
      </w:r>
      <w:r>
        <w:rPr>
          <w:rFonts w:hint="eastAsia" w:ascii="宋体" w:hAnsi="宋体"/>
          <w:bCs/>
          <w:color w:val="auto"/>
          <w:szCs w:val="21"/>
          <w:highlight w:val="none"/>
        </w:rPr>
        <w:t>”进行</w:t>
      </w:r>
      <w:r>
        <w:rPr>
          <w:rFonts w:hint="eastAsia" w:ascii="宋体" w:hAnsi="宋体" w:cs="微软雅黑"/>
          <w:color w:val="auto"/>
          <w:kern w:val="0"/>
          <w:szCs w:val="21"/>
          <w:highlight w:val="none"/>
        </w:rPr>
        <w:t>编制，并说明。</w:t>
      </w:r>
    </w:p>
    <w:p>
      <w:pPr>
        <w:autoSpaceDE w:val="0"/>
        <w:autoSpaceDN w:val="0"/>
        <w:adjustRightInd w:val="0"/>
        <w:snapToGrid w:val="0"/>
        <w:spacing w:before="156" w:beforeLines="50" w:line="360" w:lineRule="auto"/>
        <w:ind w:firstLine="630" w:firstLineChars="300"/>
        <w:jc w:val="left"/>
        <w:rPr>
          <w:rFonts w:ascii="宋体" w:hAnsi="宋体" w:cs="微软雅黑"/>
          <w:color w:val="auto"/>
          <w:kern w:val="0"/>
          <w:szCs w:val="21"/>
          <w:highlight w:val="none"/>
        </w:rPr>
      </w:pPr>
      <w:r>
        <w:rPr>
          <w:rFonts w:hint="eastAsia" w:ascii="宋体" w:hAnsi="宋体" w:cs="微软雅黑"/>
          <w:color w:val="auto"/>
          <w:kern w:val="0"/>
          <w:szCs w:val="21"/>
          <w:highlight w:val="none"/>
        </w:rPr>
        <w:t>2、附件5-</w:t>
      </w:r>
      <w:r>
        <w:rPr>
          <w:rFonts w:hint="eastAsia" w:ascii="宋体" w:hAnsi="宋体" w:cs="微软雅黑"/>
          <w:color w:val="auto"/>
          <w:kern w:val="0"/>
          <w:szCs w:val="21"/>
          <w:highlight w:val="none"/>
          <w:lang w:val="en-US" w:eastAsia="zh-CN"/>
        </w:rPr>
        <w:t xml:space="preserve">3  </w:t>
      </w:r>
      <w:r>
        <w:rPr>
          <w:rFonts w:hint="eastAsia" w:ascii="宋体" w:hAnsi="宋体" w:cs="微软雅黑"/>
          <w:color w:val="auto"/>
          <w:kern w:val="0"/>
          <w:szCs w:val="21"/>
          <w:highlight w:val="none"/>
        </w:rPr>
        <w:t>按第二章第三节要求进行编制。</w:t>
      </w:r>
    </w:p>
    <w:p>
      <w:pPr>
        <w:adjustRightInd w:val="0"/>
        <w:snapToGrid w:val="0"/>
        <w:spacing w:before="156" w:beforeLines="50" w:line="360" w:lineRule="auto"/>
        <w:rPr>
          <w:color w:val="auto"/>
          <w:highlight w:val="none"/>
        </w:rPr>
      </w:pPr>
    </w:p>
    <w:p>
      <w:pPr>
        <w:pStyle w:val="4"/>
        <w:jc w:val="center"/>
        <w:rPr>
          <w:color w:val="auto"/>
          <w:highlight w:val="none"/>
        </w:rPr>
      </w:pPr>
      <w:bookmarkStart w:id="126" w:name="_Toc22201157"/>
    </w:p>
    <w:p>
      <w:pPr>
        <w:pStyle w:val="5"/>
        <w:adjustRightInd w:val="0"/>
        <w:snapToGrid w:val="0"/>
        <w:spacing w:beforeLines="50" w:after="0" w:line="360" w:lineRule="auto"/>
        <w:rPr>
          <w:rFonts w:ascii="宋体" w:hAnsi="宋体"/>
          <w:color w:val="auto"/>
          <w:sz w:val="21"/>
          <w:szCs w:val="21"/>
          <w:highlight w:val="none"/>
        </w:rPr>
      </w:pPr>
      <w:bookmarkStart w:id="127" w:name="_Toc30932"/>
      <w:bookmarkStart w:id="128" w:name="_Toc13178"/>
      <w:r>
        <w:rPr>
          <w:rFonts w:hint="eastAsia" w:ascii="宋体" w:hAnsi="宋体" w:cs="宋体"/>
          <w:color w:val="auto"/>
          <w:sz w:val="21"/>
          <w:szCs w:val="21"/>
          <w:highlight w:val="none"/>
        </w:rPr>
        <w:t xml:space="preserve">附件5-3 </w:t>
      </w:r>
      <w:r>
        <w:rPr>
          <w:rFonts w:hint="eastAsia" w:ascii="宋体" w:hAnsi="宋体"/>
          <w:color w:val="auto"/>
          <w:spacing w:val="-2"/>
          <w:position w:val="-3"/>
          <w:sz w:val="21"/>
          <w:szCs w:val="21"/>
          <w:highlight w:val="none"/>
        </w:rPr>
        <w:t>分</w:t>
      </w:r>
      <w:r>
        <w:rPr>
          <w:rFonts w:hint="eastAsia" w:ascii="宋体" w:hAnsi="宋体"/>
          <w:color w:val="auto"/>
          <w:position w:val="-3"/>
          <w:sz w:val="21"/>
          <w:szCs w:val="21"/>
          <w:highlight w:val="none"/>
        </w:rPr>
        <w:t>项</w:t>
      </w:r>
      <w:r>
        <w:rPr>
          <w:rFonts w:hint="eastAsia" w:ascii="宋体" w:hAnsi="宋体"/>
          <w:color w:val="auto"/>
          <w:spacing w:val="-2"/>
          <w:position w:val="-3"/>
          <w:sz w:val="21"/>
          <w:szCs w:val="21"/>
          <w:highlight w:val="none"/>
        </w:rPr>
        <w:t>报</w:t>
      </w:r>
      <w:r>
        <w:rPr>
          <w:rFonts w:hint="eastAsia" w:ascii="宋体" w:hAnsi="宋体"/>
          <w:color w:val="auto"/>
          <w:position w:val="-3"/>
          <w:sz w:val="21"/>
          <w:szCs w:val="21"/>
          <w:highlight w:val="none"/>
        </w:rPr>
        <w:t>价明细表</w:t>
      </w:r>
      <w:bookmarkEnd w:id="127"/>
      <w:bookmarkEnd w:id="128"/>
    </w:p>
    <w:p>
      <w:pPr>
        <w:adjustRightInd w:val="0"/>
        <w:snapToGrid w:val="0"/>
        <w:spacing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采购代理编号：__________________                    项目名称：______________________</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xml:space="preserve">包号：__________________________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包名称：______________________</w:t>
      </w:r>
    </w:p>
    <w:tbl>
      <w:tblPr>
        <w:tblStyle w:val="47"/>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规格型号</w:t>
            </w:r>
          </w:p>
          <w:p>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（或项目特征描述</w:t>
            </w:r>
            <w:r>
              <w:rPr>
                <w:rFonts w:ascii="宋体" w:hAnsi="宋体"/>
                <w:color w:val="auto"/>
                <w:szCs w:val="21"/>
                <w:highlight w:val="none"/>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pPr>
              <w:autoSpaceDE w:val="0"/>
              <w:autoSpaceDN w:val="0"/>
              <w:adjustRightInd w:val="0"/>
              <w:snapToGrid w:val="0"/>
              <w:spacing w:line="360" w:lineRule="auto"/>
              <w:ind w:right="-20"/>
              <w:jc w:val="center"/>
              <w:rPr>
                <w:rFonts w:ascii="宋体" w:hAnsi="宋体"/>
                <w:color w:val="auto"/>
                <w:szCs w:val="21"/>
                <w:highlight w:val="none"/>
              </w:rPr>
            </w:pPr>
            <w:r>
              <w:rPr>
                <w:rFonts w:hint="eastAsia" w:ascii="宋体" w:hAnsi="宋体"/>
                <w:color w:val="auto"/>
                <w:szCs w:val="21"/>
                <w:highlight w:val="none"/>
              </w:rPr>
              <w:t>品牌/产地</w:t>
            </w:r>
          </w:p>
        </w:tc>
        <w:tc>
          <w:tcPr>
            <w:tcW w:w="1092" w:type="dxa"/>
            <w:vMerge w:val="restart"/>
            <w:tcBorders>
              <w:top w:val="double" w:color="auto" w:sz="4" w:space="0"/>
              <w:left w:val="single" w:color="auto" w:sz="6" w:space="0"/>
              <w:right w:val="single" w:color="auto" w:sz="4" w:space="0"/>
            </w:tcBorders>
            <w:vAlign w:val="center"/>
          </w:tcPr>
          <w:p>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napToGrid w:val="0"/>
              <w:spacing w:line="360" w:lineRule="auto"/>
              <w:ind w:right="-20"/>
              <w:jc w:val="center"/>
              <w:rPr>
                <w:rFonts w:ascii="宋体" w:hAnsi="宋体" w:cs="微软雅黑"/>
                <w:color w:val="auto"/>
                <w:kern w:val="0"/>
                <w:position w:val="-1"/>
                <w:szCs w:val="21"/>
                <w:highlight w:val="none"/>
              </w:rPr>
            </w:pPr>
            <w:r>
              <w:rPr>
                <w:rFonts w:hint="eastAsia" w:ascii="宋体" w:hAnsi="宋体" w:cs="微软雅黑"/>
                <w:color w:val="auto"/>
                <w:kern w:val="0"/>
                <w:position w:val="-1"/>
                <w:szCs w:val="21"/>
                <w:highlight w:val="none"/>
              </w:rPr>
              <w:t>备注</w:t>
            </w:r>
          </w:p>
        </w:tc>
      </w:tr>
      <w:tr>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pPr>
              <w:autoSpaceDE w:val="0"/>
              <w:autoSpaceDN w:val="0"/>
              <w:adjustRightInd w:val="0"/>
              <w:snapToGrid w:val="0"/>
              <w:spacing w:line="360" w:lineRule="auto"/>
              <w:ind w:left="352" w:right="-20"/>
              <w:jc w:val="left"/>
              <w:rPr>
                <w:rFonts w:ascii="宋体" w:hAnsi="宋体"/>
                <w:color w:val="auto"/>
                <w:kern w:val="0"/>
                <w:szCs w:val="21"/>
                <w:highlight w:val="none"/>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napToGrid w:val="0"/>
              <w:spacing w:line="360" w:lineRule="auto"/>
              <w:ind w:right="-20"/>
              <w:jc w:val="center"/>
              <w:rPr>
                <w:rFonts w:ascii="宋体" w:hAnsi="宋体"/>
                <w:color w:val="auto"/>
                <w:kern w:val="0"/>
                <w:szCs w:val="21"/>
                <w:highlight w:val="none"/>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napToGrid w:val="0"/>
              <w:spacing w:line="360" w:lineRule="auto"/>
              <w:ind w:right="-20"/>
              <w:jc w:val="center"/>
              <w:rPr>
                <w:rFonts w:ascii="宋体" w:hAnsi="宋体"/>
                <w:color w:val="auto"/>
                <w:kern w:val="0"/>
                <w:szCs w:val="21"/>
                <w:highlight w:val="none"/>
              </w:rPr>
            </w:pPr>
          </w:p>
        </w:tc>
        <w:tc>
          <w:tcPr>
            <w:tcW w:w="1092" w:type="dxa"/>
            <w:vMerge w:val="continue"/>
            <w:tcBorders>
              <w:left w:val="single" w:color="auto" w:sz="6" w:space="0"/>
              <w:bottom w:val="single" w:color="auto" w:sz="6" w:space="0"/>
              <w:right w:val="single" w:color="auto" w:sz="4" w:space="0"/>
            </w:tcBorders>
            <w:vAlign w:val="center"/>
          </w:tcPr>
          <w:p>
            <w:pPr>
              <w:autoSpaceDE w:val="0"/>
              <w:autoSpaceDN w:val="0"/>
              <w:adjustRightInd w:val="0"/>
              <w:snapToGrid w:val="0"/>
              <w:spacing w:line="360" w:lineRule="auto"/>
              <w:ind w:right="-20"/>
              <w:jc w:val="center"/>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snapToGrid w:val="0"/>
              <w:spacing w:line="360" w:lineRule="auto"/>
              <w:ind w:right="-20"/>
              <w:jc w:val="center"/>
              <w:rPr>
                <w:rFonts w:ascii="宋体" w:hAnsi="宋体"/>
                <w:color w:val="auto"/>
                <w:kern w:val="0"/>
                <w:szCs w:val="21"/>
                <w:highlight w:val="none"/>
              </w:rPr>
            </w:pPr>
            <w:r>
              <w:rPr>
                <w:rFonts w:hint="eastAsia" w:ascii="宋体" w:hAnsi="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napToGrid w:val="0"/>
              <w:spacing w:line="360" w:lineRule="auto"/>
              <w:ind w:left="70" w:right="-20"/>
              <w:jc w:val="center"/>
              <w:rPr>
                <w:rFonts w:ascii="宋体" w:hAnsi="宋体"/>
                <w:color w:val="auto"/>
                <w:kern w:val="0"/>
                <w:szCs w:val="21"/>
                <w:highlight w:val="none"/>
              </w:rPr>
            </w:pPr>
            <w:r>
              <w:rPr>
                <w:rFonts w:hint="eastAsia" w:ascii="宋体" w:hAnsi="宋体"/>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ind w:left="422" w:right="-20"/>
              <w:jc w:val="left"/>
              <w:rPr>
                <w:rFonts w:ascii="宋体" w:hAnsi="宋体"/>
                <w:color w:val="auto"/>
                <w:kern w:val="0"/>
                <w:szCs w:val="21"/>
                <w:highlight w:val="none"/>
              </w:rPr>
            </w:pPr>
          </w:p>
        </w:tc>
      </w:tr>
      <w:tr>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pPr>
              <w:jc w:val="center"/>
              <w:rPr>
                <w:rFonts w:ascii="宋体" w:hAnsi="宋体" w:cs="宋体"/>
                <w:color w:val="auto"/>
                <w:highlight w:val="none"/>
              </w:rPr>
            </w:pPr>
            <w:r>
              <w:rPr>
                <w:rFonts w:hint="eastAsia" w:ascii="宋体" w:hAnsi="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pPr>
              <w:jc w:val="center"/>
              <w:rPr>
                <w:rFonts w:ascii="宋体" w:hAnsi="宋体" w:cs="宋体"/>
                <w:color w:val="auto"/>
                <w:highlight w:val="none"/>
              </w:rPr>
            </w:pPr>
            <w:r>
              <w:rPr>
                <w:rFonts w:hint="eastAsia" w:ascii="宋体" w:hAnsi="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pPr>
              <w:jc w:val="center"/>
              <w:rPr>
                <w:rFonts w:ascii="宋体" w:hAnsi="宋体" w:cs="宋体"/>
                <w:color w:val="auto"/>
                <w:highlight w:val="none"/>
              </w:rPr>
            </w:pPr>
            <w:r>
              <w:rPr>
                <w:rFonts w:hint="eastAsia" w:ascii="宋体" w:hAnsi="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pPr>
              <w:jc w:val="center"/>
              <w:rPr>
                <w:rFonts w:ascii="宋体" w:hAnsi="宋体" w:cs="宋体"/>
                <w:color w:val="auto"/>
                <w:highlight w:val="none"/>
              </w:rPr>
            </w:pPr>
            <w:r>
              <w:rPr>
                <w:rFonts w:hint="eastAsia" w:ascii="宋体" w:hAnsi="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pPr>
              <w:jc w:val="center"/>
              <w:rPr>
                <w:rFonts w:ascii="宋体" w:hAnsi="宋体" w:cs="宋体"/>
                <w:color w:val="auto"/>
                <w:highlight w:val="none"/>
              </w:rPr>
            </w:pPr>
            <w:r>
              <w:rPr>
                <w:rFonts w:hint="eastAsia" w:ascii="宋体" w:hAnsi="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360" w:lineRule="auto"/>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r>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pPr>
              <w:jc w:val="center"/>
              <w:rPr>
                <w:color w:val="auto"/>
                <w:highlight w:val="none"/>
              </w:rPr>
            </w:pPr>
            <w:r>
              <w:rPr>
                <w:color w:val="auto"/>
                <w:highlight w:val="none"/>
              </w:rPr>
              <w:t>…</w:t>
            </w:r>
          </w:p>
        </w:tc>
        <w:tc>
          <w:tcPr>
            <w:tcW w:w="1383"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ind w:left="527" w:right="507"/>
              <w:jc w:val="center"/>
              <w:rPr>
                <w:rFonts w:ascii="宋体" w:hAnsi="宋体"/>
                <w:color w:val="auto"/>
                <w:kern w:val="0"/>
                <w:szCs w:val="21"/>
                <w:highlight w:val="none"/>
              </w:rPr>
            </w:pPr>
          </w:p>
        </w:tc>
        <w:tc>
          <w:tcPr>
            <w:tcW w:w="2126"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20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1092" w:type="dxa"/>
            <w:tcBorders>
              <w:top w:val="single" w:color="auto" w:sz="6" w:space="0"/>
              <w:left w:val="single" w:color="auto" w:sz="6" w:space="0"/>
              <w:bottom w:val="single" w:color="auto" w:sz="6" w:space="0"/>
              <w:right w:val="sing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r>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napToGrid w:val="0"/>
              <w:spacing w:line="360" w:lineRule="auto"/>
              <w:jc w:val="center"/>
              <w:rPr>
                <w:rFonts w:ascii="宋体" w:hAnsi="宋体"/>
                <w:color w:val="auto"/>
                <w:kern w:val="0"/>
                <w:szCs w:val="21"/>
                <w:highlight w:val="none"/>
              </w:rPr>
            </w:pPr>
            <w:r>
              <w:rPr>
                <w:rFonts w:hint="eastAsia" w:ascii="宋体" w:hAnsi="宋体" w:cs="微软雅黑"/>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tcPr>
          <w:p>
            <w:pPr>
              <w:autoSpaceDE w:val="0"/>
              <w:autoSpaceDN w:val="0"/>
              <w:adjustRightInd w:val="0"/>
              <w:snapToGrid w:val="0"/>
              <w:spacing w:line="360" w:lineRule="auto"/>
              <w:jc w:val="left"/>
              <w:rPr>
                <w:rFonts w:ascii="宋体" w:hAnsi="宋体"/>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tcPr>
          <w:p>
            <w:pPr>
              <w:autoSpaceDE w:val="0"/>
              <w:autoSpaceDN w:val="0"/>
              <w:adjustRightInd w:val="0"/>
              <w:snapToGrid w:val="0"/>
              <w:spacing w:line="360" w:lineRule="auto"/>
              <w:jc w:val="left"/>
              <w:rPr>
                <w:rFonts w:ascii="宋体" w:hAnsi="宋体"/>
                <w:color w:val="auto"/>
                <w:kern w:val="0"/>
                <w:szCs w:val="21"/>
                <w:highlight w:val="none"/>
              </w:rPr>
            </w:pPr>
          </w:p>
        </w:tc>
      </w:tr>
    </w:tbl>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备注：（1）</w:t>
      </w:r>
      <w:r>
        <w:rPr>
          <w:rFonts w:hint="eastAsia" w:ascii="宋体" w:hAnsi="宋体"/>
          <w:b/>
          <w:color w:val="auto"/>
          <w:szCs w:val="21"/>
          <w:highlight w:val="none"/>
        </w:rPr>
        <w:t>本表应对应</w:t>
      </w:r>
      <w:r>
        <w:rPr>
          <w:rFonts w:hint="eastAsia" w:ascii="宋体" w:hAnsi="宋体"/>
          <w:color w:val="auto"/>
          <w:szCs w:val="21"/>
          <w:highlight w:val="none"/>
        </w:rPr>
        <w:t>“</w:t>
      </w:r>
      <w:r>
        <w:rPr>
          <w:rFonts w:hint="eastAsia" w:ascii="宋体" w:hAnsi="宋体"/>
          <w:b/>
          <w:color w:val="auto"/>
          <w:szCs w:val="21"/>
          <w:highlight w:val="none"/>
        </w:rPr>
        <w:t>报价表</w:t>
      </w:r>
      <w:r>
        <w:rPr>
          <w:rFonts w:hint="eastAsia" w:ascii="宋体" w:hAnsi="宋体"/>
          <w:color w:val="auto"/>
          <w:szCs w:val="21"/>
          <w:highlight w:val="none"/>
        </w:rPr>
        <w:t>”</w:t>
      </w:r>
      <w:r>
        <w:rPr>
          <w:rFonts w:hint="eastAsia" w:ascii="宋体" w:hAnsi="宋体"/>
          <w:b/>
          <w:color w:val="auto"/>
          <w:szCs w:val="21"/>
          <w:highlight w:val="none"/>
        </w:rPr>
        <w:t>，按包填写</w:t>
      </w:r>
      <w:r>
        <w:rPr>
          <w:rFonts w:hint="eastAsia" w:ascii="宋体" w:hAnsi="宋体"/>
          <w:color w:val="auto"/>
          <w:szCs w:val="21"/>
          <w:highlight w:val="none"/>
        </w:rPr>
        <w:t>。供应商如果不提供分项报价明细表，其</w:t>
      </w:r>
      <w:r>
        <w:rPr>
          <w:rFonts w:hint="eastAsia" w:ascii="宋体" w:hAnsi="宋体"/>
          <w:b/>
          <w:color w:val="auto"/>
          <w:szCs w:val="21"/>
          <w:highlight w:val="none"/>
        </w:rPr>
        <w:t>响应无效</w:t>
      </w:r>
      <w:r>
        <w:rPr>
          <w:rFonts w:hint="eastAsia" w:ascii="宋体" w:hAnsi="宋体"/>
          <w:color w:val="auto"/>
          <w:szCs w:val="21"/>
          <w:highlight w:val="none"/>
        </w:rPr>
        <w:t>。</w:t>
      </w:r>
    </w:p>
    <w:p>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（2）不得填写“免费”或“赠与”，也不得进行“零”报价，否则</w:t>
      </w:r>
      <w:r>
        <w:rPr>
          <w:rFonts w:hint="eastAsia" w:ascii="宋体" w:hAnsi="宋体"/>
          <w:b/>
          <w:color w:val="auto"/>
          <w:szCs w:val="21"/>
          <w:highlight w:val="none"/>
        </w:rPr>
        <w:t>响应无效</w:t>
      </w:r>
      <w:r>
        <w:rPr>
          <w:rFonts w:hint="eastAsia" w:ascii="宋体" w:hAnsi="宋体"/>
          <w:color w:val="auto"/>
          <w:szCs w:val="21"/>
          <w:highlight w:val="none"/>
        </w:rPr>
        <w:t>。</w:t>
      </w:r>
    </w:p>
    <w:p>
      <w:pPr>
        <w:adjustRightInd w:val="0"/>
        <w:snapToGrid w:val="0"/>
        <w:spacing w:line="360" w:lineRule="auto"/>
        <w:ind w:firstLine="422" w:firstLineChars="200"/>
        <w:rPr>
          <w:rFonts w:ascii="宋体" w:hAnsi="宋体"/>
          <w:b/>
          <w:color w:val="auto"/>
          <w:szCs w:val="21"/>
          <w:highlight w:val="none"/>
        </w:rPr>
      </w:pPr>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lang w:val="en-US" w:eastAsia="zh-CN"/>
        </w:rPr>
        <w:t xml:space="preserve">                                          </w:t>
      </w:r>
    </w:p>
    <w:p>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lang w:val="en-US" w:eastAsia="zh-CN"/>
        </w:rPr>
        <w:t xml:space="preserve">            </w:t>
      </w:r>
    </w:p>
    <w:p>
      <w:pPr>
        <w:adjustRightInd w:val="0"/>
        <w:snapToGrid w:val="0"/>
        <w:spacing w:line="360" w:lineRule="auto"/>
        <w:rPr>
          <w:rFonts w:ascii="黑体" w:hAnsi="黑体" w:eastAsia="黑体"/>
          <w:bCs/>
          <w:color w:val="auto"/>
          <w:sz w:val="30"/>
          <w:szCs w:val="30"/>
          <w:highlight w:val="none"/>
        </w:rPr>
      </w:pPr>
      <w:r>
        <w:rPr>
          <w:rFonts w:hint="eastAsia" w:ascii="宋体" w:hAnsi="宋体"/>
          <w:color w:val="auto"/>
          <w:szCs w:val="21"/>
          <w:highlight w:val="none"/>
        </w:rPr>
        <w:t>日期：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w:t>
      </w:r>
    </w:p>
    <w:p>
      <w:pPr>
        <w:pStyle w:val="4"/>
        <w:jc w:val="center"/>
        <w:rPr>
          <w:rFonts w:ascii="黑体" w:hAnsi="黑体" w:eastAsia="黑体"/>
          <w:color w:val="auto"/>
          <w:sz w:val="28"/>
          <w:szCs w:val="28"/>
          <w:highlight w:val="none"/>
        </w:rPr>
      </w:pPr>
      <w:r>
        <w:rPr>
          <w:rFonts w:hint="eastAsia" w:ascii="黑体" w:hAnsi="黑体" w:eastAsia="黑体"/>
          <w:color w:val="auto"/>
          <w:sz w:val="28"/>
          <w:szCs w:val="28"/>
          <w:highlight w:val="none"/>
        </w:rPr>
        <w:br w:type="page"/>
      </w:r>
      <w:bookmarkStart w:id="129" w:name="_Toc5007"/>
      <w:r>
        <w:rPr>
          <w:rFonts w:hint="eastAsia" w:ascii="黑体" w:hAnsi="黑体" w:eastAsia="黑体"/>
          <w:color w:val="auto"/>
          <w:sz w:val="28"/>
          <w:szCs w:val="28"/>
          <w:highlight w:val="none"/>
        </w:rPr>
        <w:t>六、</w:t>
      </w:r>
      <w:bookmarkEnd w:id="126"/>
      <w:r>
        <w:rPr>
          <w:rFonts w:hint="eastAsia" w:ascii="黑体" w:hAnsi="黑体" w:eastAsia="黑体"/>
          <w:color w:val="auto"/>
          <w:sz w:val="28"/>
          <w:szCs w:val="28"/>
          <w:highlight w:val="none"/>
        </w:rPr>
        <w:t>采购需求的响应</w:t>
      </w:r>
      <w:bookmarkEnd w:id="129"/>
    </w:p>
    <w:p>
      <w:pPr>
        <w:adjustRightInd w:val="0"/>
        <w:snapToGrid w:val="0"/>
        <w:spacing w:line="360" w:lineRule="auto"/>
        <w:rPr>
          <w:rFonts w:ascii="宋体" w:hAnsi="宋体"/>
          <w:b/>
          <w:color w:val="auto"/>
          <w:szCs w:val="21"/>
          <w:highlight w:val="none"/>
        </w:rPr>
      </w:pPr>
    </w:p>
    <w:p>
      <w:pPr>
        <w:adjustRightInd w:val="0"/>
        <w:snapToGrid w:val="0"/>
        <w:spacing w:line="360" w:lineRule="auto"/>
        <w:rPr>
          <w:b/>
          <w:color w:val="auto"/>
          <w:highlight w:val="none"/>
        </w:rPr>
      </w:pPr>
      <w:r>
        <w:rPr>
          <w:rFonts w:hint="eastAsia" w:ascii="宋体" w:hAnsi="宋体"/>
          <w:b/>
          <w:color w:val="auto"/>
          <w:szCs w:val="21"/>
          <w:highlight w:val="none"/>
        </w:rPr>
        <w:t>编制说明</w:t>
      </w:r>
      <w:r>
        <w:rPr>
          <w:rFonts w:hint="eastAsia" w:ascii="宋体" w:hAnsi="宋体"/>
          <w:bCs/>
          <w:color w:val="auto"/>
          <w:szCs w:val="21"/>
          <w:highlight w:val="none"/>
        </w:rPr>
        <w:t>：</w:t>
      </w:r>
      <w:r>
        <w:rPr>
          <w:rFonts w:hint="eastAsia"/>
          <w:b/>
          <w:color w:val="auto"/>
          <w:highlight w:val="none"/>
        </w:rPr>
        <w:t>供应商应按谈判文件第三章采购需求自行编写采购需求响应文件（其内容可包括，且不限于详细的技术指标和性能、售后服务和技术服务的组织及保证措施等，格式自拟）。</w:t>
      </w:r>
    </w:p>
    <w:p>
      <w:pPr>
        <w:rPr>
          <w:color w:val="auto"/>
          <w:highlight w:val="none"/>
        </w:rPr>
      </w:pPr>
    </w:p>
    <w:p>
      <w:pPr>
        <w:pStyle w:val="28"/>
        <w:tabs>
          <w:tab w:val="left" w:pos="6208"/>
        </w:tabs>
        <w:adjustRightInd w:val="0"/>
        <w:snapToGrid w:val="0"/>
        <w:spacing w:line="360" w:lineRule="auto"/>
        <w:ind w:left="-88" w:leftChars="-42"/>
        <w:rPr>
          <w:rFonts w:ascii="宋体" w:hAnsi="宋体"/>
          <w:bCs/>
          <w:color w:val="auto"/>
          <w:sz w:val="21"/>
          <w:szCs w:val="21"/>
          <w:highlight w:val="none"/>
        </w:rPr>
      </w:pPr>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lang w:val="en-US" w:eastAsia="zh-CN"/>
        </w:rPr>
        <w:t xml:space="preserve">                                       </w:t>
      </w:r>
    </w:p>
    <w:p>
      <w:pPr>
        <w:adjustRightInd w:val="0"/>
        <w:snapToGrid w:val="0"/>
        <w:spacing w:line="360" w:lineRule="auto"/>
        <w:rPr>
          <w:rFonts w:ascii="宋体" w:hAnsi="宋体"/>
          <w:color w:val="auto"/>
          <w:szCs w:val="21"/>
          <w:highlight w:val="none"/>
          <w:u w:val="singl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lang w:val="en-US" w:eastAsia="zh-CN"/>
        </w:rPr>
        <w:t xml:space="preserve">         </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w:t>
      </w:r>
    </w:p>
    <w:p>
      <w:pPr>
        <w:rPr>
          <w:color w:val="auto"/>
          <w:highlight w:val="none"/>
        </w:rPr>
      </w:pPr>
    </w:p>
    <w:p>
      <w:pPr>
        <w:rPr>
          <w:color w:val="auto"/>
          <w:highlight w:val="none"/>
        </w:rPr>
      </w:pPr>
    </w:p>
    <w:p>
      <w:pPr>
        <w:pStyle w:val="5"/>
        <w:rPr>
          <w:rFonts w:ascii="宋体" w:hAnsi="宋体"/>
          <w:color w:val="auto"/>
          <w:sz w:val="21"/>
          <w:szCs w:val="21"/>
          <w:highlight w:val="none"/>
        </w:rPr>
      </w:pPr>
      <w:bookmarkStart w:id="130" w:name="_Toc29676"/>
      <w:bookmarkStart w:id="131" w:name="_Toc22004"/>
      <w:bookmarkStart w:id="132" w:name="_Toc22201158"/>
      <w:r>
        <w:rPr>
          <w:rFonts w:hint="eastAsia" w:ascii="宋体" w:hAnsi="宋体"/>
          <w:color w:val="auto"/>
          <w:sz w:val="21"/>
          <w:szCs w:val="21"/>
          <w:highlight w:val="none"/>
        </w:rPr>
        <w:t>附件6-1 响应-览表</w:t>
      </w:r>
      <w:bookmarkEnd w:id="130"/>
      <w:bookmarkEnd w:id="131"/>
      <w:bookmarkEnd w:id="132"/>
    </w:p>
    <w:p>
      <w:pPr>
        <w:adjustRightInd w:val="0"/>
        <w:snapToGrid w:val="0"/>
        <w:spacing w:beforeLines="50" w:line="360" w:lineRule="auto"/>
        <w:jc w:val="center"/>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响应-览表</w:t>
      </w:r>
    </w:p>
    <w:p>
      <w:pPr>
        <w:jc w:val="center"/>
        <w:rPr>
          <w:rFonts w:ascii="宋体" w:hAnsi="宋体"/>
          <w:color w:val="auto"/>
          <w:szCs w:val="21"/>
          <w:highlight w:val="none"/>
        </w:rPr>
      </w:pPr>
    </w:p>
    <w:tbl>
      <w:tblPr>
        <w:tblStyle w:val="47"/>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pPr>
              <w:jc w:val="center"/>
              <w:rPr>
                <w:color w:val="auto"/>
                <w:szCs w:val="21"/>
                <w:highlight w:val="none"/>
              </w:rPr>
            </w:pPr>
            <w:r>
              <w:rPr>
                <w:rFonts w:hint="eastAsia"/>
                <w:color w:val="auto"/>
                <w:szCs w:val="21"/>
                <w:highlight w:val="none"/>
              </w:rPr>
              <w:t xml:space="preserve">包号 </w:t>
            </w:r>
          </w:p>
        </w:tc>
        <w:tc>
          <w:tcPr>
            <w:tcW w:w="957" w:type="dxa"/>
            <w:vMerge w:val="restart"/>
            <w:tcBorders>
              <w:right w:val="single" w:color="auto" w:sz="4" w:space="0"/>
            </w:tcBorders>
            <w:vAlign w:val="center"/>
          </w:tcPr>
          <w:p>
            <w:pPr>
              <w:jc w:val="center"/>
              <w:rPr>
                <w:color w:val="auto"/>
                <w:szCs w:val="21"/>
                <w:highlight w:val="none"/>
              </w:rPr>
            </w:pPr>
            <w:r>
              <w:rPr>
                <w:rFonts w:hint="eastAsia"/>
                <w:color w:val="auto"/>
                <w:szCs w:val="21"/>
                <w:highlight w:val="none"/>
              </w:rPr>
              <w:t>包名称</w:t>
            </w:r>
          </w:p>
        </w:tc>
        <w:tc>
          <w:tcPr>
            <w:tcW w:w="2124" w:type="dxa"/>
            <w:vMerge w:val="restart"/>
            <w:tcBorders>
              <w:left w:val="single" w:color="auto" w:sz="4" w:space="0"/>
            </w:tcBorders>
            <w:vAlign w:val="center"/>
          </w:tcPr>
          <w:p>
            <w:pPr>
              <w:jc w:val="center"/>
              <w:rPr>
                <w:color w:val="auto"/>
                <w:szCs w:val="21"/>
                <w:highlight w:val="none"/>
              </w:rPr>
            </w:pPr>
            <w:r>
              <w:rPr>
                <w:rFonts w:hint="eastAsia"/>
                <w:color w:val="auto"/>
                <w:szCs w:val="21"/>
                <w:highlight w:val="none"/>
              </w:rPr>
              <w:t>分项项目名称</w:t>
            </w:r>
          </w:p>
          <w:p>
            <w:pPr>
              <w:jc w:val="center"/>
              <w:rPr>
                <w:color w:val="auto"/>
                <w:szCs w:val="21"/>
                <w:highlight w:val="none"/>
              </w:rPr>
            </w:pPr>
            <w:r>
              <w:rPr>
                <w:rFonts w:hint="eastAsia"/>
                <w:color w:val="auto"/>
                <w:szCs w:val="21"/>
                <w:highlight w:val="none"/>
              </w:rPr>
              <w:t>（条目号/品目名称）</w:t>
            </w:r>
          </w:p>
        </w:tc>
        <w:tc>
          <w:tcPr>
            <w:tcW w:w="2127" w:type="dxa"/>
            <w:vMerge w:val="restart"/>
            <w:vAlign w:val="center"/>
          </w:tcPr>
          <w:p>
            <w:pPr>
              <w:jc w:val="center"/>
              <w:rPr>
                <w:color w:val="auto"/>
                <w:szCs w:val="21"/>
                <w:highlight w:val="none"/>
              </w:rPr>
            </w:pPr>
            <w:r>
              <w:rPr>
                <w:rFonts w:hint="eastAsia"/>
                <w:color w:val="auto"/>
                <w:szCs w:val="21"/>
                <w:highlight w:val="none"/>
              </w:rPr>
              <w:t>主要技术参数或规格</w:t>
            </w:r>
          </w:p>
        </w:tc>
        <w:tc>
          <w:tcPr>
            <w:tcW w:w="992" w:type="dxa"/>
            <w:vMerge w:val="restart"/>
            <w:vAlign w:val="center"/>
          </w:tcPr>
          <w:p>
            <w:pPr>
              <w:jc w:val="center"/>
              <w:rPr>
                <w:color w:val="auto"/>
                <w:szCs w:val="21"/>
                <w:highlight w:val="none"/>
              </w:rPr>
            </w:pPr>
            <w:r>
              <w:rPr>
                <w:rFonts w:hint="eastAsia"/>
                <w:color w:val="auto"/>
                <w:szCs w:val="21"/>
                <w:highlight w:val="none"/>
              </w:rPr>
              <w:t>数量</w:t>
            </w:r>
          </w:p>
          <w:p>
            <w:pPr>
              <w:jc w:val="center"/>
              <w:rPr>
                <w:color w:val="auto"/>
                <w:szCs w:val="21"/>
                <w:highlight w:val="none"/>
              </w:rPr>
            </w:pPr>
            <w:r>
              <w:rPr>
                <w:rFonts w:hint="eastAsia"/>
                <w:color w:val="auto"/>
                <w:szCs w:val="21"/>
                <w:highlight w:val="none"/>
              </w:rPr>
              <w:t>（台套）</w:t>
            </w:r>
          </w:p>
        </w:tc>
        <w:tc>
          <w:tcPr>
            <w:tcW w:w="1460" w:type="dxa"/>
            <w:gridSpan w:val="2"/>
            <w:vAlign w:val="center"/>
          </w:tcPr>
          <w:p>
            <w:pPr>
              <w:jc w:val="center"/>
              <w:rPr>
                <w:color w:val="auto"/>
                <w:szCs w:val="21"/>
                <w:highlight w:val="none"/>
              </w:rPr>
            </w:pPr>
            <w:r>
              <w:rPr>
                <w:rFonts w:hint="eastAsia"/>
                <w:color w:val="auto"/>
                <w:szCs w:val="21"/>
                <w:highlight w:val="none"/>
              </w:rPr>
              <w:t>交货</w:t>
            </w:r>
          </w:p>
        </w:tc>
        <w:tc>
          <w:tcPr>
            <w:tcW w:w="971" w:type="dxa"/>
            <w:vMerge w:val="restart"/>
            <w:vAlign w:val="center"/>
          </w:tcPr>
          <w:p>
            <w:pPr>
              <w:jc w:val="center"/>
              <w:rPr>
                <w:color w:val="auto"/>
                <w:szCs w:val="21"/>
                <w:highlight w:val="none"/>
              </w:rPr>
            </w:pPr>
            <w:r>
              <w:rPr>
                <w:rFonts w:hint="eastAsia"/>
                <w:color w:val="auto"/>
                <w:szCs w:val="21"/>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pPr>
              <w:jc w:val="center"/>
              <w:rPr>
                <w:color w:val="auto"/>
                <w:szCs w:val="21"/>
                <w:highlight w:val="none"/>
              </w:rPr>
            </w:pPr>
          </w:p>
        </w:tc>
        <w:tc>
          <w:tcPr>
            <w:tcW w:w="957" w:type="dxa"/>
            <w:vMerge w:val="continue"/>
            <w:tcBorders>
              <w:right w:val="single" w:color="auto" w:sz="4" w:space="0"/>
            </w:tcBorders>
            <w:vAlign w:val="center"/>
          </w:tcPr>
          <w:p>
            <w:pPr>
              <w:jc w:val="center"/>
              <w:rPr>
                <w:color w:val="auto"/>
                <w:szCs w:val="21"/>
                <w:highlight w:val="none"/>
              </w:rPr>
            </w:pPr>
          </w:p>
        </w:tc>
        <w:tc>
          <w:tcPr>
            <w:tcW w:w="2124" w:type="dxa"/>
            <w:vMerge w:val="continue"/>
            <w:tcBorders>
              <w:left w:val="single" w:color="auto" w:sz="4" w:space="0"/>
            </w:tcBorders>
            <w:vAlign w:val="center"/>
          </w:tcPr>
          <w:p>
            <w:pPr>
              <w:jc w:val="center"/>
              <w:rPr>
                <w:color w:val="auto"/>
                <w:szCs w:val="21"/>
                <w:highlight w:val="none"/>
              </w:rPr>
            </w:pPr>
          </w:p>
        </w:tc>
        <w:tc>
          <w:tcPr>
            <w:tcW w:w="2127" w:type="dxa"/>
            <w:vMerge w:val="continue"/>
            <w:vAlign w:val="center"/>
          </w:tcPr>
          <w:p>
            <w:pPr>
              <w:jc w:val="center"/>
              <w:rPr>
                <w:color w:val="auto"/>
                <w:szCs w:val="21"/>
                <w:highlight w:val="none"/>
              </w:rPr>
            </w:pPr>
          </w:p>
        </w:tc>
        <w:tc>
          <w:tcPr>
            <w:tcW w:w="992" w:type="dxa"/>
            <w:vMerge w:val="continue"/>
            <w:vAlign w:val="center"/>
          </w:tcPr>
          <w:p>
            <w:pPr>
              <w:jc w:val="center"/>
              <w:rPr>
                <w:color w:val="auto"/>
                <w:szCs w:val="21"/>
                <w:highlight w:val="none"/>
              </w:rPr>
            </w:pPr>
          </w:p>
        </w:tc>
        <w:tc>
          <w:tcPr>
            <w:tcW w:w="709" w:type="dxa"/>
            <w:vAlign w:val="center"/>
          </w:tcPr>
          <w:p>
            <w:pPr>
              <w:jc w:val="center"/>
              <w:rPr>
                <w:color w:val="auto"/>
                <w:szCs w:val="21"/>
                <w:highlight w:val="none"/>
              </w:rPr>
            </w:pPr>
            <w:r>
              <w:rPr>
                <w:rFonts w:hint="eastAsia"/>
                <w:color w:val="auto"/>
                <w:szCs w:val="21"/>
                <w:highlight w:val="none"/>
              </w:rPr>
              <w:t>时间</w:t>
            </w:r>
          </w:p>
        </w:tc>
        <w:tc>
          <w:tcPr>
            <w:tcW w:w="751" w:type="dxa"/>
            <w:vAlign w:val="center"/>
          </w:tcPr>
          <w:p>
            <w:pPr>
              <w:jc w:val="center"/>
              <w:rPr>
                <w:color w:val="auto"/>
                <w:szCs w:val="21"/>
                <w:highlight w:val="none"/>
              </w:rPr>
            </w:pPr>
            <w:r>
              <w:rPr>
                <w:rFonts w:hint="eastAsia"/>
                <w:color w:val="auto"/>
                <w:szCs w:val="21"/>
                <w:highlight w:val="none"/>
              </w:rPr>
              <w:t>地点</w:t>
            </w:r>
          </w:p>
        </w:tc>
        <w:tc>
          <w:tcPr>
            <w:tcW w:w="971" w:type="dxa"/>
            <w:vMerge w:val="continue"/>
          </w:tcPr>
          <w:p>
            <w:pPr>
              <w:rPr>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pPr>
              <w:rPr>
                <w:color w:val="auto"/>
                <w:szCs w:val="21"/>
                <w:highlight w:val="none"/>
              </w:rPr>
            </w:pPr>
          </w:p>
        </w:tc>
        <w:tc>
          <w:tcPr>
            <w:tcW w:w="957" w:type="dxa"/>
            <w:tcBorders>
              <w:right w:val="single" w:color="auto" w:sz="4" w:space="0"/>
            </w:tcBorders>
          </w:tcPr>
          <w:p>
            <w:pPr>
              <w:rPr>
                <w:color w:val="auto"/>
                <w:szCs w:val="21"/>
                <w:highlight w:val="none"/>
              </w:rPr>
            </w:pPr>
          </w:p>
        </w:tc>
        <w:tc>
          <w:tcPr>
            <w:tcW w:w="2124" w:type="dxa"/>
            <w:tcBorders>
              <w:left w:val="single" w:color="auto" w:sz="4" w:space="0"/>
            </w:tcBorders>
          </w:tcPr>
          <w:p>
            <w:pPr>
              <w:rPr>
                <w:color w:val="auto"/>
                <w:szCs w:val="21"/>
                <w:highlight w:val="none"/>
              </w:rPr>
            </w:pPr>
          </w:p>
        </w:tc>
        <w:tc>
          <w:tcPr>
            <w:tcW w:w="2127" w:type="dxa"/>
          </w:tcPr>
          <w:p>
            <w:pPr>
              <w:rPr>
                <w:color w:val="auto"/>
                <w:szCs w:val="21"/>
                <w:highlight w:val="none"/>
              </w:rPr>
            </w:pPr>
          </w:p>
        </w:tc>
        <w:tc>
          <w:tcPr>
            <w:tcW w:w="992" w:type="dxa"/>
          </w:tcPr>
          <w:p>
            <w:pPr>
              <w:rPr>
                <w:color w:val="auto"/>
                <w:szCs w:val="21"/>
                <w:highlight w:val="none"/>
              </w:rPr>
            </w:pPr>
          </w:p>
        </w:tc>
        <w:tc>
          <w:tcPr>
            <w:tcW w:w="709" w:type="dxa"/>
            <w:tcBorders>
              <w:bottom w:val="single" w:color="auto" w:sz="4" w:space="0"/>
            </w:tcBorders>
          </w:tcPr>
          <w:p>
            <w:pPr>
              <w:rPr>
                <w:color w:val="auto"/>
                <w:szCs w:val="21"/>
                <w:highlight w:val="none"/>
              </w:rPr>
            </w:pPr>
          </w:p>
        </w:tc>
        <w:tc>
          <w:tcPr>
            <w:tcW w:w="751" w:type="dxa"/>
            <w:tcBorders>
              <w:bottom w:val="single" w:color="auto" w:sz="4" w:space="0"/>
            </w:tcBorders>
          </w:tcPr>
          <w:p>
            <w:pPr>
              <w:rPr>
                <w:color w:val="auto"/>
                <w:szCs w:val="21"/>
                <w:highlight w:val="none"/>
              </w:rPr>
            </w:pPr>
          </w:p>
        </w:tc>
        <w:tc>
          <w:tcPr>
            <w:tcW w:w="971" w:type="dxa"/>
          </w:tcPr>
          <w:p>
            <w:pPr>
              <w:rPr>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pPr>
              <w:rPr>
                <w:color w:val="auto"/>
                <w:szCs w:val="21"/>
                <w:highlight w:val="none"/>
              </w:rPr>
            </w:pPr>
          </w:p>
        </w:tc>
        <w:tc>
          <w:tcPr>
            <w:tcW w:w="957" w:type="dxa"/>
            <w:tcBorders>
              <w:right w:val="single" w:color="auto" w:sz="4" w:space="0"/>
            </w:tcBorders>
          </w:tcPr>
          <w:p>
            <w:pPr>
              <w:rPr>
                <w:color w:val="auto"/>
                <w:szCs w:val="21"/>
                <w:highlight w:val="none"/>
              </w:rPr>
            </w:pPr>
          </w:p>
        </w:tc>
        <w:tc>
          <w:tcPr>
            <w:tcW w:w="2124" w:type="dxa"/>
            <w:tcBorders>
              <w:left w:val="single" w:color="auto" w:sz="4" w:space="0"/>
            </w:tcBorders>
          </w:tcPr>
          <w:p>
            <w:pPr>
              <w:rPr>
                <w:color w:val="auto"/>
                <w:szCs w:val="21"/>
                <w:highlight w:val="none"/>
              </w:rPr>
            </w:pPr>
          </w:p>
        </w:tc>
        <w:tc>
          <w:tcPr>
            <w:tcW w:w="2127" w:type="dxa"/>
          </w:tcPr>
          <w:p>
            <w:pPr>
              <w:rPr>
                <w:color w:val="auto"/>
                <w:szCs w:val="21"/>
                <w:highlight w:val="none"/>
              </w:rPr>
            </w:pPr>
          </w:p>
        </w:tc>
        <w:tc>
          <w:tcPr>
            <w:tcW w:w="992" w:type="dxa"/>
          </w:tcPr>
          <w:p>
            <w:pPr>
              <w:rPr>
                <w:color w:val="auto"/>
                <w:szCs w:val="21"/>
                <w:highlight w:val="none"/>
              </w:rPr>
            </w:pPr>
          </w:p>
        </w:tc>
        <w:tc>
          <w:tcPr>
            <w:tcW w:w="709" w:type="dxa"/>
            <w:tcBorders>
              <w:top w:val="single" w:color="auto" w:sz="4" w:space="0"/>
              <w:bottom w:val="single" w:color="auto" w:sz="4" w:space="0"/>
            </w:tcBorders>
          </w:tcPr>
          <w:p>
            <w:pPr>
              <w:rPr>
                <w:color w:val="auto"/>
                <w:szCs w:val="21"/>
                <w:highlight w:val="none"/>
              </w:rPr>
            </w:pPr>
          </w:p>
        </w:tc>
        <w:tc>
          <w:tcPr>
            <w:tcW w:w="751" w:type="dxa"/>
            <w:tcBorders>
              <w:top w:val="single" w:color="auto" w:sz="4" w:space="0"/>
              <w:bottom w:val="single" w:color="auto" w:sz="4" w:space="0"/>
            </w:tcBorders>
          </w:tcPr>
          <w:p>
            <w:pPr>
              <w:rPr>
                <w:color w:val="auto"/>
                <w:szCs w:val="21"/>
                <w:highlight w:val="none"/>
              </w:rPr>
            </w:pPr>
          </w:p>
        </w:tc>
        <w:tc>
          <w:tcPr>
            <w:tcW w:w="971" w:type="dxa"/>
          </w:tcPr>
          <w:p>
            <w:pPr>
              <w:rPr>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pPr>
              <w:rPr>
                <w:color w:val="auto"/>
                <w:szCs w:val="21"/>
                <w:highlight w:val="none"/>
              </w:rPr>
            </w:pPr>
          </w:p>
        </w:tc>
        <w:tc>
          <w:tcPr>
            <w:tcW w:w="957" w:type="dxa"/>
            <w:tcBorders>
              <w:right w:val="single" w:color="auto" w:sz="4" w:space="0"/>
            </w:tcBorders>
          </w:tcPr>
          <w:p>
            <w:pPr>
              <w:rPr>
                <w:color w:val="auto"/>
                <w:szCs w:val="21"/>
                <w:highlight w:val="none"/>
              </w:rPr>
            </w:pPr>
          </w:p>
        </w:tc>
        <w:tc>
          <w:tcPr>
            <w:tcW w:w="2124" w:type="dxa"/>
            <w:tcBorders>
              <w:left w:val="single" w:color="auto" w:sz="4" w:space="0"/>
            </w:tcBorders>
          </w:tcPr>
          <w:p>
            <w:pPr>
              <w:rPr>
                <w:color w:val="auto"/>
                <w:szCs w:val="21"/>
                <w:highlight w:val="none"/>
              </w:rPr>
            </w:pPr>
          </w:p>
        </w:tc>
        <w:tc>
          <w:tcPr>
            <w:tcW w:w="2127" w:type="dxa"/>
          </w:tcPr>
          <w:p>
            <w:pPr>
              <w:rPr>
                <w:color w:val="auto"/>
                <w:szCs w:val="21"/>
                <w:highlight w:val="none"/>
              </w:rPr>
            </w:pPr>
          </w:p>
        </w:tc>
        <w:tc>
          <w:tcPr>
            <w:tcW w:w="992" w:type="dxa"/>
          </w:tcPr>
          <w:p>
            <w:pPr>
              <w:rPr>
                <w:color w:val="auto"/>
                <w:szCs w:val="21"/>
                <w:highlight w:val="none"/>
              </w:rPr>
            </w:pPr>
          </w:p>
        </w:tc>
        <w:tc>
          <w:tcPr>
            <w:tcW w:w="709" w:type="dxa"/>
            <w:tcBorders>
              <w:top w:val="single" w:color="auto" w:sz="4" w:space="0"/>
              <w:bottom w:val="single" w:color="auto" w:sz="4" w:space="0"/>
            </w:tcBorders>
          </w:tcPr>
          <w:p>
            <w:pPr>
              <w:rPr>
                <w:color w:val="auto"/>
                <w:szCs w:val="21"/>
                <w:highlight w:val="none"/>
              </w:rPr>
            </w:pPr>
          </w:p>
        </w:tc>
        <w:tc>
          <w:tcPr>
            <w:tcW w:w="751" w:type="dxa"/>
            <w:tcBorders>
              <w:top w:val="single" w:color="auto" w:sz="4" w:space="0"/>
              <w:bottom w:val="single" w:color="auto" w:sz="4" w:space="0"/>
            </w:tcBorders>
          </w:tcPr>
          <w:p>
            <w:pPr>
              <w:rPr>
                <w:color w:val="auto"/>
                <w:szCs w:val="21"/>
                <w:highlight w:val="none"/>
              </w:rPr>
            </w:pPr>
          </w:p>
        </w:tc>
        <w:tc>
          <w:tcPr>
            <w:tcW w:w="971" w:type="dxa"/>
          </w:tcPr>
          <w:p>
            <w:pPr>
              <w:rPr>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pPr>
              <w:rPr>
                <w:color w:val="auto"/>
                <w:szCs w:val="21"/>
                <w:highlight w:val="none"/>
              </w:rPr>
            </w:pPr>
          </w:p>
        </w:tc>
        <w:tc>
          <w:tcPr>
            <w:tcW w:w="957" w:type="dxa"/>
            <w:tcBorders>
              <w:right w:val="single" w:color="auto" w:sz="4" w:space="0"/>
            </w:tcBorders>
          </w:tcPr>
          <w:p>
            <w:pPr>
              <w:rPr>
                <w:color w:val="auto"/>
                <w:szCs w:val="21"/>
                <w:highlight w:val="none"/>
              </w:rPr>
            </w:pPr>
          </w:p>
        </w:tc>
        <w:tc>
          <w:tcPr>
            <w:tcW w:w="2124" w:type="dxa"/>
            <w:tcBorders>
              <w:left w:val="single" w:color="auto" w:sz="4" w:space="0"/>
            </w:tcBorders>
          </w:tcPr>
          <w:p>
            <w:pPr>
              <w:rPr>
                <w:color w:val="auto"/>
                <w:szCs w:val="21"/>
                <w:highlight w:val="none"/>
              </w:rPr>
            </w:pPr>
          </w:p>
        </w:tc>
        <w:tc>
          <w:tcPr>
            <w:tcW w:w="2127" w:type="dxa"/>
          </w:tcPr>
          <w:p>
            <w:pPr>
              <w:rPr>
                <w:color w:val="auto"/>
                <w:szCs w:val="21"/>
                <w:highlight w:val="none"/>
              </w:rPr>
            </w:pPr>
          </w:p>
        </w:tc>
        <w:tc>
          <w:tcPr>
            <w:tcW w:w="992" w:type="dxa"/>
          </w:tcPr>
          <w:p>
            <w:pPr>
              <w:rPr>
                <w:color w:val="auto"/>
                <w:szCs w:val="21"/>
                <w:highlight w:val="none"/>
              </w:rPr>
            </w:pPr>
          </w:p>
        </w:tc>
        <w:tc>
          <w:tcPr>
            <w:tcW w:w="709" w:type="dxa"/>
            <w:tcBorders>
              <w:top w:val="single" w:color="auto" w:sz="4" w:space="0"/>
              <w:bottom w:val="single" w:color="auto" w:sz="4" w:space="0"/>
            </w:tcBorders>
          </w:tcPr>
          <w:p>
            <w:pPr>
              <w:rPr>
                <w:color w:val="auto"/>
                <w:szCs w:val="21"/>
                <w:highlight w:val="none"/>
              </w:rPr>
            </w:pPr>
          </w:p>
        </w:tc>
        <w:tc>
          <w:tcPr>
            <w:tcW w:w="751" w:type="dxa"/>
            <w:tcBorders>
              <w:top w:val="single" w:color="auto" w:sz="4" w:space="0"/>
              <w:bottom w:val="single" w:color="auto" w:sz="4" w:space="0"/>
            </w:tcBorders>
          </w:tcPr>
          <w:p>
            <w:pPr>
              <w:rPr>
                <w:color w:val="auto"/>
                <w:szCs w:val="21"/>
                <w:highlight w:val="none"/>
              </w:rPr>
            </w:pPr>
          </w:p>
        </w:tc>
        <w:tc>
          <w:tcPr>
            <w:tcW w:w="971" w:type="dxa"/>
          </w:tcPr>
          <w:p>
            <w:pPr>
              <w:rPr>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pPr>
              <w:rPr>
                <w:color w:val="auto"/>
                <w:szCs w:val="21"/>
                <w:highlight w:val="none"/>
              </w:rPr>
            </w:pPr>
          </w:p>
        </w:tc>
        <w:tc>
          <w:tcPr>
            <w:tcW w:w="957" w:type="dxa"/>
            <w:tcBorders>
              <w:right w:val="single" w:color="auto" w:sz="4" w:space="0"/>
            </w:tcBorders>
          </w:tcPr>
          <w:p>
            <w:pPr>
              <w:rPr>
                <w:color w:val="auto"/>
                <w:szCs w:val="21"/>
                <w:highlight w:val="none"/>
              </w:rPr>
            </w:pPr>
          </w:p>
        </w:tc>
        <w:tc>
          <w:tcPr>
            <w:tcW w:w="2124" w:type="dxa"/>
            <w:tcBorders>
              <w:left w:val="single" w:color="auto" w:sz="4" w:space="0"/>
            </w:tcBorders>
          </w:tcPr>
          <w:p>
            <w:pPr>
              <w:rPr>
                <w:color w:val="auto"/>
                <w:szCs w:val="21"/>
                <w:highlight w:val="none"/>
              </w:rPr>
            </w:pPr>
          </w:p>
        </w:tc>
        <w:tc>
          <w:tcPr>
            <w:tcW w:w="2127" w:type="dxa"/>
          </w:tcPr>
          <w:p>
            <w:pPr>
              <w:rPr>
                <w:color w:val="auto"/>
                <w:szCs w:val="21"/>
                <w:highlight w:val="none"/>
              </w:rPr>
            </w:pPr>
          </w:p>
        </w:tc>
        <w:tc>
          <w:tcPr>
            <w:tcW w:w="992" w:type="dxa"/>
          </w:tcPr>
          <w:p>
            <w:pPr>
              <w:rPr>
                <w:color w:val="auto"/>
                <w:szCs w:val="21"/>
                <w:highlight w:val="none"/>
              </w:rPr>
            </w:pPr>
          </w:p>
        </w:tc>
        <w:tc>
          <w:tcPr>
            <w:tcW w:w="709" w:type="dxa"/>
            <w:tcBorders>
              <w:top w:val="single" w:color="auto" w:sz="4" w:space="0"/>
            </w:tcBorders>
          </w:tcPr>
          <w:p>
            <w:pPr>
              <w:rPr>
                <w:color w:val="auto"/>
                <w:szCs w:val="21"/>
                <w:highlight w:val="none"/>
              </w:rPr>
            </w:pPr>
          </w:p>
        </w:tc>
        <w:tc>
          <w:tcPr>
            <w:tcW w:w="751" w:type="dxa"/>
            <w:tcBorders>
              <w:top w:val="single" w:color="auto" w:sz="4" w:space="0"/>
            </w:tcBorders>
          </w:tcPr>
          <w:p>
            <w:pPr>
              <w:rPr>
                <w:color w:val="auto"/>
                <w:szCs w:val="21"/>
                <w:highlight w:val="none"/>
              </w:rPr>
            </w:pPr>
          </w:p>
        </w:tc>
        <w:tc>
          <w:tcPr>
            <w:tcW w:w="971" w:type="dxa"/>
          </w:tcPr>
          <w:p>
            <w:pPr>
              <w:rPr>
                <w:color w:val="auto"/>
                <w:szCs w:val="21"/>
                <w:highlight w:val="none"/>
              </w:rPr>
            </w:pPr>
          </w:p>
        </w:tc>
      </w:tr>
    </w:tbl>
    <w:p>
      <w:pPr>
        <w:rPr>
          <w:color w:val="auto"/>
          <w:highlight w:val="none"/>
        </w:rPr>
      </w:pPr>
    </w:p>
    <w:p>
      <w:pPr>
        <w:rPr>
          <w:color w:val="auto"/>
          <w:highlight w:val="none"/>
        </w:rPr>
      </w:pPr>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黑体" w:hAnsi="宋体" w:eastAsia="黑体"/>
          <w:color w:val="auto"/>
          <w:sz w:val="28"/>
          <w:szCs w:val="28"/>
          <w:highlight w:val="none"/>
        </w:rPr>
        <w:sectPr>
          <w:footerReference r:id="rId6" w:type="default"/>
          <w:pgSz w:w="11906" w:h="16838"/>
          <w:pgMar w:top="1474" w:right="1474" w:bottom="1474" w:left="1588" w:header="851" w:footer="992" w:gutter="0"/>
          <w:pgNumType w:fmt="decimal" w:start="1"/>
          <w:cols w:space="720" w:num="1"/>
          <w:docGrid w:type="lines" w:linePitch="312" w:charSpace="0"/>
        </w:sectPr>
      </w:pPr>
    </w:p>
    <w:p>
      <w:pPr>
        <w:pStyle w:val="4"/>
        <w:jc w:val="center"/>
        <w:rPr>
          <w:rFonts w:ascii="黑体" w:hAnsi="黑体" w:eastAsia="黑体"/>
          <w:color w:val="auto"/>
          <w:sz w:val="28"/>
          <w:szCs w:val="28"/>
          <w:highlight w:val="none"/>
        </w:rPr>
      </w:pPr>
      <w:bookmarkStart w:id="133" w:name="_Toc4662"/>
      <w:bookmarkStart w:id="134" w:name="_Toc22201159"/>
      <w:r>
        <w:rPr>
          <w:rFonts w:hint="eastAsia" w:ascii="黑体" w:hAnsi="黑体" w:eastAsia="黑体"/>
          <w:color w:val="auto"/>
          <w:sz w:val="28"/>
          <w:szCs w:val="28"/>
          <w:highlight w:val="none"/>
        </w:rPr>
        <w:t>七、合同条款偏离表</w:t>
      </w:r>
      <w:bookmarkEnd w:id="133"/>
      <w:bookmarkEnd w:id="134"/>
    </w:p>
    <w:p>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pacing w:val="28"/>
          <w:szCs w:val="21"/>
          <w:highlight w:val="none"/>
        </w:rPr>
        <w:t>采购代理编号</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pPr>
        <w:adjustRightInd w:val="0"/>
        <w:snapToGrid w:val="0"/>
        <w:spacing w:before="156" w:beforeLines="50" w:line="360" w:lineRule="auto"/>
        <w:rPr>
          <w:rFonts w:ascii="宋体" w:hAnsi="宋体"/>
          <w:b/>
          <w:bCs/>
          <w:color w:val="auto"/>
          <w:szCs w:val="21"/>
          <w:highlight w:val="none"/>
          <w:u w:val="single"/>
        </w:rPr>
      </w:pPr>
      <w:r>
        <w:rPr>
          <w:rFonts w:hint="eastAsia" w:ascii="宋体" w:hAnsi="宋体"/>
          <w:color w:val="auto"/>
          <w:szCs w:val="21"/>
          <w:highlight w:val="none"/>
        </w:rPr>
        <w:t>包           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w:t>
            </w:r>
            <w:r>
              <w:rPr>
                <w:rFonts w:hint="eastAsia"/>
                <w:color w:val="auto"/>
                <w:highlight w:val="none"/>
              </w:rPr>
              <w:t>文件要求</w:t>
            </w:r>
          </w:p>
        </w:tc>
        <w:tc>
          <w:tcPr>
            <w:tcW w:w="2082" w:type="dxa"/>
            <w:tcBorders>
              <w:right w:val="single" w:color="auto" w:sz="4" w:space="0"/>
            </w:tcBorders>
            <w:vAlign w:val="center"/>
          </w:tcPr>
          <w:p>
            <w:pPr>
              <w:adjustRightInd w:val="0"/>
              <w:snapToGrid w:val="0"/>
              <w:spacing w:before="50" w:line="360" w:lineRule="auto"/>
              <w:jc w:val="center"/>
              <w:rPr>
                <w:rFonts w:ascii="宋体" w:hAnsi="宋体"/>
                <w:color w:val="auto"/>
                <w:szCs w:val="21"/>
                <w:highlight w:val="none"/>
              </w:rPr>
            </w:pPr>
            <w:r>
              <w:rPr>
                <w:rFonts w:hint="eastAsia"/>
                <w:color w:val="auto"/>
                <w:highlight w:val="none"/>
              </w:rPr>
              <w:t>响应文件的应答</w:t>
            </w:r>
          </w:p>
        </w:tc>
        <w:tc>
          <w:tcPr>
            <w:tcW w:w="1942"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Pr>
          <w:p>
            <w:pPr>
              <w:adjustRightInd w:val="0"/>
              <w:snapToGrid w:val="0"/>
              <w:spacing w:before="50" w:line="360" w:lineRule="auto"/>
              <w:rPr>
                <w:color w:val="auto"/>
                <w:highlight w:val="none"/>
              </w:rPr>
            </w:pPr>
          </w:p>
        </w:tc>
        <w:tc>
          <w:tcPr>
            <w:tcW w:w="2082" w:type="dxa"/>
            <w:tcBorders>
              <w:right w:val="single" w:color="auto" w:sz="4" w:space="0"/>
            </w:tcBorders>
          </w:tcPr>
          <w:p>
            <w:pPr>
              <w:adjustRightInd w:val="0"/>
              <w:snapToGrid w:val="0"/>
              <w:spacing w:before="50" w:line="360" w:lineRule="auto"/>
              <w:rPr>
                <w:color w:val="auto"/>
                <w:highlight w:val="none"/>
              </w:rPr>
            </w:pPr>
          </w:p>
        </w:tc>
        <w:tc>
          <w:tcPr>
            <w:tcW w:w="1942" w:type="dxa"/>
            <w:tcBorders>
              <w:left w:val="single" w:color="auto" w:sz="4" w:space="0"/>
            </w:tcBorders>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082"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42"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4024" w:type="dxa"/>
            <w:gridSpan w:val="2"/>
            <w:vAlign w:val="center"/>
          </w:tcPr>
          <w:p>
            <w:pPr>
              <w:adjustRightInd w:val="0"/>
              <w:snapToGrid w:val="0"/>
              <w:spacing w:before="50" w:line="360" w:lineRule="auto"/>
              <w:ind w:firstLine="422" w:firstLineChars="200"/>
              <w:jc w:val="left"/>
              <w:rPr>
                <w:rFonts w:ascii="宋体" w:hAnsi="宋体"/>
                <w:b/>
                <w:color w:val="auto"/>
                <w:szCs w:val="21"/>
                <w:highlight w:val="none"/>
              </w:rPr>
            </w:pPr>
            <w:r>
              <w:rPr>
                <w:rFonts w:hint="eastAsia" w:ascii="宋体" w:hAnsi="宋体"/>
                <w:b/>
                <w:color w:val="auto"/>
                <w:szCs w:val="21"/>
                <w:highlight w:val="none"/>
              </w:rPr>
              <w:t>供应商保证：除本合同条款偏离表列出的偏离外，我单位对谈判文件的其他商务、合同条款完全响应，无偏离。</w:t>
            </w:r>
          </w:p>
        </w:tc>
      </w:tr>
    </w:tbl>
    <w:p>
      <w:pPr>
        <w:adjustRightInd w:val="0"/>
        <w:snapToGrid w:val="0"/>
        <w:spacing w:before="50" w:line="360" w:lineRule="auto"/>
        <w:ind w:left="-88" w:leftChars="-42"/>
        <w:rPr>
          <w:rFonts w:ascii="宋体" w:hAnsi="宋体"/>
          <w:color w:val="auto"/>
          <w:szCs w:val="21"/>
          <w:highlight w:val="none"/>
        </w:rPr>
      </w:pPr>
      <w:r>
        <w:rPr>
          <w:rFonts w:hint="eastAsia" w:ascii="宋体" w:hAnsi="宋体"/>
          <w:b/>
          <w:color w:val="auto"/>
          <w:szCs w:val="21"/>
          <w:highlight w:val="none"/>
        </w:rPr>
        <w:t>备注</w:t>
      </w:r>
      <w:r>
        <w:rPr>
          <w:rFonts w:hint="eastAsia" w:ascii="宋体" w:hAnsi="宋体"/>
          <w:color w:val="auto"/>
          <w:szCs w:val="21"/>
          <w:highlight w:val="none"/>
        </w:rPr>
        <w:t>：（1）供应商应根据谈判文件第四章</w:t>
      </w:r>
      <w:r>
        <w:rPr>
          <w:rFonts w:hint="eastAsia" w:ascii="华文宋体" w:hAnsi="华文宋体" w:eastAsia="华文宋体"/>
          <w:color w:val="auto"/>
          <w:szCs w:val="21"/>
          <w:highlight w:val="none"/>
        </w:rPr>
        <w:t>“</w:t>
      </w:r>
      <w:r>
        <w:rPr>
          <w:rFonts w:hint="eastAsia" w:ascii="宋体" w:hAnsi="宋体"/>
          <w:color w:val="auto"/>
          <w:szCs w:val="21"/>
          <w:highlight w:val="none"/>
        </w:rPr>
        <w:t>合同草案条款</w:t>
      </w:r>
      <w:r>
        <w:rPr>
          <w:rFonts w:hint="eastAsia" w:ascii="华文宋体" w:hAnsi="华文宋体" w:eastAsia="华文宋体"/>
          <w:color w:val="auto"/>
          <w:szCs w:val="21"/>
          <w:highlight w:val="none"/>
        </w:rPr>
        <w:t>”</w:t>
      </w:r>
      <w:r>
        <w:rPr>
          <w:rFonts w:hint="eastAsia" w:ascii="宋体" w:hAnsi="宋体"/>
          <w:color w:val="auto"/>
          <w:szCs w:val="21"/>
          <w:highlight w:val="none"/>
        </w:rPr>
        <w:t>填写本表；</w:t>
      </w:r>
    </w:p>
    <w:p>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供应商如果对谈判文件第四章“合同草案条款”的响应有偏离，应将偏离条款逐条如实应答，并作出说明；</w:t>
      </w:r>
    </w:p>
    <w:p>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（3）如不提供此表，则视为供应商不满足谈判文件第四章的所有条款要求，其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pPr>
        <w:adjustRightInd w:val="0"/>
        <w:snapToGrid w:val="0"/>
        <w:spacing w:before="50" w:line="360" w:lineRule="auto"/>
        <w:rPr>
          <w:rFonts w:ascii="宋体" w:hAnsi="宋体"/>
          <w:color w:val="auto"/>
          <w:szCs w:val="21"/>
          <w:highlight w:val="none"/>
        </w:rPr>
      </w:pPr>
    </w:p>
    <w:p>
      <w:pPr>
        <w:adjustRightInd w:val="0"/>
        <w:snapToGrid w:val="0"/>
        <w:spacing w:before="50" w:line="360" w:lineRule="auto"/>
        <w:rPr>
          <w:rFonts w:ascii="宋体" w:hAnsi="宋体"/>
          <w:color w:val="auto"/>
          <w:szCs w:val="21"/>
          <w:highlight w:val="none"/>
        </w:rPr>
      </w:pPr>
    </w:p>
    <w:p>
      <w:pPr>
        <w:adjustRightInd w:val="0"/>
        <w:snapToGrid w:val="0"/>
        <w:spacing w:before="50" w:line="360" w:lineRule="auto"/>
        <w:rPr>
          <w:rFonts w:ascii="宋体" w:hAnsi="宋体"/>
          <w:color w:val="auto"/>
          <w:szCs w:val="21"/>
          <w:highlight w:val="none"/>
        </w:rPr>
      </w:pPr>
    </w:p>
    <w:p>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rPr>
        <w:t xml:space="preserve">                                       </w:t>
      </w:r>
    </w:p>
    <w:p>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pPr>
        <w:rPr>
          <w:color w:val="auto"/>
          <w:highlight w:val="none"/>
        </w:rPr>
      </w:pPr>
      <w:r>
        <w:rPr>
          <w:rFonts w:hint="eastAsia"/>
          <w:color w:val="auto"/>
          <w:highlight w:val="none"/>
        </w:rPr>
        <w:t>日       期：</w:t>
      </w:r>
      <w:r>
        <w:rPr>
          <w:rFonts w:hint="eastAsia" w:ascii="宋体" w:hAnsi="宋体"/>
          <w:color w:val="auto"/>
          <w:szCs w:val="21"/>
          <w:highlight w:val="none"/>
          <w:u w:val="single"/>
        </w:rPr>
        <w:t xml:space="preserve">      </w:t>
      </w:r>
      <w:r>
        <w:rPr>
          <w:rFonts w:hint="eastAsia"/>
          <w:color w:val="auto"/>
          <w:highlight w:val="none"/>
        </w:rPr>
        <w:t>年</w:t>
      </w:r>
      <w:r>
        <w:rPr>
          <w:rFonts w:hint="eastAsia" w:ascii="宋体" w:hAnsi="宋体"/>
          <w:color w:val="auto"/>
          <w:szCs w:val="21"/>
          <w:highlight w:val="none"/>
          <w:u w:val="single"/>
        </w:rPr>
        <w:t xml:space="preserve">      </w:t>
      </w:r>
      <w:r>
        <w:rPr>
          <w:rFonts w:hint="eastAsia"/>
          <w:color w:val="auto"/>
          <w:highlight w:val="none"/>
        </w:rPr>
        <w:t>月</w:t>
      </w:r>
      <w:r>
        <w:rPr>
          <w:rFonts w:hint="eastAsia" w:ascii="宋体" w:hAnsi="宋体"/>
          <w:color w:val="auto"/>
          <w:szCs w:val="21"/>
          <w:highlight w:val="none"/>
          <w:u w:val="single"/>
        </w:rPr>
        <w:t xml:space="preserve">      </w:t>
      </w:r>
      <w:r>
        <w:rPr>
          <w:rFonts w:hint="eastAsia"/>
          <w:color w:val="auto"/>
          <w:highlight w:val="none"/>
        </w:rPr>
        <w:t>日</w:t>
      </w:r>
    </w:p>
    <w:p>
      <w:pPr>
        <w:pStyle w:val="4"/>
        <w:jc w:val="center"/>
        <w:rPr>
          <w:rFonts w:ascii="黑体" w:eastAsia="黑体"/>
          <w:color w:val="auto"/>
          <w:sz w:val="28"/>
          <w:szCs w:val="28"/>
          <w:highlight w:val="none"/>
        </w:rPr>
      </w:pPr>
      <w:r>
        <w:rPr>
          <w:rFonts w:ascii="黑体" w:eastAsia="黑体"/>
          <w:color w:val="auto"/>
          <w:sz w:val="28"/>
          <w:szCs w:val="28"/>
          <w:highlight w:val="none"/>
        </w:rPr>
        <w:br w:type="page"/>
      </w:r>
      <w:bookmarkStart w:id="135" w:name="_Toc24974"/>
      <w:bookmarkStart w:id="136" w:name="_Toc22201160"/>
      <w:r>
        <w:rPr>
          <w:rFonts w:hint="eastAsia" w:ascii="黑体" w:eastAsia="黑体"/>
          <w:color w:val="auto"/>
          <w:sz w:val="28"/>
          <w:szCs w:val="28"/>
          <w:highlight w:val="none"/>
        </w:rPr>
        <w:t>八、采购需求偏离表</w:t>
      </w:r>
      <w:bookmarkEnd w:id="135"/>
      <w:bookmarkEnd w:id="136"/>
    </w:p>
    <w:p>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pacing w:val="28"/>
          <w:szCs w:val="21"/>
          <w:highlight w:val="none"/>
        </w:rPr>
        <w:t>采购代理编号</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包           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bCs/>
                <w:color w:val="auto"/>
                <w:szCs w:val="21"/>
                <w:highlight w:val="none"/>
              </w:rPr>
              <w:t>序</w:t>
            </w:r>
            <w:r>
              <w:rPr>
                <w:rFonts w:hint="eastAsia" w:ascii="宋体" w:hAnsi="宋体"/>
                <w:color w:val="auto"/>
                <w:szCs w:val="21"/>
                <w:highlight w:val="none"/>
              </w:rPr>
              <w:t>号</w:t>
            </w: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谈判文件章节</w:t>
            </w:r>
            <w:r>
              <w:rPr>
                <w:rFonts w:hint="eastAsia" w:ascii="宋体" w:hAnsi="宋体"/>
                <w:bCs/>
                <w:color w:val="auto"/>
                <w:szCs w:val="21"/>
                <w:highlight w:val="none"/>
              </w:rPr>
              <w:t>条</w:t>
            </w:r>
            <w:r>
              <w:rPr>
                <w:rFonts w:hint="eastAsia" w:ascii="宋体" w:hAnsi="宋体"/>
                <w:color w:val="auto"/>
                <w:szCs w:val="21"/>
                <w:highlight w:val="none"/>
              </w:rPr>
              <w:t>款号</w:t>
            </w:r>
          </w:p>
        </w:tc>
        <w:tc>
          <w:tcPr>
            <w:tcW w:w="1985" w:type="dxa"/>
            <w:tcBorders>
              <w:right w:val="single" w:color="auto" w:sz="4" w:space="0"/>
            </w:tcBorders>
          </w:tcPr>
          <w:p>
            <w:pPr>
              <w:adjustRightInd w:val="0"/>
              <w:snapToGrid w:val="0"/>
              <w:spacing w:before="50" w:line="360" w:lineRule="auto"/>
              <w:jc w:val="center"/>
              <w:rPr>
                <w:color w:val="auto"/>
                <w:highlight w:val="none"/>
              </w:rPr>
            </w:pPr>
            <w:r>
              <w:rPr>
                <w:rFonts w:hint="eastAsia" w:ascii="宋体" w:hAnsi="宋体"/>
                <w:color w:val="auto"/>
                <w:szCs w:val="21"/>
                <w:highlight w:val="none"/>
              </w:rPr>
              <w:t>谈判</w:t>
            </w:r>
            <w:r>
              <w:rPr>
                <w:rFonts w:hint="eastAsia"/>
                <w:color w:val="auto"/>
                <w:highlight w:val="none"/>
              </w:rPr>
              <w:t>文件要求</w:t>
            </w:r>
          </w:p>
        </w:tc>
        <w:tc>
          <w:tcPr>
            <w:tcW w:w="2126" w:type="dxa"/>
            <w:tcBorders>
              <w:left w:val="single" w:color="auto" w:sz="4" w:space="0"/>
            </w:tcBorders>
          </w:tcPr>
          <w:p>
            <w:pPr>
              <w:adjustRightInd w:val="0"/>
              <w:snapToGrid w:val="0"/>
              <w:spacing w:before="50" w:line="360" w:lineRule="auto"/>
              <w:jc w:val="center"/>
              <w:rPr>
                <w:color w:val="auto"/>
                <w:highlight w:val="none"/>
              </w:rPr>
            </w:pPr>
            <w:r>
              <w:rPr>
                <w:rFonts w:hint="eastAsia" w:ascii="宋体" w:hAnsi="宋体"/>
                <w:color w:val="auto"/>
                <w:szCs w:val="21"/>
                <w:highlight w:val="none"/>
              </w:rPr>
              <w:t>响应</w:t>
            </w:r>
            <w:r>
              <w:rPr>
                <w:rFonts w:hint="eastAsia"/>
                <w:color w:val="auto"/>
                <w:highlight w:val="none"/>
              </w:rPr>
              <w:t>文件应答</w:t>
            </w:r>
          </w:p>
        </w:tc>
        <w:tc>
          <w:tcPr>
            <w:tcW w:w="1756" w:type="dxa"/>
            <w:vAlign w:val="center"/>
          </w:tcPr>
          <w:p>
            <w:pPr>
              <w:adjustRightInd w:val="0"/>
              <w:snapToGrid w:val="0"/>
              <w:spacing w:before="50" w:line="360" w:lineRule="auto"/>
              <w:ind w:left="-88" w:leftChars="-42"/>
              <w:jc w:val="center"/>
              <w:rPr>
                <w:rFonts w:ascii="宋体" w:hAnsi="宋体"/>
                <w:color w:val="auto"/>
                <w:szCs w:val="21"/>
                <w:highlight w:val="none"/>
              </w:rPr>
            </w:pPr>
            <w:r>
              <w:rPr>
                <w:rFonts w:hint="eastAsia" w:ascii="宋体" w:hAnsi="宋体"/>
                <w:color w:val="auto"/>
                <w:szCs w:val="21"/>
                <w:highlight w:val="none"/>
              </w:rPr>
              <w:t>偏离说明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126" w:type="dxa"/>
            <w:tcBorders>
              <w:lef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756" w:type="dxa"/>
            <w:vAlign w:val="center"/>
          </w:tcPr>
          <w:p>
            <w:pPr>
              <w:adjustRightInd w:val="0"/>
              <w:snapToGrid w:val="0"/>
              <w:spacing w:before="50" w:line="360" w:lineRule="auto"/>
              <w:ind w:left="-88" w:leftChars="-42"/>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2410" w:type="dxa"/>
            <w:vAlign w:val="center"/>
          </w:tcPr>
          <w:p>
            <w:pPr>
              <w:adjustRightInd w:val="0"/>
              <w:snapToGrid w:val="0"/>
              <w:spacing w:before="50" w:line="360" w:lineRule="auto"/>
              <w:ind w:left="-88" w:leftChars="-42"/>
              <w:jc w:val="center"/>
              <w:rPr>
                <w:rFonts w:ascii="宋体" w:hAnsi="宋体"/>
                <w:color w:val="auto"/>
                <w:szCs w:val="21"/>
                <w:highlight w:val="none"/>
              </w:rPr>
            </w:pPr>
          </w:p>
        </w:tc>
        <w:tc>
          <w:tcPr>
            <w:tcW w:w="1985" w:type="dxa"/>
            <w:tcBorders>
              <w:right w:val="single" w:color="auto" w:sz="4" w:space="0"/>
            </w:tcBorders>
            <w:vAlign w:val="center"/>
          </w:tcPr>
          <w:p>
            <w:pPr>
              <w:adjustRightInd w:val="0"/>
              <w:snapToGrid w:val="0"/>
              <w:spacing w:before="50" w:line="360" w:lineRule="auto"/>
              <w:ind w:left="-88" w:leftChars="-42"/>
              <w:jc w:val="center"/>
              <w:rPr>
                <w:rFonts w:ascii="宋体" w:hAnsi="宋体"/>
                <w:color w:val="auto"/>
                <w:szCs w:val="21"/>
                <w:highlight w:val="none"/>
              </w:rPr>
            </w:pPr>
          </w:p>
        </w:tc>
        <w:tc>
          <w:tcPr>
            <w:tcW w:w="3882" w:type="dxa"/>
            <w:gridSpan w:val="2"/>
            <w:tcBorders>
              <w:left w:val="single" w:color="auto" w:sz="4" w:space="0"/>
            </w:tcBorders>
            <w:vAlign w:val="center"/>
          </w:tcPr>
          <w:p>
            <w:pPr>
              <w:adjustRightInd w:val="0"/>
              <w:snapToGrid w:val="0"/>
              <w:spacing w:before="50" w:line="360" w:lineRule="auto"/>
              <w:ind w:firstLine="422" w:firstLineChars="200"/>
              <w:rPr>
                <w:rFonts w:ascii="宋体" w:hAnsi="宋体"/>
                <w:color w:val="auto"/>
                <w:szCs w:val="21"/>
                <w:highlight w:val="none"/>
              </w:rPr>
            </w:pPr>
            <w:r>
              <w:rPr>
                <w:rFonts w:hint="eastAsia" w:ascii="宋体" w:hAnsi="宋体"/>
                <w:b/>
                <w:color w:val="auto"/>
                <w:szCs w:val="21"/>
                <w:highlight w:val="none"/>
              </w:rPr>
              <w:t>供应商保证：除本采购需求偏离表列出的偏离外，我单位对谈判文件的其他采购需求条款完全响应，无偏离。</w:t>
            </w:r>
          </w:p>
        </w:tc>
      </w:tr>
    </w:tbl>
    <w:p>
      <w:pPr>
        <w:adjustRightInd w:val="0"/>
        <w:snapToGrid w:val="0"/>
        <w:spacing w:before="50" w:line="360" w:lineRule="auto"/>
        <w:ind w:left="-88" w:leftChars="-42"/>
        <w:rPr>
          <w:rFonts w:ascii="宋体" w:hAnsi="宋体"/>
          <w:color w:val="auto"/>
          <w:szCs w:val="21"/>
          <w:highlight w:val="none"/>
        </w:rPr>
      </w:pPr>
      <w:r>
        <w:rPr>
          <w:rFonts w:hint="eastAsia" w:ascii="宋体" w:hAnsi="宋体"/>
          <w:b/>
          <w:color w:val="auto"/>
          <w:szCs w:val="21"/>
          <w:highlight w:val="none"/>
        </w:rPr>
        <w:t>备注</w:t>
      </w:r>
      <w:r>
        <w:rPr>
          <w:rFonts w:hint="eastAsia" w:ascii="宋体" w:hAnsi="宋体"/>
          <w:color w:val="auto"/>
          <w:szCs w:val="21"/>
          <w:highlight w:val="none"/>
        </w:rPr>
        <w:t>：（1）供应商应根据谈判文件第三章“采购需求”填写本表；</w:t>
      </w:r>
    </w:p>
    <w:p>
      <w:pPr>
        <w:adjustRightInd w:val="0"/>
        <w:snapToGrid w:val="0"/>
        <w:spacing w:before="50" w:line="360" w:lineRule="auto"/>
        <w:ind w:left="-88" w:leftChars="-42" w:firstLine="420" w:firstLineChars="200"/>
        <w:rPr>
          <w:rFonts w:ascii="宋体" w:hAnsi="宋体"/>
          <w:b/>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供应商如果对谈判文件第三章“采购需求”的响应有偏离，应将偏离条款逐条如实应答，并作出说明；</w:t>
      </w:r>
    </w:p>
    <w:p>
      <w:pPr>
        <w:adjustRightInd w:val="0"/>
        <w:snapToGrid w:val="0"/>
        <w:spacing w:before="50" w:line="360" w:lineRule="auto"/>
        <w:ind w:left="-88" w:leftChars="-42" w:firstLine="420" w:firstLineChars="200"/>
        <w:rPr>
          <w:rFonts w:ascii="宋体" w:hAnsi="宋体"/>
          <w:color w:val="auto"/>
          <w:szCs w:val="21"/>
          <w:highlight w:val="none"/>
        </w:rPr>
      </w:pPr>
      <w:r>
        <w:rPr>
          <w:rFonts w:hint="eastAsia" w:ascii="宋体" w:hAnsi="宋体"/>
          <w:color w:val="auto"/>
          <w:szCs w:val="21"/>
          <w:highlight w:val="none"/>
        </w:rPr>
        <w:t>（3）如不提供此表，则视为供应商不满足谈判文件第三章的所有条款要求，其</w:t>
      </w:r>
      <w:r>
        <w:rPr>
          <w:rFonts w:hint="eastAsia" w:ascii="宋体" w:hAnsi="宋体"/>
          <w:b/>
          <w:color w:val="auto"/>
          <w:szCs w:val="21"/>
          <w:highlight w:val="none"/>
        </w:rPr>
        <w:t>响应无效</w:t>
      </w:r>
      <w:r>
        <w:rPr>
          <w:rFonts w:hint="eastAsia" w:ascii="宋体" w:hAnsi="宋体"/>
          <w:color w:val="auto"/>
          <w:szCs w:val="21"/>
          <w:highlight w:val="none"/>
        </w:rPr>
        <w:t>。</w:t>
      </w:r>
    </w:p>
    <w:p>
      <w:pPr>
        <w:adjustRightInd w:val="0"/>
        <w:snapToGrid w:val="0"/>
        <w:spacing w:before="50" w:line="360" w:lineRule="auto"/>
        <w:rPr>
          <w:rFonts w:ascii="宋体" w:hAnsi="宋体"/>
          <w:color w:val="auto"/>
          <w:szCs w:val="21"/>
          <w:highlight w:val="none"/>
        </w:rPr>
      </w:pPr>
    </w:p>
    <w:p>
      <w:pPr>
        <w:adjustRightInd w:val="0"/>
        <w:snapToGrid w:val="0"/>
        <w:spacing w:before="50" w:line="360" w:lineRule="auto"/>
        <w:rPr>
          <w:rFonts w:ascii="宋体" w:hAnsi="宋体"/>
          <w:color w:val="auto"/>
          <w:szCs w:val="21"/>
          <w:highlight w:val="none"/>
        </w:rPr>
      </w:pPr>
    </w:p>
    <w:p>
      <w:pPr>
        <w:adjustRightInd w:val="0"/>
        <w:snapToGrid w:val="0"/>
        <w:spacing w:before="50" w:line="360" w:lineRule="auto"/>
        <w:rPr>
          <w:rFonts w:ascii="宋体" w:hAnsi="宋体"/>
          <w:color w:val="auto"/>
          <w:szCs w:val="21"/>
          <w:highlight w:val="none"/>
        </w:rPr>
      </w:pPr>
    </w:p>
    <w:p>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rPr>
        <w:t xml:space="preserve">                                    </w:t>
      </w:r>
    </w:p>
    <w:p>
      <w:pPr>
        <w:adjustRightInd w:val="0"/>
        <w:snapToGrid w:val="0"/>
        <w:spacing w:before="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rPr>
          <w:color w:val="auto"/>
          <w:highlight w:val="none"/>
        </w:rPr>
      </w:pPr>
    </w:p>
    <w:p>
      <w:pPr>
        <w:rPr>
          <w:color w:val="auto"/>
          <w:highlight w:val="none"/>
        </w:rPr>
      </w:pPr>
    </w:p>
    <w:p>
      <w:pPr>
        <w:pStyle w:val="4"/>
        <w:jc w:val="center"/>
        <w:rPr>
          <w:rFonts w:ascii="黑体" w:hAnsi="黑体" w:eastAsia="黑体"/>
          <w:color w:val="auto"/>
          <w:sz w:val="28"/>
          <w:szCs w:val="28"/>
          <w:highlight w:val="none"/>
        </w:rPr>
      </w:pPr>
      <w:r>
        <w:rPr>
          <w:color w:val="auto"/>
          <w:highlight w:val="none"/>
        </w:rPr>
        <w:br w:type="page"/>
      </w:r>
      <w:bookmarkStart w:id="137" w:name="_Toc22201161"/>
      <w:bookmarkStart w:id="138" w:name="_Toc31709"/>
      <w:r>
        <w:rPr>
          <w:rFonts w:hint="eastAsia" w:ascii="黑体" w:hAnsi="黑体" w:eastAsia="黑体"/>
          <w:color w:val="auto"/>
          <w:sz w:val="28"/>
          <w:szCs w:val="28"/>
          <w:highlight w:val="none"/>
        </w:rPr>
        <w:t>九、享受政府采购政策优惠的证明资料</w:t>
      </w:r>
      <w:bookmarkEnd w:id="137"/>
      <w:bookmarkEnd w:id="138"/>
    </w:p>
    <w:p>
      <w:pPr>
        <w:adjustRightInd w:val="0"/>
        <w:snapToGrid w:val="0"/>
        <w:spacing w:line="360" w:lineRule="auto"/>
        <w:rPr>
          <w:rFonts w:ascii="黑体" w:hAnsi="华文中宋" w:eastAsia="黑体" w:cs="宋体"/>
          <w:bCs/>
          <w:color w:val="auto"/>
          <w:spacing w:val="6"/>
          <w:kern w:val="0"/>
          <w:szCs w:val="21"/>
          <w:highlight w:val="none"/>
        </w:rPr>
      </w:pPr>
    </w:p>
    <w:p>
      <w:pPr>
        <w:adjustRightInd w:val="0"/>
        <w:snapToGrid w:val="0"/>
        <w:spacing w:line="360" w:lineRule="auto"/>
        <w:ind w:firstLine="444" w:firstLineChars="200"/>
        <w:rPr>
          <w:rFonts w:ascii="宋体" w:hAnsi="宋体" w:cs="宋体"/>
          <w:bCs/>
          <w:color w:val="auto"/>
          <w:spacing w:val="6"/>
          <w:kern w:val="0"/>
          <w:szCs w:val="21"/>
          <w:highlight w:val="none"/>
        </w:rPr>
      </w:pPr>
      <w:r>
        <w:rPr>
          <w:rFonts w:hint="eastAsia" w:ascii="宋体" w:hAnsi="宋体" w:cs="宋体"/>
          <w:bCs/>
          <w:color w:val="auto"/>
          <w:spacing w:val="6"/>
          <w:kern w:val="0"/>
          <w:szCs w:val="21"/>
          <w:highlight w:val="none"/>
        </w:rPr>
        <w:t>供应商符合第二章第二节第37条要求的，应提供下列证明资料，并填写相关数据。否则，评审时不予以考虑。</w:t>
      </w:r>
    </w:p>
    <w:p>
      <w:pPr>
        <w:pStyle w:val="6"/>
        <w:ind w:firstLine="2430" w:firstLineChars="1100"/>
        <w:rPr>
          <w:rFonts w:hint="eastAsia" w:ascii="宋体" w:hAnsi="宋体" w:eastAsia="宋体" w:cs="仿宋"/>
          <w:b/>
          <w:bCs w:val="0"/>
          <w:color w:val="auto"/>
          <w:sz w:val="24"/>
          <w:szCs w:val="24"/>
          <w:highlight w:val="none"/>
          <w:shd w:val="clear" w:color="auto" w:fill="auto"/>
        </w:rPr>
      </w:pPr>
      <w:r>
        <w:rPr>
          <w:rFonts w:hint="eastAsia" w:ascii="宋体" w:hAnsi="宋体" w:eastAsia="宋体" w:cs="仿宋"/>
          <w:b/>
          <w:bCs w:val="0"/>
          <w:color w:val="auto"/>
          <w:spacing w:val="-10"/>
          <w:sz w:val="24"/>
          <w:szCs w:val="24"/>
          <w:highlight w:val="none"/>
          <w:shd w:val="clear" w:color="auto" w:fill="auto"/>
        </w:rPr>
        <w:t>湖南省政府采购供应商资格承诺函</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 xml:space="preserve">按照《政府采购促进中小企业发展管理办法》(财库〔2020〕46号),本公司企业规模为: </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大型□ 中型□ 小型□ 微型□</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□本公司自愿入驻湖南省政府采购电子卖场,遵守《湖南省政府采购电子卖场管理办法》(湘财购〔2019〕27号),如违反承诺,同意金融机构将增信保证划缴国库(非电子卖场采购活动项目不需勾选).</w:t>
      </w:r>
    </w:p>
    <w:p>
      <w:pPr>
        <w:spacing w:before="221" w:line="223" w:lineRule="auto"/>
        <w:jc w:val="center"/>
        <w:rPr>
          <w:rFonts w:hint="eastAsia" w:ascii="宋体" w:hAnsi="宋体" w:cs="仿宋"/>
          <w:color w:val="auto"/>
          <w:szCs w:val="21"/>
          <w:highlight w:val="none"/>
          <w:shd w:val="clear" w:color="auto" w:fill="auto"/>
        </w:rPr>
      </w:pPr>
      <w:r>
        <w:rPr>
          <w:rFonts w:hint="eastAsia" w:ascii="宋体" w:hAnsi="宋体" w:cs="仿宋"/>
          <w:color w:val="auto"/>
          <w:spacing w:val="17"/>
          <w:szCs w:val="21"/>
          <w:highlight w:val="none"/>
          <w:shd w:val="clear" w:color="auto" w:fill="auto"/>
        </w:rPr>
        <w:t xml:space="preserve">       公司(单位)名称(盖章)</w:t>
      </w:r>
    </w:p>
    <w:p>
      <w:pPr>
        <w:spacing w:line="285" w:lineRule="auto"/>
        <w:ind w:firstLine="420"/>
        <w:jc w:val="center"/>
        <w:rPr>
          <w:rFonts w:hint="eastAsia" w:ascii="宋体" w:hAnsi="宋体" w:cs="仿宋"/>
          <w:color w:val="auto"/>
          <w:szCs w:val="21"/>
          <w:highlight w:val="none"/>
          <w:shd w:val="clear" w:color="auto" w:fill="auto"/>
        </w:rPr>
      </w:pP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年</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月</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日</w:t>
      </w:r>
    </w:p>
    <w:p>
      <w:pPr>
        <w:pStyle w:val="14"/>
        <w:ind w:firstLine="420"/>
        <w:rPr>
          <w:rFonts w:hint="eastAsia" w:ascii="宋体" w:hAnsi="宋体" w:eastAsia="宋体" w:cs="仿宋"/>
          <w:color w:val="auto"/>
          <w:sz w:val="21"/>
          <w:szCs w:val="21"/>
          <w:highlight w:val="none"/>
          <w:shd w:val="clear" w:color="auto" w:fill="auto"/>
        </w:rPr>
      </w:pPr>
    </w:p>
    <w:p>
      <w:pPr>
        <w:adjustRightInd w:val="0"/>
        <w:snapToGrid w:val="0"/>
        <w:spacing w:line="360" w:lineRule="auto"/>
        <w:ind w:left="420" w:left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机构代码：</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注册登记机构：</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 xml:space="preserve"> 日期：</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有效期：</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 xml:space="preserve"> </w:t>
      </w:r>
    </w:p>
    <w:p>
      <w:pPr>
        <w:adjustRightInd w:val="0"/>
        <w:snapToGrid w:val="0"/>
        <w:spacing w:line="360" w:lineRule="auto"/>
        <w:ind w:left="420" w:left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注册资本：</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地 址：</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经济行业：</w:t>
      </w:r>
      <w:r>
        <w:rPr>
          <w:rFonts w:hint="eastAsia" w:ascii="宋体" w:hAnsi="宋体" w:cs="仿宋"/>
          <w:color w:val="auto"/>
          <w:szCs w:val="21"/>
          <w:highlight w:val="none"/>
          <w:u w:val="single"/>
          <w:shd w:val="clear" w:color="auto" w:fill="auto"/>
        </w:rPr>
        <w:t xml:space="preserve">         </w:t>
      </w:r>
      <w:r>
        <w:rPr>
          <w:rFonts w:hint="eastAsia" w:ascii="宋体" w:hAnsi="宋体" w:cs="仿宋"/>
          <w:color w:val="auto"/>
          <w:szCs w:val="21"/>
          <w:highlight w:val="none"/>
          <w:shd w:val="clear" w:color="auto" w:fill="auto"/>
        </w:rPr>
        <w:t xml:space="preserve"> 经济性质：</w:t>
      </w:r>
      <w:r>
        <w:rPr>
          <w:rFonts w:hint="eastAsia" w:ascii="宋体" w:hAnsi="宋体" w:cs="仿宋"/>
          <w:color w:val="auto"/>
          <w:szCs w:val="21"/>
          <w:highlight w:val="none"/>
          <w:u w:val="single"/>
          <w:shd w:val="clear" w:color="auto" w:fill="auto"/>
        </w:rPr>
        <w:t xml:space="preserve">        </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法定代表人(负责人)姓名(签字)：</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身份证号：</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手机号:</w:t>
      </w:r>
    </w:p>
    <w:p>
      <w:pPr>
        <w:adjustRightInd w:val="0"/>
        <w:snapToGrid w:val="0"/>
        <w:spacing w:line="360" w:lineRule="auto"/>
        <w:rPr>
          <w:rFonts w:hint="eastAsia" w:ascii="宋体" w:hAnsi="宋体" w:cs="仿宋"/>
          <w:color w:val="auto"/>
          <w:szCs w:val="21"/>
          <w:highlight w:val="none"/>
          <w:shd w:val="clear" w:color="auto" w:fill="auto"/>
        </w:rPr>
      </w:pP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授权代表人姓名(签字)：</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身份证号：</w:t>
      </w:r>
    </w:p>
    <w:p>
      <w:pPr>
        <w:adjustRightInd w:val="0"/>
        <w:snapToGrid w:val="0"/>
        <w:spacing w:line="360" w:lineRule="auto"/>
        <w:ind w:firstLine="420" w:firstLineChars="200"/>
        <w:rPr>
          <w:rFonts w:hint="eastAsia" w:ascii="宋体" w:hAnsi="宋体" w:cs="仿宋"/>
          <w:color w:val="auto"/>
          <w:szCs w:val="21"/>
          <w:highlight w:val="none"/>
          <w:shd w:val="clear" w:color="auto" w:fill="auto"/>
        </w:rPr>
      </w:pPr>
      <w:r>
        <w:rPr>
          <w:rFonts w:hint="eastAsia" w:ascii="宋体" w:hAnsi="宋体" w:cs="仿宋"/>
          <w:color w:val="auto"/>
          <w:szCs w:val="21"/>
          <w:highlight w:val="none"/>
          <w:shd w:val="clear" w:color="auto" w:fill="auto"/>
        </w:rPr>
        <w:t>手机号:</w:t>
      </w:r>
    </w:p>
    <w:p>
      <w:pPr>
        <w:rPr>
          <w:rFonts w:ascii="黑体" w:hAnsi="华文中宋" w:eastAsia="黑体" w:cs="宋体"/>
          <w:bCs/>
          <w:color w:val="auto"/>
          <w:spacing w:val="6"/>
          <w:kern w:val="0"/>
          <w:szCs w:val="21"/>
          <w:highlight w:val="none"/>
        </w:rPr>
      </w:pPr>
      <w:r>
        <w:rPr>
          <w:rFonts w:ascii="黑体" w:hAnsi="华文中宋" w:eastAsia="黑体" w:cs="宋体"/>
          <w:bCs/>
          <w:color w:val="auto"/>
          <w:spacing w:val="6"/>
          <w:kern w:val="0"/>
          <w:szCs w:val="21"/>
          <w:highlight w:val="none"/>
        </w:rPr>
        <w:br w:type="page"/>
      </w:r>
    </w:p>
    <w:p>
      <w:pPr>
        <w:pStyle w:val="303"/>
        <w:rPr>
          <w:color w:val="auto"/>
          <w:highlight w:val="none"/>
        </w:rPr>
      </w:pPr>
    </w:p>
    <w:p>
      <w:pPr>
        <w:pStyle w:val="5"/>
        <w:rPr>
          <w:rFonts w:ascii="宋体" w:hAnsi="宋体"/>
          <w:color w:val="auto"/>
          <w:sz w:val="21"/>
          <w:szCs w:val="21"/>
          <w:highlight w:val="none"/>
        </w:rPr>
      </w:pPr>
      <w:bookmarkStart w:id="139" w:name="_Toc22201162"/>
      <w:bookmarkStart w:id="140" w:name="_Toc28458"/>
      <w:bookmarkStart w:id="141" w:name="_Toc5594"/>
      <w:r>
        <w:rPr>
          <w:rFonts w:hint="eastAsia" w:ascii="宋体" w:hAnsi="宋体"/>
          <w:color w:val="auto"/>
          <w:sz w:val="21"/>
          <w:szCs w:val="21"/>
          <w:highlight w:val="none"/>
        </w:rPr>
        <w:t>附件9-1</w:t>
      </w:r>
      <w:bookmarkEnd w:id="139"/>
      <w:bookmarkEnd w:id="140"/>
      <w:r>
        <w:rPr>
          <w:rFonts w:hint="eastAsia" w:ascii="宋体" w:hAnsi="宋体" w:cs="宋体"/>
          <w:color w:val="auto"/>
          <w:spacing w:val="6"/>
          <w:kern w:val="0"/>
          <w:sz w:val="21"/>
          <w:szCs w:val="21"/>
          <w:highlight w:val="none"/>
        </w:rPr>
        <w:t>中小企业声明函（货物）</w:t>
      </w:r>
      <w:bookmarkEnd w:id="141"/>
    </w:p>
    <w:p>
      <w:pPr>
        <w:widowControl/>
        <w:spacing w:line="360" w:lineRule="auto"/>
        <w:ind w:firstLine="446" w:firstLineChars="200"/>
        <w:jc w:val="center"/>
        <w:rPr>
          <w:rFonts w:ascii="宋体" w:hAnsi="宋体" w:cs="宋体"/>
          <w:b/>
          <w:bCs/>
          <w:color w:val="auto"/>
          <w:spacing w:val="6"/>
          <w:kern w:val="0"/>
          <w:szCs w:val="21"/>
          <w:highlight w:val="none"/>
        </w:rPr>
      </w:pPr>
      <w:r>
        <w:rPr>
          <w:rFonts w:hint="eastAsia" w:ascii="宋体" w:hAnsi="宋体" w:cs="宋体"/>
          <w:b/>
          <w:bCs/>
          <w:color w:val="auto"/>
          <w:spacing w:val="6"/>
          <w:kern w:val="0"/>
          <w:szCs w:val="21"/>
          <w:highlight w:val="none"/>
        </w:rPr>
        <w:t>中小企业声明函（货物）</w:t>
      </w:r>
    </w:p>
    <w:p>
      <w:pPr>
        <w:widowControl/>
        <w:spacing w:line="360" w:lineRule="auto"/>
        <w:ind w:firstLine="444" w:firstLineChars="200"/>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本公司（联合体）郑重声明，根据《政府采购促进中小企业发展管理办法》（财库﹝2020﹞46号）的规定，本公司（联合体）参加</w:t>
      </w:r>
      <w:r>
        <w:rPr>
          <w:rFonts w:hint="eastAsia" w:ascii="宋体" w:hAnsi="宋体" w:cs="宋体"/>
          <w:color w:val="auto"/>
          <w:spacing w:val="6"/>
          <w:kern w:val="0"/>
          <w:szCs w:val="21"/>
          <w:highlight w:val="none"/>
          <w:u w:val="single"/>
        </w:rPr>
        <w:t xml:space="preserve">       </w:t>
      </w:r>
      <w:r>
        <w:rPr>
          <w:rFonts w:hint="eastAsia" w:ascii="宋体" w:hAnsi="宋体" w:cs="宋体"/>
          <w:b/>
          <w:bCs/>
          <w:color w:val="auto"/>
          <w:spacing w:val="6"/>
          <w:kern w:val="0"/>
          <w:szCs w:val="21"/>
          <w:highlight w:val="none"/>
          <w:u w:val="single"/>
        </w:rPr>
        <w:t>（单位名称）</w:t>
      </w:r>
      <w:r>
        <w:rPr>
          <w:rFonts w:hint="eastAsia" w:ascii="宋体" w:hAnsi="宋体" w:cs="宋体"/>
          <w:color w:val="auto"/>
          <w:spacing w:val="6"/>
          <w:kern w:val="0"/>
          <w:szCs w:val="21"/>
          <w:highlight w:val="none"/>
        </w:rPr>
        <w:t>的</w:t>
      </w:r>
      <w:r>
        <w:rPr>
          <w:rFonts w:hint="eastAsia" w:ascii="宋体" w:hAnsi="宋体" w:cs="宋体"/>
          <w:color w:val="auto"/>
          <w:spacing w:val="6"/>
          <w:kern w:val="0"/>
          <w:szCs w:val="21"/>
          <w:highlight w:val="none"/>
          <w:u w:val="single"/>
        </w:rPr>
        <w:t xml:space="preserve">       </w:t>
      </w:r>
      <w:r>
        <w:rPr>
          <w:rFonts w:hint="eastAsia" w:ascii="宋体" w:hAnsi="宋体" w:cs="宋体"/>
          <w:b/>
          <w:bCs/>
          <w:color w:val="auto"/>
          <w:spacing w:val="6"/>
          <w:kern w:val="0"/>
          <w:szCs w:val="21"/>
          <w:highlight w:val="none"/>
          <w:u w:val="single"/>
        </w:rPr>
        <w:t>（项目名称）</w:t>
      </w:r>
      <w:r>
        <w:rPr>
          <w:rFonts w:hint="eastAsia" w:ascii="宋体" w:hAnsi="宋体" w:cs="宋体"/>
          <w:color w:val="auto"/>
          <w:spacing w:val="6"/>
          <w:kern w:val="0"/>
          <w:szCs w:val="21"/>
          <w:highlight w:val="none"/>
        </w:rPr>
        <w:t xml:space="preserve">采购活动，提供的货物全部由符合政策要求的中小企业制造。相关企业（含联合体中的中小企业、签订分包意向协议的中小企业）的具体情况如下： </w:t>
      </w:r>
    </w:p>
    <w:p>
      <w:pPr>
        <w:widowControl/>
        <w:spacing w:line="360" w:lineRule="auto"/>
        <w:ind w:firstLine="444" w:firstLineChars="200"/>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1.</w:t>
      </w:r>
      <w:r>
        <w:rPr>
          <w:rFonts w:hint="eastAsia" w:ascii="宋体" w:hAnsi="宋体" w:cs="宋体"/>
          <w:b/>
          <w:bCs/>
          <w:color w:val="auto"/>
          <w:spacing w:val="6"/>
          <w:kern w:val="0"/>
          <w:szCs w:val="21"/>
          <w:highlight w:val="none"/>
          <w:u w:val="single"/>
        </w:rPr>
        <w:t xml:space="preserve"> （标的名称）</w:t>
      </w:r>
      <w:r>
        <w:rPr>
          <w:rFonts w:hint="eastAsia" w:ascii="宋体" w:hAnsi="宋体" w:cs="宋体"/>
          <w:color w:val="auto"/>
          <w:spacing w:val="6"/>
          <w:kern w:val="0"/>
          <w:szCs w:val="21"/>
          <w:highlight w:val="none"/>
        </w:rPr>
        <w:t>，属于</w:t>
      </w:r>
      <w:r>
        <w:rPr>
          <w:rFonts w:hint="eastAsia" w:ascii="宋体" w:hAnsi="宋体" w:cs="宋体"/>
          <w:b/>
          <w:bCs/>
          <w:color w:val="auto"/>
          <w:spacing w:val="6"/>
          <w:kern w:val="0"/>
          <w:szCs w:val="21"/>
          <w:highlight w:val="none"/>
          <w:u w:val="single"/>
        </w:rPr>
        <w:t>（工业）</w:t>
      </w:r>
      <w:r>
        <w:rPr>
          <w:rFonts w:hint="eastAsia" w:ascii="宋体" w:hAnsi="宋体" w:cs="宋体"/>
          <w:color w:val="auto"/>
          <w:spacing w:val="6"/>
          <w:kern w:val="0"/>
          <w:szCs w:val="21"/>
          <w:highlight w:val="none"/>
        </w:rPr>
        <w:t>行业；制造商为</w:t>
      </w:r>
      <w:r>
        <w:rPr>
          <w:rFonts w:hint="eastAsia" w:ascii="宋体" w:hAnsi="宋体" w:cs="宋体"/>
          <w:b/>
          <w:bCs/>
          <w:color w:val="auto"/>
          <w:spacing w:val="6"/>
          <w:kern w:val="0"/>
          <w:szCs w:val="21"/>
          <w:highlight w:val="none"/>
          <w:u w:val="single"/>
        </w:rPr>
        <w:t>（企业名称）</w:t>
      </w:r>
      <w:r>
        <w:rPr>
          <w:rFonts w:hint="eastAsia" w:ascii="宋体" w:hAnsi="宋体" w:cs="宋体"/>
          <w:color w:val="auto"/>
          <w:spacing w:val="6"/>
          <w:kern w:val="0"/>
          <w:szCs w:val="21"/>
          <w:highlight w:val="none"/>
        </w:rPr>
        <w:t>，从业人员</w:t>
      </w:r>
      <w:r>
        <w:rPr>
          <w:rFonts w:hint="eastAsia" w:ascii="宋体" w:hAnsi="宋体" w:cs="宋体"/>
          <w:color w:val="auto"/>
          <w:spacing w:val="6"/>
          <w:kern w:val="0"/>
          <w:szCs w:val="21"/>
          <w:highlight w:val="none"/>
          <w:u w:val="single"/>
        </w:rPr>
        <w:t xml:space="preserve">   </w:t>
      </w:r>
      <w:r>
        <w:rPr>
          <w:rFonts w:hint="eastAsia" w:ascii="宋体" w:hAnsi="宋体" w:cs="宋体"/>
          <w:color w:val="auto"/>
          <w:spacing w:val="6"/>
          <w:kern w:val="0"/>
          <w:szCs w:val="21"/>
          <w:highlight w:val="none"/>
        </w:rPr>
        <w:t>人，营业收入为</w:t>
      </w:r>
      <w:r>
        <w:rPr>
          <w:rFonts w:hint="eastAsia" w:ascii="宋体" w:hAnsi="宋体" w:cs="宋体"/>
          <w:color w:val="auto"/>
          <w:spacing w:val="6"/>
          <w:kern w:val="0"/>
          <w:szCs w:val="21"/>
          <w:highlight w:val="none"/>
          <w:u w:val="single"/>
        </w:rPr>
        <w:t xml:space="preserve">   </w:t>
      </w:r>
      <w:r>
        <w:rPr>
          <w:rFonts w:hint="eastAsia" w:ascii="宋体" w:hAnsi="宋体" w:cs="宋体"/>
          <w:color w:val="auto"/>
          <w:spacing w:val="6"/>
          <w:kern w:val="0"/>
          <w:szCs w:val="21"/>
          <w:highlight w:val="none"/>
        </w:rPr>
        <w:t>万元，资产总额为</w:t>
      </w:r>
      <w:r>
        <w:rPr>
          <w:rFonts w:hint="eastAsia" w:ascii="宋体" w:hAnsi="宋体" w:cs="宋体"/>
          <w:color w:val="auto"/>
          <w:spacing w:val="6"/>
          <w:kern w:val="0"/>
          <w:szCs w:val="21"/>
          <w:highlight w:val="none"/>
          <w:u w:val="single"/>
        </w:rPr>
        <w:t xml:space="preserve">    </w:t>
      </w:r>
      <w:r>
        <w:rPr>
          <w:rFonts w:hint="eastAsia" w:ascii="宋体" w:hAnsi="宋体" w:cs="宋体"/>
          <w:color w:val="auto"/>
          <w:spacing w:val="6"/>
          <w:kern w:val="0"/>
          <w:szCs w:val="21"/>
          <w:highlight w:val="none"/>
        </w:rPr>
        <w:t>万元1，属于</w:t>
      </w:r>
      <w:r>
        <w:rPr>
          <w:rFonts w:hint="eastAsia" w:ascii="宋体" w:hAnsi="宋体" w:cs="宋体"/>
          <w:b/>
          <w:bCs/>
          <w:color w:val="auto"/>
          <w:spacing w:val="6"/>
          <w:kern w:val="0"/>
          <w:szCs w:val="21"/>
          <w:highlight w:val="none"/>
          <w:u w:val="single"/>
        </w:rPr>
        <w:t>（中型企业、小型企业、微型企业）</w:t>
      </w:r>
      <w:r>
        <w:rPr>
          <w:rFonts w:hint="eastAsia" w:ascii="宋体" w:hAnsi="宋体" w:cs="宋体"/>
          <w:color w:val="auto"/>
          <w:spacing w:val="6"/>
          <w:kern w:val="0"/>
          <w:szCs w:val="21"/>
          <w:highlight w:val="none"/>
        </w:rPr>
        <w:t xml:space="preserve">； </w:t>
      </w:r>
    </w:p>
    <w:p>
      <w:pPr>
        <w:widowControl/>
        <w:spacing w:line="360" w:lineRule="auto"/>
        <w:ind w:firstLine="444" w:firstLineChars="200"/>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 xml:space="preserve">2. </w:t>
      </w:r>
      <w:r>
        <w:rPr>
          <w:rFonts w:hint="eastAsia" w:ascii="宋体" w:hAnsi="宋体" w:cs="宋体"/>
          <w:b/>
          <w:bCs/>
          <w:color w:val="auto"/>
          <w:spacing w:val="6"/>
          <w:kern w:val="0"/>
          <w:szCs w:val="21"/>
          <w:highlight w:val="none"/>
          <w:u w:val="single"/>
        </w:rPr>
        <w:t>（标的名称）</w:t>
      </w:r>
      <w:r>
        <w:rPr>
          <w:rFonts w:hint="eastAsia" w:ascii="宋体" w:hAnsi="宋体" w:cs="宋体"/>
          <w:color w:val="auto"/>
          <w:spacing w:val="6"/>
          <w:kern w:val="0"/>
          <w:szCs w:val="21"/>
          <w:highlight w:val="none"/>
        </w:rPr>
        <w:t xml:space="preserve"> ，属于</w:t>
      </w:r>
      <w:r>
        <w:rPr>
          <w:rFonts w:hint="eastAsia" w:ascii="宋体" w:hAnsi="宋体" w:cs="宋体"/>
          <w:b/>
          <w:bCs/>
          <w:color w:val="auto"/>
          <w:spacing w:val="6"/>
          <w:kern w:val="0"/>
          <w:szCs w:val="21"/>
          <w:highlight w:val="none"/>
          <w:u w:val="single"/>
        </w:rPr>
        <w:t>（工业）</w:t>
      </w:r>
      <w:r>
        <w:rPr>
          <w:rFonts w:hint="eastAsia" w:ascii="宋体" w:hAnsi="宋体" w:cs="宋体"/>
          <w:color w:val="auto"/>
          <w:spacing w:val="6"/>
          <w:kern w:val="0"/>
          <w:szCs w:val="21"/>
          <w:highlight w:val="none"/>
        </w:rPr>
        <w:t>行业；制造商为</w:t>
      </w:r>
      <w:r>
        <w:rPr>
          <w:rFonts w:hint="eastAsia" w:ascii="宋体" w:hAnsi="宋体" w:cs="宋体"/>
          <w:b/>
          <w:bCs/>
          <w:color w:val="auto"/>
          <w:spacing w:val="6"/>
          <w:kern w:val="0"/>
          <w:szCs w:val="21"/>
          <w:highlight w:val="none"/>
          <w:u w:val="single"/>
        </w:rPr>
        <w:t>（企业名称）</w:t>
      </w:r>
      <w:r>
        <w:rPr>
          <w:rFonts w:hint="eastAsia" w:ascii="宋体" w:hAnsi="宋体" w:cs="宋体"/>
          <w:color w:val="auto"/>
          <w:spacing w:val="6"/>
          <w:kern w:val="0"/>
          <w:szCs w:val="21"/>
          <w:highlight w:val="none"/>
        </w:rPr>
        <w:t>，从业人员</w:t>
      </w:r>
      <w:r>
        <w:rPr>
          <w:rFonts w:hint="eastAsia" w:ascii="宋体" w:hAnsi="宋体" w:cs="宋体"/>
          <w:color w:val="auto"/>
          <w:spacing w:val="6"/>
          <w:kern w:val="0"/>
          <w:szCs w:val="21"/>
          <w:highlight w:val="none"/>
          <w:u w:val="single"/>
        </w:rPr>
        <w:t xml:space="preserve">    </w:t>
      </w:r>
      <w:r>
        <w:rPr>
          <w:rFonts w:hint="eastAsia" w:ascii="宋体" w:hAnsi="宋体" w:cs="宋体"/>
          <w:color w:val="auto"/>
          <w:spacing w:val="6"/>
          <w:kern w:val="0"/>
          <w:szCs w:val="21"/>
          <w:highlight w:val="none"/>
        </w:rPr>
        <w:t>人，营业收入为</w:t>
      </w:r>
      <w:r>
        <w:rPr>
          <w:rFonts w:hint="eastAsia" w:ascii="宋体" w:hAnsi="宋体" w:cs="宋体"/>
          <w:color w:val="auto"/>
          <w:spacing w:val="6"/>
          <w:kern w:val="0"/>
          <w:szCs w:val="21"/>
          <w:highlight w:val="none"/>
          <w:u w:val="single"/>
        </w:rPr>
        <w:t xml:space="preserve">    </w:t>
      </w:r>
      <w:r>
        <w:rPr>
          <w:rFonts w:hint="eastAsia" w:ascii="宋体" w:hAnsi="宋体" w:cs="宋体"/>
          <w:color w:val="auto"/>
          <w:spacing w:val="6"/>
          <w:kern w:val="0"/>
          <w:szCs w:val="21"/>
          <w:highlight w:val="none"/>
        </w:rPr>
        <w:t>万元，资产总额为</w:t>
      </w:r>
      <w:r>
        <w:rPr>
          <w:rFonts w:hint="eastAsia" w:ascii="宋体" w:hAnsi="宋体" w:cs="宋体"/>
          <w:color w:val="auto"/>
          <w:spacing w:val="6"/>
          <w:kern w:val="0"/>
          <w:szCs w:val="21"/>
          <w:highlight w:val="none"/>
          <w:u w:val="single"/>
        </w:rPr>
        <w:t xml:space="preserve">    </w:t>
      </w:r>
      <w:r>
        <w:rPr>
          <w:rFonts w:hint="eastAsia" w:ascii="宋体" w:hAnsi="宋体" w:cs="宋体"/>
          <w:color w:val="auto"/>
          <w:spacing w:val="6"/>
          <w:kern w:val="0"/>
          <w:szCs w:val="21"/>
          <w:highlight w:val="none"/>
        </w:rPr>
        <w:t>万元，属于</w:t>
      </w:r>
      <w:r>
        <w:rPr>
          <w:rFonts w:hint="eastAsia" w:ascii="宋体" w:hAnsi="宋体" w:cs="宋体"/>
          <w:b/>
          <w:bCs/>
          <w:color w:val="auto"/>
          <w:spacing w:val="6"/>
          <w:kern w:val="0"/>
          <w:szCs w:val="21"/>
          <w:highlight w:val="none"/>
          <w:u w:val="single"/>
        </w:rPr>
        <w:t>（中型企业、小型 企业、微型企业）</w:t>
      </w:r>
      <w:r>
        <w:rPr>
          <w:rFonts w:hint="eastAsia" w:ascii="宋体" w:hAnsi="宋体" w:cs="宋体"/>
          <w:color w:val="auto"/>
          <w:spacing w:val="6"/>
          <w:kern w:val="0"/>
          <w:szCs w:val="21"/>
          <w:highlight w:val="none"/>
        </w:rPr>
        <w:t xml:space="preserve">； </w:t>
      </w:r>
    </w:p>
    <w:p>
      <w:pPr>
        <w:widowControl/>
        <w:spacing w:line="360" w:lineRule="auto"/>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 xml:space="preserve">        </w:t>
      </w:r>
    </w:p>
    <w:p>
      <w:pPr>
        <w:widowControl/>
        <w:spacing w:line="360" w:lineRule="auto"/>
        <w:ind w:firstLine="444" w:firstLineChars="200"/>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以上企业，不属于大企业的分支机构，不存在控股股东 为大企业的情形，也不存在与大企业的负责人为同一人的情形。</w:t>
      </w:r>
    </w:p>
    <w:p>
      <w:pPr>
        <w:widowControl/>
        <w:spacing w:line="360" w:lineRule="auto"/>
        <w:ind w:firstLine="444" w:firstLineChars="200"/>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 xml:space="preserve">本企业对上述声明内容的真实性负责。如有虚假，将依法承担相应责任。 </w:t>
      </w:r>
    </w:p>
    <w:p>
      <w:pPr>
        <w:widowControl/>
        <w:spacing w:line="360" w:lineRule="auto"/>
        <w:ind w:firstLine="444" w:firstLineChars="200"/>
        <w:jc w:val="both"/>
        <w:rPr>
          <w:rFonts w:ascii="宋体" w:hAnsi="宋体" w:cs="宋体"/>
          <w:color w:val="auto"/>
          <w:spacing w:val="6"/>
          <w:kern w:val="0"/>
          <w:szCs w:val="21"/>
          <w:highlight w:val="none"/>
        </w:rPr>
      </w:pPr>
    </w:p>
    <w:p>
      <w:pPr>
        <w:widowControl/>
        <w:spacing w:line="360" w:lineRule="auto"/>
        <w:ind w:firstLine="444" w:firstLineChars="200"/>
        <w:jc w:val="right"/>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企业名称（盖章）：</w:t>
      </w:r>
    </w:p>
    <w:p>
      <w:pPr>
        <w:widowControl/>
        <w:spacing w:line="360" w:lineRule="auto"/>
        <w:ind w:firstLine="444" w:firstLineChars="200"/>
        <w:jc w:val="right"/>
        <w:rPr>
          <w:rFonts w:ascii="宋体" w:hAnsi="宋体" w:cs="宋体"/>
          <w:color w:val="auto"/>
          <w:spacing w:val="6"/>
          <w:kern w:val="0"/>
          <w:szCs w:val="21"/>
          <w:highlight w:val="none"/>
        </w:rPr>
      </w:pPr>
      <w:r>
        <w:rPr>
          <w:rFonts w:hint="eastAsia" w:ascii="宋体" w:hAnsi="宋体" w:cs="宋体"/>
          <w:color w:val="auto"/>
          <w:spacing w:val="6"/>
          <w:kern w:val="0"/>
          <w:szCs w:val="21"/>
          <w:highlight w:val="none"/>
        </w:rPr>
        <w:t>日 期：</w:t>
      </w:r>
    </w:p>
    <w:p>
      <w:pPr>
        <w:widowControl/>
        <w:spacing w:line="360" w:lineRule="auto"/>
        <w:jc w:val="left"/>
        <w:rPr>
          <w:color w:val="auto"/>
          <w:highlight w:val="none"/>
        </w:rPr>
      </w:pPr>
      <w:r>
        <w:rPr>
          <w:color w:val="auto"/>
          <w:kern w:val="0"/>
          <w:sz w:val="11"/>
          <w:szCs w:val="11"/>
          <w:highlight w:val="none"/>
        </w:rPr>
        <w:t>1</w:t>
      </w:r>
      <w:r>
        <w:rPr>
          <w:rFonts w:hint="eastAsia" w:ascii="宋体" w:hAnsi="宋体" w:cs="宋体"/>
          <w:color w:val="auto"/>
          <w:kern w:val="0"/>
          <w:sz w:val="18"/>
          <w:szCs w:val="18"/>
          <w:highlight w:val="none"/>
        </w:rPr>
        <w:t>从业人员、营业收入、资产总额填报上一年度数据，无上一年度数据的新成立企业可不填报。</w:t>
      </w:r>
    </w:p>
    <w:p>
      <w:pPr>
        <w:widowControl/>
        <w:adjustRightInd w:val="0"/>
        <w:snapToGrid w:val="0"/>
        <w:spacing w:line="360" w:lineRule="auto"/>
        <w:rPr>
          <w:rFonts w:ascii="宋体" w:hAnsi="宋体"/>
          <w:color w:val="auto"/>
          <w:szCs w:val="21"/>
          <w:highlight w:val="none"/>
        </w:rPr>
      </w:pPr>
      <w:r>
        <w:rPr>
          <w:rFonts w:ascii="宋体" w:cs="宋体"/>
          <w:color w:val="auto"/>
          <w:spacing w:val="6"/>
          <w:kern w:val="0"/>
          <w:highlight w:val="none"/>
        </w:rPr>
        <w:br w:type="page"/>
      </w:r>
      <w:bookmarkStart w:id="142" w:name="_Toc22201163"/>
      <w:r>
        <w:rPr>
          <w:rFonts w:hint="eastAsia" w:ascii="宋体" w:hAnsi="宋体" w:cs="宋体"/>
          <w:color w:val="auto"/>
          <w:spacing w:val="6"/>
          <w:kern w:val="0"/>
          <w:szCs w:val="21"/>
          <w:highlight w:val="none"/>
        </w:rPr>
        <w:t xml:space="preserve">附页1 </w:t>
      </w:r>
      <w:r>
        <w:rPr>
          <w:rFonts w:hint="eastAsia" w:ascii="宋体" w:hAnsi="宋体"/>
          <w:color w:val="auto"/>
          <w:szCs w:val="21"/>
          <w:highlight w:val="none"/>
        </w:rPr>
        <w:t>价格评审优惠货物清单</w:t>
      </w:r>
      <w:bookmarkEnd w:id="142"/>
    </w:p>
    <w:p>
      <w:pPr>
        <w:adjustRightInd w:val="0"/>
        <w:snapToGrid w:val="0"/>
        <w:spacing w:before="50" w:line="360" w:lineRule="auto"/>
        <w:jc w:val="center"/>
        <w:rPr>
          <w:rFonts w:hint="eastAsia" w:ascii="黑体" w:hAnsi="宋体" w:eastAsia="黑体"/>
          <w:b/>
          <w:color w:val="auto"/>
          <w:sz w:val="28"/>
          <w:szCs w:val="28"/>
          <w:highlight w:val="none"/>
        </w:rPr>
      </w:pPr>
      <w:r>
        <w:rPr>
          <w:rFonts w:hint="eastAsia" w:ascii="黑体" w:hAnsi="宋体" w:eastAsia="黑体"/>
          <w:b/>
          <w:color w:val="auto"/>
          <w:sz w:val="28"/>
          <w:szCs w:val="28"/>
          <w:highlight w:val="none"/>
        </w:rPr>
        <w:t>价格评审优惠货物清单</w:t>
      </w:r>
    </w:p>
    <w:p>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采购代理编号：                       项目名称：</w:t>
      </w:r>
    </w:p>
    <w:p>
      <w:pPr>
        <w:adjustRightInd w:val="0"/>
        <w:snapToGrid w:val="0"/>
        <w:spacing w:before="50" w:line="360" w:lineRule="auto"/>
        <w:rPr>
          <w:rFonts w:ascii="宋体" w:hAnsi="宋体"/>
          <w:color w:val="auto"/>
          <w:szCs w:val="21"/>
          <w:highlight w:val="none"/>
        </w:rPr>
      </w:pPr>
      <w:r>
        <w:rPr>
          <w:rFonts w:hint="eastAsia" w:ascii="宋体" w:hAnsi="宋体"/>
          <w:color w:val="auto"/>
          <w:szCs w:val="21"/>
          <w:highlight w:val="none"/>
        </w:rPr>
        <w:t>包       号：                       包名称：</w:t>
      </w:r>
    </w:p>
    <w:tbl>
      <w:tblPr>
        <w:tblStyle w:val="47"/>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pPr>
              <w:widowControl/>
              <w:adjustRightInd w:val="0"/>
              <w:snapToGrid w:val="0"/>
              <w:spacing w:line="360" w:lineRule="auto"/>
              <w:ind w:firstLine="480" w:firstLineChars="200"/>
              <w:jc w:val="left"/>
              <w:rPr>
                <w:rFonts w:ascii="黑体" w:hAnsi="宋体" w:eastAsia="黑体"/>
                <w:color w:val="auto"/>
                <w:kern w:val="0"/>
                <w:sz w:val="24"/>
                <w:highlight w:val="none"/>
              </w:rPr>
            </w:pPr>
            <w:r>
              <w:rPr>
                <w:rFonts w:hint="eastAsia" w:ascii="黑体" w:hAnsi="宋体" w:eastAsia="黑体"/>
                <w:color w:val="auto"/>
                <w:kern w:val="0"/>
                <w:sz w:val="24"/>
                <w:highlight w:val="none"/>
              </w:rPr>
              <w:t>以下为供应商提供的享受价格评审优惠的货物，供应商对本表的真实性负责。如有虚假，将依法承担相应责任。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134"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134" w:type="dxa"/>
            <w:tcBorders>
              <w:left w:val="single" w:color="auto" w:sz="4" w:space="0"/>
            </w:tcBorders>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1701"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843"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c>
          <w:tcPr>
            <w:tcW w:w="1134"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134"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134" w:type="dxa"/>
            <w:tcBorders>
              <w:right w:val="single" w:color="auto" w:sz="4" w:space="0"/>
            </w:tcBorders>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规格型号</w:t>
            </w:r>
          </w:p>
        </w:tc>
        <w:tc>
          <w:tcPr>
            <w:tcW w:w="1134" w:type="dxa"/>
            <w:tcBorders>
              <w:left w:val="single" w:color="auto" w:sz="4" w:space="0"/>
            </w:tcBorders>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701"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43"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货物制造商类型</w:t>
            </w:r>
          </w:p>
        </w:tc>
        <w:tc>
          <w:tcPr>
            <w:tcW w:w="1134"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商标名称</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134"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701" w:type="dxa"/>
            <w:vAlign w:val="center"/>
          </w:tcPr>
          <w:p>
            <w:pPr>
              <w:adjustRightInd w:val="0"/>
              <w:snapToGrid w:val="0"/>
              <w:spacing w:line="360" w:lineRule="auto"/>
              <w:jc w:val="center"/>
              <w:rPr>
                <w:rFonts w:ascii="宋体" w:hAnsi="宋体"/>
                <w:color w:val="auto"/>
                <w:szCs w:val="21"/>
                <w:highlight w:val="none"/>
              </w:rPr>
            </w:pPr>
          </w:p>
        </w:tc>
        <w:tc>
          <w:tcPr>
            <w:tcW w:w="1843" w:type="dxa"/>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134"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701" w:type="dxa"/>
            <w:vAlign w:val="center"/>
          </w:tcPr>
          <w:p>
            <w:pPr>
              <w:adjustRightInd w:val="0"/>
              <w:snapToGrid w:val="0"/>
              <w:spacing w:line="360" w:lineRule="auto"/>
              <w:jc w:val="center"/>
              <w:rPr>
                <w:rFonts w:ascii="宋体" w:hAnsi="宋体"/>
                <w:color w:val="auto"/>
                <w:szCs w:val="21"/>
                <w:highlight w:val="none"/>
              </w:rPr>
            </w:pPr>
          </w:p>
        </w:tc>
        <w:tc>
          <w:tcPr>
            <w:tcW w:w="1843" w:type="dxa"/>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134"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701" w:type="dxa"/>
            <w:vAlign w:val="center"/>
          </w:tcPr>
          <w:p>
            <w:pPr>
              <w:adjustRightInd w:val="0"/>
              <w:snapToGrid w:val="0"/>
              <w:spacing w:line="360" w:lineRule="auto"/>
              <w:jc w:val="center"/>
              <w:rPr>
                <w:rFonts w:ascii="宋体" w:hAnsi="宋体"/>
                <w:color w:val="auto"/>
                <w:szCs w:val="21"/>
                <w:highlight w:val="none"/>
              </w:rPr>
            </w:pPr>
          </w:p>
        </w:tc>
        <w:tc>
          <w:tcPr>
            <w:tcW w:w="1843" w:type="dxa"/>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134"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701" w:type="dxa"/>
            <w:vAlign w:val="center"/>
          </w:tcPr>
          <w:p>
            <w:pPr>
              <w:adjustRightInd w:val="0"/>
              <w:snapToGrid w:val="0"/>
              <w:spacing w:line="360" w:lineRule="auto"/>
              <w:jc w:val="center"/>
              <w:rPr>
                <w:rFonts w:ascii="宋体" w:hAnsi="宋体"/>
                <w:color w:val="auto"/>
                <w:szCs w:val="21"/>
                <w:highlight w:val="none"/>
              </w:rPr>
            </w:pPr>
          </w:p>
        </w:tc>
        <w:tc>
          <w:tcPr>
            <w:tcW w:w="1843" w:type="dxa"/>
          </w:tcPr>
          <w:p>
            <w:pPr>
              <w:adjustRightInd w:val="0"/>
              <w:snapToGrid w:val="0"/>
              <w:spacing w:line="360" w:lineRule="auto"/>
              <w:jc w:val="center"/>
              <w:rPr>
                <w:rFonts w:ascii="宋体" w:hAnsi="宋体"/>
                <w:color w:val="auto"/>
                <w:szCs w:val="21"/>
                <w:highlight w:val="none"/>
              </w:rPr>
            </w:pPr>
          </w:p>
        </w:tc>
        <w:tc>
          <w:tcPr>
            <w:tcW w:w="1134" w:type="dxa"/>
            <w:vAlign w:val="center"/>
          </w:tcPr>
          <w:p>
            <w:pPr>
              <w:adjustRightInd w:val="0"/>
              <w:snapToGrid w:val="0"/>
              <w:spacing w:line="360" w:lineRule="auto"/>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134"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134"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701"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b/>
                <w:color w:val="auto"/>
                <w:szCs w:val="21"/>
                <w:highlight w:val="none"/>
              </w:rPr>
              <w:t>/</w:t>
            </w:r>
          </w:p>
        </w:tc>
        <w:tc>
          <w:tcPr>
            <w:tcW w:w="1843"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b/>
                <w:color w:val="auto"/>
                <w:szCs w:val="21"/>
                <w:highlight w:val="none"/>
              </w:rPr>
              <w:t>/</w:t>
            </w:r>
          </w:p>
        </w:tc>
        <w:tc>
          <w:tcPr>
            <w:tcW w:w="1134"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b/>
                <w:color w:val="auto"/>
                <w:szCs w:val="21"/>
                <w:highlight w:val="none"/>
              </w:rPr>
              <w:t>/</w:t>
            </w:r>
          </w:p>
        </w:tc>
      </w:tr>
    </w:tbl>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pPr>
        <w:adjustRightInd w:val="0"/>
        <w:snapToGrid w:val="0"/>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2、栏目4“价格”为综合单价，包含该货物所有隐含的内容，如运输费、保险费、安装调试费、管理费和利润等。</w:t>
      </w:r>
    </w:p>
    <w:p>
      <w:pPr>
        <w:adjustRightInd w:val="0"/>
        <w:snapToGrid w:val="0"/>
        <w:spacing w:line="360" w:lineRule="auto"/>
        <w:ind w:firstLine="630" w:firstLineChars="300"/>
        <w:rPr>
          <w:rFonts w:ascii="宋体" w:hAnsi="宋体"/>
          <w:color w:val="auto"/>
          <w:szCs w:val="21"/>
          <w:highlight w:val="none"/>
        </w:rPr>
      </w:pPr>
    </w:p>
    <w:p>
      <w:pPr>
        <w:adjustRightInd w:val="0"/>
        <w:snapToGrid w:val="0"/>
        <w:spacing w:line="360" w:lineRule="auto"/>
        <w:ind w:firstLine="630" w:firstLineChars="300"/>
        <w:rPr>
          <w:rFonts w:ascii="宋体" w:hAnsi="宋体"/>
          <w:color w:val="auto"/>
          <w:szCs w:val="21"/>
          <w:highlight w:val="none"/>
        </w:rPr>
      </w:pPr>
    </w:p>
    <w:p>
      <w:pPr>
        <w:adjustRightInd w:val="0"/>
        <w:snapToGrid w:val="0"/>
        <w:spacing w:before="156" w:beforeLines="50" w:line="360" w:lineRule="auto"/>
        <w:rPr>
          <w:rFonts w:ascii="宋体" w:hAnsi="宋体"/>
          <w:color w:val="auto"/>
          <w:szCs w:val="21"/>
          <w:highlight w:val="none"/>
          <w:u w:val="single"/>
        </w:rPr>
      </w:pPr>
      <w:r>
        <w:rPr>
          <w:rFonts w:hint="eastAsia" w:ascii="宋体" w:hAnsi="宋体"/>
          <w:color w:val="auto"/>
          <w:szCs w:val="21"/>
          <w:highlight w:val="none"/>
        </w:rPr>
        <w:t>供应商名称（盖单位公章）：</w:t>
      </w:r>
    </w:p>
    <w:p>
      <w:pPr>
        <w:adjustRightInd w:val="0"/>
        <w:snapToGrid w:val="0"/>
        <w:spacing w:before="156" w:beforeLines="50"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p>
    <w:p>
      <w:pPr>
        <w:adjustRightInd w:val="0"/>
        <w:snapToGrid w:val="0"/>
        <w:spacing w:before="156" w:beforeLines="50" w:line="360" w:lineRule="auto"/>
        <w:rPr>
          <w:color w:val="auto"/>
          <w:highlight w:val="none"/>
        </w:rPr>
      </w:pPr>
      <w:r>
        <w:rPr>
          <w:rFonts w:hint="eastAsia"/>
          <w:color w:val="auto"/>
          <w:highlight w:val="none"/>
        </w:rPr>
        <w:t>日期： 年月日</w:t>
      </w:r>
    </w:p>
    <w:p>
      <w:pPr>
        <w:pStyle w:val="5"/>
        <w:rPr>
          <w:rFonts w:ascii="宋体" w:hAnsi="宋体"/>
          <w:color w:val="auto"/>
          <w:spacing w:val="6"/>
          <w:sz w:val="21"/>
          <w:highlight w:val="none"/>
        </w:rPr>
      </w:pPr>
      <w:r>
        <w:rPr>
          <w:rFonts w:ascii="黑体" w:hAnsi="华文中宋" w:cs="宋体"/>
          <w:color w:val="auto"/>
          <w:spacing w:val="6"/>
          <w:kern w:val="0"/>
          <w:highlight w:val="none"/>
        </w:rPr>
        <w:br w:type="page"/>
      </w:r>
      <w:bookmarkStart w:id="143" w:name="_Toc22201164"/>
      <w:bookmarkStart w:id="144" w:name="_Toc18265"/>
      <w:r>
        <w:rPr>
          <w:rFonts w:hint="eastAsia" w:ascii="宋体" w:hAnsi="宋体" w:cs="宋体"/>
          <w:color w:val="auto"/>
          <w:spacing w:val="6"/>
          <w:kern w:val="0"/>
          <w:sz w:val="21"/>
          <w:highlight w:val="none"/>
        </w:rPr>
        <w:t xml:space="preserve">附件9-2 </w:t>
      </w:r>
      <w:r>
        <w:rPr>
          <w:rFonts w:hint="eastAsia" w:ascii="宋体" w:hAnsi="宋体"/>
          <w:color w:val="auto"/>
          <w:spacing w:val="6"/>
          <w:sz w:val="21"/>
          <w:highlight w:val="none"/>
        </w:rPr>
        <w:t>残疾人福利性单位声明函</w:t>
      </w:r>
      <w:bookmarkEnd w:id="143"/>
      <w:bookmarkEnd w:id="144"/>
    </w:p>
    <w:p>
      <w:pPr>
        <w:adjustRightInd w:val="0"/>
        <w:snapToGrid w:val="0"/>
        <w:spacing w:line="360" w:lineRule="auto"/>
        <w:jc w:val="center"/>
        <w:rPr>
          <w:rFonts w:ascii="黑体" w:hAnsi="黑体" w:eastAsia="黑体"/>
          <w:b/>
          <w:color w:val="auto"/>
          <w:spacing w:val="6"/>
          <w:sz w:val="28"/>
          <w:szCs w:val="28"/>
          <w:highlight w:val="none"/>
        </w:rPr>
      </w:pPr>
      <w:r>
        <w:rPr>
          <w:rFonts w:hint="eastAsia" w:ascii="黑体" w:hAnsi="黑体" w:eastAsia="黑体"/>
          <w:b/>
          <w:color w:val="auto"/>
          <w:spacing w:val="6"/>
          <w:sz w:val="28"/>
          <w:szCs w:val="28"/>
          <w:highlight w:val="none"/>
        </w:rPr>
        <w:t>残疾人福利性单位声明函</w:t>
      </w:r>
    </w:p>
    <w:p>
      <w:pPr>
        <w:adjustRightInd w:val="0"/>
        <w:snapToGrid w:val="0"/>
        <w:spacing w:line="360" w:lineRule="auto"/>
        <w:jc w:val="center"/>
        <w:rPr>
          <w:rFonts w:ascii="宋体" w:hAnsi="宋体"/>
          <w:color w:val="auto"/>
          <w:spacing w:val="6"/>
          <w:szCs w:val="21"/>
          <w:highlight w:val="none"/>
        </w:rPr>
      </w:pPr>
      <w:r>
        <w:rPr>
          <w:rFonts w:hint="eastAsia" w:ascii="宋体" w:hAnsi="宋体"/>
          <w:b/>
          <w:color w:val="auto"/>
          <w:spacing w:val="6"/>
          <w:szCs w:val="21"/>
          <w:highlight w:val="none"/>
        </w:rPr>
        <w:t>(不属于残疾人福利性单位的无需填写)</w:t>
      </w:r>
    </w:p>
    <w:p>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本单位郑重声明，根据《财政部 民政部 中国残疾人联合会关于促进残疾人就业政府采购政策的通知》（财库</w:t>
      </w:r>
      <w:r>
        <w:rPr>
          <w:rFonts w:hint="eastAsia" w:ascii="宋体" w:hAnsi="宋体"/>
          <w:color w:val="auto"/>
          <w:szCs w:val="21"/>
          <w:highlight w:val="none"/>
        </w:rPr>
        <w:t>〔2017〕141</w:t>
      </w:r>
      <w:r>
        <w:rPr>
          <w:rFonts w:hint="eastAsia" w:ascii="宋体" w:hAnsi="宋体"/>
          <w:color w:val="auto"/>
          <w:spacing w:val="6"/>
          <w:szCs w:val="21"/>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adjustRightInd w:val="0"/>
        <w:snapToGrid w:val="0"/>
        <w:spacing w:line="360" w:lineRule="auto"/>
        <w:ind w:firstLine="444" w:firstLineChars="200"/>
        <w:rPr>
          <w:rFonts w:ascii="宋体" w:hAnsi="宋体"/>
          <w:color w:val="auto"/>
          <w:spacing w:val="6"/>
          <w:szCs w:val="21"/>
          <w:highlight w:val="none"/>
        </w:rPr>
      </w:pPr>
      <w:r>
        <w:rPr>
          <w:rFonts w:hint="eastAsia" w:ascii="宋体" w:hAnsi="宋体"/>
          <w:color w:val="auto"/>
          <w:spacing w:val="6"/>
          <w:szCs w:val="21"/>
          <w:highlight w:val="none"/>
        </w:rPr>
        <w:t>本单位对上述声明的真实性负责。如有虚假，将依法承担相应责任。</w:t>
      </w:r>
    </w:p>
    <w:p>
      <w:pPr>
        <w:adjustRightInd w:val="0"/>
        <w:snapToGrid w:val="0"/>
        <w:spacing w:line="360" w:lineRule="auto"/>
        <w:ind w:firstLine="444" w:firstLineChars="200"/>
        <w:rPr>
          <w:rFonts w:ascii="宋体" w:hAnsi="宋体"/>
          <w:color w:val="auto"/>
          <w:spacing w:val="6"/>
          <w:szCs w:val="21"/>
          <w:highlight w:val="none"/>
        </w:rPr>
      </w:pPr>
    </w:p>
    <w:p>
      <w:pPr>
        <w:adjustRightInd w:val="0"/>
        <w:snapToGrid w:val="0"/>
        <w:spacing w:line="360" w:lineRule="auto"/>
        <w:ind w:firstLine="444" w:firstLineChars="200"/>
        <w:rPr>
          <w:rFonts w:ascii="宋体" w:hAnsi="宋体"/>
          <w:color w:val="auto"/>
          <w:spacing w:val="6"/>
          <w:szCs w:val="21"/>
          <w:highlight w:val="none"/>
        </w:rPr>
      </w:pPr>
    </w:p>
    <w:p>
      <w:pPr>
        <w:tabs>
          <w:tab w:val="left" w:pos="4860"/>
        </w:tabs>
        <w:adjustRightInd w:val="0"/>
        <w:snapToGrid w:val="0"/>
        <w:spacing w:line="360" w:lineRule="auto"/>
        <w:ind w:right="1560" w:firstLine="444" w:firstLineChars="200"/>
        <w:jc w:val="center"/>
        <w:rPr>
          <w:rFonts w:ascii="宋体" w:hAnsi="宋体"/>
          <w:color w:val="auto"/>
          <w:spacing w:val="6"/>
          <w:szCs w:val="21"/>
          <w:highlight w:val="none"/>
          <w:u w:val="single"/>
        </w:rPr>
      </w:pPr>
      <w:r>
        <w:rPr>
          <w:rFonts w:hint="eastAsia" w:ascii="宋体" w:hAnsi="宋体"/>
          <w:color w:val="auto"/>
          <w:spacing w:val="6"/>
          <w:szCs w:val="21"/>
          <w:highlight w:val="none"/>
        </w:rPr>
        <w:t xml:space="preserve">               单位名称（盖章）：</w:t>
      </w:r>
      <w:r>
        <w:rPr>
          <w:rFonts w:hint="eastAsia" w:ascii="宋体" w:hAnsi="宋体"/>
          <w:color w:val="auto"/>
          <w:szCs w:val="21"/>
          <w:highlight w:val="none"/>
          <w:u w:val="single"/>
        </w:rPr>
        <w:t xml:space="preserve">                     </w:t>
      </w:r>
    </w:p>
    <w:p>
      <w:pPr>
        <w:tabs>
          <w:tab w:val="left" w:pos="4860"/>
        </w:tabs>
        <w:adjustRightInd w:val="0"/>
        <w:snapToGrid w:val="0"/>
        <w:spacing w:line="360" w:lineRule="auto"/>
        <w:ind w:right="1560" w:firstLine="444" w:firstLineChars="200"/>
        <w:jc w:val="center"/>
        <w:rPr>
          <w:rFonts w:ascii="宋体" w:hAnsi="宋体" w:cs="宋体"/>
          <w:color w:val="auto"/>
          <w:kern w:val="0"/>
          <w:szCs w:val="21"/>
          <w:highlight w:val="none"/>
        </w:rPr>
      </w:pPr>
      <w:r>
        <w:rPr>
          <w:rFonts w:hint="eastAsia" w:ascii="宋体" w:hAnsi="宋体"/>
          <w:color w:val="auto"/>
          <w:spacing w:val="6"/>
          <w:szCs w:val="21"/>
          <w:highlight w:val="none"/>
        </w:rPr>
        <w:t xml:space="preserve">       日  期：</w:t>
      </w:r>
      <w:r>
        <w:rPr>
          <w:rFonts w:hint="eastAsia" w:ascii="宋体" w:hAnsi="宋体"/>
          <w:color w:val="auto"/>
          <w:szCs w:val="21"/>
          <w:highlight w:val="none"/>
          <w:u w:val="single"/>
        </w:rPr>
        <w:t xml:space="preserve">                        </w:t>
      </w:r>
    </w:p>
    <w:p>
      <w:pPr>
        <w:pStyle w:val="5"/>
        <w:rPr>
          <w:rFonts w:ascii="宋体" w:hAnsi="宋体"/>
          <w:color w:val="auto"/>
          <w:sz w:val="21"/>
          <w:szCs w:val="21"/>
          <w:highlight w:val="none"/>
        </w:rPr>
      </w:pPr>
      <w:r>
        <w:rPr>
          <w:rFonts w:ascii="黑体" w:hAnsi="华文中宋" w:cs="宋体"/>
          <w:color w:val="auto"/>
          <w:spacing w:val="6"/>
          <w:kern w:val="0"/>
          <w:highlight w:val="none"/>
        </w:rPr>
        <w:br w:type="page"/>
      </w:r>
      <w:bookmarkStart w:id="145" w:name="_Toc17898"/>
      <w:bookmarkStart w:id="146" w:name="_Toc22201165"/>
      <w:r>
        <w:rPr>
          <w:rFonts w:hint="eastAsia" w:ascii="宋体" w:hAnsi="宋体" w:cs="宋体"/>
          <w:color w:val="auto"/>
          <w:kern w:val="0"/>
          <w:sz w:val="21"/>
          <w:szCs w:val="21"/>
          <w:highlight w:val="none"/>
        </w:rPr>
        <w:t xml:space="preserve">附件9-3 </w:t>
      </w:r>
      <w:r>
        <w:rPr>
          <w:rFonts w:hint="eastAsia" w:ascii="宋体" w:hAnsi="宋体"/>
          <w:color w:val="auto"/>
          <w:sz w:val="21"/>
          <w:szCs w:val="21"/>
          <w:highlight w:val="none"/>
        </w:rPr>
        <w:t>监狱企业证明资料</w:t>
      </w:r>
      <w:bookmarkEnd w:id="145"/>
      <w:bookmarkEnd w:id="146"/>
    </w:p>
    <w:p>
      <w:pPr>
        <w:adjustRightInd w:val="0"/>
        <w:snapToGrid w:val="0"/>
        <w:spacing w:line="360" w:lineRule="auto"/>
        <w:jc w:val="center"/>
        <w:rPr>
          <w:rFonts w:ascii="黑体" w:hAnsi="宋体"/>
          <w:b/>
          <w:color w:val="auto"/>
          <w:sz w:val="28"/>
          <w:szCs w:val="28"/>
          <w:highlight w:val="none"/>
        </w:rPr>
      </w:pPr>
      <w:r>
        <w:rPr>
          <w:rFonts w:hint="eastAsia" w:ascii="黑体" w:hAnsi="宋体"/>
          <w:b/>
          <w:color w:val="auto"/>
          <w:sz w:val="28"/>
          <w:szCs w:val="28"/>
          <w:highlight w:val="none"/>
        </w:rPr>
        <w:t>监狱企业证明资料</w:t>
      </w:r>
    </w:p>
    <w:p>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(不属于监狱企业的无需提供)</w:t>
      </w:r>
    </w:p>
    <w:p>
      <w:pPr>
        <w:adjustRightInd w:val="0"/>
        <w:snapToGrid w:val="0"/>
        <w:spacing w:line="360" w:lineRule="auto"/>
        <w:rPr>
          <w:rFonts w:ascii="宋体" w:hAnsi="宋体"/>
          <w:color w:val="auto"/>
          <w:szCs w:val="21"/>
          <w:highlight w:val="none"/>
        </w:rPr>
      </w:pPr>
    </w:p>
    <w:p>
      <w:pPr>
        <w:adjustRightInd w:val="0"/>
        <w:snapToGrid w:val="0"/>
        <w:spacing w:line="360" w:lineRule="auto"/>
        <w:ind w:firstLine="444" w:firstLineChars="200"/>
        <w:rPr>
          <w:rFonts w:ascii="宋体" w:hAnsi="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olor w:val="auto"/>
          <w:szCs w:val="21"/>
          <w:highlight w:val="none"/>
        </w:rPr>
        <w:t>按</w:t>
      </w:r>
      <w:r>
        <w:rPr>
          <w:rFonts w:hint="eastAsia" w:ascii="宋体" w:hAnsi="宋体"/>
          <w:color w:val="auto"/>
          <w:spacing w:val="6"/>
          <w:szCs w:val="21"/>
          <w:highlight w:val="none"/>
        </w:rPr>
        <w:t>《</w:t>
      </w:r>
      <w:r>
        <w:rPr>
          <w:rFonts w:hint="eastAsia" w:ascii="宋体" w:hAnsi="宋体"/>
          <w:color w:val="auto"/>
          <w:szCs w:val="21"/>
          <w:highlight w:val="none"/>
        </w:rPr>
        <w:t>财政部 司法部关于政府采购支持监狱企业发展有关问题的通知</w:t>
      </w:r>
      <w:r>
        <w:rPr>
          <w:rFonts w:hint="eastAsia" w:ascii="宋体" w:hAnsi="宋体"/>
          <w:color w:val="auto"/>
          <w:spacing w:val="6"/>
          <w:szCs w:val="21"/>
          <w:highlight w:val="none"/>
        </w:rPr>
        <w:t>》</w:t>
      </w:r>
      <w:r>
        <w:rPr>
          <w:rFonts w:hint="eastAsia" w:ascii="宋体" w:hAnsi="宋体"/>
          <w:color w:val="auto"/>
          <w:szCs w:val="21"/>
          <w:highlight w:val="none"/>
        </w:rPr>
        <w:t>(财库〔2014〕68号)文件规定提供证明文件（复印件）。</w:t>
      </w:r>
    </w:p>
    <w:p>
      <w:pPr>
        <w:adjustRightInd w:val="0"/>
        <w:snapToGrid w:val="0"/>
        <w:spacing w:line="360" w:lineRule="auto"/>
        <w:ind w:firstLine="420" w:firstLineChars="200"/>
        <w:rPr>
          <w:rFonts w:ascii="宋体" w:hAnsi="宋体"/>
          <w:color w:val="auto"/>
          <w:szCs w:val="21"/>
          <w:highlight w:val="none"/>
        </w:rPr>
      </w:pPr>
    </w:p>
    <w:p>
      <w:pPr>
        <w:adjustRightInd w:val="0"/>
        <w:snapToGrid w:val="0"/>
        <w:spacing w:line="360" w:lineRule="auto"/>
        <w:ind w:firstLine="420" w:firstLineChars="200"/>
        <w:rPr>
          <w:rFonts w:ascii="宋体" w:hAnsi="宋体"/>
          <w:color w:val="auto"/>
          <w:szCs w:val="21"/>
          <w:highlight w:val="none"/>
        </w:rPr>
      </w:pPr>
    </w:p>
    <w:p>
      <w:pPr>
        <w:pStyle w:val="5"/>
        <w:rPr>
          <w:rFonts w:ascii="宋体" w:hAnsi="宋体"/>
          <w:color w:val="auto"/>
          <w:sz w:val="21"/>
          <w:szCs w:val="21"/>
          <w:highlight w:val="none"/>
        </w:rPr>
      </w:pPr>
      <w:r>
        <w:rPr>
          <w:rFonts w:hAnsi="华文中宋" w:eastAsia="黑体" w:cs="宋体"/>
          <w:color w:val="auto"/>
          <w:spacing w:val="6"/>
          <w:kern w:val="0"/>
          <w:highlight w:val="none"/>
        </w:rPr>
        <w:br w:type="page"/>
      </w:r>
      <w:bookmarkStart w:id="147" w:name="_Toc22201166"/>
      <w:bookmarkStart w:id="148" w:name="_Toc7353"/>
      <w:r>
        <w:rPr>
          <w:rFonts w:hint="eastAsia" w:ascii="宋体" w:hAnsi="宋体" w:cs="宋体"/>
          <w:color w:val="auto"/>
          <w:spacing w:val="6"/>
          <w:kern w:val="0"/>
          <w:sz w:val="21"/>
          <w:szCs w:val="21"/>
          <w:highlight w:val="none"/>
        </w:rPr>
        <w:t xml:space="preserve">附件9-4 </w:t>
      </w:r>
      <w:r>
        <w:rPr>
          <w:rFonts w:hint="eastAsia" w:ascii="宋体" w:hAnsi="宋体"/>
          <w:color w:val="auto"/>
          <w:sz w:val="21"/>
          <w:szCs w:val="21"/>
          <w:highlight w:val="none"/>
        </w:rPr>
        <w:t>强制采购或者优先采购产品的证明材料</w:t>
      </w:r>
      <w:bookmarkEnd w:id="147"/>
      <w:bookmarkEnd w:id="148"/>
    </w:p>
    <w:p>
      <w:pPr>
        <w:adjustRightInd w:val="0"/>
        <w:snapToGrid w:val="0"/>
        <w:spacing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强制采购或者优先采购产品</w:t>
      </w:r>
      <w:r>
        <w:rPr>
          <w:rFonts w:hint="eastAsia" w:ascii="黑体" w:hAnsi="黑体" w:eastAsia="黑体"/>
          <w:b/>
          <w:bCs/>
          <w:color w:val="auto"/>
          <w:sz w:val="28"/>
          <w:szCs w:val="28"/>
          <w:highlight w:val="none"/>
        </w:rPr>
        <w:t>的</w:t>
      </w:r>
      <w:r>
        <w:rPr>
          <w:rFonts w:hint="eastAsia" w:ascii="黑体" w:hAnsi="黑体" w:eastAsia="黑体"/>
          <w:b/>
          <w:color w:val="auto"/>
          <w:sz w:val="28"/>
          <w:szCs w:val="28"/>
          <w:highlight w:val="none"/>
        </w:rPr>
        <w:t>证明材料</w:t>
      </w:r>
    </w:p>
    <w:p>
      <w:pPr>
        <w:adjustRightInd w:val="0"/>
        <w:snapToGrid w:val="0"/>
        <w:spacing w:line="360" w:lineRule="auto"/>
        <w:jc w:val="center"/>
        <w:rPr>
          <w:rFonts w:ascii="宋体" w:hAnsi="宋体"/>
          <w:b/>
          <w:color w:val="auto"/>
          <w:spacing w:val="6"/>
          <w:szCs w:val="21"/>
          <w:highlight w:val="none"/>
        </w:rPr>
      </w:pPr>
      <w:r>
        <w:rPr>
          <w:rFonts w:hint="eastAsia" w:ascii="宋体" w:hAnsi="宋体"/>
          <w:b/>
          <w:color w:val="auto"/>
          <w:spacing w:val="6"/>
          <w:szCs w:val="21"/>
          <w:highlight w:val="none"/>
        </w:rPr>
        <w:t>(不属于强制采购或者优先采购产品的无需提供)</w:t>
      </w:r>
    </w:p>
    <w:p>
      <w:pPr>
        <w:adjustRightInd w:val="0"/>
        <w:snapToGrid w:val="0"/>
        <w:spacing w:line="360" w:lineRule="auto"/>
        <w:ind w:firstLine="420" w:firstLineChars="200"/>
        <w:jc w:val="left"/>
        <w:rPr>
          <w:rFonts w:ascii="宋体" w:hAnsi="宋体"/>
          <w:color w:val="auto"/>
          <w:szCs w:val="21"/>
          <w:highlight w:val="none"/>
        </w:rPr>
      </w:pPr>
    </w:p>
    <w:p>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说明：1、供应商提供的产品</w:t>
      </w:r>
      <w:r>
        <w:rPr>
          <w:rFonts w:hint="eastAsia" w:ascii="宋体" w:hAnsi="宋体"/>
          <w:bCs/>
          <w:color w:val="auto"/>
          <w:szCs w:val="21"/>
          <w:highlight w:val="none"/>
        </w:rPr>
        <w:t>属于强制采购或者优先采购的</w:t>
      </w:r>
      <w:r>
        <w:rPr>
          <w:rFonts w:hint="eastAsia" w:ascii="宋体" w:hAnsi="宋体"/>
          <w:color w:val="auto"/>
          <w:szCs w:val="21"/>
          <w:highlight w:val="none"/>
        </w:rPr>
        <w:t>，应按第二章第二节第37条规定提供证明材料和本章本节附页2“优先采购产品清单”，并加盖供应商单位公章。</w:t>
      </w:r>
    </w:p>
    <w:p>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2、节能产品、环境标志产品(强制采购或者优先采购产品)认证证书内容</w:t>
      </w:r>
      <w:r>
        <w:rPr>
          <w:rFonts w:hint="eastAsia" w:ascii="宋体" w:hAnsi="宋体" w:eastAsia="宋体"/>
          <w:color w:val="auto"/>
          <w:szCs w:val="21"/>
          <w:highlight w:val="none"/>
        </w:rPr>
        <w:t>注明“详见证</w:t>
      </w:r>
      <w:r>
        <w:rPr>
          <w:rFonts w:hint="eastAsia" w:ascii="宋体" w:hAnsi="宋体"/>
          <w:color w:val="auto"/>
          <w:szCs w:val="21"/>
          <w:highlight w:val="none"/>
        </w:rPr>
        <w:t>书附件</w:t>
      </w:r>
      <w:r>
        <w:rPr>
          <w:rFonts w:hint="eastAsia" w:ascii="华文中宋" w:hAnsi="华文中宋" w:eastAsia="华文中宋"/>
          <w:color w:val="auto"/>
          <w:szCs w:val="21"/>
          <w:highlight w:val="none"/>
        </w:rPr>
        <w:t>”</w:t>
      </w:r>
      <w:r>
        <w:rPr>
          <w:rFonts w:hint="eastAsia" w:ascii="宋体" w:hAnsi="宋体"/>
          <w:color w:val="auto"/>
          <w:szCs w:val="21"/>
          <w:highlight w:val="none"/>
        </w:rPr>
        <w:t>的，应提供其附件，以证明认证证书与响应文件一致。</w:t>
      </w:r>
    </w:p>
    <w:p>
      <w:pPr>
        <w:adjustRightInd w:val="0"/>
        <w:snapToGrid w:val="0"/>
        <w:spacing w:line="360" w:lineRule="auto"/>
        <w:ind w:firstLine="420" w:firstLineChars="200"/>
        <w:jc w:val="left"/>
        <w:rPr>
          <w:rFonts w:ascii="宋体" w:hAnsi="宋体"/>
          <w:color w:val="auto"/>
          <w:szCs w:val="21"/>
          <w:highlight w:val="none"/>
        </w:rPr>
      </w:pPr>
    </w:p>
    <w:p>
      <w:pPr>
        <w:pStyle w:val="6"/>
        <w:rPr>
          <w:rFonts w:ascii="宋体" w:hAnsi="宋体" w:eastAsia="宋体"/>
          <w:color w:val="auto"/>
          <w:sz w:val="21"/>
          <w:szCs w:val="21"/>
          <w:highlight w:val="none"/>
        </w:rPr>
      </w:pPr>
      <w:r>
        <w:rPr>
          <w:color w:val="auto"/>
          <w:highlight w:val="none"/>
        </w:rPr>
        <w:br w:type="page"/>
      </w:r>
      <w:bookmarkStart w:id="149" w:name="_Toc22201167"/>
      <w:r>
        <w:rPr>
          <w:rFonts w:hint="eastAsia" w:ascii="宋体" w:hAnsi="宋体" w:eastAsia="宋体" w:cs="宋体"/>
          <w:color w:val="auto"/>
          <w:spacing w:val="6"/>
          <w:kern w:val="0"/>
          <w:sz w:val="21"/>
          <w:szCs w:val="21"/>
          <w:highlight w:val="none"/>
        </w:rPr>
        <w:t xml:space="preserve">附页2 </w:t>
      </w:r>
      <w:r>
        <w:rPr>
          <w:rFonts w:hint="eastAsia" w:ascii="宋体" w:hAnsi="宋体" w:eastAsia="宋体"/>
          <w:color w:val="auto"/>
          <w:sz w:val="21"/>
          <w:szCs w:val="21"/>
          <w:highlight w:val="none"/>
        </w:rPr>
        <w:t>优先采购产品清单</w:t>
      </w:r>
      <w:bookmarkEnd w:id="149"/>
    </w:p>
    <w:p>
      <w:pPr>
        <w:adjustRightInd w:val="0"/>
        <w:snapToGrid w:val="0"/>
        <w:spacing w:line="360" w:lineRule="auto"/>
        <w:jc w:val="center"/>
        <w:rPr>
          <w:rFonts w:hint="eastAsia" w:ascii="黑体" w:hAnsi="宋体" w:eastAsia="黑体"/>
          <w:b/>
          <w:color w:val="auto"/>
          <w:sz w:val="28"/>
          <w:szCs w:val="28"/>
          <w:highlight w:val="none"/>
        </w:rPr>
      </w:pPr>
      <w:r>
        <w:rPr>
          <w:rFonts w:hint="eastAsia" w:ascii="黑体" w:hAnsi="宋体" w:eastAsia="黑体"/>
          <w:b/>
          <w:color w:val="auto"/>
          <w:sz w:val="28"/>
          <w:szCs w:val="28"/>
          <w:highlight w:val="none"/>
        </w:rPr>
        <w:t>优先采购产品清单</w:t>
      </w:r>
    </w:p>
    <w:p>
      <w:pPr>
        <w:pStyle w:val="303"/>
        <w:jc w:val="center"/>
        <w:rPr>
          <w:rFonts w:hint="eastAsia" w:eastAsia="黑体"/>
          <w:color w:val="auto"/>
          <w:highlight w:val="none"/>
          <w:lang w:eastAsia="zh-CN"/>
        </w:rPr>
      </w:pPr>
      <w:r>
        <w:rPr>
          <w:rFonts w:hint="eastAsia" w:ascii="黑体" w:hAnsi="宋体" w:eastAsia="黑体"/>
          <w:b/>
          <w:color w:val="auto"/>
          <w:sz w:val="28"/>
          <w:szCs w:val="28"/>
          <w:highlight w:val="none"/>
          <w:lang w:eastAsia="zh-CN"/>
        </w:rPr>
        <w:t>（</w:t>
      </w:r>
      <w:r>
        <w:rPr>
          <w:rFonts w:hint="eastAsia" w:ascii="黑体" w:hAnsi="宋体" w:eastAsia="黑体"/>
          <w:b/>
          <w:color w:val="auto"/>
          <w:sz w:val="28"/>
          <w:szCs w:val="28"/>
          <w:highlight w:val="none"/>
          <w:lang w:val="en-US" w:eastAsia="zh-CN"/>
        </w:rPr>
        <w:t>本项目不适用</w:t>
      </w:r>
      <w:r>
        <w:rPr>
          <w:rFonts w:hint="eastAsia" w:ascii="黑体" w:hAnsi="宋体" w:eastAsia="黑体"/>
          <w:b/>
          <w:color w:val="auto"/>
          <w:sz w:val="28"/>
          <w:szCs w:val="28"/>
          <w:highlight w:val="none"/>
          <w:lang w:eastAsia="zh-CN"/>
        </w:rPr>
        <w:t>）</w:t>
      </w:r>
    </w:p>
    <w:p>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rPr>
        <w:t>采购代理编号：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w:t>
      </w:r>
      <w:r>
        <w:rPr>
          <w:rFonts w:hint="eastAsia" w:ascii="宋体" w:hAnsi="宋体"/>
          <w:color w:val="auto"/>
          <w:szCs w:val="21"/>
          <w:highlight w:val="none"/>
          <w:u w:val="single"/>
        </w:rPr>
        <w:t xml:space="preserve">                     </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包       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7"/>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pPr>
              <w:widowControl/>
              <w:adjustRightInd w:val="0"/>
              <w:snapToGrid w:val="0"/>
              <w:spacing w:line="360" w:lineRule="auto"/>
              <w:ind w:firstLine="480" w:firstLineChars="200"/>
              <w:jc w:val="left"/>
              <w:rPr>
                <w:rFonts w:ascii="黑体" w:hAnsi="黑体" w:eastAsia="黑体"/>
                <w:color w:val="auto"/>
                <w:kern w:val="0"/>
                <w:sz w:val="24"/>
                <w:highlight w:val="none"/>
              </w:rPr>
            </w:pPr>
            <w:r>
              <w:rPr>
                <w:rFonts w:hint="eastAsia" w:ascii="黑体" w:hAnsi="宋体" w:eastAsia="黑体"/>
                <w:color w:val="auto"/>
                <w:kern w:val="0"/>
                <w:sz w:val="24"/>
                <w:highlight w:val="none"/>
              </w:rPr>
              <w:t>以下为供应商提供的政府采购优先采购产品，供应商对本表的真实性负责。如有虚假，将依法承担相应责任。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739"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418" w:type="dxa"/>
            <w:tcBorders>
              <w:left w:val="single" w:color="auto" w:sz="4" w:space="0"/>
            </w:tcBorders>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1984"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843"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39"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134" w:type="dxa"/>
            <w:tcBorders>
              <w:right w:val="single" w:color="auto" w:sz="4" w:space="0"/>
            </w:tcBorders>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规格型号</w:t>
            </w:r>
          </w:p>
        </w:tc>
        <w:tc>
          <w:tcPr>
            <w:tcW w:w="1418" w:type="dxa"/>
            <w:tcBorders>
              <w:left w:val="single" w:color="auto" w:sz="4" w:space="0"/>
            </w:tcBorders>
            <w:vAlign w:val="center"/>
          </w:tcPr>
          <w:p>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984"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43" w:type="dxa"/>
            <w:vAlign w:val="center"/>
          </w:tcPr>
          <w:p>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政策功能编码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节能产品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adjustRightInd w:val="0"/>
              <w:snapToGrid w:val="0"/>
              <w:spacing w:line="360" w:lineRule="auto"/>
              <w:jc w:val="center"/>
              <w:rPr>
                <w:rFonts w:ascii="宋体" w:hAnsi="宋体"/>
                <w:b/>
                <w:color w:val="auto"/>
                <w:szCs w:val="21"/>
                <w:highlight w:val="none"/>
              </w:rPr>
            </w:pPr>
          </w:p>
        </w:tc>
        <w:tc>
          <w:tcPr>
            <w:tcW w:w="1739" w:type="dxa"/>
            <w:vAlign w:val="center"/>
          </w:tcPr>
          <w:p>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984" w:type="dxa"/>
            <w:vAlign w:val="center"/>
          </w:tcPr>
          <w:p>
            <w:pPr>
              <w:adjustRightInd w:val="0"/>
              <w:snapToGrid w:val="0"/>
              <w:spacing w:line="360" w:lineRule="auto"/>
              <w:jc w:val="center"/>
              <w:rPr>
                <w:rFonts w:ascii="宋体" w:hAnsi="宋体"/>
                <w:b/>
                <w:color w:val="auto"/>
                <w:szCs w:val="21"/>
                <w:highlight w:val="none"/>
              </w:rPr>
            </w:pPr>
          </w:p>
        </w:tc>
        <w:tc>
          <w:tcPr>
            <w:tcW w:w="1843" w:type="dxa"/>
          </w:tcPr>
          <w:p>
            <w:pPr>
              <w:adjustRightInd w:val="0"/>
              <w:snapToGrid w:val="0"/>
              <w:spacing w:line="360" w:lineRule="auto"/>
              <w:jc w:val="center"/>
              <w:rPr>
                <w:rFonts w:ascii="宋体" w:hAnsi="宋体"/>
                <w:b/>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984" w:type="dxa"/>
            <w:vAlign w:val="center"/>
          </w:tcPr>
          <w:p>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tcPr>
          <w:p>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环境标志产品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adjustRightInd w:val="0"/>
              <w:snapToGrid w:val="0"/>
              <w:spacing w:line="360" w:lineRule="auto"/>
              <w:jc w:val="center"/>
              <w:rPr>
                <w:rFonts w:ascii="宋体" w:hAnsi="宋体"/>
                <w:b/>
                <w:color w:val="auto"/>
                <w:szCs w:val="21"/>
                <w:highlight w:val="none"/>
              </w:rPr>
            </w:pPr>
          </w:p>
        </w:tc>
        <w:tc>
          <w:tcPr>
            <w:tcW w:w="1739" w:type="dxa"/>
            <w:vAlign w:val="center"/>
          </w:tcPr>
          <w:p>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984" w:type="dxa"/>
            <w:vAlign w:val="center"/>
          </w:tcPr>
          <w:p>
            <w:pPr>
              <w:adjustRightInd w:val="0"/>
              <w:snapToGrid w:val="0"/>
              <w:spacing w:line="360" w:lineRule="auto"/>
              <w:jc w:val="center"/>
              <w:rPr>
                <w:rFonts w:ascii="宋体" w:hAnsi="宋体"/>
                <w:b/>
                <w:color w:val="auto"/>
                <w:szCs w:val="21"/>
                <w:highlight w:val="none"/>
              </w:rPr>
            </w:pPr>
          </w:p>
        </w:tc>
        <w:tc>
          <w:tcPr>
            <w:tcW w:w="1843" w:type="dxa"/>
          </w:tcPr>
          <w:p>
            <w:pPr>
              <w:adjustRightInd w:val="0"/>
              <w:snapToGrid w:val="0"/>
              <w:spacing w:line="360" w:lineRule="auto"/>
              <w:jc w:val="center"/>
              <w:rPr>
                <w:rFonts w:ascii="宋体" w:hAnsi="宋体"/>
                <w:b/>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vAlign w:val="center"/>
          </w:tcPr>
          <w:p>
            <w:pPr>
              <w:adjustRightInd w:val="0"/>
              <w:snapToGrid w:val="0"/>
              <w:spacing w:line="360" w:lineRule="auto"/>
              <w:jc w:val="left"/>
              <w:rPr>
                <w:rFonts w:ascii="宋体" w:hAnsi="宋体"/>
                <w:b/>
                <w:color w:val="auto"/>
                <w:szCs w:val="21"/>
                <w:highlight w:val="none"/>
              </w:rPr>
            </w:pPr>
          </w:p>
        </w:tc>
        <w:tc>
          <w:tcPr>
            <w:tcW w:w="1984" w:type="dxa"/>
            <w:vAlign w:val="center"/>
          </w:tcPr>
          <w:p>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tcPr>
          <w:p>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两型产品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adjustRightInd w:val="0"/>
              <w:snapToGrid w:val="0"/>
              <w:spacing w:line="360" w:lineRule="auto"/>
              <w:jc w:val="center"/>
              <w:rPr>
                <w:rFonts w:ascii="宋体" w:hAnsi="宋体"/>
                <w:color w:val="auto"/>
                <w:szCs w:val="21"/>
                <w:highlight w:val="none"/>
              </w:rPr>
            </w:pPr>
          </w:p>
        </w:tc>
        <w:tc>
          <w:tcPr>
            <w:tcW w:w="1739" w:type="dxa"/>
            <w:vAlign w:val="center"/>
          </w:tcPr>
          <w:p>
            <w:pPr>
              <w:adjustRightInd w:val="0"/>
              <w:snapToGrid w:val="0"/>
              <w:spacing w:line="360" w:lineRule="auto"/>
              <w:jc w:val="center"/>
              <w:rPr>
                <w:rFonts w:ascii="宋体" w:hAnsi="宋体"/>
                <w:color w:val="auto"/>
                <w:szCs w:val="21"/>
                <w:highlight w:val="none"/>
              </w:rPr>
            </w:pP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418"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984" w:type="dxa"/>
            <w:vAlign w:val="center"/>
          </w:tcPr>
          <w:p>
            <w:pPr>
              <w:adjustRightInd w:val="0"/>
              <w:snapToGrid w:val="0"/>
              <w:spacing w:line="360" w:lineRule="auto"/>
              <w:jc w:val="center"/>
              <w:rPr>
                <w:rFonts w:ascii="宋体" w:hAnsi="宋体"/>
                <w:color w:val="auto"/>
                <w:szCs w:val="21"/>
                <w:highlight w:val="none"/>
              </w:rPr>
            </w:pPr>
          </w:p>
        </w:tc>
        <w:tc>
          <w:tcPr>
            <w:tcW w:w="1843" w:type="dxa"/>
          </w:tcPr>
          <w:p>
            <w:pPr>
              <w:adjustRightInd w:val="0"/>
              <w:snapToGrid w:val="0"/>
              <w:spacing w:line="360" w:lineRule="auto"/>
              <w:jc w:val="center"/>
              <w:rPr>
                <w:rFonts w:ascii="宋体" w:hAns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1134" w:type="dxa"/>
            <w:tcBorders>
              <w:righ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418" w:type="dxa"/>
            <w:tcBorders>
              <w:left w:val="single" w:color="auto" w:sz="4" w:space="0"/>
            </w:tcBorders>
            <w:vAlign w:val="center"/>
          </w:tcPr>
          <w:p>
            <w:pPr>
              <w:adjustRightInd w:val="0"/>
              <w:snapToGrid w:val="0"/>
              <w:spacing w:line="360" w:lineRule="auto"/>
              <w:jc w:val="center"/>
              <w:rPr>
                <w:rFonts w:ascii="宋体" w:hAnsi="宋体"/>
                <w:color w:val="auto"/>
                <w:szCs w:val="21"/>
                <w:highlight w:val="none"/>
              </w:rPr>
            </w:pPr>
          </w:p>
        </w:tc>
        <w:tc>
          <w:tcPr>
            <w:tcW w:w="1984" w:type="dxa"/>
            <w:vAlign w:val="center"/>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1843" w:type="dxa"/>
          </w:tcPr>
          <w:p>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w:t>
            </w:r>
          </w:p>
        </w:tc>
      </w:tr>
    </w:tbl>
    <w:p>
      <w:pPr>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说明：</w:t>
      </w:r>
      <w:r>
        <w:rPr>
          <w:rFonts w:hint="eastAsia" w:ascii="宋体" w:hAnsi="宋体"/>
          <w:bCs/>
          <w:color w:val="auto"/>
          <w:szCs w:val="21"/>
          <w:highlight w:val="none"/>
        </w:rPr>
        <w:t>1、</w:t>
      </w:r>
      <w:r>
        <w:rPr>
          <w:rFonts w:hint="eastAsia" w:ascii="宋体" w:hAnsi="宋体"/>
          <w:color w:val="auto"/>
          <w:szCs w:val="21"/>
          <w:highlight w:val="none"/>
        </w:rPr>
        <w:t>本表用于计算政府采购优先采购产品（节能产品或环境标志产品或两型产品）的政府采购政策价格扣除。</w:t>
      </w:r>
    </w:p>
    <w:p>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2、栏目4“价格”为综合单价，包含货物所有隐含的内容，如运输费、保险费、管理费和利润等。</w:t>
      </w:r>
    </w:p>
    <w:p>
      <w:pPr>
        <w:adjustRightInd w:val="0"/>
        <w:snapToGrid w:val="0"/>
        <w:spacing w:line="360" w:lineRule="auto"/>
        <w:ind w:firstLine="630" w:firstLineChars="300"/>
        <w:jc w:val="left"/>
        <w:rPr>
          <w:rFonts w:ascii="宋体" w:hAnsi="宋体"/>
          <w:color w:val="auto"/>
          <w:szCs w:val="21"/>
          <w:highlight w:val="none"/>
        </w:rPr>
      </w:pPr>
      <w:r>
        <w:rPr>
          <w:rFonts w:hint="eastAsia" w:ascii="宋体" w:hAnsi="宋体"/>
          <w:color w:val="auto"/>
          <w:szCs w:val="21"/>
          <w:highlight w:val="none"/>
        </w:rPr>
        <w:t>3、栏目6“政策功能编码”是指货物的中国环境标志认证证书编号、中国节能标志认证证书号、两型产品编号（货物同时属于节能产品、环境标志产品、两型产品的，只须填写一种）。</w:t>
      </w:r>
    </w:p>
    <w:p>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rPr>
        <w:t xml:space="preserve">                                       </w:t>
      </w:r>
    </w:p>
    <w:p>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或其委托代理人（签字或印章）：</w:t>
      </w:r>
      <w:r>
        <w:rPr>
          <w:rFonts w:hint="eastAsia" w:ascii="宋体" w:hAnsi="宋体"/>
          <w:color w:val="auto"/>
          <w:szCs w:val="21"/>
          <w:highlight w:val="none"/>
          <w:u w:val="single"/>
        </w:rPr>
        <w:t xml:space="preserve">            </w:t>
      </w:r>
    </w:p>
    <w:p>
      <w:pPr>
        <w:rPr>
          <w:color w:val="auto"/>
          <w:highlight w:val="none"/>
        </w:rPr>
      </w:pPr>
      <w:r>
        <w:rPr>
          <w:rFonts w:hint="eastAsia"/>
          <w:color w:val="auto"/>
          <w:highlight w:val="none"/>
        </w:rPr>
        <w:t>日期：</w:t>
      </w:r>
      <w:r>
        <w:rPr>
          <w:rFonts w:hint="eastAsia" w:ascii="宋体" w:hAnsi="宋体"/>
          <w:color w:val="auto"/>
          <w:szCs w:val="21"/>
          <w:highlight w:val="none"/>
          <w:u w:val="single"/>
        </w:rPr>
        <w:t xml:space="preserve">   </w:t>
      </w:r>
      <w:r>
        <w:rPr>
          <w:rFonts w:hint="eastAsia"/>
          <w:color w:val="auto"/>
          <w:highlight w:val="none"/>
        </w:rPr>
        <w:t>年</w:t>
      </w:r>
      <w:r>
        <w:rPr>
          <w:rFonts w:hint="eastAsia" w:ascii="宋体" w:hAnsi="宋体"/>
          <w:color w:val="auto"/>
          <w:szCs w:val="21"/>
          <w:highlight w:val="none"/>
          <w:u w:val="single"/>
        </w:rPr>
        <w:t xml:space="preserve">   </w:t>
      </w:r>
      <w:r>
        <w:rPr>
          <w:rFonts w:hint="eastAsia"/>
          <w:color w:val="auto"/>
          <w:highlight w:val="none"/>
        </w:rPr>
        <w:t>月</w:t>
      </w:r>
      <w:r>
        <w:rPr>
          <w:rFonts w:hint="eastAsia" w:ascii="宋体" w:hAnsi="宋体"/>
          <w:color w:val="auto"/>
          <w:szCs w:val="21"/>
          <w:highlight w:val="none"/>
          <w:u w:val="single"/>
        </w:rPr>
        <w:t xml:space="preserve">   </w:t>
      </w:r>
      <w:r>
        <w:rPr>
          <w:rFonts w:hint="eastAsia"/>
          <w:color w:val="auto"/>
          <w:highlight w:val="none"/>
        </w:rPr>
        <w:t>日</w:t>
      </w:r>
    </w:p>
    <w:p>
      <w:pPr>
        <w:rPr>
          <w:color w:val="auto"/>
          <w:highlight w:val="none"/>
        </w:rPr>
      </w:pPr>
    </w:p>
    <w:p>
      <w:pPr>
        <w:rPr>
          <w:rFonts w:hint="eastAsia" w:ascii="黑体" w:hAnsi="黑体" w:eastAsia="黑体"/>
          <w:color w:val="auto"/>
          <w:sz w:val="28"/>
          <w:szCs w:val="28"/>
          <w:highlight w:val="none"/>
        </w:rPr>
      </w:pPr>
      <w:r>
        <w:rPr>
          <w:rFonts w:hint="eastAsia" w:ascii="黑体" w:hAnsi="黑体" w:eastAsia="黑体"/>
          <w:color w:val="auto"/>
          <w:sz w:val="28"/>
          <w:szCs w:val="28"/>
          <w:highlight w:val="none"/>
        </w:rPr>
        <w:br w:type="page"/>
      </w:r>
    </w:p>
    <w:p>
      <w:pPr>
        <w:pStyle w:val="4"/>
        <w:adjustRightInd w:val="0"/>
        <w:snapToGrid w:val="0"/>
        <w:spacing w:before="156" w:beforeLines="50"/>
        <w:jc w:val="center"/>
        <w:rPr>
          <w:rFonts w:ascii="黑体" w:hAnsi="黑体" w:eastAsia="黑体"/>
          <w:color w:val="auto"/>
          <w:sz w:val="28"/>
          <w:szCs w:val="28"/>
          <w:highlight w:val="none"/>
        </w:rPr>
      </w:pPr>
      <w:bookmarkStart w:id="150" w:name="_Toc15798"/>
      <w:r>
        <w:rPr>
          <w:rFonts w:hint="eastAsia" w:ascii="黑体" w:hAnsi="黑体" w:eastAsia="黑体"/>
          <w:color w:val="auto"/>
          <w:sz w:val="28"/>
          <w:szCs w:val="28"/>
          <w:highlight w:val="none"/>
        </w:rPr>
        <w:t>十、关于资格的说明(格式)</w:t>
      </w:r>
      <w:bookmarkEnd w:id="150"/>
    </w:p>
    <w:p>
      <w:pPr>
        <w:pStyle w:val="6"/>
        <w:adjustRightInd w:val="0"/>
        <w:snapToGrid w:val="0"/>
        <w:spacing w:before="156" w:beforeLines="50"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附件 供应商的资格条件更新材料(如有提供)</w:t>
      </w:r>
    </w:p>
    <w:p>
      <w:pPr>
        <w:adjustRightInd w:val="0"/>
        <w:snapToGrid w:val="0"/>
        <w:spacing w:before="156" w:beforeLines="50" w:line="360" w:lineRule="auto"/>
        <w:jc w:val="center"/>
        <w:rPr>
          <w:rFonts w:ascii="仿宋_GB2312" w:hAnsi="宋体" w:eastAsia="仿宋_GB2312"/>
          <w:b/>
          <w:color w:val="auto"/>
          <w:sz w:val="28"/>
          <w:szCs w:val="28"/>
          <w:highlight w:val="none"/>
        </w:rPr>
      </w:pPr>
      <w:r>
        <w:rPr>
          <w:rFonts w:hint="eastAsia" w:ascii="黑体" w:hAnsi="宋体" w:eastAsia="黑体"/>
          <w:b/>
          <w:color w:val="auto"/>
          <w:sz w:val="28"/>
          <w:szCs w:val="28"/>
          <w:highlight w:val="none"/>
        </w:rPr>
        <w:t>供应商的资格条件更新材料</w:t>
      </w: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说明</w:t>
      </w:r>
      <w:r>
        <w:rPr>
          <w:rFonts w:hint="eastAsia" w:ascii="宋体" w:hAnsi="宋体"/>
          <w:color w:val="auto"/>
          <w:highlight w:val="none"/>
        </w:rPr>
        <w:t>：</w:t>
      </w:r>
      <w:r>
        <w:rPr>
          <w:rFonts w:hint="eastAsia" w:ascii="宋体" w:hAnsi="宋体" w:cs="宋体"/>
          <w:color w:val="auto"/>
          <w:kern w:val="0"/>
          <w:szCs w:val="21"/>
          <w:highlight w:val="none"/>
          <w:lang w:val="zh-CN"/>
        </w:rPr>
        <w:t>根据谈判文件第二章第二节第18.1款规定，被邀请的</w:t>
      </w:r>
      <w:r>
        <w:rPr>
          <w:rFonts w:hint="eastAsia" w:ascii="宋体" w:hAnsi="宋体"/>
          <w:color w:val="auto"/>
          <w:szCs w:val="21"/>
          <w:highlight w:val="none"/>
        </w:rPr>
        <w:t>供应商在提交资格证明材料</w:t>
      </w:r>
      <w:r>
        <w:rPr>
          <w:rFonts w:hint="eastAsia" w:ascii="宋体" w:hAnsi="宋体"/>
          <w:bCs/>
          <w:color w:val="auto"/>
          <w:szCs w:val="21"/>
          <w:highlight w:val="none"/>
        </w:rPr>
        <w:t>起</w:t>
      </w:r>
      <w:r>
        <w:rPr>
          <w:rFonts w:hint="eastAsia" w:ascii="宋体" w:hAnsi="宋体"/>
          <w:color w:val="auto"/>
          <w:szCs w:val="21"/>
          <w:highlight w:val="none"/>
        </w:rPr>
        <w:t>至</w:t>
      </w:r>
      <w:r>
        <w:rPr>
          <w:rFonts w:hint="eastAsia" w:ascii="宋体" w:hAnsi="宋体" w:cs="宋体"/>
          <w:color w:val="auto"/>
          <w:kern w:val="0"/>
          <w:szCs w:val="21"/>
          <w:highlight w:val="none"/>
        </w:rPr>
        <w:t>提交首次响应文件</w:t>
      </w:r>
      <w:r>
        <w:rPr>
          <w:rFonts w:hint="eastAsia" w:ascii="宋体" w:hAnsi="宋体"/>
          <w:color w:val="auto"/>
          <w:szCs w:val="21"/>
          <w:highlight w:val="none"/>
        </w:rPr>
        <w:t>止，其资格条件发生变化，影响或者可能影响资格条件的，应随本响应文件提供更新或者补充的资格证明材料。</w:t>
      </w:r>
    </w:p>
    <w:p>
      <w:pPr>
        <w:rPr>
          <w:color w:val="auto"/>
          <w:highlight w:val="none"/>
        </w:rPr>
      </w:pPr>
    </w:p>
    <w:p>
      <w:pPr>
        <w:spacing w:line="480" w:lineRule="exact"/>
        <w:rPr>
          <w:rFonts w:ascii="黑体" w:eastAsia="黑体"/>
          <w:color w:val="auto"/>
          <w:sz w:val="24"/>
          <w:highlight w:val="none"/>
        </w:rPr>
      </w:pPr>
    </w:p>
    <w:p>
      <w:pPr>
        <w:adjustRightInd w:val="0"/>
        <w:snapToGrid w:val="0"/>
        <w:spacing w:line="360" w:lineRule="auto"/>
        <w:jc w:val="center"/>
        <w:rPr>
          <w:rFonts w:ascii="黑体" w:eastAsia="黑体"/>
          <w:b/>
          <w:bCs/>
          <w:color w:val="auto"/>
          <w:sz w:val="32"/>
          <w:szCs w:val="32"/>
          <w:highlight w:val="none"/>
        </w:rPr>
      </w:pPr>
    </w:p>
    <w:p>
      <w:pPr>
        <w:pStyle w:val="4"/>
        <w:jc w:val="center"/>
        <w:rPr>
          <w:rFonts w:ascii="黑体" w:hAnsi="黑体" w:eastAsia="黑体"/>
          <w:color w:val="auto"/>
          <w:sz w:val="28"/>
          <w:szCs w:val="28"/>
          <w:highlight w:val="none"/>
        </w:rPr>
      </w:pPr>
      <w:r>
        <w:rPr>
          <w:color w:val="auto"/>
          <w:highlight w:val="none"/>
        </w:rPr>
        <w:br w:type="page"/>
      </w:r>
      <w:bookmarkStart w:id="151" w:name="_Toc21428"/>
      <w:r>
        <w:rPr>
          <w:rFonts w:hint="eastAsia" w:ascii="黑体" w:hAnsi="黑体" w:eastAsia="黑体"/>
          <w:color w:val="auto"/>
          <w:sz w:val="28"/>
          <w:szCs w:val="28"/>
          <w:highlight w:val="none"/>
        </w:rPr>
        <w:t>十一、响应标的符合谈判文件规定的证明文件</w:t>
      </w:r>
      <w:bookmarkEnd w:id="151"/>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宋体" w:hAnsi="宋体"/>
          <w:color w:val="auto"/>
          <w:highlight w:val="none"/>
        </w:rPr>
      </w:pPr>
      <w:r>
        <w:rPr>
          <w:rFonts w:hint="eastAsia" w:ascii="宋体" w:hAnsi="宋体"/>
          <w:color w:val="auto"/>
          <w:szCs w:val="21"/>
          <w:highlight w:val="none"/>
        </w:rPr>
        <w:t>备注：提供第三章规定的证明材料复印件。</w:t>
      </w:r>
    </w:p>
    <w:p>
      <w:pPr>
        <w:widowControl/>
        <w:jc w:val="center"/>
        <w:outlineLvl w:val="1"/>
        <w:rPr>
          <w:rFonts w:ascii="黑体" w:hAnsi="黑体" w:eastAsia="黑体"/>
          <w:b/>
          <w:color w:val="auto"/>
          <w:sz w:val="28"/>
          <w:szCs w:val="28"/>
          <w:highlight w:val="none"/>
        </w:rPr>
      </w:pPr>
      <w:r>
        <w:rPr>
          <w:rFonts w:ascii="黑体" w:eastAsia="黑体"/>
          <w:b/>
          <w:bCs/>
          <w:color w:val="auto"/>
          <w:sz w:val="28"/>
          <w:szCs w:val="28"/>
          <w:highlight w:val="none"/>
        </w:rPr>
        <w:br w:type="page"/>
      </w:r>
      <w:bookmarkStart w:id="152" w:name="_Toc11081"/>
      <w:r>
        <w:rPr>
          <w:rFonts w:hint="eastAsia" w:ascii="黑体" w:hAnsi="黑体" w:eastAsia="黑体"/>
          <w:b/>
          <w:color w:val="auto"/>
          <w:sz w:val="28"/>
          <w:szCs w:val="28"/>
          <w:highlight w:val="none"/>
        </w:rPr>
        <w:t>十二、供应商认为需提供的其他资料</w:t>
      </w:r>
      <w:bookmarkEnd w:id="152"/>
    </w:p>
    <w:p>
      <w:pPr>
        <w:adjustRightInd w:val="0"/>
        <w:snapToGrid w:val="0"/>
        <w:spacing w:before="156" w:beforeLines="50" w:line="360" w:lineRule="auto"/>
        <w:rPr>
          <w:rFonts w:ascii="宋体" w:hAnsi="宋体"/>
          <w:color w:val="auto"/>
          <w:highlight w:val="none"/>
        </w:rPr>
      </w:pPr>
    </w:p>
    <w:p>
      <w:pPr>
        <w:adjustRightInd w:val="0"/>
        <w:snapToGrid w:val="0"/>
        <w:spacing w:before="156" w:beforeLines="50" w:line="360" w:lineRule="auto"/>
        <w:rPr>
          <w:rFonts w:ascii="宋体" w:hAnsi="宋体"/>
          <w:color w:val="auto"/>
          <w:highlight w:val="none"/>
        </w:rPr>
      </w:pPr>
      <w:r>
        <w:rPr>
          <w:rFonts w:hint="eastAsia" w:ascii="宋体" w:hAnsi="宋体"/>
          <w:color w:val="auto"/>
          <w:highlight w:val="none"/>
        </w:rPr>
        <w:t>备注：供应商认为需提供的其他资料包括：</w:t>
      </w:r>
    </w:p>
    <w:p>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（1）谈判文件第三章采购需求要求的其他资料；</w:t>
      </w:r>
    </w:p>
    <w:p>
      <w:pPr>
        <w:adjustRightInd w:val="0"/>
        <w:snapToGrid w:val="0"/>
        <w:spacing w:before="156" w:beforeLines="50" w:line="360" w:lineRule="auto"/>
        <w:ind w:firstLine="420" w:firstLineChars="200"/>
        <w:rPr>
          <w:rFonts w:ascii="宋体" w:hAnsi="宋体"/>
          <w:color w:val="auto"/>
          <w:highlight w:val="none"/>
        </w:rPr>
      </w:pPr>
      <w:r>
        <w:rPr>
          <w:rFonts w:hint="eastAsia" w:ascii="宋体" w:hAnsi="宋体"/>
          <w:color w:val="auto"/>
          <w:highlight w:val="none"/>
        </w:rPr>
        <w:t>（2）谈判文件要求的其他相关资料。</w:t>
      </w:r>
    </w:p>
    <w:p>
      <w:pPr>
        <w:adjustRightInd w:val="0"/>
        <w:snapToGrid w:val="0"/>
        <w:spacing w:line="360" w:lineRule="auto"/>
        <w:jc w:val="center"/>
        <w:rPr>
          <w:rFonts w:ascii="宋体" w:hAnsi="宋体" w:cs="宋体"/>
          <w:color w:val="auto"/>
          <w:sz w:val="28"/>
          <w:szCs w:val="28"/>
          <w:highlight w:val="none"/>
        </w:rPr>
      </w:pPr>
    </w:p>
    <w:p>
      <w:pPr>
        <w:adjustRightInd w:val="0"/>
        <w:snapToGrid w:val="0"/>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参加政府采购活动前三年内在经营活动中</w:t>
      </w:r>
    </w:p>
    <w:p>
      <w:pPr>
        <w:adjustRightInd w:val="0"/>
        <w:snapToGrid w:val="0"/>
        <w:spacing w:line="360" w:lineRule="auto"/>
        <w:jc w:val="center"/>
        <w:rPr>
          <w:rFonts w:ascii="宋体" w:hAnsi="宋体" w:cs="宋体"/>
          <w:color w:val="auto"/>
          <w:sz w:val="24"/>
          <w:highlight w:val="none"/>
        </w:rPr>
      </w:pPr>
      <w:r>
        <w:rPr>
          <w:rFonts w:hint="eastAsia" w:ascii="宋体" w:hAnsi="宋体" w:cs="宋体"/>
          <w:color w:val="auto"/>
          <w:sz w:val="28"/>
          <w:szCs w:val="28"/>
          <w:highlight w:val="none"/>
        </w:rPr>
        <w:t>没有重大违法记录的书面声明</w:t>
      </w:r>
    </w:p>
    <w:p>
      <w:pPr>
        <w:adjustRightInd w:val="0"/>
        <w:snapToGrid w:val="0"/>
        <w:spacing w:before="156" w:beforeLines="50" w:line="360" w:lineRule="auto"/>
        <w:ind w:left="-88" w:leftChars="-42"/>
        <w:rPr>
          <w:rFonts w:ascii="宋体" w:hAnsi="宋体" w:cs="宋体"/>
          <w:color w:val="auto"/>
          <w:szCs w:val="21"/>
          <w:highlight w:val="none"/>
        </w:rPr>
      </w:pPr>
      <w:bookmarkStart w:id="153" w:name="_Toc32763"/>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(采购代理机构)：</w:t>
      </w:r>
      <w:bookmarkEnd w:id="153"/>
    </w:p>
    <w:p>
      <w:pPr>
        <w:adjustRightInd w:val="0"/>
        <w:snapToGrid w:val="0"/>
        <w:spacing w:before="156" w:beforeLines="50" w:line="360" w:lineRule="auto"/>
        <w:ind w:left="-88" w:leftChars="-42"/>
        <w:rPr>
          <w:rFonts w:ascii="宋体" w:hAnsi="宋体" w:cs="宋体"/>
          <w:color w:val="auto"/>
          <w:szCs w:val="21"/>
          <w:highlight w:val="none"/>
        </w:rPr>
      </w:pPr>
    </w:p>
    <w:p>
      <w:pPr>
        <w:widowControl/>
        <w:adjustRightInd w:val="0"/>
        <w:snapToGrid w:val="0"/>
        <w:spacing w:before="156"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我单位在</w:t>
      </w:r>
      <w:r>
        <w:rPr>
          <w:rFonts w:hint="eastAsia" w:ascii="宋体" w:hAnsi="宋体" w:cs="宋体"/>
          <w:color w:val="auto"/>
          <w:szCs w:val="21"/>
          <w:highlight w:val="none"/>
        </w:rPr>
        <w:t>参加采购活动前三年内在经营活动中没有政府采购法第二十二条第一款第（五）项所称重大违法记录，包括：</w:t>
      </w:r>
    </w:p>
    <w:p>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受到刑事处罚，</w:t>
      </w:r>
      <w:r>
        <w:rPr>
          <w:rFonts w:hint="eastAsia" w:ascii="宋体" w:hAnsi="宋体" w:cs="宋体"/>
          <w:bCs/>
          <w:color w:val="auto"/>
          <w:szCs w:val="21"/>
          <w:highlight w:val="none"/>
        </w:rPr>
        <w:t>责令停产停业、在一至三年内禁止参加政府采购活动、暂扣或者吊销许可证、暂扣或者吊销执照等情形之一的行政处罚，或者存在</w:t>
      </w:r>
      <w:r>
        <w:rPr>
          <w:rFonts w:hint="eastAsia" w:ascii="宋体" w:hAnsi="宋体" w:cs="宋体"/>
          <w:color w:val="auto"/>
          <w:szCs w:val="21"/>
          <w:highlight w:val="none"/>
        </w:rPr>
        <w:t>财政部门认定的其他重大违法记录。</w:t>
      </w:r>
    </w:p>
    <w:p>
      <w:pPr>
        <w:widowControl/>
        <w:adjustRightInd w:val="0"/>
        <w:snapToGrid w:val="0"/>
        <w:spacing w:before="156" w:beforeLines="50" w:line="360" w:lineRule="auto"/>
        <w:ind w:firstLine="200"/>
        <w:rPr>
          <w:rFonts w:ascii="宋体" w:hAnsi="宋体" w:cs="宋体"/>
          <w:color w:val="auto"/>
          <w:szCs w:val="21"/>
          <w:highlight w:val="none"/>
        </w:rPr>
      </w:pPr>
      <w:r>
        <w:rPr>
          <w:rFonts w:hint="eastAsia" w:ascii="宋体" w:hAnsi="宋体" w:cs="宋体"/>
          <w:color w:val="auto"/>
          <w:szCs w:val="21"/>
          <w:highlight w:val="none"/>
        </w:rPr>
        <w:t>特此声明！</w:t>
      </w:r>
    </w:p>
    <w:p>
      <w:pPr>
        <w:spacing w:line="480" w:lineRule="exact"/>
        <w:ind w:firstLine="600" w:firstLineChars="200"/>
        <w:rPr>
          <w:rFonts w:ascii="宋体" w:hAnsi="宋体" w:cs="宋体"/>
          <w:color w:val="auto"/>
          <w:sz w:val="30"/>
          <w:szCs w:val="30"/>
          <w:highlight w:val="none"/>
        </w:rPr>
      </w:pPr>
    </w:p>
    <w:p>
      <w:pPr>
        <w:spacing w:line="480" w:lineRule="exact"/>
        <w:rPr>
          <w:rFonts w:ascii="宋体" w:hAnsi="宋体" w:cs="宋体"/>
          <w:color w:val="auto"/>
          <w:sz w:val="30"/>
          <w:szCs w:val="30"/>
          <w:highlight w:val="none"/>
        </w:rPr>
      </w:pPr>
    </w:p>
    <w:p>
      <w:pPr>
        <w:pStyle w:val="26"/>
        <w:adjustRightInd w:val="0"/>
        <w:snapToGrid w:val="0"/>
        <w:spacing w:line="360" w:lineRule="auto"/>
        <w:rPr>
          <w:rFonts w:hAnsi="宋体" w:cs="宋体"/>
          <w:color w:val="auto"/>
          <w:highlight w:val="none"/>
        </w:rPr>
      </w:pPr>
      <w:r>
        <w:rPr>
          <w:rFonts w:hint="eastAsia" w:hAnsi="宋体" w:cs="宋体"/>
          <w:color w:val="auto"/>
          <w:highlight w:val="none"/>
        </w:rPr>
        <w:t>供应商名称(盖单位公章)：</w:t>
      </w:r>
    </w:p>
    <w:p>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供应商代表(签字)：</w:t>
      </w:r>
      <w:r>
        <w:rPr>
          <w:rFonts w:hint="eastAsia" w:ascii="宋体" w:hAnsi="宋体" w:cs="宋体"/>
          <w:color w:val="auto"/>
          <w:szCs w:val="21"/>
          <w:highlight w:val="none"/>
          <w:u w:val="single"/>
        </w:rPr>
        <w:t xml:space="preserve">              </w:t>
      </w:r>
    </w:p>
    <w:p>
      <w:pPr>
        <w:adjustRightInd w:val="0"/>
        <w:snapToGrid w:val="0"/>
        <w:rPr>
          <w:rFonts w:ascii="宋体" w:hAnsi="宋体" w:cs="宋体"/>
          <w:b/>
          <w:color w:val="auto"/>
          <w:sz w:val="32"/>
          <w:szCs w:val="32"/>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adjustRightInd w:val="0"/>
        <w:snapToGrid w:val="0"/>
        <w:spacing w:before="156" w:beforeLines="50" w:line="360" w:lineRule="auto"/>
        <w:rPr>
          <w:rFonts w:ascii="宋体" w:hAnsi="宋体"/>
          <w:color w:val="auto"/>
          <w:highlight w:val="none"/>
        </w:rPr>
      </w:pPr>
    </w:p>
    <w:p>
      <w:pPr>
        <w:rPr>
          <w:color w:val="auto"/>
          <w:highlight w:val="none"/>
        </w:rPr>
      </w:pPr>
    </w:p>
    <w:p>
      <w:pPr>
        <w:rPr>
          <w:color w:val="auto"/>
          <w:highlight w:val="none"/>
        </w:rPr>
      </w:pPr>
      <w:r>
        <w:rPr>
          <w:color w:val="auto"/>
          <w:highlight w:val="none"/>
        </w:rPr>
        <w:br w:type="page"/>
      </w:r>
    </w:p>
    <w:p>
      <w:pPr>
        <w:pStyle w:val="39"/>
        <w:outlineLvl w:val="1"/>
        <w:rPr>
          <w:rFonts w:ascii="黑体" w:hAnsi="黑体" w:eastAsia="黑体"/>
          <w:b/>
          <w:bCs/>
          <w:color w:val="auto"/>
          <w:sz w:val="28"/>
          <w:szCs w:val="28"/>
          <w:highlight w:val="none"/>
          <w:lang w:val="en-US"/>
        </w:rPr>
      </w:pPr>
      <w:bookmarkStart w:id="154" w:name="_Toc2707"/>
      <w:r>
        <w:rPr>
          <w:rFonts w:hint="eastAsia" w:ascii="黑体" w:hAnsi="黑体" w:eastAsia="黑体"/>
          <w:b/>
          <w:bCs/>
          <w:color w:val="auto"/>
          <w:sz w:val="28"/>
          <w:szCs w:val="28"/>
          <w:highlight w:val="none"/>
          <w:lang w:val="en-US"/>
        </w:rPr>
        <w:t>十三、最后报价</w:t>
      </w:r>
      <w:bookmarkEnd w:id="154"/>
    </w:p>
    <w:p>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lang w:val="en-US" w:eastAsia="zh-CN"/>
        </w:rPr>
        <w:t>最后</w:t>
      </w:r>
      <w:r>
        <w:rPr>
          <w:rFonts w:hint="eastAsia" w:ascii="黑体" w:hAnsi="黑体" w:eastAsia="黑体"/>
          <w:b/>
          <w:color w:val="auto"/>
          <w:sz w:val="28"/>
          <w:szCs w:val="28"/>
          <w:highlight w:val="none"/>
        </w:rPr>
        <w:t>报价表</w:t>
      </w:r>
    </w:p>
    <w:p>
      <w:pPr>
        <w:adjustRightInd w:val="0"/>
        <w:snapToGrid w:val="0"/>
        <w:spacing w:line="360" w:lineRule="auto"/>
        <w:ind w:left="-88" w:leftChars="-42"/>
        <w:jc w:val="center"/>
        <w:rPr>
          <w:rFonts w:ascii="仿宋_GB2312" w:hAnsi="宋体" w:eastAsia="仿宋_GB2312"/>
          <w:color w:val="auto"/>
          <w:sz w:val="24"/>
          <w:highlight w:val="none"/>
        </w:rPr>
      </w:pPr>
    </w:p>
    <w:p>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采购代理编号：_____________                       项目名称：_____________________</w:t>
      </w:r>
    </w:p>
    <w:p>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包号：_____________________                         包名称：_____________________</w:t>
      </w:r>
    </w:p>
    <w:tbl>
      <w:tblPr>
        <w:tblStyle w:val="47"/>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shd w:val="clear" w:color="auto" w:fill="auto"/>
            <w:vAlign w:val="center"/>
          </w:tcPr>
          <w:p>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szCs w:val="21"/>
                <w:highlight w:val="none"/>
              </w:rPr>
              <w:t>_____________</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szCs w:val="21"/>
                <w:highlight w:val="none"/>
              </w:rPr>
              <w:t>_____________</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shd w:val="clear" w:color="auto" w:fill="auto"/>
            <w:vAlign w:val="center"/>
          </w:tcPr>
          <w:p>
            <w:pPr>
              <w:adjustRightInd w:val="0"/>
              <w:snapToGrid w:val="0"/>
              <w:spacing w:before="156" w:beforeLines="50" w:line="360" w:lineRule="auto"/>
              <w:jc w:val="center"/>
              <w:rPr>
                <w:rFonts w:ascii="宋体" w:hAnsi="宋体"/>
                <w:color w:val="auto"/>
                <w:kern w:val="0"/>
                <w:szCs w:val="21"/>
                <w:highlight w:val="none"/>
              </w:rPr>
            </w:pPr>
          </w:p>
        </w:tc>
      </w:tr>
    </w:tbl>
    <w:p>
      <w:pPr>
        <w:adjustRightInd w:val="0"/>
        <w:snapToGrid w:val="0"/>
        <w:spacing w:before="156" w:beforeLines="50" w:line="360" w:lineRule="auto"/>
        <w:rPr>
          <w:rFonts w:ascii="宋体" w:hAnsi="宋体"/>
          <w:color w:val="auto"/>
          <w:szCs w:val="21"/>
          <w:highlight w:val="none"/>
        </w:rPr>
      </w:pPr>
      <w:r>
        <w:rPr>
          <w:rFonts w:hint="eastAsia" w:ascii="宋体" w:hAnsi="宋体"/>
          <w:b/>
          <w:color w:val="auto"/>
          <w:szCs w:val="21"/>
          <w:highlight w:val="none"/>
        </w:rPr>
        <w:t>备注：</w:t>
      </w:r>
      <w:r>
        <w:rPr>
          <w:rFonts w:hint="eastAsia" w:ascii="宋体" w:hAnsi="宋体"/>
          <w:color w:val="auto"/>
          <w:szCs w:val="21"/>
          <w:highlight w:val="none"/>
        </w:rPr>
        <w:t>（1）本表须按包填写，一个“包号”一份。</w:t>
      </w: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before="156" w:beforeLines="50" w:line="360" w:lineRule="auto"/>
        <w:ind w:firstLine="420" w:firstLineChars="200"/>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r>
        <w:rPr>
          <w:rFonts w:hint="eastAsia" w:ascii="宋体" w:hAnsi="宋体"/>
          <w:color w:val="auto"/>
          <w:szCs w:val="21"/>
          <w:highlight w:val="none"/>
          <w:u w:val="single"/>
        </w:rPr>
        <w:t xml:space="preserve">                                          </w:t>
      </w:r>
    </w:p>
    <w:p>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r>
        <w:rPr>
          <w:rFonts w:hint="eastAsia" w:ascii="宋体" w:hAnsi="宋体"/>
          <w:color w:val="auto"/>
          <w:szCs w:val="21"/>
          <w:highlight w:val="none"/>
          <w:u w:val="single"/>
        </w:rPr>
        <w:t xml:space="preserve">            </w:t>
      </w:r>
    </w:p>
    <w:p>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pStyle w:val="303"/>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注：1.最后报价由各供应商先行加盖公章，不须装订入响应文件中，由各供应商参加谈判的授权代表带至谈判现场，经谈判后填写。</w:t>
      </w:r>
    </w:p>
    <w:p>
      <w:pPr>
        <w:rPr>
          <w:rFonts w:hint="eastAsia" w:ascii="宋体" w:hAnsi="宋体" w:eastAsia="宋体" w:cs="宋体"/>
          <w:color w:val="auto"/>
          <w:highlight w:val="none"/>
        </w:rPr>
      </w:pPr>
    </w:p>
    <w:p>
      <w:pPr>
        <w:rPr>
          <w:rFonts w:ascii="宋体" w:hAnsi="宋体" w:cs="宋体"/>
          <w:b/>
          <w:color w:val="auto"/>
          <w:sz w:val="24"/>
          <w:highlight w:val="none"/>
        </w:rPr>
      </w:pPr>
      <w:r>
        <w:rPr>
          <w:rFonts w:hint="eastAsia" w:ascii="宋体" w:hAnsi="宋体" w:cs="宋体"/>
          <w:b/>
          <w:color w:val="auto"/>
          <w:sz w:val="24"/>
          <w:highlight w:val="none"/>
        </w:rPr>
        <w:br w:type="page"/>
      </w:r>
    </w:p>
    <w:p>
      <w:pPr>
        <w:adjustRightInd w:val="0"/>
        <w:snapToGrid w:val="0"/>
        <w:spacing w:line="360" w:lineRule="auto"/>
        <w:jc w:val="left"/>
        <w:outlineLvl w:val="2"/>
        <w:rPr>
          <w:rFonts w:ascii="宋体" w:hAnsi="宋体" w:cs="宋体"/>
          <w:b/>
          <w:bCs/>
          <w:color w:val="auto"/>
          <w:sz w:val="32"/>
          <w:szCs w:val="32"/>
          <w:highlight w:val="none"/>
        </w:rPr>
      </w:pPr>
      <w:bookmarkStart w:id="155" w:name="_Toc25225"/>
      <w:r>
        <w:rPr>
          <w:rFonts w:hint="eastAsia" w:ascii="宋体" w:hAnsi="宋体" w:cs="宋体"/>
          <w:b/>
          <w:bCs/>
          <w:color w:val="auto"/>
          <w:sz w:val="32"/>
          <w:szCs w:val="32"/>
          <w:highlight w:val="none"/>
        </w:rPr>
        <w:t>附件1：</w:t>
      </w:r>
      <w:bookmarkEnd w:id="155"/>
    </w:p>
    <w:p>
      <w:pPr>
        <w:adjustRightInd w:val="0"/>
        <w:snapToGrid w:val="0"/>
        <w:spacing w:line="360" w:lineRule="auto"/>
        <w:jc w:val="center"/>
        <w:outlineLvl w:val="2"/>
        <w:rPr>
          <w:rFonts w:ascii="宋体" w:hAnsi="宋体" w:cs="宋体"/>
          <w:b/>
          <w:bCs/>
          <w:color w:val="auto"/>
          <w:sz w:val="32"/>
          <w:szCs w:val="32"/>
          <w:highlight w:val="none"/>
        </w:rPr>
      </w:pPr>
      <w:bookmarkStart w:id="156" w:name="_Toc16729"/>
      <w:r>
        <w:rPr>
          <w:rFonts w:hint="eastAsia" w:ascii="宋体" w:hAnsi="宋体" w:cs="宋体"/>
          <w:b/>
          <w:bCs/>
          <w:color w:val="auto"/>
          <w:sz w:val="32"/>
          <w:szCs w:val="32"/>
          <w:highlight w:val="none"/>
        </w:rPr>
        <w:t>株洲市政府采购合同线上融资流程</w:t>
      </w:r>
      <w:bookmarkEnd w:id="156"/>
    </w:p>
    <w:p>
      <w:pPr>
        <w:spacing w:line="560" w:lineRule="exact"/>
        <w:ind w:left="400"/>
        <w:rPr>
          <w:rFonts w:ascii="宋体" w:hAnsi="宋体" w:cs="宋体"/>
          <w:b/>
          <w:color w:val="auto"/>
          <w:szCs w:val="21"/>
          <w:highlight w:val="none"/>
        </w:rPr>
      </w:pPr>
      <w:r>
        <w:rPr>
          <w:rFonts w:hint="eastAsia" w:ascii="宋体" w:hAnsi="宋体" w:cs="宋体"/>
          <w:b/>
          <w:color w:val="auto"/>
          <w:szCs w:val="21"/>
          <w:highlight w:val="none"/>
        </w:rPr>
        <w:t xml:space="preserve">（一）、融资申请 </w:t>
      </w:r>
    </w:p>
    <w:p>
      <w:pPr>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有融资需求的供应商取得《中标通知书》后，在签订采购合同前，通过“株洲市政府采购网”的“政府采购合同融资”链接进入“中征应收账款融资服务平台”，直接向参与金融机构推送融资需求。</w:t>
      </w:r>
    </w:p>
    <w:p>
      <w:pPr>
        <w:spacing w:line="560" w:lineRule="exact"/>
        <w:ind w:firstLine="316" w:firstLineChars="150"/>
        <w:rPr>
          <w:rFonts w:ascii="宋体" w:hAnsi="宋体" w:cs="宋体"/>
          <w:b/>
          <w:color w:val="auto"/>
          <w:szCs w:val="21"/>
          <w:highlight w:val="none"/>
        </w:rPr>
      </w:pPr>
      <w:r>
        <w:rPr>
          <w:rFonts w:hint="eastAsia" w:ascii="宋体" w:hAnsi="宋体" w:cs="宋体"/>
          <w:b/>
          <w:color w:val="auto"/>
          <w:szCs w:val="21"/>
          <w:highlight w:val="none"/>
        </w:rPr>
        <w:t xml:space="preserve">（二）、资料审查 </w:t>
      </w:r>
    </w:p>
    <w:p>
      <w:pPr>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参与金融机构登录平台查看融资需求及中标（或成交）详情，进行贷前评审，确定融资方案和回款账户，签订《政府采购合同》，确定合同收款账户。</w:t>
      </w:r>
    </w:p>
    <w:p>
      <w:pPr>
        <w:spacing w:line="560" w:lineRule="exact"/>
        <w:ind w:left="400"/>
        <w:rPr>
          <w:rFonts w:ascii="宋体" w:hAnsi="宋体" w:cs="宋体"/>
          <w:b/>
          <w:color w:val="auto"/>
          <w:szCs w:val="21"/>
          <w:highlight w:val="none"/>
        </w:rPr>
      </w:pPr>
      <w:r>
        <w:rPr>
          <w:rFonts w:hint="eastAsia" w:ascii="宋体" w:hAnsi="宋体" w:cs="宋体"/>
          <w:b/>
          <w:color w:val="auto"/>
          <w:szCs w:val="21"/>
          <w:highlight w:val="none"/>
        </w:rPr>
        <w:t>（三）、签订贷款协议</w:t>
      </w:r>
    </w:p>
    <w:p>
      <w:pPr>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参与金融机构登录平台查看采购合同信息，与供应商签订贷款协议，在线填写融资成交单，推送融资成交信息，系统自动将回款账户锁定为银行监管账户。</w:t>
      </w:r>
    </w:p>
    <w:p>
      <w:pPr>
        <w:spacing w:line="5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（四）、贷款发放</w:t>
      </w:r>
    </w:p>
    <w:p>
      <w:pPr>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融资银行核实回款账户无误后，根据贷款协议向供应商发放贷款。</w:t>
      </w:r>
    </w:p>
    <w:p>
      <w:pPr>
        <w:spacing w:line="560" w:lineRule="exact"/>
        <w:ind w:left="400"/>
        <w:rPr>
          <w:rFonts w:ascii="宋体" w:hAnsi="宋体" w:cs="宋体"/>
          <w:b/>
          <w:color w:val="auto"/>
          <w:szCs w:val="21"/>
          <w:highlight w:val="none"/>
        </w:rPr>
      </w:pPr>
      <w:r>
        <w:rPr>
          <w:rFonts w:hint="eastAsia" w:ascii="宋体" w:hAnsi="宋体" w:cs="宋体"/>
          <w:b/>
          <w:color w:val="auto"/>
          <w:szCs w:val="21"/>
          <w:highlight w:val="none"/>
        </w:rPr>
        <w:t>（五）、按期还款</w:t>
      </w:r>
    </w:p>
    <w:p>
      <w:pPr>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合同履行完毕后，采购单位根据合同约定时间和账户在线填写支付申请，向财政部门发送支付指令，财政部门严格按照相关规定将资金支付到采购合同收款账户。</w:t>
      </w:r>
    </w:p>
    <w:p>
      <w:pPr>
        <w:spacing w:line="560" w:lineRule="exact"/>
        <w:ind w:left="400"/>
        <w:rPr>
          <w:rFonts w:ascii="宋体" w:hAnsi="宋体" w:cs="宋体"/>
          <w:b/>
          <w:color w:val="auto"/>
          <w:szCs w:val="21"/>
          <w:highlight w:val="none"/>
        </w:rPr>
      </w:pPr>
      <w:r>
        <w:rPr>
          <w:rFonts w:hint="eastAsia" w:ascii="宋体" w:hAnsi="宋体" w:cs="宋体"/>
          <w:b/>
          <w:color w:val="auto"/>
          <w:szCs w:val="21"/>
          <w:highlight w:val="none"/>
        </w:rPr>
        <w:t>（六 ）、业务终止</w:t>
      </w:r>
    </w:p>
    <w:p>
      <w:pPr>
        <w:spacing w:line="560" w:lineRule="exact"/>
        <w:ind w:left="400"/>
        <w:rPr>
          <w:rFonts w:ascii="宋体" w:hAnsi="宋体" w:cs="宋体"/>
          <w:color w:val="auto"/>
          <w:szCs w:val="21"/>
          <w:highlight w:val="none"/>
        </w:rPr>
      </w:pPr>
      <w:r>
        <w:rPr>
          <w:rFonts w:hint="eastAsia" w:ascii="宋体" w:hAnsi="宋体" w:cs="宋体"/>
          <w:color w:val="auto"/>
          <w:szCs w:val="21"/>
          <w:highlight w:val="none"/>
        </w:rPr>
        <w:t>贷款偿清后，融资银行解除质押，业务终止。</w:t>
      </w:r>
    </w:p>
    <w:p>
      <w:pPr>
        <w:rPr>
          <w:rFonts w:ascii="仿宋" w:hAnsi="仿宋" w:eastAsia="仿宋"/>
          <w:color w:val="auto"/>
          <w:highlight w:val="none"/>
        </w:rPr>
      </w:pPr>
      <w:r>
        <w:rPr>
          <w:rFonts w:hint="eastAsia" w:ascii="仿宋" w:hAnsi="仿宋" w:eastAsia="仿宋"/>
          <w:color w:val="auto"/>
          <w:highlight w:val="none"/>
        </w:rPr>
        <w:br w:type="page"/>
      </w:r>
      <w:r>
        <w:rPr>
          <w:rFonts w:ascii="仿宋" w:hAnsi="仿宋" w:eastAsia="仿宋"/>
          <w:color w:val="auto"/>
          <w:highlight w:val="none"/>
        </w:rPr>
        <w:drawing>
          <wp:inline distT="0" distB="0" distL="0" distR="0">
            <wp:extent cx="5760085" cy="3611245"/>
            <wp:effectExtent l="0" t="0" r="12065" b="8255"/>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9" cstate="print"/>
                    <a:srcRect/>
                    <a:stretch>
                      <a:fillRect/>
                    </a:stretch>
                  </pic:blipFill>
                  <pic:spPr>
                    <a:xfrm>
                      <a:off x="0" y="0"/>
                      <a:ext cx="5760085" cy="3611245"/>
                    </a:xfrm>
                    <a:prstGeom prst="rect">
                      <a:avLst/>
                    </a:prstGeom>
                    <a:ln>
                      <a:noFill/>
                    </a:ln>
                  </pic:spPr>
                </pic:pic>
              </a:graphicData>
            </a:graphic>
          </wp:inline>
        </w:drawing>
      </w:r>
    </w:p>
    <w:p>
      <w:pPr>
        <w:pStyle w:val="41"/>
        <w:shd w:val="clear" w:color="auto" w:fill="FFFFFF"/>
        <w:spacing w:before="0" w:beforeAutospacing="0" w:after="156" w:afterAutospacing="0" w:line="0" w:lineRule="atLeast"/>
        <w:jc w:val="both"/>
        <w:textAlignment w:val="baseline"/>
        <w:outlineLvl w:val="2"/>
        <w:rPr>
          <w:b/>
          <w:bCs/>
          <w:color w:val="auto"/>
          <w:sz w:val="28"/>
          <w:szCs w:val="22"/>
          <w:highlight w:val="none"/>
        </w:rPr>
      </w:pPr>
      <w:r>
        <w:rPr>
          <w:rFonts w:hint="eastAsia"/>
          <w:b/>
          <w:bCs/>
          <w:color w:val="auto"/>
          <w:sz w:val="28"/>
          <w:szCs w:val="22"/>
          <w:highlight w:val="none"/>
        </w:rPr>
        <w:br w:type="page"/>
      </w:r>
      <w:bookmarkStart w:id="157" w:name="_Toc22592"/>
      <w:r>
        <w:rPr>
          <w:rFonts w:hint="eastAsia"/>
          <w:b/>
          <w:bCs/>
          <w:color w:val="auto"/>
          <w:sz w:val="28"/>
          <w:szCs w:val="22"/>
          <w:highlight w:val="none"/>
        </w:rPr>
        <w:t>附件2:</w:t>
      </w:r>
      <w:bookmarkEnd w:id="157"/>
    </w:p>
    <w:p>
      <w:pPr>
        <w:adjustRightInd w:val="0"/>
        <w:snapToGrid w:val="0"/>
        <w:spacing w:line="360" w:lineRule="auto"/>
        <w:jc w:val="center"/>
        <w:outlineLvl w:val="2"/>
        <w:rPr>
          <w:rFonts w:ascii="宋体" w:hAnsi="宋体" w:cs="宋体"/>
          <w:b/>
          <w:bCs/>
          <w:color w:val="auto"/>
          <w:sz w:val="32"/>
          <w:szCs w:val="32"/>
          <w:highlight w:val="none"/>
        </w:rPr>
      </w:pPr>
      <w:bookmarkStart w:id="158" w:name="_Toc822"/>
      <w:r>
        <w:rPr>
          <w:rFonts w:hint="eastAsia" w:ascii="宋体" w:hAnsi="宋体" w:cs="宋体"/>
          <w:b/>
          <w:bCs/>
          <w:color w:val="auto"/>
          <w:sz w:val="32"/>
          <w:szCs w:val="32"/>
          <w:highlight w:val="none"/>
        </w:rPr>
        <w:t>株洲市政府采购合同线上融资业务办理银行联系表</w:t>
      </w:r>
      <w:bookmarkEnd w:id="158"/>
    </w:p>
    <w:p>
      <w:pPr>
        <w:rPr>
          <w:rFonts w:ascii="宋体" w:hAnsi="宋体" w:cs="宋体"/>
          <w:color w:val="auto"/>
          <w:highlight w:val="none"/>
        </w:rPr>
      </w:pPr>
    </w:p>
    <w:tbl>
      <w:tblPr>
        <w:tblStyle w:val="47"/>
        <w:tblW w:w="9520" w:type="dxa"/>
        <w:jc w:val="center"/>
        <w:tblLayout w:type="fixed"/>
        <w:tblCellMar>
          <w:top w:w="0" w:type="dxa"/>
          <w:left w:w="108" w:type="dxa"/>
          <w:bottom w:w="0" w:type="dxa"/>
          <w:right w:w="108" w:type="dxa"/>
        </w:tblCellMar>
      </w:tblPr>
      <w:tblGrid>
        <w:gridCol w:w="1080"/>
        <w:gridCol w:w="3720"/>
        <w:gridCol w:w="1600"/>
        <w:gridCol w:w="3120"/>
      </w:tblGrid>
      <w:tr>
        <w:tblPrEx>
          <w:tblCellMar>
            <w:top w:w="0" w:type="dxa"/>
            <w:left w:w="108" w:type="dxa"/>
            <w:bottom w:w="0" w:type="dxa"/>
            <w:right w:w="108" w:type="dxa"/>
          </w:tblCellMar>
        </w:tblPrEx>
        <w:trPr>
          <w:trHeight w:val="540" w:hRule="atLeast"/>
          <w:jc w:val="center"/>
        </w:trPr>
        <w:tc>
          <w:tcPr>
            <w:tcW w:w="108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372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银行名称</w:t>
            </w:r>
          </w:p>
        </w:tc>
        <w:tc>
          <w:tcPr>
            <w:tcW w:w="160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312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手机号码</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交通银行株洲分行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蒋宁</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15873361819</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长沙银行株洲分行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曾名志</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13786360080</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光大银行株洲分行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马文胜</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13907334569</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华融湘江银行株洲分行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泰莹</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18073365299</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工商银行株洲分行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易铁建</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18673383317 28295851</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农业银行株洲分行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张亚虹</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15873378583</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7</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中国银行株洲分行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陈向红</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15096360998   28817118</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8</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邮储银行株洲分行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李燕京</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18673322433</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9</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兴业银行株洲分行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张维</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13807312821</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10</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渤海银行株洲分行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何习之</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18975347745 22987119</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11</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浦发银行株洲分行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言磊</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13973319893</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13</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广发银行株洲分行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张琳</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18565608267 28868158</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14</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华夏银行株洲分行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程玥瑄</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18673301515  28868595</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15</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民生银行株洲分行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刘海峰</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18273272755  28861002</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16</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北京银行株洲分行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曾艳</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13087339502  25885569</w:t>
            </w:r>
          </w:p>
        </w:tc>
      </w:tr>
      <w:tr>
        <w:tblPrEx>
          <w:tblCellMar>
            <w:top w:w="0" w:type="dxa"/>
            <w:left w:w="108" w:type="dxa"/>
            <w:bottom w:w="0" w:type="dxa"/>
            <w:right w:w="108" w:type="dxa"/>
          </w:tblCellMar>
        </w:tblPrEx>
        <w:trPr>
          <w:trHeight w:val="540" w:hRule="atLeast"/>
          <w:jc w:val="center"/>
        </w:trPr>
        <w:tc>
          <w:tcPr>
            <w:tcW w:w="1080" w:type="dxa"/>
            <w:tcBorders>
              <w:top w:val="nil"/>
              <w:left w:val="single" w:color="auto" w:sz="4" w:space="0"/>
              <w:bottom w:val="single" w:color="auto" w:sz="4" w:space="0"/>
              <w:right w:val="nil"/>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17</w:t>
            </w:r>
          </w:p>
        </w:tc>
        <w:tc>
          <w:tcPr>
            <w:tcW w:w="37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招商银行株洲分行</w:t>
            </w:r>
          </w:p>
        </w:tc>
        <w:tc>
          <w:tcPr>
            <w:tcW w:w="160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董经纬</w:t>
            </w:r>
          </w:p>
        </w:tc>
        <w:tc>
          <w:tcPr>
            <w:tcW w:w="3120" w:type="dxa"/>
            <w:tcBorders>
              <w:top w:val="nil"/>
              <w:left w:val="nil"/>
              <w:bottom w:val="single" w:color="auto" w:sz="4" w:space="0"/>
              <w:right w:val="single" w:color="auto" w:sz="4" w:space="0"/>
            </w:tcBorders>
            <w:vAlign w:val="center"/>
          </w:tcPr>
          <w:p>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18273331270   22753977</w:t>
            </w:r>
          </w:p>
        </w:tc>
      </w:tr>
    </w:tbl>
    <w:p>
      <w:pPr>
        <w:pStyle w:val="2"/>
        <w:rPr>
          <w:color w:val="auto"/>
          <w:highlight w:val="none"/>
        </w:rPr>
      </w:pPr>
    </w:p>
    <w:p>
      <w:pPr>
        <w:pStyle w:val="39"/>
        <w:rPr>
          <w:rFonts w:ascii="黑体" w:hAnsi="黑体" w:eastAsia="黑体"/>
          <w:b/>
          <w:bCs/>
          <w:color w:val="auto"/>
          <w:sz w:val="28"/>
          <w:szCs w:val="28"/>
          <w:highlight w:val="none"/>
          <w:lang w:val="en-US"/>
        </w:rPr>
      </w:pPr>
    </w:p>
    <w:sectPr>
      <w:footerReference r:id="rId7" w:type="default"/>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长城仿宋">
    <w:altName w:val="新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Helvetica Neue">
    <w:altName w:val="Corbel"/>
    <w:panose1 w:val="00000000000000000000"/>
    <w:charset w:val="00"/>
    <w:family w:val="auto"/>
    <w:pitch w:val="default"/>
    <w:sig w:usb0="00000000" w:usb1="00000000" w:usb2="00000010" w:usb3="00000000" w:csb0="00000000"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left="240" w:right="359" w:rightChars="171" w:hanging="240" w:hangingChars="100"/>
      <w:rPr>
        <w:rFonts w:eastAsia="楷体_GB2312"/>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eastAsia="仿宋_GB2312"/>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eastAsia="仿宋_GB2312"/>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eastAsia="仿宋_GB2312"/>
        <w:sz w:val="24"/>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30"/>
                          </w:pPr>
                          <w:r>
                            <w:fldChar w:fldCharType="begin"/>
                          </w:r>
                          <w:r>
                            <w:instrText xml:space="preserve"> PAGE  \* MERGEFORMAT </w:instrText>
                          </w:r>
                          <w:r>
                            <w:fldChar w:fldCharType="separate"/>
                          </w:r>
                          <w:r>
                            <w:t>- 79 -</w:t>
                          </w:r>
                          <w:r>
                            <w:fldChar w:fldCharType="end"/>
                          </w:r>
                        </w:p>
                      </w:txbxContent>
                    </wps:txbx>
                    <wps:bodyPr wrap="none" lIns="0" tIns="0" rIns="0" bIns="0" upright="1">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jBzRPDAQAAhwMAAA4AAABkcnMvZTJvRG9jLnhtbK1TzY7TMBC+I/EO&#10;lu80aUFQoqYrpGoREoKVFh7AdZzGkv804zbpC8AbcOLCnefqczB2ki5aLnvg4s543G++75vJ5maw&#10;hp0UoPau5stFyZly0jfaHWr+9cvtizVnGIVrhPFO1fyskN9snz/b9KFSK9950yhgBOKw6kPNuxhD&#10;VRQoO2UFLnxQjoqtBysipXAoGhA9oVtTrMryddF7aAJ4qRDpdjcW+YQITwH0baul2nl5tMrFERWU&#10;EZEkYacD8m1m27ZKxs9tiyoyU3NSGvNJTSjep7PYbkR1ABE6LScK4ikUHmmyQjtqeoXaiSjYEfQ/&#10;UFZL8OjbuJDeFqOQ7AipWJaPvLnvRFBZC1mN4Wo6/j9Y+el0B0w3NX9Vvn3DmROWZn758f3y8/fl&#10;1zf2MjnUB6zo4X24gylDCpPcoQWbfkkIG7Kr56uraohM0uVyvVqvSzJcUm1OCKd4+HsAjO+VtywF&#10;NQcaW3ZTnD5iHJ/OT1I349Lp/K02ZqymmyLRHImlKA77YWK7982ZVPY05po72mrOzAdHLqaNmAOY&#10;g/0cHAPoQ0d8lpkMhnfHSD0zodRhhJ0a03yypGmX0gL8nedXD9/P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OMHNE8MBAACHAwAADgAAAAAAAAABACAAAAAfAQAAZHJzL2Uyb0RvYy54bWxQ&#10;SwUGAAAAAAYABgBZAQAAVAU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- 79 -</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737235" cy="203835"/>
              <wp:effectExtent l="0" t="0" r="0" b="0"/>
              <wp:wrapNone/>
              <wp:docPr id="4098" name="文本框 2"/>
              <wp:cNvGraphicFramePr/>
              <a:graphic xmlns:a="http://schemas.openxmlformats.org/drawingml/2006/main">
                <a:graphicData uri="http://schemas.microsoft.com/office/word/2010/wordprocessingShape">
                  <wps:wsp>
                    <wps:cNvSpPr/>
                    <wps:spPr>
                      <a:xfrm>
                        <a:off x="0" y="0"/>
                        <a:ext cx="737235" cy="203835"/>
                      </a:xfrm>
                      <a:prstGeom prst="rect">
                        <a:avLst/>
                      </a:prstGeom>
                      <a:ln>
                        <a:noFill/>
                      </a:ln>
                    </wps:spPr>
                    <wps:txbx>
                      <w:txbxContent>
                        <w:p>
                          <w:pPr>
                            <w:spacing w:line="301" w:lineRule="exact"/>
                            <w:ind w:left="20"/>
                            <w:jc w:val="left"/>
                            <w:rPr>
                              <w:sz w:val="28"/>
                            </w:rPr>
                          </w:pPr>
                          <w:r>
                            <w:rPr>
                              <w:sz w:val="28"/>
                            </w:rPr>
                            <w:t xml:space="preserve">— </w:t>
                          </w:r>
                          <w:r>
                            <w:fldChar w:fldCharType="begin"/>
                          </w:r>
                          <w:r>
                            <w:rPr>
                              <w:sz w:val="28"/>
                            </w:rPr>
                            <w:instrText xml:space="preserve"> PAGE </w:instrText>
                          </w:r>
                          <w:r>
                            <w:fldChar w:fldCharType="separate"/>
                          </w:r>
                          <w:r>
                            <w:rPr>
                              <w:sz w:val="28"/>
                            </w:rPr>
                            <w:t>67</w:t>
                          </w:r>
                          <w:r>
                            <w:fldChar w:fldCharType="end"/>
                          </w:r>
                          <w:r>
                            <w:rPr>
                              <w:sz w:val="28"/>
                            </w:rPr>
                            <w:t xml:space="preserve"> —</w:t>
                          </w:r>
                        </w:p>
                      </w:txbxContent>
                    </wps:txbx>
                    <wps:bodyPr lIns="0" tIns="0" rIns="0" bIns="0" upright="1"/>
                  </wps:wsp>
                </a:graphicData>
              </a:graphic>
            </wp:anchor>
          </w:drawing>
        </mc:Choice>
        <mc:Fallback>
          <w:pict>
            <v:rect id="文本框 2" o:spid="_x0000_s1026" o:spt="1" style="position:absolute;left:0pt;margin-top:0pt;height:16.05pt;width:58.05pt;mso-position-horizontal:center;mso-position-horizontal-relative:margin;z-index:251659264;mso-width-relative:page;mso-height-relative:page;" filled="f" stroked="f" coordsize="21600,21600" o:gfxdata="UEsDBAoAAAAAAIdO4kAAAAAAAAAAAAAAAAAEAAAAZHJzL1BLAwQUAAAACACHTuJAgJhx69YAAAAE&#10;AQAADwAAAGRycy9kb3ducmV2LnhtbE2PzU7DMBCE75X6DtZW4tY6LlLVhjgV4kflCC1S4ebGSxJh&#10;r6N42xSeHpcLXFYazWjm22J99k6csI9tIA1qloFAqoJtqdbwunucLkFENmSNC4QavjDCuhyPCpPb&#10;MNALnrZci1RCMTcaGuYulzJWDXoTZ6FDSt5H6L3hJPta2t4Mqdw7Oc+yhfSmpbTQmA7vGqw+t0ev&#10;YbPsbt+ewvdQu4f3zf55v7rfrVjrq4nKbkAwnvkvDBf8hA5lYjqEI9konIb0CP/ei6cWCsRBw/Vc&#10;gSwL+R++/AFQSwMEFAAAAAgAh07iQPhHvayzAQAAXwMAAA4AAABkcnMvZTJvRG9jLnhtbK1TS27b&#10;MBTcF+gdCO5ryXLSpILlbIwEBYo2QNoD0BRpEeAPj7QlXyC9QVfddN9z+Rx9pGSnSDZZZEMN+ah5&#10;M/Ok5c1gNNkLCMrZhs5nJSXCctcqu23oj++3H64pCZHZlmlnRUMPItCb1ft3y97XonKd060AgiQ2&#10;1L1vaBejr4si8E4YFmbOC4tF6cCwiFvYFi2wHtmNLqqy/Fj0DloPjosQ8HQ9FunECK8hdFIqLtaO&#10;74ywcWQFoVlES6FTPtBVViul4PGblEFEohuKTmNesQniTVqL1ZLVW2C+U3ySwF4j4Zknw5TFpmeq&#10;NYuM7EC9oDKKgwtOxhl3phiN5ETQxbx8ls1Dx7zIXjDq4M+hh7ej5V/390BU29CL8hNO3jKDMz/+&#10;+nn8/ff455FUKaHehxovPvh7mHYBYbI7SDDpiUbIkFM9nFMVQyQcD68WV9XikhKOpapcXCNGluLp&#10;ZQ8h3glnSAINBRxazpLtv4Q4Xj1dSb20Tat1t0rrsZpOiiRylJVQHDbDpHXj2gN61J8t5pa+gROA&#10;E9icwM6D2naoYZ4lJiLMPYudvpE02P/3ufHTf7H6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CY&#10;cevWAAAABAEAAA8AAAAAAAAAAQAgAAAAIgAAAGRycy9kb3ducmV2LnhtbFBLAQIUABQAAAAIAIdO&#10;4kD4R72sswEAAF8DAAAOAAAAAAAAAAEAIAAAACUBAABkcnMvZTJvRG9jLnhtbFBLBQYAAAAABgAG&#10;AFkBAABKBQAAAAA=&#10;">
              <v:fill on="f" focussize="0,0"/>
              <v:stroke on="f"/>
              <v:imagedata o:title=""/>
              <o:lock v:ext="edit" aspectratio="f"/>
              <v:textbox inset="0mm,0mm,0mm,0mm">
                <w:txbxContent>
                  <w:p>
                    <w:pPr>
                      <w:spacing w:line="301" w:lineRule="exact"/>
                      <w:ind w:left="20"/>
                      <w:jc w:val="left"/>
                      <w:rPr>
                        <w:sz w:val="28"/>
                      </w:rPr>
                    </w:pPr>
                    <w:r>
                      <w:rPr>
                        <w:sz w:val="28"/>
                      </w:rPr>
                      <w:t xml:space="preserve">— </w:t>
                    </w:r>
                    <w:r>
                      <w:fldChar w:fldCharType="begin"/>
                    </w:r>
                    <w:r>
                      <w:rPr>
                        <w:sz w:val="28"/>
                      </w:rPr>
                      <w:instrText xml:space="preserve"> PAGE </w:instrText>
                    </w:r>
                    <w:r>
                      <w:fldChar w:fldCharType="separate"/>
                    </w:r>
                    <w:r>
                      <w:rPr>
                        <w:sz w:val="28"/>
                      </w:rPr>
                      <w:t>67</w:t>
                    </w:r>
                    <w:r>
                      <w:fldChar w:fldCharType="end"/>
                    </w:r>
                    <w:r>
                      <w:rPr>
                        <w:sz w:val="28"/>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bullet"/>
      <w:pStyle w:val="16"/>
      <w:lvlText w:val=""/>
      <w:lvlJc w:val="left"/>
      <w:pPr>
        <w:tabs>
          <w:tab w:val="left" w:pos="360"/>
        </w:tabs>
        <w:ind w:left="360" w:hanging="360"/>
      </w:pPr>
      <w:rPr>
        <w:rFonts w:hint="default" w:ascii="Wingdings" w:hAnsi="Wingdings"/>
      </w:rPr>
    </w:lvl>
  </w:abstractNum>
  <w:abstractNum w:abstractNumId="1">
    <w:nsid w:val="00000003"/>
    <w:multiLevelType w:val="singleLevel"/>
    <w:tmpl w:val="00000003"/>
    <w:lvl w:ilvl="0" w:tentative="0">
      <w:start w:val="2"/>
      <w:numFmt w:val="chineseCounting"/>
      <w:suff w:val="space"/>
      <w:lvlText w:val="第%1节"/>
      <w:lvlJc w:val="left"/>
      <w:rPr>
        <w:rFonts w:hint="eastAsia"/>
      </w:rPr>
    </w:lvl>
  </w:abstractNum>
  <w:abstractNum w:abstractNumId="2">
    <w:nsid w:val="00000004"/>
    <w:multiLevelType w:val="singleLevel"/>
    <w:tmpl w:val="00000004"/>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ODk4ZDk4ZTQxOTg5OWIwYWI0MGFhM2ZhZTA2ZGMifQ=="/>
  </w:docVars>
  <w:rsids>
    <w:rsidRoot w:val="00000000"/>
    <w:rsid w:val="0383240D"/>
    <w:rsid w:val="054B6810"/>
    <w:rsid w:val="0B7F6A9A"/>
    <w:rsid w:val="0E94310B"/>
    <w:rsid w:val="1B6E567E"/>
    <w:rsid w:val="1E76333B"/>
    <w:rsid w:val="1FAC2D91"/>
    <w:rsid w:val="23BB4D43"/>
    <w:rsid w:val="34D25054"/>
    <w:rsid w:val="37FE4CD8"/>
    <w:rsid w:val="3E1E3D9A"/>
    <w:rsid w:val="3E895672"/>
    <w:rsid w:val="41472271"/>
    <w:rsid w:val="458902FB"/>
    <w:rsid w:val="48B3438D"/>
    <w:rsid w:val="4B8E1258"/>
    <w:rsid w:val="54F87BF5"/>
    <w:rsid w:val="5C541571"/>
    <w:rsid w:val="66C7244D"/>
    <w:rsid w:val="6AA357FF"/>
    <w:rsid w:val="6B6F3055"/>
    <w:rsid w:val="6F4E3A44"/>
    <w:rsid w:val="7238746A"/>
    <w:rsid w:val="73F8318B"/>
    <w:rsid w:val="75022074"/>
    <w:rsid w:val="777179BC"/>
    <w:rsid w:val="7F850B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5"/>
    <w:qFormat/>
    <w:uiPriority w:val="0"/>
    <w:pPr>
      <w:keepNext/>
      <w:jc w:val="center"/>
      <w:outlineLvl w:val="0"/>
    </w:pPr>
    <w:rPr>
      <w:b/>
      <w:bCs/>
      <w:sz w:val="24"/>
      <w:szCs w:val="20"/>
    </w:rPr>
  </w:style>
  <w:style w:type="paragraph" w:styleId="4">
    <w:name w:val="heading 2"/>
    <w:basedOn w:val="1"/>
    <w:next w:val="1"/>
    <w:link w:val="144"/>
    <w:qFormat/>
    <w:uiPriority w:val="0"/>
    <w:pPr>
      <w:keepNext/>
      <w:keepLines/>
      <w:spacing w:line="360" w:lineRule="auto"/>
      <w:outlineLvl w:val="1"/>
    </w:pPr>
    <w:rPr>
      <w:rFonts w:ascii="Arial" w:hAnsi="Arial"/>
      <w:b/>
      <w:bCs/>
      <w:sz w:val="24"/>
      <w:szCs w:val="32"/>
    </w:rPr>
  </w:style>
  <w:style w:type="paragraph" w:styleId="5">
    <w:name w:val="heading 3"/>
    <w:basedOn w:val="1"/>
    <w:next w:val="1"/>
    <w:link w:val="103"/>
    <w:qFormat/>
    <w:uiPriority w:val="0"/>
    <w:pPr>
      <w:keepNext/>
      <w:keepLines/>
      <w:spacing w:before="260" w:after="260" w:line="416" w:lineRule="auto"/>
      <w:outlineLvl w:val="2"/>
    </w:pPr>
    <w:rPr>
      <w:b/>
      <w:bCs/>
      <w:sz w:val="32"/>
      <w:szCs w:val="32"/>
    </w:rPr>
  </w:style>
  <w:style w:type="paragraph" w:styleId="6">
    <w:name w:val="heading 4"/>
    <w:basedOn w:val="1"/>
    <w:next w:val="1"/>
    <w:link w:val="77"/>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00"/>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15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137"/>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166"/>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118"/>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9">
    <w:name w:val="Default Paragraph Font"/>
    <w:qFormat/>
    <w:uiPriority w:val="1"/>
  </w:style>
  <w:style w:type="table" w:default="1" w:styleId="47">
    <w:name w:val="Normal Table"/>
    <w:qFormat/>
    <w:uiPriority w:val="99"/>
    <w:tblPr>
      <w:tblCellMar>
        <w:top w:w="0" w:type="dxa"/>
        <w:left w:w="108" w:type="dxa"/>
        <w:bottom w:w="0" w:type="dxa"/>
        <w:right w:w="108" w:type="dxa"/>
      </w:tblCellMar>
    </w:tblPr>
  </w:style>
  <w:style w:type="paragraph" w:styleId="2">
    <w:name w:val="Body Text"/>
    <w:basedOn w:val="1"/>
    <w:next w:val="1"/>
    <w:link w:val="127"/>
    <w:qFormat/>
    <w:uiPriority w:val="0"/>
    <w:pPr>
      <w:spacing w:after="120"/>
    </w:pPr>
    <w:rPr>
      <w:lang w:val="zh-CN"/>
    </w:rPr>
  </w:style>
  <w:style w:type="paragraph" w:styleId="12">
    <w:name w:val="toc 7"/>
    <w:basedOn w:val="1"/>
    <w:next w:val="1"/>
    <w:qFormat/>
    <w:uiPriority w:val="39"/>
    <w:pPr>
      <w:ind w:left="2520" w:leftChars="1200"/>
    </w:pPr>
    <w:rPr>
      <w:rFonts w:ascii="Calibri" w:hAnsi="Calibri"/>
      <w:szCs w:val="22"/>
    </w:rPr>
  </w:style>
  <w:style w:type="paragraph" w:styleId="13">
    <w:name w:val="Normal Indent"/>
    <w:basedOn w:val="1"/>
    <w:next w:val="14"/>
    <w:qFormat/>
    <w:uiPriority w:val="0"/>
    <w:pPr>
      <w:widowControl/>
      <w:ind w:firstLine="420"/>
      <w:jc w:val="left"/>
    </w:pPr>
    <w:rPr>
      <w:kern w:val="0"/>
      <w:sz w:val="20"/>
      <w:szCs w:val="20"/>
    </w:rPr>
  </w:style>
  <w:style w:type="paragraph" w:customStyle="1" w:styleId="14">
    <w:name w:val="Default"/>
    <w:next w:val="15"/>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16">
    <w:name w:val="List Bullet"/>
    <w:basedOn w:val="1"/>
    <w:qFormat/>
    <w:uiPriority w:val="0"/>
    <w:pPr>
      <w:numPr>
        <w:ilvl w:val="0"/>
        <w:numId w:val="1"/>
      </w:numPr>
    </w:pPr>
  </w:style>
  <w:style w:type="paragraph" w:styleId="17">
    <w:name w:val="Document Map"/>
    <w:basedOn w:val="1"/>
    <w:link w:val="96"/>
    <w:qFormat/>
    <w:uiPriority w:val="0"/>
    <w:pPr>
      <w:shd w:val="clear" w:color="auto" w:fill="000080"/>
    </w:pPr>
    <w:rPr>
      <w:lang w:val="zh-CN"/>
    </w:rPr>
  </w:style>
  <w:style w:type="paragraph" w:styleId="18">
    <w:name w:val="annotation text"/>
    <w:basedOn w:val="1"/>
    <w:link w:val="147"/>
    <w:qFormat/>
    <w:uiPriority w:val="0"/>
    <w:pPr>
      <w:jc w:val="left"/>
    </w:pPr>
  </w:style>
  <w:style w:type="paragraph" w:styleId="19">
    <w:name w:val="Salutation"/>
    <w:basedOn w:val="1"/>
    <w:next w:val="1"/>
    <w:link w:val="114"/>
    <w:qFormat/>
    <w:uiPriority w:val="0"/>
    <w:rPr>
      <w:rFonts w:ascii="仿宋_GB2312" w:eastAsia="仿宋_GB2312"/>
      <w:sz w:val="24"/>
      <w:lang w:val="zh-CN"/>
    </w:rPr>
  </w:style>
  <w:style w:type="paragraph" w:styleId="20">
    <w:name w:val="Body Text 3"/>
    <w:basedOn w:val="1"/>
    <w:link w:val="130"/>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21">
    <w:name w:val="Body Text Indent"/>
    <w:basedOn w:val="1"/>
    <w:next w:val="22"/>
    <w:link w:val="112"/>
    <w:qFormat/>
    <w:uiPriority w:val="0"/>
    <w:pPr>
      <w:spacing w:after="120"/>
      <w:ind w:left="420" w:leftChars="200"/>
    </w:pPr>
  </w:style>
  <w:style w:type="paragraph" w:styleId="22">
    <w:name w:val="Body Text Indent 2"/>
    <w:basedOn w:val="1"/>
    <w:next w:val="1"/>
    <w:link w:val="138"/>
    <w:qFormat/>
    <w:uiPriority w:val="0"/>
    <w:pPr>
      <w:spacing w:after="120" w:line="480" w:lineRule="auto"/>
      <w:ind w:left="420" w:leftChars="200"/>
    </w:pPr>
    <w:rPr>
      <w:lang w:val="zh-CN"/>
    </w:rPr>
  </w:style>
  <w:style w:type="paragraph" w:styleId="23">
    <w:name w:val="Block Text"/>
    <w:basedOn w:val="1"/>
    <w:qFormat/>
    <w:uiPriority w:val="0"/>
    <w:pPr>
      <w:ind w:left="1171" w:right="91" w:hanging="1080"/>
    </w:pPr>
    <w:rPr>
      <w:rFonts w:eastAsia="楷体_GB2312"/>
      <w:szCs w:val="20"/>
    </w:rPr>
  </w:style>
  <w:style w:type="paragraph" w:styleId="24">
    <w:name w:val="toc 5"/>
    <w:basedOn w:val="1"/>
    <w:next w:val="1"/>
    <w:qFormat/>
    <w:uiPriority w:val="39"/>
    <w:pPr>
      <w:ind w:left="1680" w:leftChars="800"/>
    </w:pPr>
    <w:rPr>
      <w:rFonts w:ascii="Calibri" w:hAnsi="Calibri"/>
      <w:szCs w:val="22"/>
    </w:rPr>
  </w:style>
  <w:style w:type="paragraph" w:styleId="25">
    <w:name w:val="toc 3"/>
    <w:basedOn w:val="1"/>
    <w:next w:val="1"/>
    <w:qFormat/>
    <w:uiPriority w:val="39"/>
    <w:pPr>
      <w:adjustRightInd w:val="0"/>
      <w:snapToGrid w:val="0"/>
      <w:spacing w:line="360" w:lineRule="auto"/>
      <w:ind w:left="400" w:leftChars="400"/>
    </w:pPr>
  </w:style>
  <w:style w:type="paragraph" w:styleId="26">
    <w:name w:val="Plain Text"/>
    <w:basedOn w:val="1"/>
    <w:next w:val="1"/>
    <w:link w:val="160"/>
    <w:qFormat/>
    <w:uiPriority w:val="0"/>
    <w:rPr>
      <w:rFonts w:ascii="宋体" w:hAnsi="Courier New" w:cs="Courier New"/>
      <w:szCs w:val="21"/>
    </w:rPr>
  </w:style>
  <w:style w:type="paragraph" w:styleId="27">
    <w:name w:val="toc 8"/>
    <w:basedOn w:val="1"/>
    <w:next w:val="1"/>
    <w:qFormat/>
    <w:uiPriority w:val="39"/>
    <w:pPr>
      <w:ind w:left="2940" w:leftChars="1400"/>
    </w:pPr>
    <w:rPr>
      <w:rFonts w:ascii="Calibri" w:hAnsi="Calibri"/>
      <w:szCs w:val="22"/>
    </w:rPr>
  </w:style>
  <w:style w:type="paragraph" w:styleId="28">
    <w:name w:val="Date"/>
    <w:basedOn w:val="1"/>
    <w:next w:val="1"/>
    <w:link w:val="91"/>
    <w:qFormat/>
    <w:uiPriority w:val="0"/>
    <w:rPr>
      <w:sz w:val="24"/>
      <w:szCs w:val="20"/>
    </w:rPr>
  </w:style>
  <w:style w:type="paragraph" w:styleId="29">
    <w:name w:val="Balloon Text"/>
    <w:basedOn w:val="1"/>
    <w:link w:val="165"/>
    <w:qFormat/>
    <w:uiPriority w:val="0"/>
    <w:rPr>
      <w:rFonts w:ascii="Calibri" w:hAnsi="Calibri"/>
      <w:sz w:val="18"/>
      <w:szCs w:val="18"/>
    </w:rPr>
  </w:style>
  <w:style w:type="paragraph" w:styleId="30">
    <w:name w:val="footer"/>
    <w:basedOn w:val="1"/>
    <w:link w:val="113"/>
    <w:qFormat/>
    <w:uiPriority w:val="0"/>
    <w:pPr>
      <w:tabs>
        <w:tab w:val="center" w:pos="4153"/>
        <w:tab w:val="right" w:pos="8306"/>
      </w:tabs>
      <w:snapToGrid w:val="0"/>
      <w:jc w:val="left"/>
    </w:pPr>
    <w:rPr>
      <w:sz w:val="18"/>
      <w:szCs w:val="18"/>
    </w:rPr>
  </w:style>
  <w:style w:type="paragraph" w:styleId="31">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adjustRightInd w:val="0"/>
      <w:snapToGrid w:val="0"/>
      <w:spacing w:line="360" w:lineRule="auto"/>
    </w:pPr>
    <w:rPr>
      <w:b/>
      <w:sz w:val="28"/>
    </w:rPr>
  </w:style>
  <w:style w:type="paragraph" w:styleId="33">
    <w:name w:val="toc 4"/>
    <w:basedOn w:val="1"/>
    <w:next w:val="1"/>
    <w:qFormat/>
    <w:uiPriority w:val="39"/>
    <w:pPr>
      <w:adjustRightInd w:val="0"/>
      <w:snapToGrid w:val="0"/>
      <w:spacing w:line="360" w:lineRule="auto"/>
      <w:ind w:left="600" w:leftChars="600"/>
    </w:pPr>
    <w:rPr>
      <w:b/>
    </w:rPr>
  </w:style>
  <w:style w:type="paragraph" w:styleId="34">
    <w:name w:val="footnote text"/>
    <w:basedOn w:val="1"/>
    <w:qFormat/>
    <w:uiPriority w:val="99"/>
    <w:pPr>
      <w:snapToGrid w:val="0"/>
      <w:jc w:val="left"/>
    </w:pPr>
    <w:rPr>
      <w:sz w:val="18"/>
      <w:szCs w:val="18"/>
    </w:rPr>
  </w:style>
  <w:style w:type="paragraph" w:styleId="35">
    <w:name w:val="toc 6"/>
    <w:basedOn w:val="1"/>
    <w:next w:val="1"/>
    <w:qFormat/>
    <w:uiPriority w:val="39"/>
    <w:pPr>
      <w:ind w:left="2100" w:leftChars="1000"/>
    </w:pPr>
    <w:rPr>
      <w:rFonts w:ascii="Calibri" w:hAnsi="Calibri"/>
      <w:szCs w:val="22"/>
    </w:rPr>
  </w:style>
  <w:style w:type="paragraph" w:styleId="36">
    <w:name w:val="Body Text Indent 3"/>
    <w:basedOn w:val="1"/>
    <w:link w:val="163"/>
    <w:qFormat/>
    <w:uiPriority w:val="0"/>
    <w:pPr>
      <w:spacing w:after="120"/>
      <w:ind w:left="420" w:leftChars="200"/>
    </w:pPr>
    <w:rPr>
      <w:sz w:val="16"/>
      <w:szCs w:val="16"/>
    </w:rPr>
  </w:style>
  <w:style w:type="paragraph" w:styleId="37">
    <w:name w:val="toc 2"/>
    <w:basedOn w:val="1"/>
    <w:next w:val="1"/>
    <w:qFormat/>
    <w:uiPriority w:val="39"/>
    <w:pPr>
      <w:adjustRightInd w:val="0"/>
      <w:snapToGrid w:val="0"/>
      <w:spacing w:line="360" w:lineRule="auto"/>
      <w:ind w:left="200" w:leftChars="200"/>
    </w:pPr>
  </w:style>
  <w:style w:type="paragraph" w:styleId="38">
    <w:name w:val="toc 9"/>
    <w:basedOn w:val="1"/>
    <w:next w:val="1"/>
    <w:qFormat/>
    <w:uiPriority w:val="39"/>
    <w:pPr>
      <w:ind w:left="3360" w:leftChars="1600"/>
    </w:pPr>
    <w:rPr>
      <w:rFonts w:ascii="Calibri" w:hAnsi="Calibri"/>
      <w:szCs w:val="22"/>
    </w:rPr>
  </w:style>
  <w:style w:type="paragraph" w:styleId="39">
    <w:name w:val="Body Text 2"/>
    <w:basedOn w:val="1"/>
    <w:link w:val="93"/>
    <w:qFormat/>
    <w:uiPriority w:val="0"/>
    <w:pPr>
      <w:spacing w:after="120" w:line="480" w:lineRule="auto"/>
    </w:pPr>
    <w:rPr>
      <w:lang w:val="zh-CN"/>
    </w:rPr>
  </w:style>
  <w:style w:type="paragraph" w:styleId="40">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next w:val="1"/>
    <w:qFormat/>
    <w:uiPriority w:val="0"/>
    <w:pPr>
      <w:spacing w:before="240" w:after="60"/>
      <w:jc w:val="center"/>
      <w:outlineLvl w:val="0"/>
    </w:pPr>
    <w:rPr>
      <w:rFonts w:ascii="Cambria" w:hAnsi="Cambria"/>
      <w:b/>
      <w:sz w:val="32"/>
    </w:rPr>
  </w:style>
  <w:style w:type="paragraph" w:styleId="44">
    <w:name w:val="annotation subject"/>
    <w:basedOn w:val="18"/>
    <w:next w:val="18"/>
    <w:link w:val="115"/>
    <w:qFormat/>
    <w:uiPriority w:val="0"/>
    <w:rPr>
      <w:b/>
      <w:bCs/>
    </w:rPr>
  </w:style>
  <w:style w:type="paragraph" w:styleId="45">
    <w:name w:val="Body Text First Indent"/>
    <w:basedOn w:val="2"/>
    <w:qFormat/>
    <w:uiPriority w:val="99"/>
    <w:pPr>
      <w:ind w:firstLine="420" w:firstLineChars="100"/>
    </w:pPr>
  </w:style>
  <w:style w:type="paragraph" w:styleId="46">
    <w:name w:val="Body Text First Indent 2"/>
    <w:basedOn w:val="21"/>
    <w:next w:val="1"/>
    <w:link w:val="279"/>
    <w:qFormat/>
    <w:uiPriority w:val="0"/>
    <w:pPr>
      <w:ind w:firstLine="420" w:firstLineChars="200"/>
    </w:pPr>
  </w:style>
  <w:style w:type="table" w:styleId="48">
    <w:name w:val="Table Grid"/>
    <w:basedOn w:val="4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rFonts w:ascii="Times New Roman" w:hAnsi="Times New Roman" w:eastAsia="宋体"/>
    </w:rPr>
  </w:style>
  <w:style w:type="character" w:styleId="54">
    <w:name w:val="HTML Definition"/>
    <w:qFormat/>
    <w:uiPriority w:val="0"/>
    <w:rPr>
      <w:rFonts w:ascii="Times New Roman" w:hAnsi="Times New Roman" w:eastAsia="宋体"/>
    </w:rPr>
  </w:style>
  <w:style w:type="character" w:styleId="55">
    <w:name w:val="HTML Variable"/>
    <w:qFormat/>
    <w:uiPriority w:val="0"/>
    <w:rPr>
      <w:rFonts w:ascii="Times New Roman" w:hAnsi="Times New Roman" w:eastAsia="宋体"/>
    </w:rPr>
  </w:style>
  <w:style w:type="character" w:styleId="56">
    <w:name w:val="Hyperlink"/>
    <w:basedOn w:val="49"/>
    <w:qFormat/>
    <w:uiPriority w:val="99"/>
    <w:rPr>
      <w:color w:val="136EC2"/>
      <w:u w:val="single"/>
    </w:rPr>
  </w:style>
  <w:style w:type="character" w:styleId="57">
    <w:name w:val="HTML Code"/>
    <w:qFormat/>
    <w:uiPriority w:val="0"/>
    <w:rPr>
      <w:rFonts w:ascii="Courier New" w:hAnsi="Courier New" w:eastAsia="Courier New" w:cs="Courier New"/>
      <w:sz w:val="20"/>
    </w:rPr>
  </w:style>
  <w:style w:type="character" w:styleId="58">
    <w:name w:val="annotation reference"/>
    <w:qFormat/>
    <w:uiPriority w:val="0"/>
    <w:rPr>
      <w:sz w:val="21"/>
      <w:szCs w:val="21"/>
    </w:rPr>
  </w:style>
  <w:style w:type="character" w:styleId="59">
    <w:name w:val="HTML Cite"/>
    <w:qFormat/>
    <w:uiPriority w:val="0"/>
    <w:rPr>
      <w:rFonts w:ascii="Times New Roman" w:hAnsi="Times New Roman" w:eastAsia="宋体"/>
    </w:rPr>
  </w:style>
  <w:style w:type="character" w:styleId="60">
    <w:name w:val="HTML Keyboard"/>
    <w:qFormat/>
    <w:uiPriority w:val="0"/>
    <w:rPr>
      <w:rFonts w:ascii="Courier New" w:hAnsi="Courier New" w:eastAsia="Courier New" w:cs="Courier New"/>
      <w:sz w:val="20"/>
    </w:rPr>
  </w:style>
  <w:style w:type="character" w:styleId="61">
    <w:name w:val="HTML Sample"/>
    <w:qFormat/>
    <w:uiPriority w:val="0"/>
    <w:rPr>
      <w:rFonts w:ascii="Courier New" w:hAnsi="Courier New" w:eastAsia="Courier New" w:cs="Courier New"/>
    </w:rPr>
  </w:style>
  <w:style w:type="paragraph" w:customStyle="1" w:styleId="62">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63">
    <w:name w:val="正文1"/>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character" w:customStyle="1" w:styleId="64">
    <w:name w:val="sidecatalog-dot"/>
    <w:qFormat/>
    <w:uiPriority w:val="0"/>
    <w:rPr>
      <w:rFonts w:ascii="Times New Roman" w:hAnsi="Times New Roman" w:eastAsia="宋体"/>
    </w:rPr>
  </w:style>
  <w:style w:type="character" w:customStyle="1" w:styleId="65">
    <w:name w:val="标题 Char1"/>
    <w:qFormat/>
    <w:uiPriority w:val="10"/>
    <w:rPr>
      <w:rFonts w:ascii="Cambria" w:hAnsi="Cambria" w:eastAsia="宋体" w:cs="Times New Roman"/>
      <w:b/>
      <w:bCs/>
      <w:sz w:val="32"/>
      <w:szCs w:val="32"/>
    </w:rPr>
  </w:style>
  <w:style w:type="character" w:customStyle="1" w:styleId="66">
    <w:name w:val="标题 2 Char"/>
    <w:qFormat/>
    <w:uiPriority w:val="0"/>
    <w:rPr>
      <w:rFonts w:ascii="Cambria" w:hAnsi="Cambria" w:eastAsia="宋体" w:cs="Times New Roman"/>
      <w:b/>
      <w:bCs/>
      <w:kern w:val="2"/>
      <w:sz w:val="32"/>
      <w:szCs w:val="32"/>
    </w:rPr>
  </w:style>
  <w:style w:type="character" w:customStyle="1" w:styleId="67">
    <w:name w:val="Font Style123"/>
    <w:qFormat/>
    <w:uiPriority w:val="0"/>
    <w:rPr>
      <w:rFonts w:hint="eastAsia" w:ascii="宋体" w:hAnsi="宋体" w:eastAsia="宋体"/>
      <w:b/>
      <w:sz w:val="32"/>
    </w:rPr>
  </w:style>
  <w:style w:type="character" w:customStyle="1" w:styleId="68">
    <w:name w:val="font11"/>
    <w:qFormat/>
    <w:uiPriority w:val="0"/>
    <w:rPr>
      <w:rFonts w:hint="eastAsia" w:ascii="宋体" w:hAnsi="宋体" w:eastAsia="宋体" w:cs="宋体"/>
      <w:color w:val="000000"/>
      <w:sz w:val="28"/>
      <w:szCs w:val="28"/>
      <w:u w:val="none"/>
    </w:rPr>
  </w:style>
  <w:style w:type="character" w:customStyle="1" w:styleId="69">
    <w:name w:val="sort1"/>
    <w:qFormat/>
    <w:uiPriority w:val="0"/>
    <w:rPr>
      <w:rFonts w:ascii="Times New Roman" w:hAnsi="Times New Roman" w:eastAsia="宋体"/>
    </w:rPr>
  </w:style>
  <w:style w:type="character" w:customStyle="1" w:styleId="70">
    <w:name w:val="页脚 Char"/>
    <w:qFormat/>
    <w:uiPriority w:val="99"/>
    <w:rPr>
      <w:kern w:val="2"/>
      <w:sz w:val="18"/>
      <w:szCs w:val="18"/>
    </w:rPr>
  </w:style>
  <w:style w:type="character" w:customStyle="1" w:styleId="71">
    <w:name w:val="标题 3 Char"/>
    <w:qFormat/>
    <w:uiPriority w:val="0"/>
    <w:rPr>
      <w:b/>
      <w:bCs/>
      <w:sz w:val="24"/>
      <w:szCs w:val="24"/>
    </w:rPr>
  </w:style>
  <w:style w:type="character" w:customStyle="1" w:styleId="72">
    <w:name w:val="Font Style105"/>
    <w:qFormat/>
    <w:uiPriority w:val="0"/>
    <w:rPr>
      <w:rFonts w:hint="eastAsia" w:ascii="Times New Roman" w:hAnsi="Times New Roman" w:eastAsia="Times New Roman"/>
      <w:w w:val="60"/>
      <w:sz w:val="26"/>
    </w:rPr>
  </w:style>
  <w:style w:type="character" w:customStyle="1" w:styleId="73">
    <w:name w:val="标题 9 Char"/>
    <w:qFormat/>
    <w:uiPriority w:val="0"/>
    <w:rPr>
      <w:rFonts w:ascii="Arial" w:hAnsi="Arial" w:eastAsia="黑体"/>
      <w:sz w:val="21"/>
      <w:szCs w:val="21"/>
    </w:rPr>
  </w:style>
  <w:style w:type="character" w:customStyle="1" w:styleId="74">
    <w:name w:val="标题 7 Char"/>
    <w:qFormat/>
    <w:uiPriority w:val="0"/>
    <w:rPr>
      <w:b/>
      <w:bCs/>
      <w:sz w:val="24"/>
      <w:szCs w:val="24"/>
    </w:rPr>
  </w:style>
  <w:style w:type="character" w:customStyle="1" w:styleId="75">
    <w:name w:val="标题 1 字符"/>
    <w:link w:val="3"/>
    <w:qFormat/>
    <w:uiPriority w:val="0"/>
    <w:rPr>
      <w:rFonts w:eastAsia="宋体"/>
      <w:b/>
      <w:bCs/>
      <w:kern w:val="2"/>
      <w:sz w:val="24"/>
      <w:lang w:val="en-US" w:eastAsia="zh-CN" w:bidi="ar-SA"/>
    </w:rPr>
  </w:style>
  <w:style w:type="character" w:customStyle="1" w:styleId="76">
    <w:name w:val="批注文字 Char Char"/>
    <w:qFormat/>
    <w:uiPriority w:val="0"/>
    <w:rPr>
      <w:kern w:val="2"/>
      <w:sz w:val="21"/>
      <w:szCs w:val="24"/>
      <w:lang w:bidi="ar-SA"/>
    </w:rPr>
  </w:style>
  <w:style w:type="character" w:customStyle="1" w:styleId="77">
    <w:name w:val="标题 4 字符"/>
    <w:link w:val="6"/>
    <w:qFormat/>
    <w:uiPriority w:val="0"/>
    <w:rPr>
      <w:rFonts w:ascii="Arial" w:hAnsi="Arial" w:eastAsia="黑体"/>
      <w:b/>
      <w:bCs/>
      <w:kern w:val="2"/>
      <w:sz w:val="28"/>
      <w:szCs w:val="28"/>
      <w:lang w:val="en-US" w:eastAsia="zh-CN" w:bidi="ar-SA"/>
    </w:rPr>
  </w:style>
  <w:style w:type="character" w:customStyle="1" w:styleId="78">
    <w:name w:val="Font Style104"/>
    <w:qFormat/>
    <w:uiPriority w:val="0"/>
    <w:rPr>
      <w:rFonts w:hint="eastAsia" w:ascii="宋体" w:hAnsi="宋体" w:eastAsia="宋体"/>
      <w:spacing w:val="30"/>
      <w:sz w:val="18"/>
    </w:rPr>
  </w:style>
  <w:style w:type="character" w:customStyle="1" w:styleId="79">
    <w:name w:val="页眉 字符"/>
    <w:link w:val="31"/>
    <w:qFormat/>
    <w:uiPriority w:val="0"/>
    <w:rPr>
      <w:rFonts w:eastAsia="宋体"/>
      <w:kern w:val="2"/>
      <w:sz w:val="18"/>
      <w:szCs w:val="18"/>
      <w:lang w:val="en-US" w:eastAsia="zh-CN" w:bidi="ar-SA"/>
    </w:rPr>
  </w:style>
  <w:style w:type="character" w:customStyle="1" w:styleId="80">
    <w:name w:val="Font Style134"/>
    <w:qFormat/>
    <w:uiPriority w:val="0"/>
    <w:rPr>
      <w:rFonts w:hint="eastAsia" w:ascii="宋体" w:hAnsi="宋体" w:eastAsia="宋体"/>
      <w:spacing w:val="20"/>
      <w:sz w:val="22"/>
    </w:rPr>
  </w:style>
  <w:style w:type="character" w:customStyle="1" w:styleId="81">
    <w:name w:val="标题 4 Char"/>
    <w:qFormat/>
    <w:uiPriority w:val="0"/>
    <w:rPr>
      <w:rFonts w:ascii="Arial" w:hAnsi="Arial" w:eastAsia="宋体" w:cs="Times New Roman"/>
      <w:b/>
      <w:bCs/>
      <w:szCs w:val="28"/>
    </w:rPr>
  </w:style>
  <w:style w:type="character" w:customStyle="1" w:styleId="82">
    <w:name w:val="纯文本 字符"/>
    <w:qFormat/>
    <w:uiPriority w:val="0"/>
    <w:rPr>
      <w:rFonts w:ascii="宋体" w:hAnsi="Courier New" w:eastAsia="宋体" w:cs="Courier New"/>
      <w:kern w:val="2"/>
      <w:sz w:val="21"/>
      <w:szCs w:val="21"/>
      <w:lang w:val="en-US" w:eastAsia="zh-CN" w:bidi="ar-SA"/>
    </w:rPr>
  </w:style>
  <w:style w:type="character" w:customStyle="1" w:styleId="83">
    <w:name w:val="bds_nopic"/>
    <w:qFormat/>
    <w:uiPriority w:val="0"/>
    <w:rPr>
      <w:rFonts w:ascii="Times New Roman" w:hAnsi="Times New Roman" w:eastAsia="宋体"/>
    </w:rPr>
  </w:style>
  <w:style w:type="character" w:customStyle="1" w:styleId="84">
    <w:name w:val="Font Style126"/>
    <w:qFormat/>
    <w:uiPriority w:val="0"/>
    <w:rPr>
      <w:rFonts w:hint="eastAsia" w:ascii="宋体" w:hAnsi="宋体" w:eastAsia="宋体"/>
      <w:b/>
      <w:spacing w:val="-30"/>
      <w:sz w:val="28"/>
    </w:rPr>
  </w:style>
  <w:style w:type="character" w:customStyle="1" w:styleId="85">
    <w:name w:val="Font Style125"/>
    <w:qFormat/>
    <w:uiPriority w:val="0"/>
    <w:rPr>
      <w:rFonts w:hint="eastAsia" w:ascii="宋体" w:hAnsi="宋体" w:eastAsia="宋体"/>
      <w:b/>
      <w:sz w:val="26"/>
    </w:rPr>
  </w:style>
  <w:style w:type="character" w:customStyle="1" w:styleId="86">
    <w:name w:val="sidecatalog-index1"/>
    <w:qFormat/>
    <w:uiPriority w:val="0"/>
    <w:rPr>
      <w:rFonts w:ascii="Arial" w:hAnsi="Arial" w:eastAsia="宋体" w:cs="Arial"/>
      <w:b/>
      <w:color w:val="999999"/>
      <w:sz w:val="21"/>
      <w:szCs w:val="21"/>
    </w:rPr>
  </w:style>
  <w:style w:type="character" w:customStyle="1" w:styleId="87">
    <w:name w:val="HTML 预设格式 字符"/>
    <w:link w:val="40"/>
    <w:qFormat/>
    <w:uiPriority w:val="0"/>
    <w:rPr>
      <w:rFonts w:ascii="Arial" w:hAnsi="Arial" w:cs="Arial"/>
      <w:sz w:val="24"/>
      <w:szCs w:val="24"/>
    </w:rPr>
  </w:style>
  <w:style w:type="character" w:customStyle="1" w:styleId="88">
    <w:name w:val="Font Style117"/>
    <w:qFormat/>
    <w:uiPriority w:val="0"/>
    <w:rPr>
      <w:rFonts w:hint="eastAsia" w:ascii="宋体" w:hAnsi="宋体" w:eastAsia="宋体"/>
      <w:spacing w:val="20"/>
      <w:sz w:val="24"/>
    </w:rPr>
  </w:style>
  <w:style w:type="character" w:customStyle="1" w:styleId="89">
    <w:name w:val="标题 4 Char Char"/>
    <w:qFormat/>
    <w:uiPriority w:val="0"/>
    <w:rPr>
      <w:rFonts w:ascii="Arial" w:hAnsi="Arial" w:eastAsia="宋体"/>
      <w:b/>
      <w:bCs/>
      <w:kern w:val="2"/>
      <w:sz w:val="21"/>
      <w:szCs w:val="28"/>
      <w:lang w:val="en-US" w:eastAsia="zh-CN" w:bidi="ar-SA"/>
    </w:rPr>
  </w:style>
  <w:style w:type="character" w:customStyle="1" w:styleId="90">
    <w:name w:val="bds_nopic2"/>
    <w:qFormat/>
    <w:uiPriority w:val="0"/>
    <w:rPr>
      <w:rFonts w:ascii="Times New Roman" w:hAnsi="Times New Roman" w:eastAsia="宋体"/>
    </w:rPr>
  </w:style>
  <w:style w:type="character" w:customStyle="1" w:styleId="91">
    <w:name w:val="日期 字符"/>
    <w:link w:val="28"/>
    <w:qFormat/>
    <w:uiPriority w:val="0"/>
    <w:rPr>
      <w:rFonts w:eastAsia="宋体"/>
      <w:kern w:val="2"/>
      <w:sz w:val="24"/>
      <w:lang w:val="en-US" w:eastAsia="zh-CN" w:bidi="ar-SA"/>
    </w:rPr>
  </w:style>
  <w:style w:type="character" w:customStyle="1" w:styleId="92">
    <w:name w:val="标题 6 Char"/>
    <w:qFormat/>
    <w:uiPriority w:val="0"/>
    <w:rPr>
      <w:rFonts w:ascii="Arial" w:hAnsi="Arial" w:eastAsia="黑体"/>
      <w:b/>
      <w:bCs/>
      <w:sz w:val="24"/>
      <w:szCs w:val="24"/>
    </w:rPr>
  </w:style>
  <w:style w:type="character" w:customStyle="1" w:styleId="93">
    <w:name w:val="正文文本 2 字符"/>
    <w:link w:val="39"/>
    <w:qFormat/>
    <w:uiPriority w:val="0"/>
    <w:rPr>
      <w:kern w:val="2"/>
      <w:sz w:val="21"/>
      <w:szCs w:val="24"/>
    </w:rPr>
  </w:style>
  <w:style w:type="character" w:customStyle="1" w:styleId="94">
    <w:name w:val="bds_more6"/>
    <w:qFormat/>
    <w:uiPriority w:val="0"/>
    <w:rPr>
      <w:rFonts w:hint="eastAsia" w:ascii="宋体" w:hAnsi="宋体" w:eastAsia="宋体" w:cs="宋体"/>
    </w:rPr>
  </w:style>
  <w:style w:type="character" w:customStyle="1" w:styleId="95">
    <w:name w:val="标题 1 Char"/>
    <w:qFormat/>
    <w:uiPriority w:val="0"/>
    <w:rPr>
      <w:rFonts w:ascii="Cambria" w:hAnsi="Cambria"/>
      <w:b/>
      <w:bCs/>
      <w:kern w:val="32"/>
      <w:sz w:val="32"/>
      <w:szCs w:val="32"/>
    </w:rPr>
  </w:style>
  <w:style w:type="character" w:customStyle="1" w:styleId="96">
    <w:name w:val="文档结构图 字符"/>
    <w:link w:val="17"/>
    <w:qFormat/>
    <w:uiPriority w:val="0"/>
    <w:rPr>
      <w:kern w:val="2"/>
      <w:sz w:val="21"/>
      <w:szCs w:val="24"/>
      <w:shd w:val="clear" w:color="auto" w:fill="000080"/>
    </w:rPr>
  </w:style>
  <w:style w:type="character" w:customStyle="1" w:styleId="97">
    <w:name w:val="p0 Char"/>
    <w:link w:val="98"/>
    <w:qFormat/>
    <w:uiPriority w:val="0"/>
    <w:rPr>
      <w:rFonts w:eastAsia="宋体"/>
      <w:sz w:val="21"/>
      <w:szCs w:val="21"/>
      <w:lang w:val="en-US" w:eastAsia="zh-CN" w:bidi="ar-SA"/>
    </w:rPr>
  </w:style>
  <w:style w:type="paragraph" w:customStyle="1" w:styleId="98">
    <w:name w:val="p0"/>
    <w:basedOn w:val="1"/>
    <w:link w:val="97"/>
    <w:qFormat/>
    <w:uiPriority w:val="0"/>
    <w:pPr>
      <w:widowControl/>
    </w:pPr>
    <w:rPr>
      <w:kern w:val="0"/>
      <w:szCs w:val="21"/>
    </w:rPr>
  </w:style>
  <w:style w:type="character" w:customStyle="1" w:styleId="99">
    <w:name w:val="Char Char17"/>
    <w:qFormat/>
    <w:uiPriority w:val="0"/>
    <w:rPr>
      <w:rFonts w:ascii="宋体" w:hAnsi="Times New Roman" w:eastAsia="宋体"/>
      <w:b/>
      <w:sz w:val="28"/>
      <w:lang w:val="en-US" w:eastAsia="zh-CN" w:bidi="ar-SA"/>
    </w:rPr>
  </w:style>
  <w:style w:type="character" w:customStyle="1" w:styleId="100">
    <w:name w:val="标题 5 字符"/>
    <w:link w:val="7"/>
    <w:qFormat/>
    <w:uiPriority w:val="0"/>
    <w:rPr>
      <w:rFonts w:eastAsia="宋体"/>
      <w:b/>
      <w:bCs/>
      <w:sz w:val="28"/>
      <w:szCs w:val="28"/>
      <w:lang w:val="en-US" w:eastAsia="zh-CN" w:bidi="ar-SA"/>
    </w:rPr>
  </w:style>
  <w:style w:type="character" w:customStyle="1" w:styleId="101">
    <w:name w:val="polysemyexp"/>
    <w:qFormat/>
    <w:uiPriority w:val="0"/>
    <w:rPr>
      <w:rFonts w:ascii="Times New Roman" w:hAnsi="Times New Roman" w:eastAsia="宋体"/>
      <w:color w:val="AAAAAA"/>
      <w:sz w:val="18"/>
      <w:szCs w:val="18"/>
    </w:rPr>
  </w:style>
  <w:style w:type="character" w:customStyle="1" w:styleId="102">
    <w:name w:val="font51"/>
    <w:qFormat/>
    <w:uiPriority w:val="0"/>
    <w:rPr>
      <w:rFonts w:hint="eastAsia" w:ascii="宋体" w:hAnsi="宋体" w:eastAsia="宋体" w:cs="宋体"/>
      <w:b/>
      <w:color w:val="000000"/>
      <w:sz w:val="20"/>
      <w:szCs w:val="20"/>
      <w:u w:val="none"/>
    </w:rPr>
  </w:style>
  <w:style w:type="character" w:customStyle="1" w:styleId="103">
    <w:name w:val="标题 3 字符"/>
    <w:link w:val="5"/>
    <w:qFormat/>
    <w:uiPriority w:val="0"/>
    <w:rPr>
      <w:rFonts w:eastAsia="宋体"/>
      <w:b/>
      <w:bCs/>
      <w:kern w:val="2"/>
      <w:sz w:val="32"/>
      <w:szCs w:val="32"/>
      <w:lang w:val="en-US" w:eastAsia="zh-CN" w:bidi="ar-SA"/>
    </w:rPr>
  </w:style>
  <w:style w:type="character" w:customStyle="1" w:styleId="104">
    <w:name w:val="bds_more10"/>
    <w:qFormat/>
    <w:uiPriority w:val="0"/>
    <w:rPr>
      <w:rFonts w:ascii="Times New Roman" w:hAnsi="Times New Roman" w:eastAsia="宋体"/>
    </w:rPr>
  </w:style>
  <w:style w:type="character" w:customStyle="1" w:styleId="105">
    <w:name w:val="font91"/>
    <w:qFormat/>
    <w:uiPriority w:val="0"/>
    <w:rPr>
      <w:rFonts w:hint="eastAsia" w:ascii="宋体" w:hAnsi="宋体" w:eastAsia="宋体" w:cs="宋体"/>
      <w:color w:val="000000"/>
      <w:sz w:val="20"/>
      <w:szCs w:val="20"/>
      <w:u w:val="none"/>
      <w:vertAlign w:val="superscript"/>
    </w:rPr>
  </w:style>
  <w:style w:type="character" w:customStyle="1" w:styleId="106">
    <w:name w:val="Char Char15"/>
    <w:qFormat/>
    <w:uiPriority w:val="0"/>
    <w:rPr>
      <w:b/>
      <w:bCs/>
      <w:sz w:val="24"/>
      <w:szCs w:val="24"/>
    </w:rPr>
  </w:style>
  <w:style w:type="character" w:customStyle="1" w:styleId="107">
    <w:name w:val="Char Char12"/>
    <w:qFormat/>
    <w:uiPriority w:val="0"/>
    <w:rPr>
      <w:rFonts w:ascii="Arial" w:hAnsi="Arial" w:eastAsia="黑体"/>
      <w:b/>
      <w:bCs/>
      <w:kern w:val="2"/>
      <w:sz w:val="28"/>
      <w:szCs w:val="28"/>
      <w:lang w:val="en-US" w:eastAsia="zh-CN" w:bidi="ar-SA"/>
    </w:rPr>
  </w:style>
  <w:style w:type="character" w:customStyle="1" w:styleId="108">
    <w:name w:val="Font Style122"/>
    <w:qFormat/>
    <w:uiPriority w:val="0"/>
    <w:rPr>
      <w:rFonts w:hint="eastAsia" w:ascii="宋体" w:hAnsi="宋体" w:eastAsia="宋体"/>
      <w:spacing w:val="20"/>
      <w:sz w:val="24"/>
    </w:rPr>
  </w:style>
  <w:style w:type="character" w:customStyle="1" w:styleId="109">
    <w:name w:val="Font Style115"/>
    <w:qFormat/>
    <w:uiPriority w:val="0"/>
    <w:rPr>
      <w:rFonts w:hint="eastAsia" w:ascii="Times New Roman" w:hAnsi="Times New Roman" w:eastAsia="Times New Roman"/>
      <w:sz w:val="16"/>
    </w:rPr>
  </w:style>
  <w:style w:type="character" w:customStyle="1" w:styleId="110">
    <w:name w:val="sidecatalog-dot1"/>
    <w:qFormat/>
    <w:uiPriority w:val="0"/>
    <w:rPr>
      <w:rFonts w:ascii="Times New Roman" w:hAnsi="Times New Roman" w:eastAsia="宋体"/>
    </w:rPr>
  </w:style>
  <w:style w:type="character" w:customStyle="1" w:styleId="111">
    <w:name w:val="font41"/>
    <w:qFormat/>
    <w:uiPriority w:val="0"/>
    <w:rPr>
      <w:rFonts w:hint="eastAsia" w:ascii="宋体" w:hAnsi="宋体" w:eastAsia="宋体" w:cs="宋体"/>
      <w:color w:val="FF0000"/>
      <w:sz w:val="20"/>
      <w:szCs w:val="20"/>
      <w:u w:val="none"/>
    </w:rPr>
  </w:style>
  <w:style w:type="character" w:customStyle="1" w:styleId="112">
    <w:name w:val="正文文本缩进 字符"/>
    <w:link w:val="21"/>
    <w:qFormat/>
    <w:uiPriority w:val="0"/>
    <w:rPr>
      <w:rFonts w:eastAsia="宋体"/>
      <w:kern w:val="2"/>
      <w:sz w:val="21"/>
      <w:szCs w:val="24"/>
      <w:lang w:val="en-US" w:eastAsia="zh-CN" w:bidi="ar-SA"/>
    </w:rPr>
  </w:style>
  <w:style w:type="character" w:customStyle="1" w:styleId="113">
    <w:name w:val="页脚 字符"/>
    <w:link w:val="30"/>
    <w:qFormat/>
    <w:uiPriority w:val="0"/>
    <w:rPr>
      <w:rFonts w:eastAsia="宋体"/>
      <w:kern w:val="2"/>
      <w:sz w:val="18"/>
      <w:szCs w:val="18"/>
      <w:lang w:val="en-US" w:eastAsia="zh-CN" w:bidi="ar-SA"/>
    </w:rPr>
  </w:style>
  <w:style w:type="character" w:customStyle="1" w:styleId="114">
    <w:name w:val="称呼 字符"/>
    <w:link w:val="19"/>
    <w:qFormat/>
    <w:uiPriority w:val="0"/>
    <w:rPr>
      <w:rFonts w:ascii="仿宋_GB2312" w:eastAsia="仿宋_GB2312"/>
      <w:kern w:val="2"/>
      <w:sz w:val="24"/>
      <w:szCs w:val="24"/>
    </w:rPr>
  </w:style>
  <w:style w:type="character" w:customStyle="1" w:styleId="115">
    <w:name w:val="批注主题 字符"/>
    <w:link w:val="44"/>
    <w:qFormat/>
    <w:uiPriority w:val="0"/>
    <w:rPr>
      <w:rFonts w:eastAsia="宋体"/>
      <w:b/>
      <w:bCs/>
      <w:kern w:val="2"/>
      <w:sz w:val="21"/>
      <w:szCs w:val="24"/>
      <w:lang w:val="en-US" w:eastAsia="zh-CN" w:bidi="ar-SA"/>
    </w:rPr>
  </w:style>
  <w:style w:type="character" w:customStyle="1" w:styleId="116">
    <w:name w:val="lemmatitleh12"/>
    <w:qFormat/>
    <w:uiPriority w:val="0"/>
    <w:rPr>
      <w:rFonts w:ascii="Times New Roman" w:hAnsi="Times New Roman" w:eastAsia="宋体"/>
    </w:rPr>
  </w:style>
  <w:style w:type="character" w:customStyle="1" w:styleId="117">
    <w:name w:val="正文文本缩进 3 Char"/>
    <w:qFormat/>
    <w:uiPriority w:val="0"/>
    <w:rPr>
      <w:rFonts w:ascii="宋体" w:hAnsi="MS Sans Serif"/>
      <w:color w:val="000000"/>
      <w:sz w:val="24"/>
    </w:rPr>
  </w:style>
  <w:style w:type="character" w:customStyle="1" w:styleId="118">
    <w:name w:val="标题 9 字符"/>
    <w:link w:val="11"/>
    <w:qFormat/>
    <w:uiPriority w:val="0"/>
    <w:rPr>
      <w:rFonts w:ascii="Arial" w:hAnsi="Arial" w:eastAsia="黑体"/>
      <w:sz w:val="21"/>
      <w:szCs w:val="21"/>
      <w:lang w:val="en-US" w:eastAsia="zh-CN" w:bidi="ar-SA"/>
    </w:rPr>
  </w:style>
  <w:style w:type="character" w:customStyle="1" w:styleId="119">
    <w:name w:val="Font Style127"/>
    <w:qFormat/>
    <w:uiPriority w:val="0"/>
    <w:rPr>
      <w:rFonts w:hint="eastAsia" w:ascii="Times New Roman" w:hAnsi="Times New Roman" w:eastAsia="Times New Roman"/>
      <w:sz w:val="20"/>
    </w:rPr>
  </w:style>
  <w:style w:type="character" w:customStyle="1" w:styleId="120">
    <w:name w:val="日期 Char"/>
    <w:qFormat/>
    <w:uiPriority w:val="0"/>
    <w:rPr>
      <w:kern w:val="2"/>
      <w:sz w:val="21"/>
      <w:szCs w:val="24"/>
    </w:rPr>
  </w:style>
  <w:style w:type="character" w:customStyle="1" w:styleId="121">
    <w:name w:val="批注框文本 Char"/>
    <w:qFormat/>
    <w:uiPriority w:val="0"/>
    <w:rPr>
      <w:kern w:val="2"/>
      <w:sz w:val="18"/>
      <w:szCs w:val="18"/>
    </w:rPr>
  </w:style>
  <w:style w:type="character" w:customStyle="1" w:styleId="122">
    <w:name w:val="Font Style131"/>
    <w:qFormat/>
    <w:uiPriority w:val="0"/>
    <w:rPr>
      <w:rFonts w:hint="eastAsia" w:ascii="Times New Roman" w:hAnsi="Times New Roman" w:eastAsia="Times New Roman"/>
      <w:sz w:val="18"/>
    </w:rPr>
  </w:style>
  <w:style w:type="character" w:customStyle="1" w:styleId="123">
    <w:name w:val="批注主题 Char"/>
    <w:qFormat/>
    <w:uiPriority w:val="0"/>
    <w:rPr>
      <w:b/>
      <w:bCs/>
      <w:kern w:val="2"/>
      <w:sz w:val="21"/>
      <w:szCs w:val="24"/>
    </w:rPr>
  </w:style>
  <w:style w:type="character" w:customStyle="1" w:styleId="124">
    <w:name w:val="标题 8 Char"/>
    <w:qFormat/>
    <w:uiPriority w:val="0"/>
    <w:rPr>
      <w:rFonts w:ascii="Arial" w:hAnsi="Arial" w:eastAsia="黑体"/>
      <w:sz w:val="24"/>
      <w:szCs w:val="24"/>
    </w:rPr>
  </w:style>
  <w:style w:type="character" w:customStyle="1" w:styleId="125">
    <w:name w:val="纯文本 Char1"/>
    <w:qFormat/>
    <w:uiPriority w:val="0"/>
    <w:rPr>
      <w:rFonts w:ascii="宋体" w:hAnsi="Courier New" w:eastAsia="宋体" w:cs="Courier New"/>
      <w:kern w:val="2"/>
      <w:sz w:val="21"/>
      <w:szCs w:val="21"/>
      <w:lang w:val="en-US" w:eastAsia="zh-CN" w:bidi="ar-SA"/>
    </w:rPr>
  </w:style>
  <w:style w:type="character" w:customStyle="1" w:styleId="126">
    <w:name w:val="Font Style116"/>
    <w:qFormat/>
    <w:uiPriority w:val="0"/>
    <w:rPr>
      <w:rFonts w:hint="eastAsia" w:ascii="宋体" w:hAnsi="宋体" w:eastAsia="宋体"/>
      <w:spacing w:val="-20"/>
      <w:sz w:val="24"/>
    </w:rPr>
  </w:style>
  <w:style w:type="character" w:customStyle="1" w:styleId="127">
    <w:name w:val="正文文本 字符"/>
    <w:link w:val="2"/>
    <w:qFormat/>
    <w:uiPriority w:val="0"/>
    <w:rPr>
      <w:kern w:val="2"/>
      <w:sz w:val="21"/>
      <w:szCs w:val="24"/>
    </w:rPr>
  </w:style>
  <w:style w:type="character" w:customStyle="1" w:styleId="128">
    <w:name w:val="sort"/>
    <w:qFormat/>
    <w:uiPriority w:val="0"/>
    <w:rPr>
      <w:rFonts w:ascii="Times New Roman" w:hAnsi="Times New Roman" w:eastAsia="宋体"/>
      <w:color w:val="FFFFFF"/>
      <w:bdr w:val="single" w:color="auto" w:sz="24" w:space="0"/>
    </w:rPr>
  </w:style>
  <w:style w:type="character" w:customStyle="1" w:styleId="129">
    <w:name w:val="标题 Char"/>
    <w:qFormat/>
    <w:uiPriority w:val="0"/>
    <w:rPr>
      <w:rFonts w:ascii="Cambria" w:hAnsi="Cambria"/>
      <w:b/>
      <w:kern w:val="2"/>
      <w:sz w:val="32"/>
      <w:szCs w:val="24"/>
    </w:rPr>
  </w:style>
  <w:style w:type="character" w:customStyle="1" w:styleId="130">
    <w:name w:val="正文文本 3 字符"/>
    <w:link w:val="20"/>
    <w:qFormat/>
    <w:uiPriority w:val="0"/>
    <w:rPr>
      <w:rFonts w:ascii="宋体"/>
      <w:color w:val="000000"/>
      <w:sz w:val="24"/>
    </w:rPr>
  </w:style>
  <w:style w:type="character" w:customStyle="1" w:styleId="131">
    <w:name w:val="Char Char13"/>
    <w:qFormat/>
    <w:uiPriority w:val="0"/>
    <w:rPr>
      <w:rFonts w:eastAsia="宋体"/>
      <w:b/>
      <w:bCs/>
      <w:kern w:val="2"/>
      <w:sz w:val="24"/>
      <w:lang w:val="en-US" w:eastAsia="zh-CN" w:bidi="ar-SA"/>
    </w:rPr>
  </w:style>
  <w:style w:type="character" w:customStyle="1" w:styleId="132">
    <w:name w:val="bds_more7"/>
    <w:qFormat/>
    <w:uiPriority w:val="0"/>
    <w:rPr>
      <w:rFonts w:ascii="Times New Roman" w:hAnsi="Times New Roman" w:eastAsia="宋体"/>
    </w:rPr>
  </w:style>
  <w:style w:type="character" w:customStyle="1" w:styleId="133">
    <w:name w:val="sidecatalog-index2"/>
    <w:qFormat/>
    <w:uiPriority w:val="0"/>
    <w:rPr>
      <w:rFonts w:ascii="Arail" w:hAnsi="Arail" w:eastAsia="Arail" w:cs="Arail"/>
      <w:color w:val="999999"/>
      <w:sz w:val="21"/>
      <w:szCs w:val="21"/>
    </w:rPr>
  </w:style>
  <w:style w:type="character" w:customStyle="1" w:styleId="134">
    <w:name w:val="批注文字 Char"/>
    <w:qFormat/>
    <w:uiPriority w:val="0"/>
    <w:rPr>
      <w:kern w:val="2"/>
      <w:sz w:val="21"/>
      <w:szCs w:val="24"/>
    </w:rPr>
  </w:style>
  <w:style w:type="character" w:customStyle="1" w:styleId="135">
    <w:name w:val="bds_more8"/>
    <w:qFormat/>
    <w:uiPriority w:val="0"/>
    <w:rPr>
      <w:rFonts w:ascii="Times New Roman" w:hAnsi="Times New Roman" w:eastAsia="宋体"/>
    </w:rPr>
  </w:style>
  <w:style w:type="character" w:customStyle="1" w:styleId="136">
    <w:name w:val="font81"/>
    <w:qFormat/>
    <w:uiPriority w:val="0"/>
    <w:rPr>
      <w:rFonts w:ascii="font-weight : 700" w:hAnsi="font-weight : 700" w:eastAsia="font-weight : 700" w:cs="font-weight : 700"/>
      <w:color w:val="000000"/>
      <w:sz w:val="20"/>
      <w:szCs w:val="20"/>
      <w:u w:val="none"/>
    </w:rPr>
  </w:style>
  <w:style w:type="character" w:customStyle="1" w:styleId="137">
    <w:name w:val="标题 7 字符"/>
    <w:link w:val="9"/>
    <w:qFormat/>
    <w:uiPriority w:val="0"/>
    <w:rPr>
      <w:rFonts w:eastAsia="宋体"/>
      <w:b/>
      <w:bCs/>
      <w:sz w:val="24"/>
      <w:szCs w:val="24"/>
      <w:lang w:val="en-US" w:eastAsia="zh-CN" w:bidi="ar-SA"/>
    </w:rPr>
  </w:style>
  <w:style w:type="character" w:customStyle="1" w:styleId="138">
    <w:name w:val="正文文本缩进 2 字符"/>
    <w:link w:val="22"/>
    <w:qFormat/>
    <w:uiPriority w:val="0"/>
    <w:rPr>
      <w:kern w:val="2"/>
      <w:sz w:val="21"/>
      <w:szCs w:val="24"/>
    </w:rPr>
  </w:style>
  <w:style w:type="character" w:customStyle="1" w:styleId="139">
    <w:name w:val="content_11"/>
    <w:qFormat/>
    <w:uiPriority w:val="0"/>
    <w:rPr>
      <w:sz w:val="20"/>
      <w:szCs w:val="20"/>
    </w:rPr>
  </w:style>
  <w:style w:type="character" w:customStyle="1" w:styleId="140">
    <w:name w:val="font21"/>
    <w:basedOn w:val="49"/>
    <w:qFormat/>
    <w:uiPriority w:val="0"/>
    <w:rPr>
      <w:rFonts w:ascii="font-weight : 400" w:hAnsi="font-weight : 400" w:eastAsia="font-weight : 400" w:cs="font-weight : 400"/>
      <w:color w:val="000000"/>
      <w:sz w:val="20"/>
      <w:szCs w:val="20"/>
      <w:u w:val="none"/>
    </w:rPr>
  </w:style>
  <w:style w:type="character" w:customStyle="1" w:styleId="141">
    <w:name w:val="desc"/>
    <w:qFormat/>
    <w:uiPriority w:val="0"/>
    <w:rPr>
      <w:rFonts w:ascii="Times New Roman" w:hAnsi="Times New Roman" w:eastAsia="宋体"/>
      <w:color w:val="000000"/>
      <w:sz w:val="18"/>
      <w:szCs w:val="18"/>
    </w:rPr>
  </w:style>
  <w:style w:type="character" w:customStyle="1" w:styleId="142">
    <w:name w:val="bds_more9"/>
    <w:qFormat/>
    <w:uiPriority w:val="0"/>
    <w:rPr>
      <w:rFonts w:ascii="Times New Roman" w:hAnsi="Times New Roman" w:eastAsia="宋体"/>
    </w:rPr>
  </w:style>
  <w:style w:type="character" w:customStyle="1" w:styleId="143">
    <w:name w:val="p0 Char Char"/>
    <w:qFormat/>
    <w:uiPriority w:val="0"/>
    <w:rPr>
      <w:rFonts w:eastAsia="宋体"/>
      <w:kern w:val="2"/>
      <w:sz w:val="21"/>
      <w:szCs w:val="21"/>
      <w:lang w:val="en-US" w:eastAsia="zh-CN" w:bidi="ar-SA"/>
    </w:rPr>
  </w:style>
  <w:style w:type="character" w:customStyle="1" w:styleId="144">
    <w:name w:val="标题 2 字符"/>
    <w:link w:val="4"/>
    <w:qFormat/>
    <w:uiPriority w:val="0"/>
    <w:rPr>
      <w:rFonts w:ascii="Arial" w:hAnsi="Arial" w:eastAsia="宋体"/>
      <w:b/>
      <w:bCs/>
      <w:kern w:val="2"/>
      <w:sz w:val="24"/>
      <w:szCs w:val="32"/>
      <w:lang w:val="en-US" w:eastAsia="zh-CN" w:bidi="ar-SA"/>
    </w:rPr>
  </w:style>
  <w:style w:type="character" w:customStyle="1" w:styleId="145">
    <w:name w:val="页眉 Char"/>
    <w:qFormat/>
    <w:uiPriority w:val="99"/>
    <w:rPr>
      <w:kern w:val="2"/>
      <w:sz w:val="18"/>
      <w:szCs w:val="18"/>
    </w:rPr>
  </w:style>
  <w:style w:type="character" w:customStyle="1" w:styleId="146">
    <w:name w:val="polysemyred"/>
    <w:qFormat/>
    <w:uiPriority w:val="0"/>
    <w:rPr>
      <w:rFonts w:ascii="Times New Roman" w:hAnsi="Times New Roman" w:eastAsia="宋体"/>
      <w:color w:val="FF6666"/>
      <w:sz w:val="18"/>
      <w:szCs w:val="18"/>
    </w:rPr>
  </w:style>
  <w:style w:type="character" w:customStyle="1" w:styleId="147">
    <w:name w:val="批注文字 字符"/>
    <w:link w:val="18"/>
    <w:qFormat/>
    <w:uiPriority w:val="0"/>
    <w:rPr>
      <w:rFonts w:eastAsia="宋体"/>
      <w:kern w:val="2"/>
      <w:sz w:val="21"/>
      <w:szCs w:val="24"/>
      <w:lang w:val="en-US" w:eastAsia="zh-CN" w:bidi="ar-SA"/>
    </w:rPr>
  </w:style>
  <w:style w:type="character" w:customStyle="1" w:styleId="148">
    <w:name w:val="Char Char14"/>
    <w:qFormat/>
    <w:uiPriority w:val="0"/>
    <w:rPr>
      <w:rFonts w:ascii="Arial" w:hAnsi="Arial" w:eastAsia="黑体"/>
      <w:b/>
      <w:bCs/>
      <w:sz w:val="28"/>
      <w:szCs w:val="28"/>
      <w:lang w:val="en-US" w:eastAsia="zh-CN" w:bidi="ar-SA"/>
    </w:rPr>
  </w:style>
  <w:style w:type="character" w:customStyle="1" w:styleId="149">
    <w:name w:val="Font Style133"/>
    <w:qFormat/>
    <w:uiPriority w:val="0"/>
    <w:rPr>
      <w:rFonts w:hint="eastAsia" w:ascii="宋体" w:hAnsi="宋体" w:eastAsia="宋体"/>
      <w:spacing w:val="30"/>
      <w:sz w:val="24"/>
    </w:rPr>
  </w:style>
  <w:style w:type="character" w:customStyle="1" w:styleId="150">
    <w:name w:val="Char Char16"/>
    <w:qFormat/>
    <w:uiPriority w:val="0"/>
    <w:rPr>
      <w:rFonts w:ascii="宋体" w:hAnsi="Times New Roman" w:eastAsia="宋体"/>
      <w:b/>
      <w:sz w:val="24"/>
      <w:lang w:val="en-US" w:eastAsia="zh-CN" w:bidi="ar-SA"/>
    </w:rPr>
  </w:style>
  <w:style w:type="character" w:customStyle="1" w:styleId="151">
    <w:name w:val="Font Style121"/>
    <w:qFormat/>
    <w:uiPriority w:val="0"/>
    <w:rPr>
      <w:rFonts w:hint="eastAsia" w:ascii="宋体" w:hAnsi="宋体" w:eastAsia="宋体"/>
      <w:spacing w:val="-10"/>
      <w:sz w:val="30"/>
    </w:rPr>
  </w:style>
  <w:style w:type="character" w:customStyle="1" w:styleId="152">
    <w:name w:val="Font Style94"/>
    <w:qFormat/>
    <w:uiPriority w:val="0"/>
    <w:rPr>
      <w:rFonts w:hint="eastAsia" w:ascii="Times New Roman" w:hAnsi="Times New Roman" w:eastAsia="Times New Roman"/>
      <w:sz w:val="28"/>
    </w:rPr>
  </w:style>
  <w:style w:type="character" w:customStyle="1" w:styleId="153">
    <w:name w:val="Font Style124"/>
    <w:qFormat/>
    <w:uiPriority w:val="0"/>
    <w:rPr>
      <w:rFonts w:hint="eastAsia" w:ascii="宋体" w:hAnsi="宋体" w:eastAsia="宋体"/>
      <w:spacing w:val="30"/>
      <w:sz w:val="24"/>
    </w:rPr>
  </w:style>
  <w:style w:type="character" w:customStyle="1" w:styleId="154">
    <w:name w:val="bds_nopic1"/>
    <w:qFormat/>
    <w:uiPriority w:val="0"/>
    <w:rPr>
      <w:rFonts w:ascii="Times New Roman" w:hAnsi="Times New Roman" w:eastAsia="宋体"/>
    </w:rPr>
  </w:style>
  <w:style w:type="character" w:customStyle="1" w:styleId="155">
    <w:name w:val="morelink-item"/>
    <w:qFormat/>
    <w:uiPriority w:val="0"/>
    <w:rPr>
      <w:rFonts w:ascii="Times New Roman" w:hAnsi="Times New Roman" w:eastAsia="宋体"/>
    </w:rPr>
  </w:style>
  <w:style w:type="character" w:customStyle="1" w:styleId="156">
    <w:name w:val="Font Style86"/>
    <w:qFormat/>
    <w:uiPriority w:val="0"/>
    <w:rPr>
      <w:rFonts w:hint="eastAsia" w:ascii="黑体" w:hAnsi="黑体" w:eastAsia="黑体"/>
      <w:spacing w:val="10"/>
      <w:sz w:val="30"/>
    </w:rPr>
  </w:style>
  <w:style w:type="character" w:customStyle="1" w:styleId="157">
    <w:name w:val="Font Style128"/>
    <w:qFormat/>
    <w:uiPriority w:val="0"/>
    <w:rPr>
      <w:rFonts w:hint="eastAsia" w:ascii="Times New Roman" w:hAnsi="Times New Roman" w:eastAsia="Times New Roman"/>
      <w:sz w:val="16"/>
    </w:rPr>
  </w:style>
  <w:style w:type="character" w:customStyle="1" w:styleId="158">
    <w:name w:val="标题 6 字符"/>
    <w:link w:val="8"/>
    <w:qFormat/>
    <w:uiPriority w:val="0"/>
    <w:rPr>
      <w:rFonts w:ascii="Arial" w:hAnsi="Arial" w:eastAsia="黑体"/>
      <w:b/>
      <w:bCs/>
      <w:sz w:val="24"/>
      <w:szCs w:val="24"/>
      <w:lang w:val="en-US" w:eastAsia="zh-CN" w:bidi="ar-SA"/>
    </w:rPr>
  </w:style>
  <w:style w:type="character" w:customStyle="1" w:styleId="159">
    <w:name w:val="plus"/>
    <w:qFormat/>
    <w:uiPriority w:val="0"/>
    <w:rPr>
      <w:rFonts w:ascii="Times New Roman" w:hAnsi="Times New Roman" w:eastAsia="宋体"/>
      <w:b/>
      <w:vanish/>
      <w:color w:val="1F8DEF"/>
      <w:sz w:val="24"/>
      <w:szCs w:val="24"/>
    </w:rPr>
  </w:style>
  <w:style w:type="character" w:customStyle="1" w:styleId="160">
    <w:name w:val="纯文本 字符1"/>
    <w:link w:val="26"/>
    <w:qFormat/>
    <w:uiPriority w:val="0"/>
    <w:rPr>
      <w:rFonts w:ascii="宋体" w:hAnsi="Courier New" w:eastAsia="宋体" w:cs="Courier New"/>
      <w:kern w:val="2"/>
      <w:sz w:val="21"/>
      <w:szCs w:val="21"/>
      <w:lang w:val="en-US" w:eastAsia="zh-CN" w:bidi="ar-SA"/>
    </w:rPr>
  </w:style>
  <w:style w:type="character" w:customStyle="1" w:styleId="161">
    <w:name w:val="Font Style90"/>
    <w:qFormat/>
    <w:uiPriority w:val="0"/>
    <w:rPr>
      <w:rFonts w:hint="eastAsia" w:ascii="宋体" w:hAnsi="宋体" w:eastAsia="宋体"/>
      <w:b/>
      <w:spacing w:val="-20"/>
      <w:sz w:val="40"/>
    </w:rPr>
  </w:style>
  <w:style w:type="character" w:customStyle="1" w:styleId="162">
    <w:name w:val="Font Style119"/>
    <w:qFormat/>
    <w:uiPriority w:val="0"/>
    <w:rPr>
      <w:rFonts w:hint="eastAsia" w:ascii="宋体" w:hAnsi="宋体" w:eastAsia="宋体"/>
      <w:sz w:val="24"/>
    </w:rPr>
  </w:style>
  <w:style w:type="character" w:customStyle="1" w:styleId="163">
    <w:name w:val="正文文本缩进 3 字符"/>
    <w:link w:val="36"/>
    <w:qFormat/>
    <w:uiPriority w:val="0"/>
    <w:rPr>
      <w:rFonts w:eastAsia="宋体"/>
      <w:kern w:val="2"/>
      <w:sz w:val="16"/>
      <w:szCs w:val="16"/>
      <w:lang w:val="en-US" w:eastAsia="zh-CN" w:bidi="ar-SA"/>
    </w:rPr>
  </w:style>
  <w:style w:type="character" w:customStyle="1" w:styleId="164">
    <w:name w:val="标题 5 Char"/>
    <w:qFormat/>
    <w:uiPriority w:val="0"/>
    <w:rPr>
      <w:b/>
      <w:bCs/>
      <w:kern w:val="2"/>
      <w:sz w:val="28"/>
      <w:szCs w:val="28"/>
    </w:rPr>
  </w:style>
  <w:style w:type="character" w:customStyle="1" w:styleId="165">
    <w:name w:val="批注框文本 字符"/>
    <w:link w:val="29"/>
    <w:qFormat/>
    <w:uiPriority w:val="0"/>
    <w:rPr>
      <w:rFonts w:ascii="Calibri" w:hAnsi="Calibri" w:eastAsia="宋体"/>
      <w:kern w:val="2"/>
      <w:sz w:val="18"/>
      <w:szCs w:val="18"/>
      <w:lang w:val="en-US" w:eastAsia="zh-CN" w:bidi="ar-SA"/>
    </w:rPr>
  </w:style>
  <w:style w:type="character" w:customStyle="1" w:styleId="166">
    <w:name w:val="标题 8 字符"/>
    <w:link w:val="10"/>
    <w:qFormat/>
    <w:uiPriority w:val="0"/>
    <w:rPr>
      <w:rFonts w:ascii="Arial" w:hAnsi="Arial" w:eastAsia="黑体"/>
      <w:sz w:val="24"/>
      <w:szCs w:val="24"/>
      <w:lang w:val="en-US" w:eastAsia="zh-CN" w:bidi="ar-SA"/>
    </w:rPr>
  </w:style>
  <w:style w:type="paragraph" w:customStyle="1" w:styleId="167">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8">
    <w:name w:val="Char1 Char Char Char 字元 Char Char 字元 Char 字元 Char1 Char Char Char"/>
    <w:basedOn w:val="1"/>
    <w:qFormat/>
    <w:uiPriority w:val="0"/>
    <w:rPr>
      <w:szCs w:val="20"/>
    </w:rPr>
  </w:style>
  <w:style w:type="paragraph" w:customStyle="1" w:styleId="169">
    <w:name w:val="Style9"/>
    <w:basedOn w:val="1"/>
    <w:qFormat/>
    <w:uiPriority w:val="0"/>
  </w:style>
  <w:style w:type="paragraph" w:customStyle="1" w:styleId="170">
    <w:name w:val="Style52"/>
    <w:basedOn w:val="1"/>
    <w:qFormat/>
    <w:uiPriority w:val="0"/>
    <w:pPr>
      <w:spacing w:line="682" w:lineRule="exact"/>
      <w:ind w:firstLine="557"/>
    </w:pPr>
  </w:style>
  <w:style w:type="paragraph" w:customStyle="1" w:styleId="17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2">
    <w:name w:val="_Style 39"/>
    <w:basedOn w:val="173"/>
    <w:qFormat/>
    <w:uiPriority w:val="0"/>
  </w:style>
  <w:style w:type="paragraph" w:customStyle="1" w:styleId="17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5">
    <w:name w:val="Style76"/>
    <w:basedOn w:val="1"/>
    <w:qFormat/>
    <w:uiPriority w:val="0"/>
  </w:style>
  <w:style w:type="paragraph" w:customStyle="1" w:styleId="176">
    <w:name w:val="Style36"/>
    <w:basedOn w:val="1"/>
    <w:qFormat/>
    <w:uiPriority w:val="0"/>
  </w:style>
  <w:style w:type="paragraph" w:customStyle="1" w:styleId="177">
    <w:name w:val="Style15"/>
    <w:basedOn w:val="1"/>
    <w:qFormat/>
    <w:uiPriority w:val="0"/>
    <w:pPr>
      <w:spacing w:line="557" w:lineRule="exact"/>
      <w:ind w:firstLine="672"/>
    </w:pPr>
  </w:style>
  <w:style w:type="paragraph" w:customStyle="1" w:styleId="178">
    <w:name w:val="Char"/>
    <w:basedOn w:val="1"/>
    <w:qFormat/>
    <w:uiPriority w:val="0"/>
    <w:pPr>
      <w:tabs>
        <w:tab w:val="left" w:pos="360"/>
      </w:tabs>
      <w:ind w:left="360" w:hanging="360" w:hangingChars="200"/>
    </w:pPr>
    <w:rPr>
      <w:sz w:val="24"/>
    </w:rPr>
  </w:style>
  <w:style w:type="paragraph" w:customStyle="1" w:styleId="179">
    <w:name w:val="NO3"/>
    <w:basedOn w:val="1"/>
    <w:qFormat/>
    <w:uiPriority w:val="0"/>
    <w:pPr>
      <w:tabs>
        <w:tab w:val="left" w:pos="907"/>
      </w:tabs>
      <w:spacing w:line="360" w:lineRule="auto"/>
    </w:pPr>
    <w:rPr>
      <w:rFonts w:ascii="宋体" w:hAnsi="宋体"/>
      <w:sz w:val="24"/>
    </w:rPr>
  </w:style>
  <w:style w:type="paragraph" w:customStyle="1" w:styleId="180">
    <w:name w:val="Style62"/>
    <w:basedOn w:val="1"/>
    <w:qFormat/>
    <w:uiPriority w:val="0"/>
  </w:style>
  <w:style w:type="paragraph" w:customStyle="1" w:styleId="181">
    <w:name w:val="Char Char1 Char Char Char"/>
    <w:basedOn w:val="1"/>
    <w:qFormat/>
    <w:uiPriority w:val="0"/>
    <w:rPr>
      <w:kern w:val="0"/>
      <w:sz w:val="20"/>
      <w:szCs w:val="20"/>
    </w:rPr>
  </w:style>
  <w:style w:type="paragraph" w:customStyle="1" w:styleId="18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83">
    <w:name w:val="Style73"/>
    <w:basedOn w:val="1"/>
    <w:qFormat/>
    <w:uiPriority w:val="0"/>
    <w:pPr>
      <w:spacing w:line="538" w:lineRule="exact"/>
      <w:ind w:firstLine="533"/>
    </w:pPr>
  </w:style>
  <w:style w:type="paragraph" w:customStyle="1" w:styleId="184">
    <w:name w:val="Style71"/>
    <w:basedOn w:val="1"/>
    <w:qFormat/>
    <w:uiPriority w:val="0"/>
    <w:pPr>
      <w:spacing w:line="538" w:lineRule="exact"/>
      <w:ind w:firstLine="101"/>
    </w:pPr>
  </w:style>
  <w:style w:type="paragraph" w:customStyle="1" w:styleId="185">
    <w:name w:val="Char1 Char Char Char Char Char Char Char Char Char"/>
    <w:basedOn w:val="1"/>
    <w:qFormat/>
    <w:uiPriority w:val="0"/>
    <w:rPr>
      <w:szCs w:val="20"/>
    </w:rPr>
  </w:style>
  <w:style w:type="paragraph" w:customStyle="1" w:styleId="186">
    <w:name w:val="Style4"/>
    <w:basedOn w:val="1"/>
    <w:qFormat/>
    <w:uiPriority w:val="0"/>
  </w:style>
  <w:style w:type="paragraph" w:customStyle="1" w:styleId="187">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8">
    <w:name w:val="Style78"/>
    <w:basedOn w:val="1"/>
    <w:qFormat/>
    <w:uiPriority w:val="0"/>
  </w:style>
  <w:style w:type="paragraph" w:customStyle="1" w:styleId="189">
    <w:name w:val="Style60"/>
    <w:basedOn w:val="1"/>
    <w:qFormat/>
    <w:uiPriority w:val="0"/>
    <w:pPr>
      <w:spacing w:line="566" w:lineRule="exact"/>
    </w:pPr>
  </w:style>
  <w:style w:type="paragraph" w:customStyle="1" w:styleId="190">
    <w:name w:val="1"/>
    <w:basedOn w:val="1"/>
    <w:qFormat/>
    <w:uiPriority w:val="0"/>
    <w:pPr>
      <w:spacing w:afterLines="50" w:line="360" w:lineRule="auto"/>
    </w:pPr>
    <w:rPr>
      <w:rFonts w:ascii="宋体" w:hAnsi="宋体"/>
      <w:b/>
      <w:sz w:val="30"/>
      <w:szCs w:val="21"/>
    </w:rPr>
  </w:style>
  <w:style w:type="paragraph" w:customStyle="1" w:styleId="191">
    <w:name w:val="Style48"/>
    <w:basedOn w:val="1"/>
    <w:qFormat/>
    <w:uiPriority w:val="0"/>
    <w:pPr>
      <w:spacing w:line="542" w:lineRule="exact"/>
      <w:jc w:val="right"/>
    </w:pPr>
  </w:style>
  <w:style w:type="paragraph" w:customStyle="1" w:styleId="192">
    <w:name w:val="Style41"/>
    <w:basedOn w:val="1"/>
    <w:qFormat/>
    <w:uiPriority w:val="0"/>
    <w:pPr>
      <w:spacing w:line="542" w:lineRule="exact"/>
      <w:ind w:firstLine="125"/>
    </w:pPr>
  </w:style>
  <w:style w:type="paragraph" w:customStyle="1" w:styleId="193">
    <w:name w:val="Style50"/>
    <w:basedOn w:val="1"/>
    <w:qFormat/>
    <w:uiPriority w:val="0"/>
  </w:style>
  <w:style w:type="paragraph" w:customStyle="1" w:styleId="194">
    <w:name w:val="Char Char1 Char Char Char Char Char Char Char"/>
    <w:basedOn w:val="1"/>
    <w:qFormat/>
    <w:uiPriority w:val="0"/>
    <w:pPr>
      <w:widowControl/>
      <w:spacing w:after="160" w:line="240" w:lineRule="exact"/>
      <w:jc w:val="left"/>
    </w:pPr>
  </w:style>
  <w:style w:type="paragraph" w:customStyle="1" w:styleId="195">
    <w:name w:val="Style59"/>
    <w:basedOn w:val="1"/>
    <w:qFormat/>
    <w:uiPriority w:val="0"/>
  </w:style>
  <w:style w:type="paragraph" w:customStyle="1" w:styleId="196">
    <w:name w:val="Style27"/>
    <w:basedOn w:val="1"/>
    <w:qFormat/>
    <w:uiPriority w:val="0"/>
  </w:style>
  <w:style w:type="paragraph" w:customStyle="1" w:styleId="197">
    <w:name w:val="Style61"/>
    <w:basedOn w:val="1"/>
    <w:qFormat/>
    <w:uiPriority w:val="0"/>
  </w:style>
  <w:style w:type="paragraph" w:customStyle="1" w:styleId="198">
    <w:name w:val="Style80"/>
    <w:basedOn w:val="1"/>
    <w:qFormat/>
    <w:uiPriority w:val="0"/>
  </w:style>
  <w:style w:type="paragraph" w:customStyle="1" w:styleId="199">
    <w:name w:val="Style12"/>
    <w:basedOn w:val="1"/>
    <w:qFormat/>
    <w:uiPriority w:val="0"/>
    <w:pPr>
      <w:spacing w:line="564" w:lineRule="exact"/>
      <w:ind w:hanging="115"/>
    </w:pPr>
  </w:style>
  <w:style w:type="paragraph" w:customStyle="1" w:styleId="20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1">
    <w:name w:val="Style46"/>
    <w:basedOn w:val="1"/>
    <w:qFormat/>
    <w:uiPriority w:val="0"/>
    <w:pPr>
      <w:spacing w:line="672" w:lineRule="exact"/>
    </w:pPr>
  </w:style>
  <w:style w:type="paragraph" w:customStyle="1" w:styleId="202">
    <w:name w:val="Style53"/>
    <w:basedOn w:val="1"/>
    <w:qFormat/>
    <w:uiPriority w:val="0"/>
    <w:pPr>
      <w:spacing w:line="533" w:lineRule="exact"/>
      <w:ind w:firstLine="581"/>
    </w:pPr>
  </w:style>
  <w:style w:type="paragraph" w:customStyle="1" w:styleId="203">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4">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205">
    <w:name w:val="修订1"/>
    <w:qFormat/>
    <w:uiPriority w:val="0"/>
    <w:rPr>
      <w:rFonts w:ascii="Times New Roman" w:hAnsi="Times New Roman" w:eastAsia="宋体" w:cs="Times New Roman"/>
      <w:kern w:val="2"/>
      <w:sz w:val="21"/>
      <w:szCs w:val="24"/>
      <w:lang w:val="en-US" w:eastAsia="zh-CN" w:bidi="ar-SA"/>
    </w:rPr>
  </w:style>
  <w:style w:type="paragraph" w:customStyle="1" w:styleId="206">
    <w:name w:val="Style16"/>
    <w:basedOn w:val="1"/>
    <w:qFormat/>
    <w:uiPriority w:val="0"/>
    <w:pPr>
      <w:jc w:val="right"/>
    </w:pPr>
  </w:style>
  <w:style w:type="paragraph" w:customStyle="1" w:styleId="207">
    <w:name w:val="Table Paragraph"/>
    <w:basedOn w:val="1"/>
    <w:qFormat/>
    <w:uiPriority w:val="0"/>
    <w:pPr>
      <w:autoSpaceDE w:val="0"/>
      <w:autoSpaceDN w:val="0"/>
      <w:adjustRightInd w:val="0"/>
      <w:jc w:val="left"/>
    </w:pPr>
    <w:rPr>
      <w:rFonts w:ascii="Calibri" w:hAnsi="Calibri"/>
      <w:kern w:val="0"/>
      <w:sz w:val="24"/>
    </w:rPr>
  </w:style>
  <w:style w:type="paragraph" w:customStyle="1" w:styleId="208">
    <w:name w:val="Style77"/>
    <w:basedOn w:val="1"/>
    <w:qFormat/>
    <w:uiPriority w:val="0"/>
  </w:style>
  <w:style w:type="paragraph" w:customStyle="1" w:styleId="209">
    <w:name w:val="Style68"/>
    <w:basedOn w:val="1"/>
    <w:qFormat/>
    <w:uiPriority w:val="0"/>
    <w:pPr>
      <w:spacing w:line="547" w:lineRule="exact"/>
    </w:pPr>
  </w:style>
  <w:style w:type="paragraph" w:customStyle="1" w:styleId="210">
    <w:name w:val="Style58"/>
    <w:basedOn w:val="1"/>
    <w:qFormat/>
    <w:uiPriority w:val="0"/>
    <w:pPr>
      <w:spacing w:line="413" w:lineRule="exact"/>
    </w:pPr>
  </w:style>
  <w:style w:type="paragraph" w:customStyle="1" w:styleId="211">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2">
    <w:name w:val="Style42"/>
    <w:basedOn w:val="1"/>
    <w:qFormat/>
    <w:uiPriority w:val="0"/>
    <w:pPr>
      <w:spacing w:line="542" w:lineRule="exact"/>
      <w:ind w:firstLine="547"/>
    </w:pPr>
  </w:style>
  <w:style w:type="paragraph" w:customStyle="1" w:styleId="213">
    <w:name w:val="Style69"/>
    <w:basedOn w:val="1"/>
    <w:qFormat/>
    <w:uiPriority w:val="0"/>
    <w:pPr>
      <w:spacing w:line="557" w:lineRule="exact"/>
      <w:ind w:firstLine="1666"/>
    </w:pPr>
  </w:style>
  <w:style w:type="paragraph" w:customStyle="1" w:styleId="214">
    <w:name w:val="标题3"/>
    <w:basedOn w:val="3"/>
    <w:qFormat/>
    <w:uiPriority w:val="0"/>
    <w:pPr>
      <w:spacing w:beforeLines="50" w:afterLines="50" w:line="400" w:lineRule="exact"/>
      <w:jc w:val="both"/>
    </w:pPr>
    <w:rPr>
      <w:rFonts w:ascii="宋体" w:hAnsi="宋体"/>
      <w:kern w:val="32"/>
      <w:szCs w:val="32"/>
    </w:rPr>
  </w:style>
  <w:style w:type="paragraph" w:customStyle="1" w:styleId="215">
    <w:name w:val="Char Char1"/>
    <w:basedOn w:val="1"/>
    <w:qFormat/>
    <w:uiPriority w:val="0"/>
    <w:rPr>
      <w:rFonts w:ascii="Tahoma" w:hAnsi="Tahoma"/>
      <w:sz w:val="24"/>
      <w:szCs w:val="20"/>
    </w:rPr>
  </w:style>
  <w:style w:type="paragraph" w:customStyle="1" w:styleId="21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7">
    <w:name w:val="Style11"/>
    <w:basedOn w:val="1"/>
    <w:qFormat/>
    <w:uiPriority w:val="0"/>
    <w:pPr>
      <w:spacing w:line="559" w:lineRule="exact"/>
      <w:ind w:firstLine="590"/>
    </w:pPr>
  </w:style>
  <w:style w:type="paragraph" w:customStyle="1" w:styleId="218">
    <w:name w:val="Style23"/>
    <w:basedOn w:val="1"/>
    <w:qFormat/>
    <w:uiPriority w:val="0"/>
  </w:style>
  <w:style w:type="paragraph" w:customStyle="1" w:styleId="219">
    <w:name w:val="标准正文"/>
    <w:basedOn w:val="1"/>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0">
    <w:name w:val="列出段落1"/>
    <w:basedOn w:val="1"/>
    <w:qFormat/>
    <w:uiPriority w:val="0"/>
    <w:pPr>
      <w:ind w:firstLine="420" w:firstLineChars="200"/>
    </w:pPr>
    <w:rPr>
      <w:rFonts w:ascii="Calibri" w:hAnsi="Calibri"/>
      <w:szCs w:val="22"/>
    </w:rPr>
  </w:style>
  <w:style w:type="paragraph" w:customStyle="1" w:styleId="221">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2">
    <w:name w:val="1 Char Char Char Char"/>
    <w:basedOn w:val="1"/>
    <w:qFormat/>
    <w:uiPriority w:val="0"/>
  </w:style>
  <w:style w:type="paragraph" w:customStyle="1" w:styleId="223">
    <w:name w:val="Style13"/>
    <w:basedOn w:val="1"/>
    <w:qFormat/>
    <w:uiPriority w:val="0"/>
  </w:style>
  <w:style w:type="paragraph" w:customStyle="1" w:styleId="224">
    <w:name w:val="列出段落2"/>
    <w:basedOn w:val="1"/>
    <w:qFormat/>
    <w:uiPriority w:val="0"/>
    <w:pPr>
      <w:ind w:firstLine="420" w:firstLineChars="200"/>
    </w:pPr>
    <w:rPr>
      <w:rFonts w:ascii="Calibri" w:hAnsi="Calibri" w:cs="Calibri"/>
      <w:szCs w:val="21"/>
    </w:rPr>
  </w:style>
  <w:style w:type="paragraph" w:customStyle="1" w:styleId="225">
    <w:name w:val="Style65"/>
    <w:basedOn w:val="1"/>
    <w:qFormat/>
    <w:uiPriority w:val="0"/>
  </w:style>
  <w:style w:type="paragraph" w:customStyle="1" w:styleId="226">
    <w:name w:val="Char1 Char Char Char"/>
    <w:basedOn w:val="1"/>
    <w:qFormat/>
    <w:uiPriority w:val="0"/>
    <w:pPr>
      <w:widowControl/>
      <w:spacing w:after="160" w:line="240" w:lineRule="exact"/>
      <w:jc w:val="left"/>
    </w:pPr>
    <w:rPr>
      <w:kern w:val="0"/>
      <w:sz w:val="24"/>
      <w:szCs w:val="20"/>
    </w:rPr>
  </w:style>
  <w:style w:type="paragraph" w:customStyle="1" w:styleId="227">
    <w:name w:val="Style70"/>
    <w:basedOn w:val="1"/>
    <w:qFormat/>
    <w:uiPriority w:val="0"/>
    <w:pPr>
      <w:spacing w:line="549" w:lineRule="exact"/>
      <w:ind w:firstLine="686"/>
    </w:pPr>
  </w:style>
  <w:style w:type="paragraph" w:customStyle="1" w:styleId="228">
    <w:name w:val="标题2"/>
    <w:basedOn w:val="43"/>
    <w:qFormat/>
    <w:uiPriority w:val="0"/>
    <w:pPr>
      <w:spacing w:after="240"/>
      <w:jc w:val="left"/>
    </w:pPr>
    <w:rPr>
      <w:sz w:val="30"/>
    </w:rPr>
  </w:style>
  <w:style w:type="paragraph" w:customStyle="1" w:styleId="229">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0">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31">
    <w:name w:val="Char Char1 Char Char Char Char Char1 Char Char Char Char"/>
    <w:basedOn w:val="17"/>
    <w:qFormat/>
    <w:uiPriority w:val="0"/>
    <w:rPr>
      <w:rFonts w:ascii="Tahoma" w:hAnsi="Tahoma"/>
    </w:rPr>
  </w:style>
  <w:style w:type="paragraph" w:customStyle="1" w:styleId="232">
    <w:name w:val="标题 1 +"/>
    <w:basedOn w:val="3"/>
    <w:next w:val="1"/>
    <w:qFormat/>
    <w:uiPriority w:val="0"/>
    <w:pPr>
      <w:keepLines/>
      <w:spacing w:line="600" w:lineRule="auto"/>
    </w:pPr>
    <w:rPr>
      <w:rFonts w:eastAsia="黑体"/>
      <w:kern w:val="0"/>
      <w:sz w:val="32"/>
      <w:szCs w:val="32"/>
    </w:rPr>
  </w:style>
  <w:style w:type="paragraph" w:customStyle="1" w:styleId="233">
    <w:name w:val="样式1"/>
    <w:basedOn w:val="1"/>
    <w:next w:val="1"/>
    <w:link w:val="278"/>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3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5">
    <w:name w:val="附录标识"/>
    <w:basedOn w:val="229"/>
    <w:qFormat/>
    <w:uiPriority w:val="0"/>
    <w:pPr>
      <w:tabs>
        <w:tab w:val="clear" w:pos="360"/>
        <w:tab w:val="clear" w:pos="720"/>
      </w:tabs>
      <w:spacing w:after="200"/>
    </w:pPr>
    <w:rPr>
      <w:sz w:val="21"/>
    </w:rPr>
  </w:style>
  <w:style w:type="paragraph" w:customStyle="1" w:styleId="236">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7">
    <w:name w:val="Style29"/>
    <w:basedOn w:val="1"/>
    <w:qFormat/>
    <w:uiPriority w:val="0"/>
    <w:pPr>
      <w:spacing w:line="547" w:lineRule="exact"/>
      <w:ind w:firstLine="547"/>
    </w:pPr>
  </w:style>
  <w:style w:type="paragraph" w:customStyle="1" w:styleId="238">
    <w:name w:val="Style34"/>
    <w:basedOn w:val="1"/>
    <w:qFormat/>
    <w:uiPriority w:val="0"/>
    <w:pPr>
      <w:spacing w:line="375" w:lineRule="exact"/>
    </w:pPr>
  </w:style>
  <w:style w:type="paragraph" w:customStyle="1" w:styleId="239">
    <w:name w:val="默认段落字体 Para Char Char Char Char Char Char Char Char Char Char Char Char Char Char Char Char Char Char Char"/>
    <w:basedOn w:val="1"/>
    <w:qFormat/>
    <w:uiPriority w:val="0"/>
  </w:style>
  <w:style w:type="paragraph" w:customStyle="1" w:styleId="240">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1">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2">
    <w:name w:val="Style74"/>
    <w:basedOn w:val="1"/>
    <w:qFormat/>
    <w:uiPriority w:val="0"/>
    <w:pPr>
      <w:spacing w:line="437" w:lineRule="exact"/>
    </w:pPr>
  </w:style>
  <w:style w:type="paragraph" w:customStyle="1" w:styleId="243">
    <w:name w:val="Style28"/>
    <w:basedOn w:val="1"/>
    <w:qFormat/>
    <w:uiPriority w:val="0"/>
    <w:pPr>
      <w:spacing w:line="552" w:lineRule="exact"/>
      <w:ind w:firstLine="547"/>
    </w:pPr>
  </w:style>
  <w:style w:type="paragraph" w:customStyle="1" w:styleId="244">
    <w:name w:val="Style24"/>
    <w:basedOn w:val="1"/>
    <w:qFormat/>
    <w:uiPriority w:val="0"/>
  </w:style>
  <w:style w:type="paragraph" w:customStyle="1" w:styleId="245">
    <w:name w:val="Style63"/>
    <w:basedOn w:val="1"/>
    <w:qFormat/>
    <w:uiPriority w:val="0"/>
    <w:pPr>
      <w:spacing w:line="564" w:lineRule="exact"/>
      <w:ind w:firstLine="682"/>
    </w:pPr>
  </w:style>
  <w:style w:type="paragraph" w:customStyle="1" w:styleId="246">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7">
    <w:name w:val="Style45"/>
    <w:basedOn w:val="1"/>
    <w:qFormat/>
    <w:uiPriority w:val="0"/>
  </w:style>
  <w:style w:type="paragraph" w:customStyle="1" w:styleId="248">
    <w:name w:val="p16"/>
    <w:basedOn w:val="1"/>
    <w:qFormat/>
    <w:uiPriority w:val="0"/>
    <w:pPr>
      <w:widowControl/>
      <w:jc w:val="left"/>
    </w:pPr>
    <w:rPr>
      <w:kern w:val="0"/>
      <w:szCs w:val="21"/>
    </w:rPr>
  </w:style>
  <w:style w:type="paragraph" w:customStyle="1" w:styleId="249">
    <w:name w:val="Style64"/>
    <w:basedOn w:val="1"/>
    <w:qFormat/>
    <w:uiPriority w:val="0"/>
  </w:style>
  <w:style w:type="paragraph" w:customStyle="1" w:styleId="250">
    <w:name w:val="Style72"/>
    <w:basedOn w:val="1"/>
    <w:qFormat/>
    <w:uiPriority w:val="0"/>
  </w:style>
  <w:style w:type="paragraph" w:customStyle="1" w:styleId="251">
    <w:name w:val="Char Char Char"/>
    <w:basedOn w:val="1"/>
    <w:qFormat/>
    <w:uiPriority w:val="0"/>
    <w:rPr>
      <w:rFonts w:ascii="宋体" w:hAnsi="宋体"/>
      <w:b/>
      <w:sz w:val="28"/>
      <w:szCs w:val="28"/>
    </w:rPr>
  </w:style>
  <w:style w:type="paragraph" w:customStyle="1" w:styleId="252">
    <w:name w:val="Style21"/>
    <w:basedOn w:val="1"/>
    <w:qFormat/>
    <w:uiPriority w:val="0"/>
    <w:pPr>
      <w:spacing w:line="566" w:lineRule="exact"/>
      <w:ind w:firstLine="682"/>
    </w:pPr>
  </w:style>
  <w:style w:type="paragraph" w:customStyle="1" w:styleId="253">
    <w:name w:val="Style26"/>
    <w:basedOn w:val="1"/>
    <w:qFormat/>
    <w:uiPriority w:val="0"/>
  </w:style>
  <w:style w:type="paragraph" w:customStyle="1" w:styleId="254">
    <w:name w:val="表格内容"/>
    <w:basedOn w:val="2"/>
    <w:qFormat/>
    <w:uiPriority w:val="0"/>
    <w:pPr>
      <w:suppressLineNumbers/>
      <w:suppressAutoHyphens/>
      <w:jc w:val="left"/>
    </w:pPr>
    <w:rPr>
      <w:rFonts w:cs="Tahoma"/>
      <w:kern w:val="0"/>
      <w:sz w:val="24"/>
    </w:rPr>
  </w:style>
  <w:style w:type="paragraph" w:customStyle="1" w:styleId="255">
    <w:name w:val="Style47"/>
    <w:basedOn w:val="1"/>
    <w:qFormat/>
    <w:uiPriority w:val="0"/>
  </w:style>
  <w:style w:type="paragraph" w:customStyle="1" w:styleId="256">
    <w:name w:val="Style44"/>
    <w:basedOn w:val="1"/>
    <w:qFormat/>
    <w:uiPriority w:val="0"/>
  </w:style>
  <w:style w:type="paragraph" w:customStyle="1" w:styleId="257">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8">
    <w:name w:val="Style10"/>
    <w:basedOn w:val="1"/>
    <w:qFormat/>
    <w:uiPriority w:val="0"/>
    <w:pPr>
      <w:spacing w:line="538" w:lineRule="exact"/>
    </w:pPr>
  </w:style>
  <w:style w:type="paragraph" w:customStyle="1" w:styleId="259">
    <w:name w:val="List Paragraph"/>
    <w:basedOn w:val="1"/>
    <w:link w:val="277"/>
    <w:qFormat/>
    <w:uiPriority w:val="0"/>
    <w:pPr>
      <w:ind w:firstLine="420" w:firstLineChars="200"/>
    </w:pPr>
    <w:rPr>
      <w:rFonts w:ascii="Calibri" w:hAnsi="Calibri"/>
      <w:szCs w:val="22"/>
      <w:lang w:val="zh-CN"/>
    </w:rPr>
  </w:style>
  <w:style w:type="paragraph" w:customStyle="1" w:styleId="260">
    <w:name w:val="Style8"/>
    <w:basedOn w:val="1"/>
    <w:qFormat/>
    <w:uiPriority w:val="0"/>
    <w:pPr>
      <w:spacing w:line="566" w:lineRule="exact"/>
      <w:jc w:val="center"/>
    </w:pPr>
  </w:style>
  <w:style w:type="paragraph" w:customStyle="1" w:styleId="261">
    <w:name w:val="Style54"/>
    <w:basedOn w:val="1"/>
    <w:qFormat/>
    <w:uiPriority w:val="0"/>
  </w:style>
  <w:style w:type="paragraph" w:customStyle="1" w:styleId="262">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3">
    <w:name w:val="Style81"/>
    <w:basedOn w:val="1"/>
    <w:qFormat/>
    <w:uiPriority w:val="0"/>
    <w:pPr>
      <w:spacing w:line="547" w:lineRule="exact"/>
    </w:pPr>
  </w:style>
  <w:style w:type="paragraph" w:customStyle="1" w:styleId="264">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5">
    <w:name w:val="Style56"/>
    <w:basedOn w:val="1"/>
    <w:qFormat/>
    <w:uiPriority w:val="0"/>
  </w:style>
  <w:style w:type="paragraph" w:customStyle="1" w:styleId="266">
    <w:name w:val="Style5"/>
    <w:basedOn w:val="1"/>
    <w:qFormat/>
    <w:uiPriority w:val="0"/>
  </w:style>
  <w:style w:type="paragraph" w:customStyle="1" w:styleId="267">
    <w:name w:val="Style67"/>
    <w:basedOn w:val="1"/>
    <w:qFormat/>
    <w:uiPriority w:val="0"/>
    <w:pPr>
      <w:spacing w:line="566" w:lineRule="exact"/>
      <w:ind w:firstLine="552"/>
    </w:pPr>
  </w:style>
  <w:style w:type="paragraph" w:customStyle="1" w:styleId="268">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9">
    <w:name w:val="Char Char Char1"/>
    <w:basedOn w:val="1"/>
    <w:qFormat/>
    <w:uiPriority w:val="0"/>
    <w:rPr>
      <w:rFonts w:ascii="宋体" w:hAnsi="宋体"/>
      <w:b/>
      <w:sz w:val="28"/>
      <w:szCs w:val="28"/>
    </w:rPr>
  </w:style>
  <w:style w:type="paragraph" w:customStyle="1" w:styleId="270">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2">
    <w:name w:val="fontstyle01"/>
    <w:qFormat/>
    <w:uiPriority w:val="0"/>
    <w:rPr>
      <w:rFonts w:hint="eastAsia" w:ascii="宋体" w:hAnsi="宋体" w:eastAsia="宋体"/>
      <w:color w:val="000000"/>
      <w:sz w:val="24"/>
      <w:szCs w:val="24"/>
    </w:rPr>
  </w:style>
  <w:style w:type="character" w:customStyle="1" w:styleId="273">
    <w:name w:val="fontstyle11"/>
    <w:qFormat/>
    <w:uiPriority w:val="0"/>
    <w:rPr>
      <w:rFonts w:hint="default" w:ascii="TimesNewRomanPSMT" w:hAnsi="TimesNewRomanPSMT"/>
      <w:color w:val="000000"/>
      <w:sz w:val="24"/>
      <w:szCs w:val="24"/>
    </w:rPr>
  </w:style>
  <w:style w:type="paragraph" w:customStyle="1" w:styleId="274">
    <w:name w:val="TOC 标题1"/>
    <w:basedOn w:val="3"/>
    <w:next w:val="1"/>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5">
    <w:name w:val="fontstyle21"/>
    <w:qFormat/>
    <w:uiPriority w:val="0"/>
    <w:rPr>
      <w:rFonts w:hint="eastAsia" w:ascii="宋体" w:hAnsi="宋体" w:eastAsia="宋体"/>
      <w:color w:val="993300"/>
      <w:sz w:val="24"/>
      <w:szCs w:val="24"/>
    </w:rPr>
  </w:style>
  <w:style w:type="character" w:customStyle="1" w:styleId="276">
    <w:name w:val="fontstyle31"/>
    <w:qFormat/>
    <w:uiPriority w:val="0"/>
    <w:rPr>
      <w:rFonts w:hint="default" w:ascii="Arial" w:hAnsi="Arial" w:cs="Arial"/>
      <w:color w:val="993300"/>
      <w:sz w:val="24"/>
      <w:szCs w:val="24"/>
    </w:rPr>
  </w:style>
  <w:style w:type="character" w:customStyle="1" w:styleId="277">
    <w:name w:val="列表段落 字符"/>
    <w:link w:val="259"/>
    <w:qFormat/>
    <w:uiPriority w:val="0"/>
    <w:rPr>
      <w:rFonts w:ascii="Calibri" w:hAnsi="Calibri"/>
      <w:kern w:val="2"/>
      <w:sz w:val="21"/>
      <w:szCs w:val="22"/>
    </w:rPr>
  </w:style>
  <w:style w:type="character" w:customStyle="1" w:styleId="278">
    <w:name w:val="样式1 Char Char"/>
    <w:link w:val="233"/>
    <w:qFormat/>
    <w:uiPriority w:val="0"/>
    <w:rPr>
      <w:rFonts w:ascii="宋体" w:hAnsi="宋体"/>
      <w:sz w:val="21"/>
      <w:szCs w:val="21"/>
    </w:rPr>
  </w:style>
  <w:style w:type="character" w:customStyle="1" w:styleId="279">
    <w:name w:val="正文文本首行缩进 2 字符"/>
    <w:link w:val="46"/>
    <w:qFormat/>
    <w:uiPriority w:val="0"/>
    <w:rPr>
      <w:kern w:val="2"/>
      <w:sz w:val="21"/>
      <w:szCs w:val="24"/>
    </w:rPr>
  </w:style>
  <w:style w:type="character" w:customStyle="1" w:styleId="280">
    <w:name w:val="正文文本首行缩进 2 字符1"/>
    <w:basedOn w:val="112"/>
    <w:qFormat/>
    <w:uiPriority w:val="0"/>
    <w:rPr>
      <w:rFonts w:eastAsia="宋体"/>
      <w:kern w:val="2"/>
      <w:sz w:val="21"/>
      <w:szCs w:val="24"/>
      <w:lang w:val="en-US" w:eastAsia="zh-CN" w:bidi="ar-SA"/>
    </w:rPr>
  </w:style>
  <w:style w:type="paragraph" w:customStyle="1" w:styleId="281">
    <w:name w:val="_Style 2"/>
    <w:basedOn w:val="1"/>
    <w:next w:val="1"/>
    <w:qFormat/>
    <w:uiPriority w:val="0"/>
    <w:rPr>
      <w:szCs w:val="20"/>
    </w:rPr>
  </w:style>
  <w:style w:type="paragraph" w:customStyle="1" w:styleId="282">
    <w:name w:val="p1"/>
    <w:basedOn w:val="1"/>
    <w:qFormat/>
    <w:uiPriority w:val="0"/>
    <w:pPr>
      <w:spacing w:line="380" w:lineRule="atLeast"/>
      <w:jc w:val="left"/>
    </w:pPr>
    <w:rPr>
      <w:rFonts w:ascii="Helvetica Neue" w:hAnsi="Helvetica Neue" w:eastAsia="Helvetica Neue"/>
      <w:color w:val="000000"/>
      <w:kern w:val="0"/>
      <w:sz w:val="26"/>
      <w:szCs w:val="26"/>
    </w:rPr>
  </w:style>
  <w:style w:type="paragraph" w:customStyle="1" w:styleId="283">
    <w:name w:val="标题4"/>
    <w:basedOn w:val="6"/>
    <w:next w:val="6"/>
    <w:qFormat/>
    <w:uiPriority w:val="99"/>
    <w:pPr>
      <w:keepNext w:val="0"/>
      <w:keepLines w:val="0"/>
      <w:spacing w:before="0" w:after="0" w:line="271" w:lineRule="auto"/>
    </w:pPr>
    <w:rPr>
      <w:rFonts w:ascii="宋体" w:hAnsi="宋体" w:eastAsia="宋体"/>
      <w:bCs w:val="0"/>
      <w:color w:val="000000"/>
      <w:spacing w:val="5"/>
      <w:sz w:val="21"/>
      <w:szCs w:val="21"/>
    </w:rPr>
  </w:style>
  <w:style w:type="character" w:customStyle="1" w:styleId="284">
    <w:name w:val="NormalCharacter"/>
    <w:qFormat/>
    <w:uiPriority w:val="0"/>
    <w:rPr>
      <w:rFonts w:ascii="Calibri" w:hAnsi="Calibri" w:eastAsia="宋体" w:cs="Times New Roman"/>
      <w:kern w:val="2"/>
      <w:sz w:val="21"/>
      <w:szCs w:val="24"/>
      <w:lang w:val="en-US" w:eastAsia="zh-CN" w:bidi="ar-SA"/>
    </w:rPr>
  </w:style>
  <w:style w:type="paragraph" w:customStyle="1" w:styleId="285">
    <w:name w:val="BodyText1I2"/>
    <w:basedOn w:val="286"/>
    <w:qFormat/>
    <w:uiPriority w:val="0"/>
    <w:pPr>
      <w:spacing w:line="360" w:lineRule="auto"/>
      <w:ind w:firstLine="420" w:firstLineChars="200"/>
    </w:pPr>
    <w:rPr>
      <w:sz w:val="24"/>
      <w:szCs w:val="20"/>
    </w:rPr>
  </w:style>
  <w:style w:type="paragraph" w:customStyle="1" w:styleId="286">
    <w:name w:val="BodyTextIndent"/>
    <w:basedOn w:val="1"/>
    <w:qFormat/>
    <w:uiPriority w:val="0"/>
    <w:pPr>
      <w:spacing w:after="120"/>
      <w:ind w:left="420" w:leftChars="200"/>
    </w:pPr>
  </w:style>
  <w:style w:type="character" w:customStyle="1" w:styleId="287">
    <w:name w:val="font01"/>
    <w:basedOn w:val="49"/>
    <w:qFormat/>
    <w:uiPriority w:val="0"/>
    <w:rPr>
      <w:rFonts w:hint="eastAsia" w:ascii="宋体" w:hAnsi="宋体" w:eastAsia="宋体" w:cs="宋体"/>
      <w:color w:val="000000"/>
      <w:sz w:val="18"/>
      <w:szCs w:val="18"/>
      <w:u w:val="none"/>
    </w:rPr>
  </w:style>
  <w:style w:type="paragraph" w:customStyle="1" w:styleId="288">
    <w:name w:val="_Style 6"/>
    <w:basedOn w:val="1"/>
    <w:next w:val="259"/>
    <w:qFormat/>
    <w:uiPriority w:val="34"/>
    <w:pPr>
      <w:ind w:firstLine="420" w:firstLineChars="200"/>
    </w:pPr>
    <w:rPr>
      <w:rFonts w:ascii="Calibri" w:hAnsi="Calibri"/>
    </w:rPr>
  </w:style>
  <w:style w:type="paragraph" w:customStyle="1" w:styleId="289">
    <w:name w:val="正文_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0">
    <w:name w:val="正文_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1">
    <w:name w:val="正文_7"/>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2">
    <w:name w:val="正文_9"/>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正文_1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4">
    <w:name w:val="正文_2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5">
    <w:name w:val="正文_2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正文_28"/>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7">
    <w:name w:val="正文_61_0"/>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8">
    <w:name w:val="正文_65"/>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9">
    <w:name w:val="正文_68"/>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0">
    <w:name w:val="正文_72"/>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1">
    <w:name w:val="正文_7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2">
    <w:name w:val="Revision_9c9711bd-bd53-4dc2-8a49-d88af91663cc"/>
    <w:qFormat/>
    <w:uiPriority w:val="99"/>
    <w:rPr>
      <w:rFonts w:ascii="Times New Roman" w:hAnsi="Times New Roman" w:eastAsia="宋体" w:cs="Times New Roman"/>
      <w:kern w:val="2"/>
      <w:sz w:val="21"/>
      <w:szCs w:val="24"/>
      <w:lang w:val="en-US" w:eastAsia="zh-CN" w:bidi="ar-SA"/>
    </w:rPr>
  </w:style>
  <w:style w:type="paragraph" w:customStyle="1" w:styleId="303">
    <w:name w:val="样式2"/>
    <w:basedOn w:val="259"/>
    <w:next w:val="1"/>
    <w:qFormat/>
    <w:uiPriority w:val="0"/>
    <w:pPr>
      <w:tabs>
        <w:tab w:val="left" w:pos="360"/>
      </w:tabs>
      <w:spacing w:before="240" w:after="60"/>
    </w:pPr>
    <w:rPr>
      <w:rFonts w:ascii="Cambria" w:hAnsi="Cambria"/>
      <w:sz w:val="32"/>
    </w:rPr>
  </w:style>
  <w:style w:type="character" w:customStyle="1" w:styleId="304">
    <w:name w:val="正文文本 Char1"/>
    <w:qFormat/>
    <w:uiPriority w:val="0"/>
    <w:rPr>
      <w:kern w:val="2"/>
      <w:sz w:val="21"/>
      <w:szCs w:val="22"/>
    </w:rPr>
  </w:style>
  <w:style w:type="paragraph" w:customStyle="1" w:styleId="30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06">
    <w:name w:val="List Paragraph_c5745efb-b79d-4adc-a305-6685f047f37d"/>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A8E6FA-6A01-451F-93BC-3798E95BA98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75</Pages>
  <Words>36830</Words>
  <Characters>39633</Characters>
  <Lines>0</Lines>
  <Paragraphs>1941</Paragraphs>
  <TotalTime>34</TotalTime>
  <ScaleCrop>false</ScaleCrop>
  <LinksUpToDate>false</LinksUpToDate>
  <CharactersWithSpaces>42924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2024-05-31T05:34:00Z</dcterms:created>
  <dc:creator>Administrator</dc:creator>
  <cp:lastModifiedBy>Administrator</cp:lastModifiedBy>
  <cp:lastPrinted>2026-09-14T02:23:00Z</cp:lastPrinted>
  <dcterms:modified xsi:type="dcterms:W3CDTF">2026-10-26T02:06:57Z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38997CA2D1284796867372D87B96AF9F_13</vt:lpwstr>
  </property>
  <property fmtid="{D5CDD505-2E9C-101B-9397-08002B2CF9AE}" pid="4" name="KSOTemplateDocerSaveRecord">
    <vt:lpwstr>eyJoZGlkIjoiOTJhNzhkNTIzOGI5ZWEzYWNiMWM2YWQ5OTZkNTc1YWMifQ==</vt:lpwstr>
  </property>
</Properties>
</file>