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27BFC">
      <w:pPr>
        <w:snapToGrid w:val="0"/>
        <w:spacing w:line="360" w:lineRule="auto"/>
        <w:jc w:val="center"/>
        <w:rPr>
          <w:rFonts w:ascii="黑体" w:hAnsi="黑体" w:eastAsia="黑体" w:cs="华文中宋"/>
          <w:b/>
          <w:sz w:val="32"/>
          <w:szCs w:val="32"/>
        </w:rPr>
      </w:pPr>
      <w:r>
        <w:rPr>
          <w:rFonts w:hint="eastAsia" w:ascii="黑体" w:hAnsi="黑体" w:eastAsia="黑体" w:cs="华文中宋"/>
          <w:b/>
          <w:sz w:val="32"/>
          <w:szCs w:val="32"/>
        </w:rPr>
        <w:t>采购需求</w:t>
      </w:r>
    </w:p>
    <w:p w14:paraId="26EFCBC9">
      <w:pPr>
        <w:widowControl w:val="0"/>
        <w:spacing w:line="480" w:lineRule="auto"/>
        <w:ind w:left="0" w:leftChars="0" w:firstLine="482" w:firstLineChars="200"/>
        <w:jc w:val="both"/>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一、项目名称：</w:t>
      </w:r>
      <w:r>
        <w:rPr>
          <w:rFonts w:hint="eastAsia" w:ascii="宋体" w:hAnsi="宋体" w:eastAsia="宋体" w:cs="宋体"/>
          <w:b w:val="0"/>
          <w:bCs/>
          <w:color w:val="auto"/>
          <w:kern w:val="2"/>
          <w:sz w:val="24"/>
          <w:szCs w:val="24"/>
          <w:highlight w:val="none"/>
          <w:lang w:val="en-US" w:eastAsia="zh-CN" w:bidi="ar-SA"/>
        </w:rPr>
        <w:t>岳阳县城乡垃圾收转运一体化建设项目（垃圾中转站压缩设备、除臭设备政府采购项目）</w:t>
      </w:r>
    </w:p>
    <w:p w14:paraId="69AA85AB">
      <w:pPr>
        <w:spacing w:line="360" w:lineRule="auto"/>
        <w:ind w:right="-92" w:rightChars="-44" w:firstLine="422" w:firstLineChars="200"/>
        <w:rPr>
          <w:rFonts w:hint="default" w:ascii="Times New Roman" w:hAnsi="宋体" w:eastAsia="宋体" w:cs="Times New Roman"/>
          <w:color w:val="auto"/>
          <w:szCs w:val="21"/>
          <w:highlight w:val="none"/>
          <w:lang w:val="en-US" w:eastAsia="zh-CN"/>
        </w:rPr>
      </w:pPr>
      <w:r>
        <w:rPr>
          <w:rFonts w:hint="eastAsia" w:ascii="Times New Roman" w:hAnsi="宋体" w:eastAsia="宋体" w:cs="Times New Roman"/>
          <w:b/>
          <w:bCs/>
          <w:color w:val="auto"/>
          <w:szCs w:val="21"/>
          <w:highlight w:val="none"/>
        </w:rPr>
        <w:t>二、采购项目预算</w:t>
      </w:r>
      <w:r>
        <w:rPr>
          <w:rFonts w:hint="eastAsia" w:ascii="Times New Roman" w:hAnsi="宋体" w:eastAsia="宋体" w:cs="Times New Roman"/>
          <w:color w:val="auto"/>
          <w:szCs w:val="21"/>
          <w:highlight w:val="none"/>
        </w:rPr>
        <w:t>：</w:t>
      </w:r>
      <w:r>
        <w:rPr>
          <w:rFonts w:hint="eastAsia" w:ascii="宋体" w:hAnsi="宋体" w:eastAsia="宋体" w:cs="宋体"/>
          <w:b w:val="0"/>
          <w:bCs/>
          <w:color w:val="auto"/>
          <w:kern w:val="2"/>
          <w:sz w:val="24"/>
          <w:szCs w:val="24"/>
          <w:highlight w:val="none"/>
          <w:lang w:val="en-US" w:eastAsia="zh-CN" w:bidi="ar-SA"/>
        </w:rPr>
        <w:t>6,088,700.00元；最高限价：6,088,700.00元。</w:t>
      </w:r>
    </w:p>
    <w:p w14:paraId="13E0A782">
      <w:pPr>
        <w:keepNext/>
        <w:keepLines/>
        <w:widowControl w:val="0"/>
        <w:numPr>
          <w:ilvl w:val="1"/>
          <w:numId w:val="1"/>
        </w:numPr>
        <w:adjustRightInd w:val="0"/>
        <w:snapToGrid w:val="0"/>
        <w:spacing w:before="156" w:beforeLines="50" w:line="360" w:lineRule="auto"/>
        <w:jc w:val="center"/>
        <w:outlineLvl w:val="1"/>
        <w:rPr>
          <w:rFonts w:hint="eastAsia" w:ascii="黑体" w:hAnsi="黑体" w:eastAsia="黑体" w:cs="Times New Roman"/>
          <w:b/>
          <w:bCs/>
          <w:kern w:val="0"/>
          <w:sz w:val="28"/>
          <w:szCs w:val="28"/>
          <w:highlight w:val="none"/>
          <w:lang w:val="en-US" w:eastAsia="zh-CN" w:bidi="ar-SA"/>
        </w:rPr>
      </w:pPr>
      <w:r>
        <w:rPr>
          <w:rFonts w:hint="eastAsia" w:ascii="黑体" w:hAnsi="黑体" w:eastAsia="黑体" w:cs="Times New Roman"/>
          <w:b/>
          <w:bCs/>
          <w:kern w:val="0"/>
          <w:sz w:val="28"/>
          <w:szCs w:val="28"/>
          <w:highlight w:val="none"/>
          <w:lang w:val="en-US" w:eastAsia="zh-CN" w:bidi="ar-SA"/>
        </w:rPr>
        <w:t>第一节  项目概况及技术要求</w:t>
      </w:r>
    </w:p>
    <w:p w14:paraId="394B38EE">
      <w:pPr>
        <w:tabs>
          <w:tab w:val="left" w:pos="360"/>
        </w:tabs>
        <w:spacing w:line="360" w:lineRule="auto"/>
        <w:ind w:left="414" w:leftChars="104" w:hanging="196" w:hangingChars="82"/>
        <w:textAlignment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1.总体说明</w:t>
      </w:r>
    </w:p>
    <w:p w14:paraId="21733EB5">
      <w:pPr>
        <w:tabs>
          <w:tab w:val="left" w:pos="360"/>
        </w:tabs>
        <w:spacing w:line="360" w:lineRule="auto"/>
        <w:ind w:left="7" w:leftChars="0" w:firstLine="213" w:firstLineChars="0"/>
        <w:textAlignment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1.1采购项目名称：岳阳县城乡垃圾收转运一体化建设项目（垃圾中转站压缩设备、除臭设备政府采购项目）</w:t>
      </w:r>
    </w:p>
    <w:p w14:paraId="3D3D8462">
      <w:pPr>
        <w:tabs>
          <w:tab w:val="left" w:pos="360"/>
        </w:tabs>
        <w:spacing w:line="360" w:lineRule="auto"/>
        <w:ind w:left="907" w:leftChars="0" w:hanging="687" w:firstLineChars="0"/>
        <w:textAlignment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1.2技术规格、参数与要求：详见设备技术参数说明及清单（附后）</w:t>
      </w:r>
    </w:p>
    <w:p w14:paraId="602EBE41">
      <w:pPr>
        <w:tabs>
          <w:tab w:val="left" w:pos="360"/>
        </w:tabs>
        <w:spacing w:line="360" w:lineRule="auto"/>
        <w:ind w:left="7" w:leftChars="0" w:firstLine="193" w:firstLineChars="0"/>
        <w:textAlignment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1.3供货范围：本项目采用费用包干方式建设（交钥匙项目，确保所有产品正常使用），合同总价包含但不限于项目所需的货物、材料购置等费用。供应商应根据项目要求和现场情况，详细列明项目所需的货物、设备及材料购置，以及产品运输保险保管、项目安装调试、税费、试运行测试通过验收、质保期免费保修维护等所有人工、管理、财务、税金等所有费用，如一旦中标，在项目实施中出现任何遗漏，均由中标人免费提供，采购人不再支付任何费用。</w:t>
      </w:r>
    </w:p>
    <w:p w14:paraId="05FAEEF1">
      <w:pPr>
        <w:tabs>
          <w:tab w:val="left" w:pos="360"/>
        </w:tabs>
        <w:spacing w:line="360" w:lineRule="auto"/>
        <w:ind w:left="907" w:leftChars="0" w:hanging="687" w:firstLineChars="0"/>
        <w:textAlignment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1.4验收标准和方法：本次招标采购产品质量和安装质量均需满足国家现行规范和标准要求。</w:t>
      </w:r>
    </w:p>
    <w:p w14:paraId="75B775D4">
      <w:pPr>
        <w:tabs>
          <w:tab w:val="left" w:pos="360"/>
        </w:tabs>
        <w:spacing w:line="360" w:lineRule="auto"/>
        <w:ind w:left="7" w:leftChars="0" w:firstLine="213" w:firstLineChars="0"/>
        <w:textAlignment w:val="center"/>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1.5安装调试及技术服务(含培训)要求：本项目要求安装调试完毕后交验，并免费提供培训服务及相关技术资料。</w:t>
      </w:r>
    </w:p>
    <w:p w14:paraId="53278A9E">
      <w:pPr>
        <w:tabs>
          <w:tab w:val="left" w:pos="360"/>
        </w:tabs>
        <w:spacing w:line="360" w:lineRule="auto"/>
        <w:ind w:left="907" w:leftChars="0" w:hanging="687" w:firstLineChars="0"/>
        <w:textAlignment w:val="center"/>
        <w:rPr>
          <w:rFonts w:hint="default"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1.6交货日期：合同签订后60日历天内全部交货、安装调试并验收合格。</w:t>
      </w:r>
    </w:p>
    <w:tbl>
      <w:tblPr>
        <w:tblStyle w:val="2"/>
        <w:tblW w:w="103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3"/>
        <w:gridCol w:w="927"/>
        <w:gridCol w:w="7296"/>
        <w:gridCol w:w="711"/>
        <w:gridCol w:w="721"/>
      </w:tblGrid>
      <w:tr w14:paraId="138D1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6" w:hRule="atLeast"/>
          <w:jc w:val="center"/>
        </w:trPr>
        <w:tc>
          <w:tcPr>
            <w:tcW w:w="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F614C">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序号</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734C6">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名称</w:t>
            </w:r>
          </w:p>
        </w:tc>
        <w:tc>
          <w:tcPr>
            <w:tcW w:w="7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13E57">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参数</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30D0C">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单位</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498D0">
            <w:pPr>
              <w:keepNext w:val="0"/>
              <w:keepLines w:val="0"/>
              <w:widowControl/>
              <w:suppressLineNumbers w:val="0"/>
              <w:jc w:val="center"/>
              <w:textAlignment w:val="center"/>
              <w:rPr>
                <w:rFonts w:hint="default"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数量</w:t>
            </w:r>
          </w:p>
        </w:tc>
      </w:tr>
      <w:tr w14:paraId="3712C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6" w:hRule="atLeast"/>
          <w:jc w:val="center"/>
        </w:trPr>
        <w:tc>
          <w:tcPr>
            <w:tcW w:w="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84867">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1</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72E1D">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四立柱垂直压缩式垃圾站</w:t>
            </w:r>
          </w:p>
        </w:tc>
        <w:tc>
          <w:tcPr>
            <w:tcW w:w="7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80A6E">
            <w:pPr>
              <w:keepNext w:val="0"/>
              <w:keepLines w:val="0"/>
              <w:widowControl/>
              <w:numPr>
                <w:ilvl w:val="0"/>
                <w:numId w:val="2"/>
              </w:numPr>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总体要求：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1.压缩方式为压头垂直压缩；</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2.压缩油缸形式为三支油缸组合，即两支提升油缸+一支压缩油缸；</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二、主要技术参数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1.工作高度:设备最大工作高度≤6.15米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2.设备外形尺寸（长×宽×高）:5700×3100×6150</w:t>
            </w:r>
            <w:r>
              <w:rPr>
                <w:rFonts w:hint="eastAsia" w:ascii="宋体" w:hAnsi="宋体" w:eastAsia="宋体" w:cs="宋体"/>
                <w:i w:val="0"/>
                <w:iCs w:val="0"/>
                <w:color w:val="0000FF"/>
                <w:kern w:val="0"/>
                <w:sz w:val="22"/>
                <w:szCs w:val="22"/>
                <w:u w:val="none"/>
                <w:lang w:val="en-US" w:eastAsia="zh-CN" w:bidi="ar"/>
              </w:rPr>
              <w:t>(mm)，允许偏差±50mm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3.主机功率：≥15KW</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4.压缩油缸缸径：φ250</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 xml:space="preserve">5.压实密度:≥0.92t/m3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6.最大压缩力：≥120 t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7.压缩仓的净空：≥5.3 m3</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8.每块垃圾重量：≥4t，一次装两块。</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9.日处理垃圾量：≥80t</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10.垃圾块尺寸（长×宽×高）:</w:t>
            </w:r>
            <w:r>
              <w:rPr>
                <w:rFonts w:hint="eastAsia" w:ascii="宋体" w:hAnsi="宋体" w:eastAsia="宋体" w:cs="宋体"/>
                <w:i w:val="0"/>
                <w:iCs w:val="0"/>
                <w:color w:val="0000FF"/>
                <w:kern w:val="0"/>
                <w:sz w:val="22"/>
                <w:szCs w:val="22"/>
                <w:u w:val="none"/>
                <w:lang w:val="en-US" w:eastAsia="zh-CN" w:bidi="ar"/>
              </w:rPr>
              <w:t>1900×1650×1400(mm)，允许偏差±50mm。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三、性能及要求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1.地坑内垃圾箱要求：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①采用整体式箱体：即箱体具有压缩仓、存贮仓、推铲工作仓；</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②箱体钢板底板厚度≥10mm，侧板≥8mm；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③箱体上油管排列整齐、做防锈处理；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④箱体上电缆采用金属套管封闭走线，不允许外露（提供实物照片）；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2.机架:地面必须有四根导向立柱</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①四立柱截面尺寸不小于250×250方管,厚度不小于8mm。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②设置防箱体坠落安全装置，确保人身安全和设备安全。（提供实物照片证明）</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③箱体与立柱之间采用滚轮接触限位，间隙可调，滚轮与立柱接触部位局部加强，提升耐久性（提供实物照片证明）。</w:t>
            </w:r>
          </w:p>
          <w:p w14:paraId="67C7D600">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lang w:val="en-US" w:eastAsia="zh-CN" w:bidi="ar"/>
              </w:rPr>
              <w:t>3.</w:t>
            </w:r>
            <w:r>
              <w:rPr>
                <w:rFonts w:hint="eastAsia" w:ascii="宋体" w:hAnsi="宋体" w:eastAsia="宋体" w:cs="宋体"/>
                <w:i w:val="0"/>
                <w:iCs w:val="0"/>
                <w:color w:val="auto"/>
                <w:kern w:val="0"/>
                <w:sz w:val="22"/>
                <w:szCs w:val="22"/>
                <w:u w:val="none"/>
                <w:lang w:val="en-US" w:eastAsia="zh-CN" w:bidi="ar"/>
              </w:rPr>
              <w:t>压头: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①压缩油缸与压头的联接方式采用球铰联接，提高安全性；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②压头底板采用高强度耐磨板，硬度≥400HB，屈服强度≥1200MPa，断后伸长率≥12%；（提供第三方带CMA或CNAS标识的检测报告，检测内容须包括硬度、屈服强度、断后伸长率）；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③压头上设置4支用于提箱的插销，插销直径≥40mm；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④压缩装置中的销轴具有较好的防腐性能；需满足《GB/T 10125-2021 人造气氛腐蚀试验盐雾试验》720h中性盐雾试验,检验结果评级不低于 9 级。（提供第三方带CMA或CNAS标识的检测报告）</w:t>
            </w:r>
          </w:p>
          <w:p w14:paraId="1EF1F687">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4.电气系统：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①采用自动、手动两套控制系统：即当电气系统出现故障时，可采用手动继续工作；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②采用 PLC 程序控制；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③电气控制柜具有良好的防水防尘性能；其防水性能不低于于IPX6，防尘性能不低于于IP5X（提供第三方带CMA或CNAS标识的检测报告）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④设有接地电阻≤0.4Ω，确保设备人身安全；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5.液压系统：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①油箱散热性能良好；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②采用分体式阀组，管路简洁美观；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③油箱顶面四周设置积油槽，保持油箱顶面清洁，防止积油、积水；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④组合油缸上设置液压锁，防止爆管后箱体下坠，确保安全；（提供实物照片）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6.结构件：结构件表面防腐技术先进，箱体内外表面都经过喷丸和特殊防锈防腐处理。（抛光/喷砂除锈等级须达到Sa2.5级）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7.垃圾压缩机的焊接工艺符合相关要求；(提供第三方焊接工艺评定报告)</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BF023">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套</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21946">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14</w:t>
            </w:r>
          </w:p>
        </w:tc>
      </w:tr>
      <w:tr w14:paraId="650A1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6" w:hRule="atLeast"/>
          <w:jc w:val="center"/>
        </w:trPr>
        <w:tc>
          <w:tcPr>
            <w:tcW w:w="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EEA26">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2</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B11E1">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无立柱垂直压缩式垃圾站</w:t>
            </w:r>
          </w:p>
        </w:tc>
        <w:tc>
          <w:tcPr>
            <w:tcW w:w="7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0C331">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lang w:val="en-US" w:eastAsia="zh-CN" w:bidi="ar"/>
              </w:rPr>
              <w:t>一、</w:t>
            </w:r>
            <w:r>
              <w:rPr>
                <w:rFonts w:hint="eastAsia" w:ascii="宋体" w:hAnsi="宋体" w:eastAsia="宋体" w:cs="宋体"/>
                <w:i w:val="0"/>
                <w:iCs w:val="0"/>
                <w:color w:val="auto"/>
                <w:kern w:val="0"/>
                <w:sz w:val="22"/>
                <w:szCs w:val="22"/>
                <w:u w:val="none"/>
                <w:lang w:val="en-US" w:eastAsia="zh-CN" w:bidi="ar"/>
              </w:rPr>
              <w:t>总体要求：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1.设备压缩方式为压头往后侧翻式或压头侧翻式垂直压缩；</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2.箱体举升过程具有水平前移功能；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3.设备地面以上无立柱；（提供实物照片佐证）</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4.工作高度:设备最大工作高度≤5.6米；</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5.设备地坑尺寸（长×宽×深）:≤6200×3500×1900 (mm)；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二、主要技术参数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1.主机功率：≥15KW；</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2.压缩油缸：φ250；</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3.压头侧翻时间：≤40s，卸料升降时间：≤150s；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4.压实密度：≥0.92t/m3；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5.最大压缩力：≥120 t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6.压缩仓的净空：≥5.3m3，总容积：≥10.5m3；（1-6项提供第三方带CMA或CNAS标识的检测报告）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7.每块垃圾重量：≥4t，一次装两块；</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8.日处理垃圾量：≥80t</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9.垃圾块尺寸（长×宽×高）:</w:t>
            </w:r>
            <w:r>
              <w:rPr>
                <w:rFonts w:hint="eastAsia" w:ascii="宋体" w:hAnsi="宋体" w:eastAsia="宋体" w:cs="宋体"/>
                <w:i w:val="0"/>
                <w:iCs w:val="0"/>
                <w:color w:val="0000FF"/>
                <w:kern w:val="0"/>
                <w:sz w:val="22"/>
                <w:szCs w:val="22"/>
                <w:u w:val="none"/>
                <w:lang w:val="en-US" w:eastAsia="zh-CN" w:bidi="ar"/>
              </w:rPr>
              <w:t>1900×1650×1400(mm)，允许偏差±50mm</w:t>
            </w:r>
            <w:r>
              <w:rPr>
                <w:rFonts w:hint="eastAsia" w:ascii="宋体" w:hAnsi="宋体" w:eastAsia="宋体" w:cs="宋体"/>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10.箱体举升离地高度：≥1600mm；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11.箱体举升过程水平前移距离：≥1250mm；（提供第三方带CMA或CNAS标识的检测报告）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12.液压系统连续工作情况下油温：≤60℃；</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13.压缩机工作噪声：≤65dB；</w:t>
            </w:r>
          </w:p>
          <w:p w14:paraId="5712FE15">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三、性能要求：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1.地坑内垃圾箱要求：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①采用整体式箱体：即箱体具有压缩仓、存贮仓、推铲工作仓；</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②箱体钢板底板厚度≥10mm，侧板≥8mm；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③箱体上油管排列整齐、做防锈处理；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④箱体上电缆采用金属套管封闭走线，不允许外露；</w:t>
            </w:r>
          </w:p>
          <w:p w14:paraId="05BD217E">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2.举升机构：</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①举升机构与箱体固定连接，并设置于箱体两侧；（提供第三方带CMA或CNAS标识的检测报告及实物照片）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②举升机构设置防箱体坠落安全装置，确保人身安全和设备安全；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③举升机构中的销轴、安装支座具有较好的防腐性能；需满足《GB/T 10125-2021 人造气氛腐蚀试验盐雾试验》720h中性盐雾试验,检验结果评级不低于 9 级。（提供第三方带CMA或CNAS标识的检测报告）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④举升机构杆件相互无铰接，减少维修维护。（提供第三方带CMA或CNAS标识的和实物照片）</w:t>
            </w:r>
          </w:p>
          <w:p w14:paraId="06DA8355">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3.压头: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①压缩油缸与压头的联接方式采用球铰联接，提高安全性；</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②压头底板采用高强度耐磨板，硬度≥400HB，屈服强度≥1200MPa，断后伸长率≥12%；（提供第三方带CMA或CNAS标识的检测报告，检测内容须包括硬度、屈服强度、断后伸长率）；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③压头与压架采用尼龙滑块导向限位，有效导向长度≥600mm；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4.电气系统：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①采用自动、手动两套控制系统：即当电气系统出现故障时，可采用手动继续工作；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②采用 PLC 程序控制；</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③电气控制柜具有良好的防水防尘性能；其防水性能优于IPX6，防尘性能优于IP5X（提供第三方带CMA或CNAS标识的检测报告）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④设有接地电阻≤0.4，确保设备人身安全；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5.液压系统：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①油箱散热性能良好；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②管路简洁美观；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③油箱顶面四周设置积油槽，保持油箱顶面清洁，防止积油、积水；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④举升油缸杆头设置液压锁，防止爆管后箱体下坠，确保安全；</w:t>
            </w:r>
          </w:p>
          <w:p w14:paraId="4190FEBA">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6.结构件：结构件表面防腐技术先进，箱体内外表面都经过喷丸和特殊防锈防腐处理。</w:t>
            </w:r>
          </w:p>
          <w:p w14:paraId="30442962">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7.垃圾压缩机的焊接工艺符合相关要求；</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1DB22">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套</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ADC8D">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w:t>
            </w:r>
          </w:p>
        </w:tc>
      </w:tr>
      <w:tr w14:paraId="6CAC1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6" w:hRule="atLeast"/>
          <w:jc w:val="center"/>
        </w:trPr>
        <w:tc>
          <w:tcPr>
            <w:tcW w:w="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01AAE">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3</w:t>
            </w:r>
          </w:p>
        </w:tc>
        <w:tc>
          <w:tcPr>
            <w:tcW w:w="9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B98E2">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高压智能喷雾除臭设备</w:t>
            </w:r>
          </w:p>
        </w:tc>
        <w:tc>
          <w:tcPr>
            <w:tcW w:w="7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1B912">
            <w:pPr>
              <w:keepNext w:val="0"/>
              <w:keepLines w:val="0"/>
              <w:widowControl/>
              <w:numPr>
                <w:ilvl w:val="0"/>
                <w:numId w:val="0"/>
              </w:numPr>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lang w:val="en-US" w:eastAsia="zh-CN" w:bidi="ar"/>
              </w:rPr>
              <w:t>一、</w:t>
            </w:r>
            <w:r>
              <w:rPr>
                <w:rFonts w:hint="eastAsia" w:ascii="宋体" w:hAnsi="宋体" w:eastAsia="宋体" w:cs="宋体"/>
                <w:i w:val="0"/>
                <w:iCs w:val="0"/>
                <w:color w:val="auto"/>
                <w:kern w:val="0"/>
                <w:sz w:val="22"/>
                <w:szCs w:val="22"/>
                <w:u w:val="none"/>
                <w:lang w:val="en-US" w:eastAsia="zh-CN" w:bidi="ar"/>
              </w:rPr>
              <w:t>主要参数：</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（1）电源电压：AC380V±10% 、50HZ</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 xml:space="preserve">（2）电机功率：≥1.5KW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（3）高压柱塞泵：10L-16L</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（4）喷雾方式：高压喷雾式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（5）机箱材质：304不锈钢</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（6）控制主板：PLC+7寸触摸屏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（7）网络接口：4G、以太网、RS485、WLAN</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（8）控制方式：机身按键、触摸屏、遥控器。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（9）外形尺寸： ≥L1000mm*H850mm*W600mm</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（10）药剂配比：自动配比药液</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（11）净 重：≤100KG</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二、性能要求（具有以下多个系统）：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1）安全自动泄压：当喷雾机停止工作时，机体自动将高压喷管的压力释放，防止喷头滴水；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2）自动缺水、缺药断电：防止因无水时泵空转现象，提高泵寿命；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3）自动喷雾系统：操作人员可根据实际情况设定喷雾时间和喷雾间隔时间。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4）应用回流新技术：避免管道积水、沉淀、长苔、保障喷头喷雾效果，喷头配有止滴器，喷头不滴水。配备多重过滤器和过滤箱，有效净化水源，减少喷头堵塞，增加运行效率。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5）自动配比功能：系统可以根据要求的药剂的配比，自动配比出符合要求的药剂溶液，并储存于缓存水箱内，供喷雾系统使用，这样既便是在停水状态下只要有水就可以实现继续喷雾除臭和降尘。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FF"/>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6）故障报警和信息显示模块：当设备缺液时蜂鸣器一直响，提示加药。正常工作时绿色指示灯亮，进水时黄色指示灯亮。</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7）系统功能：可根据实际情况设定开机和停机时间，设定范围可根据环境需求设定为全天24小时工作或者分几个时间区域工作。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8）触摸屏：自主研发软件、硬件，对设备进行控制与管理。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9）遥控功能：可随时控制设备运行、启动与停止、模式选择，方便操作。</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三、检测性能</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1、所投产品智能喷雾除臭设备通过接地电阻检测实验，且检测结果≤0.05Ω。（需提供相关检测报告，报告中须体现检测依据为GB4706.1-2005 家用和类似用途电器的安全）</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2、所投产品智能喷雾除臭设备通过厂界噪声检测且数值≤60dB。（需提供相关检测报告，工作噪音测量须在厂界外一米处（依据 GB12348-2008《工业企业厂界环境噪声排放标准》）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3、所投产品智能喷雾除臭设备通过浪涌（冲击）试验，且试验中和试验后样品均能正常工作。</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632CA">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套</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5C322">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w:t>
            </w:r>
          </w:p>
        </w:tc>
      </w:tr>
    </w:tbl>
    <w:p w14:paraId="793F2427">
      <w:pPr>
        <w:shd w:val="clear" w:fill="FFFFFF"/>
        <w:adjustRightInd w:val="0"/>
        <w:snapToGrid w:val="0"/>
        <w:spacing w:before="156" w:beforeLines="50" w:line="360" w:lineRule="auto"/>
        <w:jc w:val="left"/>
        <w:rPr>
          <w:rFonts w:hint="eastAsia" w:ascii="宋体" w:hAnsi="宋体" w:eastAsia="宋体" w:cs="宋体"/>
          <w:sz w:val="22"/>
          <w:szCs w:val="22"/>
          <w:highlight w:val="none"/>
          <w:lang w:val="en-US" w:eastAsia="zh-CN"/>
        </w:rPr>
      </w:pPr>
      <w:r>
        <w:rPr>
          <w:rFonts w:hint="eastAsia" w:ascii="宋体" w:hAnsi="宋体" w:eastAsia="宋体" w:cs="宋体"/>
          <w:b/>
          <w:bCs/>
          <w:szCs w:val="21"/>
          <w:highlight w:val="none"/>
          <w:shd w:val="clear" w:color="auto" w:fill="auto"/>
          <w:lang w:val="en-US" w:eastAsia="zh-CN"/>
        </w:rPr>
        <w:t>备注：</w:t>
      </w:r>
      <w:r>
        <w:rPr>
          <w:rFonts w:hint="eastAsia" w:ascii="宋体" w:hAnsi="宋体" w:eastAsia="宋体" w:cs="宋体"/>
          <w:b w:val="0"/>
          <w:bCs w:val="0"/>
          <w:szCs w:val="21"/>
          <w:highlight w:val="none"/>
          <w:shd w:val="clear" w:color="auto" w:fill="auto"/>
          <w:lang w:val="en-US" w:eastAsia="zh-CN"/>
        </w:rPr>
        <w:t>采购内容包括新开镇、筻口镇等14座垃圾中转站、城区3座垃圾中转站压缩设备、5套除臭设备的购置。</w:t>
      </w:r>
    </w:p>
    <w:p w14:paraId="50F2DAB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746766"/>
    <w:multiLevelType w:val="singleLevel"/>
    <w:tmpl w:val="A0746766"/>
    <w:lvl w:ilvl="0" w:tentative="0">
      <w:start w:val="1"/>
      <w:numFmt w:val="chineseCounting"/>
      <w:suff w:val="nothing"/>
      <w:lvlText w:val="%1、"/>
      <w:lvlJc w:val="left"/>
      <w:rPr>
        <w:rFonts w:hint="eastAsia"/>
      </w:rPr>
    </w:lvl>
  </w:abstractNum>
  <w:abstractNum w:abstractNumId="1">
    <w:nsid w:val="00000001"/>
    <w:multiLevelType w:val="multilevel"/>
    <w:tmpl w:val="00000001"/>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8527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2026-08-31T08:48:00Z</dcterms:created>
  <dc:creator>Administrator</dc:creator>
  <cp:lastModifiedBy>Administrator</cp:lastModifiedBy>
  <dcterms:modified xsi:type="dcterms:W3CDTF">2026-08-31T08:48:36Z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eyJoZGlkIjoiNThhNjg3ZmEyZjMwOWQyM2U2YTkwMGM1NjEzOTZkZGIiLCJ1c2VySWQiOiI0NDE0OTA3ODQifQ==</vt:lpwstr>
  </property>
  <property fmtid="{D5CDD505-2E9C-101B-9397-08002B2CF9AE}" pid="4" name="ICV">
    <vt:lpwstr>87DB79F531524081AF0F27F4F1E9143C_12</vt:lpwstr>
  </property>
</Properties>
</file>